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316C" w:rsidRPr="00DC278B" w:rsidRDefault="00BF29A0" w:rsidP="00DC278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eastAsia="Times New Roman" w:hAnsi="Cambria"/>
          <w:b/>
          <w:sz w:val="18"/>
          <w:szCs w:val="18"/>
          <w:bdr w:val="none" w:sz="0" w:space="0" w:color="auto"/>
          <w:lang w:val="es-ES_tradnl"/>
        </w:rPr>
      </w:pPr>
      <w:r>
        <w:rPr>
          <w:rFonts w:ascii="Cambria" w:eastAsia="Times New Roman" w:hAnsi="Cambria"/>
          <w:b/>
          <w:sz w:val="18"/>
          <w:szCs w:val="18"/>
          <w:bdr w:val="none" w:sz="0" w:space="0" w:color="auto"/>
          <w:lang w:val="es-ES_tradnl"/>
        </w:rPr>
        <w:t>INFORME No. 52</w:t>
      </w:r>
      <w:r w:rsidR="00D0541B" w:rsidRPr="00DC278B">
        <w:rPr>
          <w:rFonts w:ascii="Cambria" w:eastAsia="Times New Roman" w:hAnsi="Cambria"/>
          <w:b/>
          <w:sz w:val="18"/>
          <w:szCs w:val="18"/>
          <w:bdr w:val="none" w:sz="0" w:space="0" w:color="auto"/>
          <w:lang w:val="es-ES_tradnl"/>
        </w:rPr>
        <w:t>/16</w:t>
      </w:r>
    </w:p>
    <w:p w:rsidR="004B316C" w:rsidRPr="00DC278B" w:rsidRDefault="00B06C1C" w:rsidP="00DC278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eastAsia="Times New Roman" w:hAnsi="Cambria"/>
          <w:b/>
          <w:sz w:val="18"/>
          <w:szCs w:val="18"/>
          <w:bdr w:val="none" w:sz="0" w:space="0" w:color="auto"/>
          <w:lang w:val="es-ES_tradnl"/>
        </w:rPr>
      </w:pPr>
      <w:r w:rsidRPr="00DC278B">
        <w:rPr>
          <w:rFonts w:ascii="Cambria" w:eastAsia="Times New Roman" w:hAnsi="Cambria"/>
          <w:b/>
          <w:sz w:val="18"/>
          <w:szCs w:val="18"/>
          <w:bdr w:val="none" w:sz="0" w:space="0" w:color="auto"/>
          <w:lang w:val="es-ES_tradnl"/>
        </w:rPr>
        <w:t>CASO 12.521</w:t>
      </w:r>
    </w:p>
    <w:p w:rsidR="004B316C" w:rsidRPr="00DC278B" w:rsidRDefault="004B316C" w:rsidP="00DC278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eastAsia="Times New Roman" w:hAnsi="Cambria"/>
          <w:sz w:val="18"/>
          <w:szCs w:val="18"/>
          <w:bdr w:val="none" w:sz="0" w:space="0" w:color="auto"/>
          <w:lang w:val="es-ES_tradnl"/>
        </w:rPr>
      </w:pPr>
      <w:r w:rsidRPr="00DC278B">
        <w:rPr>
          <w:rFonts w:ascii="Cambria" w:eastAsia="Times New Roman" w:hAnsi="Cambria"/>
          <w:sz w:val="18"/>
          <w:szCs w:val="18"/>
          <w:bdr w:val="none" w:sz="0" w:space="0" w:color="auto"/>
          <w:lang w:val="es-ES_tradnl"/>
        </w:rPr>
        <w:t>FONDO</w:t>
      </w:r>
    </w:p>
    <w:p w:rsidR="00B06C1C" w:rsidRPr="00DC278B" w:rsidRDefault="00E07F44" w:rsidP="00DC278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eastAsia="Times New Roman" w:hAnsi="Cambria"/>
          <w:sz w:val="18"/>
          <w:szCs w:val="18"/>
          <w:bdr w:val="none" w:sz="0" w:space="0" w:color="auto"/>
          <w:lang w:val="es-ES_tradnl"/>
        </w:rPr>
      </w:pPr>
      <w:r w:rsidRPr="00DC278B">
        <w:rPr>
          <w:rFonts w:ascii="Cambria" w:eastAsia="Times New Roman" w:hAnsi="Cambria"/>
          <w:sz w:val="18"/>
          <w:szCs w:val="18"/>
          <w:bdr w:val="none" w:sz="0" w:space="0" w:color="auto"/>
          <w:lang w:val="es-ES_tradnl"/>
        </w:rPr>
        <w:t>MARIA LAURA Ó</w:t>
      </w:r>
      <w:r w:rsidR="00B06C1C" w:rsidRPr="00DC278B">
        <w:rPr>
          <w:rFonts w:ascii="Cambria" w:eastAsia="Times New Roman" w:hAnsi="Cambria"/>
          <w:sz w:val="18"/>
          <w:szCs w:val="18"/>
          <w:bdr w:val="none" w:sz="0" w:space="0" w:color="auto"/>
          <w:lang w:val="es-ES_tradnl"/>
        </w:rPr>
        <w:t>RDENES GUERRA Y OTROS</w:t>
      </w:r>
    </w:p>
    <w:p w:rsidR="00B06C1C" w:rsidRPr="00DC278B" w:rsidRDefault="00B06C1C" w:rsidP="00DC278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eastAsia="Times New Roman" w:hAnsi="Cambria"/>
          <w:sz w:val="18"/>
          <w:szCs w:val="18"/>
          <w:bdr w:val="none" w:sz="0" w:space="0" w:color="auto"/>
          <w:lang w:val="es-ES_tradnl"/>
        </w:rPr>
      </w:pPr>
      <w:r w:rsidRPr="00DC278B">
        <w:rPr>
          <w:rFonts w:ascii="Cambria" w:eastAsia="Times New Roman" w:hAnsi="Cambria"/>
          <w:sz w:val="18"/>
          <w:szCs w:val="18"/>
          <w:bdr w:val="none" w:sz="0" w:space="0" w:color="auto"/>
          <w:lang w:val="es-ES_tradnl"/>
        </w:rPr>
        <w:t>CHILE</w:t>
      </w:r>
    </w:p>
    <w:p w:rsidR="004B316C" w:rsidRPr="00DC278B" w:rsidRDefault="00BF29A0" w:rsidP="00DC278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eastAsia="Times New Roman" w:hAnsi="Cambria"/>
          <w:sz w:val="18"/>
          <w:szCs w:val="18"/>
          <w:bdr w:val="none" w:sz="0" w:space="0" w:color="auto"/>
          <w:lang w:val="es-ES_tradnl"/>
        </w:rPr>
      </w:pPr>
      <w:r>
        <w:rPr>
          <w:rFonts w:ascii="Cambria" w:eastAsia="Times New Roman" w:hAnsi="Cambria"/>
          <w:sz w:val="18"/>
          <w:szCs w:val="18"/>
          <w:bdr w:val="none" w:sz="0" w:space="0" w:color="auto"/>
          <w:lang w:val="es-ES_tradnl"/>
        </w:rPr>
        <w:t>30</w:t>
      </w:r>
      <w:r w:rsidR="00E24E60" w:rsidRPr="00DC278B">
        <w:rPr>
          <w:rFonts w:ascii="Cambria" w:eastAsia="Times New Roman" w:hAnsi="Cambria"/>
          <w:sz w:val="18"/>
          <w:szCs w:val="18"/>
          <w:bdr w:val="none" w:sz="0" w:space="0" w:color="auto"/>
          <w:lang w:val="es-ES_tradnl"/>
        </w:rPr>
        <w:t xml:space="preserve"> DE </w:t>
      </w:r>
      <w:r>
        <w:rPr>
          <w:rFonts w:ascii="Cambria" w:eastAsia="Times New Roman" w:hAnsi="Cambria"/>
          <w:sz w:val="18"/>
          <w:szCs w:val="18"/>
          <w:bdr w:val="none" w:sz="0" w:space="0" w:color="auto"/>
          <w:lang w:val="es-ES_tradnl"/>
        </w:rPr>
        <w:t>NOVIEMBRE</w:t>
      </w:r>
      <w:r w:rsidR="00423E1B" w:rsidRPr="00DC278B">
        <w:rPr>
          <w:rFonts w:ascii="Cambria" w:eastAsia="Times New Roman" w:hAnsi="Cambria"/>
          <w:sz w:val="18"/>
          <w:szCs w:val="18"/>
          <w:bdr w:val="none" w:sz="0" w:space="0" w:color="auto"/>
          <w:lang w:val="es-ES_tradnl"/>
        </w:rPr>
        <w:t xml:space="preserve"> DE 2016</w:t>
      </w:r>
    </w:p>
    <w:p w:rsidR="004B316C" w:rsidRPr="00DC278B" w:rsidRDefault="004B316C" w:rsidP="00DC278B">
      <w:pPr>
        <w:rPr>
          <w:rFonts w:ascii="Cambria" w:eastAsia="Times New Roman" w:hAnsi="Cambria"/>
          <w:b/>
          <w:sz w:val="20"/>
          <w:szCs w:val="20"/>
          <w:bdr w:val="none" w:sz="0" w:space="0" w:color="auto"/>
          <w:lang w:val="es-ES_tradnl"/>
        </w:rPr>
      </w:pPr>
    </w:p>
    <w:p w:rsidR="004B316C" w:rsidRPr="00DC278B" w:rsidRDefault="004B316C" w:rsidP="00DC278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eastAsia="Times New Roman" w:hAnsi="Cambria"/>
          <w:sz w:val="20"/>
          <w:szCs w:val="20"/>
          <w:bdr w:val="none" w:sz="0" w:space="0" w:color="auto"/>
          <w:lang w:val="es-ES_tradnl"/>
        </w:rPr>
      </w:pPr>
    </w:p>
    <w:p w:rsidR="004B316C" w:rsidRPr="00DC278B" w:rsidRDefault="004B316C" w:rsidP="00DC278B">
      <w:pPr>
        <w:pStyle w:val="Ttulo1"/>
      </w:pPr>
      <w:bookmarkStart w:id="0" w:name="_Toc338425797"/>
      <w:bookmarkStart w:id="1" w:name="_Toc413397460"/>
      <w:r w:rsidRPr="00DC278B">
        <w:t>RESUMEN</w:t>
      </w:r>
      <w:bookmarkEnd w:id="0"/>
      <w:bookmarkEnd w:id="1"/>
    </w:p>
    <w:p w:rsidR="004B316C" w:rsidRPr="00DC278B" w:rsidRDefault="004B316C" w:rsidP="00DC278B">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Times New Roman" w:hAnsi="Cambria"/>
          <w:sz w:val="20"/>
          <w:szCs w:val="20"/>
          <w:bdr w:val="none" w:sz="0" w:space="0" w:color="auto"/>
          <w:lang w:val="es-ES_tradnl"/>
        </w:rPr>
      </w:pPr>
    </w:p>
    <w:p w:rsidR="00E3282D" w:rsidRPr="00DC278B" w:rsidRDefault="00A46BA2"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r w:rsidRPr="00DC278B">
        <w:rPr>
          <w:rFonts w:ascii="Cambria" w:eastAsia="Times New Roman" w:hAnsi="Cambria"/>
          <w:sz w:val="20"/>
          <w:szCs w:val="20"/>
          <w:bdr w:val="none" w:sz="0" w:space="0" w:color="auto"/>
          <w:lang w:val="es-ES_tradnl"/>
        </w:rPr>
        <w:t>El 14 de julio</w:t>
      </w:r>
      <w:r w:rsidR="00B06C1C" w:rsidRPr="00DC278B">
        <w:rPr>
          <w:rFonts w:ascii="Cambria" w:eastAsia="Times New Roman" w:hAnsi="Cambria"/>
          <w:sz w:val="20"/>
          <w:szCs w:val="20"/>
          <w:bdr w:val="none" w:sz="0" w:space="0" w:color="auto"/>
          <w:lang w:val="es-ES_tradnl"/>
        </w:rPr>
        <w:t xml:space="preserve">, </w:t>
      </w:r>
      <w:r w:rsidRPr="00DC278B">
        <w:rPr>
          <w:rFonts w:ascii="Cambria" w:eastAsia="Times New Roman" w:hAnsi="Cambria"/>
          <w:sz w:val="20"/>
          <w:szCs w:val="20"/>
          <w:bdr w:val="none" w:sz="0" w:space="0" w:color="auto"/>
          <w:lang w:val="es-ES_tradnl"/>
        </w:rPr>
        <w:t>3 de septiembre</w:t>
      </w:r>
      <w:r w:rsidR="00D050C7" w:rsidRPr="00DC278B">
        <w:rPr>
          <w:rFonts w:ascii="Cambria" w:eastAsia="Times New Roman" w:hAnsi="Cambria"/>
          <w:sz w:val="20"/>
          <w:szCs w:val="20"/>
          <w:bdr w:val="none" w:sz="0" w:space="0" w:color="auto"/>
          <w:lang w:val="es-ES_tradnl"/>
        </w:rPr>
        <w:t xml:space="preserve"> y</w:t>
      </w:r>
      <w:r w:rsidRPr="00DC278B">
        <w:rPr>
          <w:rFonts w:ascii="Cambria" w:eastAsia="Times New Roman" w:hAnsi="Cambria"/>
          <w:sz w:val="20"/>
          <w:szCs w:val="20"/>
          <w:bdr w:val="none" w:sz="0" w:space="0" w:color="auto"/>
          <w:lang w:val="es-ES_tradnl"/>
        </w:rPr>
        <w:t xml:space="preserve"> 24 de octubre de 2003</w:t>
      </w:r>
      <w:r w:rsidR="00D050C7" w:rsidRPr="00DC278B">
        <w:rPr>
          <w:rFonts w:ascii="Cambria" w:eastAsia="Times New Roman" w:hAnsi="Cambria"/>
          <w:sz w:val="20"/>
          <w:szCs w:val="20"/>
          <w:bdr w:val="none" w:sz="0" w:space="0" w:color="auto"/>
          <w:lang w:val="es-ES_tradnl"/>
        </w:rPr>
        <w:t xml:space="preserve"> así como el </w:t>
      </w:r>
      <w:r w:rsidRPr="00DC278B">
        <w:rPr>
          <w:rFonts w:ascii="Cambria" w:eastAsia="Times New Roman" w:hAnsi="Cambria"/>
          <w:sz w:val="20"/>
          <w:szCs w:val="20"/>
          <w:bdr w:val="none" w:sz="0" w:space="0" w:color="auto"/>
          <w:lang w:val="es-ES_tradnl"/>
        </w:rPr>
        <w:t xml:space="preserve">22 de enero de 2004 </w:t>
      </w:r>
      <w:r w:rsidR="00B06C1C" w:rsidRPr="00DC278B">
        <w:rPr>
          <w:rFonts w:ascii="Cambria" w:eastAsia="Times New Roman" w:hAnsi="Cambria"/>
          <w:sz w:val="20"/>
          <w:szCs w:val="20"/>
          <w:bdr w:val="none" w:sz="0" w:space="0" w:color="auto"/>
          <w:lang w:val="es-ES_tradnl"/>
        </w:rPr>
        <w:t>la Comisión Interamericana de Derechos Humanos (en adelante "la Co</w:t>
      </w:r>
      <w:r w:rsidRPr="00DC278B">
        <w:rPr>
          <w:rFonts w:ascii="Cambria" w:eastAsia="Times New Roman" w:hAnsi="Cambria"/>
          <w:sz w:val="20"/>
          <w:szCs w:val="20"/>
          <w:bdr w:val="none" w:sz="0" w:space="0" w:color="auto"/>
          <w:lang w:val="es-ES_tradnl"/>
        </w:rPr>
        <w:t>misi</w:t>
      </w:r>
      <w:r w:rsidR="004D6DF5" w:rsidRPr="00DC278B">
        <w:rPr>
          <w:rFonts w:ascii="Cambria" w:eastAsia="Times New Roman" w:hAnsi="Cambria"/>
          <w:sz w:val="20"/>
          <w:szCs w:val="20"/>
          <w:bdr w:val="none" w:sz="0" w:space="0" w:color="auto"/>
          <w:lang w:val="es-ES_tradnl"/>
        </w:rPr>
        <w:t>ón"</w:t>
      </w:r>
      <w:r w:rsidR="00D050C7" w:rsidRPr="00DC278B">
        <w:rPr>
          <w:rFonts w:ascii="Cambria" w:eastAsia="Times New Roman" w:hAnsi="Cambria"/>
          <w:sz w:val="20"/>
          <w:szCs w:val="20"/>
          <w:bdr w:val="none" w:sz="0" w:space="0" w:color="auto"/>
          <w:lang w:val="es-ES_tradnl"/>
        </w:rPr>
        <w:t>, “la Comisión Interame</w:t>
      </w:r>
      <w:r w:rsidR="00AF46CA" w:rsidRPr="00DC278B">
        <w:rPr>
          <w:rFonts w:ascii="Cambria" w:eastAsia="Times New Roman" w:hAnsi="Cambria"/>
          <w:sz w:val="20"/>
          <w:szCs w:val="20"/>
          <w:bdr w:val="none" w:sz="0" w:space="0" w:color="auto"/>
          <w:lang w:val="es-ES_tradnl"/>
        </w:rPr>
        <w:t>r</w:t>
      </w:r>
      <w:r w:rsidR="00D050C7" w:rsidRPr="00DC278B">
        <w:rPr>
          <w:rFonts w:ascii="Cambria" w:eastAsia="Times New Roman" w:hAnsi="Cambria"/>
          <w:sz w:val="20"/>
          <w:szCs w:val="20"/>
          <w:bdr w:val="none" w:sz="0" w:space="0" w:color="auto"/>
          <w:lang w:val="es-ES_tradnl"/>
        </w:rPr>
        <w:t>icana”</w:t>
      </w:r>
      <w:r w:rsidR="004D6DF5" w:rsidRPr="00DC278B">
        <w:rPr>
          <w:rFonts w:ascii="Cambria" w:eastAsia="Times New Roman" w:hAnsi="Cambria"/>
          <w:sz w:val="20"/>
          <w:szCs w:val="20"/>
          <w:bdr w:val="none" w:sz="0" w:space="0" w:color="auto"/>
          <w:lang w:val="es-ES_tradnl"/>
        </w:rPr>
        <w:t xml:space="preserve"> o “la CIDH”) recibió cuatro</w:t>
      </w:r>
      <w:r w:rsidRPr="00DC278B">
        <w:rPr>
          <w:rFonts w:ascii="Cambria" w:eastAsia="Times New Roman" w:hAnsi="Cambria"/>
          <w:sz w:val="20"/>
          <w:szCs w:val="20"/>
          <w:bdr w:val="none" w:sz="0" w:space="0" w:color="auto"/>
          <w:lang w:val="es-ES_tradnl"/>
        </w:rPr>
        <w:t xml:space="preserve"> peticio</w:t>
      </w:r>
      <w:r w:rsidR="00B06C1C" w:rsidRPr="00DC278B">
        <w:rPr>
          <w:rFonts w:ascii="Cambria" w:eastAsia="Times New Roman" w:hAnsi="Cambria"/>
          <w:sz w:val="20"/>
          <w:szCs w:val="20"/>
          <w:bdr w:val="none" w:sz="0" w:space="0" w:color="auto"/>
          <w:lang w:val="es-ES_tradnl"/>
        </w:rPr>
        <w:t>n</w:t>
      </w:r>
      <w:r w:rsidRPr="00DC278B">
        <w:rPr>
          <w:rFonts w:ascii="Cambria" w:eastAsia="Times New Roman" w:hAnsi="Cambria"/>
          <w:sz w:val="20"/>
          <w:szCs w:val="20"/>
          <w:bdr w:val="none" w:sz="0" w:space="0" w:color="auto"/>
          <w:lang w:val="es-ES_tradnl"/>
        </w:rPr>
        <w:t>es</w:t>
      </w:r>
      <w:r w:rsidR="00B06C1C" w:rsidRPr="00DC278B">
        <w:rPr>
          <w:rFonts w:ascii="Cambria" w:eastAsia="Times New Roman" w:hAnsi="Cambria"/>
          <w:sz w:val="20"/>
          <w:szCs w:val="20"/>
          <w:bdr w:val="none" w:sz="0" w:space="0" w:color="auto"/>
          <w:lang w:val="es-ES_tradnl"/>
        </w:rPr>
        <w:t xml:space="preserve"> presentada</w:t>
      </w:r>
      <w:r w:rsidRPr="00DC278B">
        <w:rPr>
          <w:rFonts w:ascii="Cambria" w:eastAsia="Times New Roman" w:hAnsi="Cambria"/>
          <w:sz w:val="20"/>
          <w:szCs w:val="20"/>
          <w:bdr w:val="none" w:sz="0" w:space="0" w:color="auto"/>
          <w:lang w:val="es-ES_tradnl"/>
        </w:rPr>
        <w:t>s por</w:t>
      </w:r>
      <w:r w:rsidR="00B06C1C" w:rsidRPr="00DC278B">
        <w:rPr>
          <w:rFonts w:ascii="Cambria" w:eastAsia="Times New Roman" w:hAnsi="Cambria"/>
          <w:sz w:val="20"/>
          <w:szCs w:val="20"/>
          <w:bdr w:val="none" w:sz="0" w:space="0" w:color="auto"/>
          <w:lang w:val="es-ES_tradnl"/>
        </w:rPr>
        <w:t xml:space="preserve"> el abogado Nelson </w:t>
      </w:r>
      <w:proofErr w:type="spellStart"/>
      <w:r w:rsidR="00B06C1C" w:rsidRPr="00DC278B">
        <w:rPr>
          <w:rFonts w:ascii="Cambria" w:eastAsia="Times New Roman" w:hAnsi="Cambria"/>
          <w:sz w:val="20"/>
          <w:szCs w:val="20"/>
          <w:bdr w:val="none" w:sz="0" w:space="0" w:color="auto"/>
          <w:lang w:val="es-ES_tradnl"/>
        </w:rPr>
        <w:t>Caucoto</w:t>
      </w:r>
      <w:proofErr w:type="spellEnd"/>
      <w:r w:rsidR="00B06C1C" w:rsidRPr="00DC278B">
        <w:rPr>
          <w:rFonts w:ascii="Cambria" w:eastAsia="Times New Roman" w:hAnsi="Cambria"/>
          <w:sz w:val="20"/>
          <w:szCs w:val="20"/>
          <w:bdr w:val="none" w:sz="0" w:space="0" w:color="auto"/>
          <w:lang w:val="es-ES_tradnl"/>
        </w:rPr>
        <w:t xml:space="preserve"> (en adelante “el peticionario”), en contra de la República de Chile (en adelante "el Estado"</w:t>
      </w:r>
      <w:r w:rsidR="00AF46CA" w:rsidRPr="00DC278B">
        <w:rPr>
          <w:rFonts w:ascii="Cambria" w:eastAsia="Times New Roman" w:hAnsi="Cambria"/>
          <w:sz w:val="20"/>
          <w:szCs w:val="20"/>
          <w:bdr w:val="none" w:sz="0" w:space="0" w:color="auto"/>
          <w:lang w:val="es-ES_tradnl"/>
        </w:rPr>
        <w:t>, “el Estado chileno”</w:t>
      </w:r>
      <w:r w:rsidR="00B06C1C" w:rsidRPr="00DC278B">
        <w:rPr>
          <w:rFonts w:ascii="Cambria" w:eastAsia="Times New Roman" w:hAnsi="Cambria"/>
          <w:sz w:val="20"/>
          <w:szCs w:val="20"/>
          <w:bdr w:val="none" w:sz="0" w:space="0" w:color="auto"/>
          <w:lang w:val="es-ES_tradnl"/>
        </w:rPr>
        <w:t xml:space="preserve"> o “Chile”), por la presunta falta de reparación e indemnización del da</w:t>
      </w:r>
      <w:r w:rsidRPr="00DC278B">
        <w:rPr>
          <w:rFonts w:ascii="Cambria" w:eastAsia="Times New Roman" w:hAnsi="Cambria"/>
          <w:sz w:val="20"/>
          <w:szCs w:val="20"/>
          <w:bdr w:val="none" w:sz="0" w:space="0" w:color="auto"/>
          <w:lang w:val="es-ES_tradnl"/>
        </w:rPr>
        <w:t xml:space="preserve">ño sufrido por </w:t>
      </w:r>
      <w:r w:rsidR="00D34291" w:rsidRPr="00DC278B">
        <w:rPr>
          <w:rFonts w:ascii="Cambria" w:eastAsia="Times New Roman" w:hAnsi="Cambria"/>
          <w:sz w:val="20"/>
          <w:szCs w:val="20"/>
          <w:bdr w:val="none" w:sz="0" w:space="0" w:color="auto"/>
          <w:lang w:val="es-ES_tradnl"/>
        </w:rPr>
        <w:t>Maria Laura Órdenes Guerra</w:t>
      </w:r>
      <w:r w:rsidR="00CB5024" w:rsidRPr="00DC278B">
        <w:rPr>
          <w:rFonts w:ascii="Cambria" w:eastAsia="Times New Roman" w:hAnsi="Cambria"/>
          <w:sz w:val="20"/>
          <w:szCs w:val="20"/>
          <w:bdr w:val="none" w:sz="0" w:space="0" w:color="auto"/>
          <w:lang w:val="es-ES_tradnl"/>
        </w:rPr>
        <w:t xml:space="preserve">, </w:t>
      </w:r>
      <w:r w:rsidR="00CB5024" w:rsidRPr="00DC278B">
        <w:rPr>
          <w:rFonts w:ascii="Cambria" w:hAnsi="Cambria"/>
          <w:sz w:val="20"/>
          <w:szCs w:val="20"/>
          <w:lang w:val="es-CO"/>
        </w:rPr>
        <w:t xml:space="preserve">Ariel Luis Antonio, Marta Elizabeth, Augusto Oscar, Gloria Laura </w:t>
      </w:r>
      <w:proofErr w:type="spellStart"/>
      <w:r w:rsidR="00CB5024" w:rsidRPr="00DC278B">
        <w:rPr>
          <w:rFonts w:ascii="Cambria" w:hAnsi="Cambria"/>
          <w:sz w:val="20"/>
          <w:szCs w:val="20"/>
          <w:lang w:val="es-CO"/>
        </w:rPr>
        <w:t>Astris</w:t>
      </w:r>
      <w:proofErr w:type="spellEnd"/>
      <w:r w:rsidR="00CB5024" w:rsidRPr="00DC278B">
        <w:rPr>
          <w:rFonts w:ascii="Cambria" w:hAnsi="Cambria"/>
          <w:sz w:val="20"/>
          <w:szCs w:val="20"/>
          <w:lang w:val="es-CO"/>
        </w:rPr>
        <w:t xml:space="preserve"> y </w:t>
      </w:r>
      <w:proofErr w:type="spellStart"/>
      <w:r w:rsidR="00CB5024" w:rsidRPr="00DC278B">
        <w:rPr>
          <w:rFonts w:ascii="Cambria" w:hAnsi="Cambria"/>
          <w:sz w:val="20"/>
          <w:szCs w:val="20"/>
          <w:lang w:val="es-CO"/>
        </w:rPr>
        <w:t>Maria</w:t>
      </w:r>
      <w:proofErr w:type="spellEnd"/>
      <w:r w:rsidR="00CB5024" w:rsidRPr="00DC278B">
        <w:rPr>
          <w:rFonts w:ascii="Cambria" w:hAnsi="Cambria"/>
          <w:sz w:val="20"/>
          <w:szCs w:val="20"/>
          <w:lang w:val="es-CO"/>
        </w:rPr>
        <w:t xml:space="preserve"> Laura Elena </w:t>
      </w:r>
      <w:proofErr w:type="spellStart"/>
      <w:r w:rsidR="00CB5024" w:rsidRPr="00DC278B">
        <w:rPr>
          <w:rFonts w:ascii="Cambria" w:hAnsi="Cambria"/>
          <w:sz w:val="20"/>
          <w:szCs w:val="20"/>
          <w:lang w:val="es-CO"/>
        </w:rPr>
        <w:t>Alcayaga</w:t>
      </w:r>
      <w:proofErr w:type="spellEnd"/>
      <w:r w:rsidR="00CB5024" w:rsidRPr="00DC278B">
        <w:rPr>
          <w:rFonts w:ascii="Cambria" w:hAnsi="Cambria"/>
          <w:sz w:val="20"/>
          <w:szCs w:val="20"/>
          <w:lang w:val="es-CO"/>
        </w:rPr>
        <w:t xml:space="preserve"> Órdenes</w:t>
      </w:r>
      <w:r w:rsidR="00AA25CC" w:rsidRPr="00DC278B">
        <w:rPr>
          <w:rStyle w:val="Refdenotaalpie"/>
          <w:rFonts w:ascii="Cambria" w:hAnsi="Cambria"/>
          <w:sz w:val="20"/>
          <w:szCs w:val="20"/>
          <w:lang w:val="es-CO"/>
        </w:rPr>
        <w:footnoteReference w:id="2"/>
      </w:r>
      <w:r w:rsidR="00D34291" w:rsidRPr="00DC278B">
        <w:rPr>
          <w:rFonts w:ascii="Cambria" w:eastAsia="Times New Roman" w:hAnsi="Cambria"/>
          <w:sz w:val="20"/>
          <w:szCs w:val="20"/>
          <w:bdr w:val="none" w:sz="0" w:space="0" w:color="auto"/>
          <w:lang w:val="es-ES_tradnl"/>
        </w:rPr>
        <w:t xml:space="preserve">; Lucía Morales </w:t>
      </w:r>
      <w:proofErr w:type="spellStart"/>
      <w:r w:rsidR="00D34291" w:rsidRPr="00DC278B">
        <w:rPr>
          <w:rFonts w:ascii="Cambria" w:eastAsia="Times New Roman" w:hAnsi="Cambria"/>
          <w:sz w:val="20"/>
          <w:szCs w:val="20"/>
          <w:bdr w:val="none" w:sz="0" w:space="0" w:color="auto"/>
          <w:lang w:val="es-ES_tradnl"/>
        </w:rPr>
        <w:t>Compagnon</w:t>
      </w:r>
      <w:proofErr w:type="spellEnd"/>
      <w:r w:rsidR="00D34291" w:rsidRPr="00DC278B">
        <w:rPr>
          <w:rFonts w:ascii="Cambria" w:eastAsia="Times New Roman" w:hAnsi="Cambria"/>
          <w:sz w:val="20"/>
          <w:szCs w:val="20"/>
          <w:bdr w:val="none" w:sz="0" w:space="0" w:color="auto"/>
          <w:lang w:val="es-ES_tradnl"/>
        </w:rPr>
        <w:t xml:space="preserve">, Jorge Roberto, Carolina Andrea, Lucía </w:t>
      </w:r>
      <w:proofErr w:type="spellStart"/>
      <w:r w:rsidR="00D34291" w:rsidRPr="00DC278B">
        <w:rPr>
          <w:rFonts w:ascii="Cambria" w:eastAsia="Times New Roman" w:hAnsi="Cambria"/>
          <w:sz w:val="20"/>
          <w:szCs w:val="20"/>
          <w:bdr w:val="none" w:sz="0" w:space="0" w:color="auto"/>
          <w:lang w:val="es-ES_tradnl"/>
        </w:rPr>
        <w:t>Odette</w:t>
      </w:r>
      <w:proofErr w:type="spellEnd"/>
      <w:r w:rsidR="00D34291" w:rsidRPr="00DC278B">
        <w:rPr>
          <w:rFonts w:ascii="Cambria" w:eastAsia="Times New Roman" w:hAnsi="Cambria"/>
          <w:sz w:val="20"/>
          <w:szCs w:val="20"/>
          <w:bdr w:val="none" w:sz="0" w:space="0" w:color="auto"/>
          <w:lang w:val="es-ES_tradnl"/>
        </w:rPr>
        <w:t xml:space="preserve"> y María Teresa Morales Osorio</w:t>
      </w:r>
      <w:r w:rsidR="00EC0C52" w:rsidRPr="00DC278B">
        <w:rPr>
          <w:rStyle w:val="Refdenotaalpie"/>
          <w:rFonts w:ascii="Cambria" w:eastAsia="Times New Roman" w:hAnsi="Cambria"/>
          <w:sz w:val="20"/>
          <w:szCs w:val="20"/>
          <w:bdr w:val="none" w:sz="0" w:space="0" w:color="auto"/>
          <w:lang w:val="es-ES_tradnl"/>
        </w:rPr>
        <w:footnoteReference w:id="3"/>
      </w:r>
      <w:r w:rsidR="00D34291" w:rsidRPr="00DC278B">
        <w:rPr>
          <w:rFonts w:ascii="Cambria" w:eastAsia="Times New Roman" w:hAnsi="Cambria"/>
          <w:sz w:val="20"/>
          <w:szCs w:val="20"/>
          <w:bdr w:val="none" w:sz="0" w:space="0" w:color="auto"/>
          <w:lang w:val="es-ES_tradnl"/>
        </w:rPr>
        <w:t xml:space="preserve">; Alina María Barraza </w:t>
      </w:r>
      <w:proofErr w:type="spellStart"/>
      <w:r w:rsidR="00D34291" w:rsidRPr="00DC278B">
        <w:rPr>
          <w:rFonts w:ascii="Cambria" w:eastAsia="Times New Roman" w:hAnsi="Cambria"/>
          <w:sz w:val="20"/>
          <w:szCs w:val="20"/>
          <w:bdr w:val="none" w:sz="0" w:space="0" w:color="auto"/>
          <w:lang w:val="es-ES_tradnl"/>
        </w:rPr>
        <w:t>Codoceo</w:t>
      </w:r>
      <w:proofErr w:type="spellEnd"/>
      <w:r w:rsidR="00D34291" w:rsidRPr="00DC278B">
        <w:rPr>
          <w:rFonts w:ascii="Cambria" w:eastAsia="Times New Roman" w:hAnsi="Cambria"/>
          <w:sz w:val="20"/>
          <w:szCs w:val="20"/>
          <w:bdr w:val="none" w:sz="0" w:space="0" w:color="auto"/>
          <w:lang w:val="es-ES_tradnl"/>
        </w:rPr>
        <w:t xml:space="preserve">, Eduardo Patricio, Marcia Alejandra, Patricia </w:t>
      </w:r>
      <w:proofErr w:type="spellStart"/>
      <w:r w:rsidR="00D34291" w:rsidRPr="00DC278B">
        <w:rPr>
          <w:rFonts w:ascii="Cambria" w:eastAsia="Times New Roman" w:hAnsi="Cambria"/>
          <w:sz w:val="20"/>
          <w:szCs w:val="20"/>
          <w:bdr w:val="none" w:sz="0" w:space="0" w:color="auto"/>
          <w:lang w:val="es-ES_tradnl"/>
        </w:rPr>
        <w:t>Auristela</w:t>
      </w:r>
      <w:proofErr w:type="spellEnd"/>
      <w:r w:rsidR="00D34291" w:rsidRPr="00DC278B">
        <w:rPr>
          <w:rFonts w:ascii="Cambria" w:eastAsia="Times New Roman" w:hAnsi="Cambria"/>
          <w:sz w:val="20"/>
          <w:szCs w:val="20"/>
          <w:bdr w:val="none" w:sz="0" w:space="0" w:color="auto"/>
          <w:lang w:val="es-ES_tradnl"/>
        </w:rPr>
        <w:t>, Nora Isabel, Hernán Alejandro Cortés Barraza</w:t>
      </w:r>
      <w:r w:rsidR="00E34783" w:rsidRPr="00DC278B">
        <w:rPr>
          <w:rStyle w:val="Refdenotaalpie"/>
          <w:rFonts w:ascii="Cambria" w:eastAsia="Times New Roman" w:hAnsi="Cambria"/>
          <w:sz w:val="20"/>
          <w:szCs w:val="20"/>
          <w:bdr w:val="none" w:sz="0" w:space="0" w:color="auto"/>
          <w:lang w:val="es-ES_tradnl"/>
        </w:rPr>
        <w:footnoteReference w:id="4"/>
      </w:r>
      <w:r w:rsidR="00D34291" w:rsidRPr="00DC278B">
        <w:rPr>
          <w:rFonts w:ascii="Cambria" w:eastAsia="Times New Roman" w:hAnsi="Cambria"/>
          <w:sz w:val="20"/>
          <w:szCs w:val="20"/>
          <w:bdr w:val="none" w:sz="0" w:space="0" w:color="auto"/>
          <w:lang w:val="es-ES_tradnl"/>
        </w:rPr>
        <w:t xml:space="preserve">; Mario Melo Acuña, Ilia María </w:t>
      </w:r>
      <w:proofErr w:type="spellStart"/>
      <w:r w:rsidR="00D34291" w:rsidRPr="00DC278B">
        <w:rPr>
          <w:rFonts w:ascii="Cambria" w:eastAsia="Times New Roman" w:hAnsi="Cambria"/>
          <w:sz w:val="20"/>
          <w:szCs w:val="20"/>
          <w:bdr w:val="none" w:sz="0" w:space="0" w:color="auto"/>
          <w:lang w:val="es-ES_tradnl"/>
        </w:rPr>
        <w:t>Pradenas</w:t>
      </w:r>
      <w:proofErr w:type="spellEnd"/>
      <w:r w:rsidR="00D34291" w:rsidRPr="00DC278B">
        <w:rPr>
          <w:rFonts w:ascii="Cambria" w:eastAsia="Times New Roman" w:hAnsi="Cambria"/>
          <w:sz w:val="20"/>
          <w:szCs w:val="20"/>
          <w:bdr w:val="none" w:sz="0" w:space="0" w:color="auto"/>
          <w:lang w:val="es-ES_tradnl"/>
        </w:rPr>
        <w:t xml:space="preserve"> Pérez y Carlos Gustavo Melo</w:t>
      </w:r>
      <w:r w:rsidR="00EB0C85" w:rsidRPr="00DC278B">
        <w:rPr>
          <w:rStyle w:val="Refdenotaalpie"/>
          <w:rFonts w:ascii="Cambria" w:eastAsia="Times New Roman" w:hAnsi="Cambria"/>
          <w:sz w:val="20"/>
          <w:szCs w:val="20"/>
          <w:bdr w:val="none" w:sz="0" w:space="0" w:color="auto"/>
          <w:lang w:val="es-ES_tradnl"/>
        </w:rPr>
        <w:footnoteReference w:id="5"/>
      </w:r>
      <w:r w:rsidR="00D34291" w:rsidRPr="00DC278B">
        <w:rPr>
          <w:rFonts w:ascii="Cambria" w:eastAsia="Times New Roman" w:hAnsi="Cambria"/>
          <w:sz w:val="20"/>
          <w:szCs w:val="20"/>
          <w:bdr w:val="none" w:sz="0" w:space="0" w:color="auto"/>
          <w:lang w:val="es-ES_tradnl"/>
        </w:rPr>
        <w:t>; Pamela Adriana Vivanco</w:t>
      </w:r>
      <w:r w:rsidR="006B0F85" w:rsidRPr="00DC278B">
        <w:rPr>
          <w:rStyle w:val="Refdenotaalpie"/>
          <w:rFonts w:ascii="Cambria" w:eastAsia="Times New Roman" w:hAnsi="Cambria"/>
          <w:sz w:val="20"/>
          <w:szCs w:val="20"/>
          <w:bdr w:val="none" w:sz="0" w:space="0" w:color="auto"/>
          <w:lang w:val="es-ES_tradnl"/>
        </w:rPr>
        <w:footnoteReference w:id="6"/>
      </w:r>
      <w:r w:rsidR="00D34291" w:rsidRPr="00DC278B">
        <w:rPr>
          <w:rFonts w:ascii="Cambria" w:eastAsia="Times New Roman" w:hAnsi="Cambria"/>
          <w:sz w:val="20"/>
          <w:szCs w:val="20"/>
          <w:bdr w:val="none" w:sz="0" w:space="0" w:color="auto"/>
          <w:lang w:val="es-ES_tradnl"/>
        </w:rPr>
        <w:t>; Elena Alejandrina Vargas</w:t>
      </w:r>
      <w:r w:rsidR="00D44A7F" w:rsidRPr="00DC278B">
        <w:rPr>
          <w:rStyle w:val="Refdenotaalpie"/>
          <w:rFonts w:ascii="Cambria" w:eastAsia="Times New Roman" w:hAnsi="Cambria"/>
          <w:sz w:val="20"/>
          <w:szCs w:val="20"/>
          <w:bdr w:val="none" w:sz="0" w:space="0" w:color="auto"/>
          <w:lang w:val="es-ES_tradnl"/>
        </w:rPr>
        <w:footnoteReference w:id="7"/>
      </w:r>
      <w:r w:rsidR="00D34291" w:rsidRPr="00DC278B">
        <w:rPr>
          <w:rFonts w:ascii="Cambria" w:eastAsia="Times New Roman" w:hAnsi="Cambria"/>
          <w:sz w:val="20"/>
          <w:szCs w:val="20"/>
          <w:bdr w:val="none" w:sz="0" w:space="0" w:color="auto"/>
          <w:lang w:val="es-ES_tradnl"/>
        </w:rPr>
        <w:t>; y Magdalena Mercedes Navarrete y Alberto, Patricio Hernán y Víctor Eduardo Reyes Navarrete</w:t>
      </w:r>
      <w:r w:rsidR="005B3203" w:rsidRPr="00DC278B">
        <w:rPr>
          <w:rStyle w:val="Refdenotaalpie"/>
          <w:rFonts w:ascii="Cambria" w:eastAsia="Times New Roman" w:hAnsi="Cambria"/>
          <w:sz w:val="20"/>
          <w:szCs w:val="20"/>
          <w:bdr w:val="none" w:sz="0" w:space="0" w:color="auto"/>
          <w:lang w:val="es-ES_tradnl"/>
        </w:rPr>
        <w:footnoteReference w:id="8"/>
      </w:r>
      <w:r w:rsidR="00D34291" w:rsidRPr="00DC278B">
        <w:rPr>
          <w:rFonts w:ascii="Cambria" w:eastAsia="Times New Roman" w:hAnsi="Cambria"/>
          <w:sz w:val="20"/>
          <w:szCs w:val="20"/>
          <w:bdr w:val="none" w:sz="0" w:space="0" w:color="auto"/>
          <w:lang w:val="es-ES_tradnl"/>
        </w:rPr>
        <w:t xml:space="preserve">, </w:t>
      </w:r>
      <w:r w:rsidR="005C7488" w:rsidRPr="00DC278B">
        <w:rPr>
          <w:rFonts w:ascii="Cambria" w:eastAsia="Times New Roman" w:hAnsi="Cambria"/>
          <w:sz w:val="20"/>
          <w:szCs w:val="20"/>
          <w:bdr w:val="none" w:sz="0" w:space="0" w:color="auto"/>
          <w:lang w:val="es-ES_tradnl"/>
        </w:rPr>
        <w:t>en razón de</w:t>
      </w:r>
      <w:r w:rsidR="00D34291" w:rsidRPr="00DC278B">
        <w:rPr>
          <w:rFonts w:ascii="Cambria" w:eastAsia="Times New Roman" w:hAnsi="Cambria"/>
          <w:sz w:val="20"/>
          <w:szCs w:val="20"/>
          <w:bdr w:val="none" w:sz="0" w:space="0" w:color="auto"/>
          <w:lang w:val="es-ES_tradnl"/>
        </w:rPr>
        <w:t>l</w:t>
      </w:r>
      <w:r w:rsidR="002F225F" w:rsidRPr="00DC278B">
        <w:rPr>
          <w:rFonts w:ascii="Cambria" w:eastAsia="Times New Roman" w:hAnsi="Cambria"/>
          <w:sz w:val="20"/>
          <w:szCs w:val="20"/>
          <w:bdr w:val="none" w:sz="0" w:space="0" w:color="auto"/>
          <w:lang w:val="es-ES_tradnl"/>
        </w:rPr>
        <w:t xml:space="preserve"> </w:t>
      </w:r>
      <w:r w:rsidR="005C7488" w:rsidRPr="00DC278B">
        <w:rPr>
          <w:rFonts w:ascii="Cambria" w:eastAsia="Times New Roman" w:hAnsi="Cambria"/>
          <w:sz w:val="20"/>
          <w:szCs w:val="20"/>
          <w:bdr w:val="none" w:sz="0" w:space="0" w:color="auto"/>
          <w:lang w:val="es-ES_tradnl"/>
        </w:rPr>
        <w:t>secuestro y asesinato</w:t>
      </w:r>
      <w:r w:rsidR="00D34291" w:rsidRPr="00DC278B">
        <w:rPr>
          <w:rFonts w:ascii="Cambria" w:eastAsia="Times New Roman" w:hAnsi="Cambria"/>
          <w:sz w:val="20"/>
          <w:szCs w:val="20"/>
          <w:bdr w:val="none" w:sz="0" w:space="0" w:color="auto"/>
          <w:lang w:val="es-ES_tradnl"/>
        </w:rPr>
        <w:t xml:space="preserve"> o </w:t>
      </w:r>
      <w:r w:rsidR="005C7488" w:rsidRPr="00DC278B">
        <w:rPr>
          <w:rFonts w:ascii="Cambria" w:eastAsia="Times New Roman" w:hAnsi="Cambria"/>
          <w:sz w:val="20"/>
          <w:szCs w:val="20"/>
          <w:bdr w:val="none" w:sz="0" w:space="0" w:color="auto"/>
          <w:lang w:val="es-ES_tradnl"/>
        </w:rPr>
        <w:t>desaparición</w:t>
      </w:r>
      <w:r w:rsidR="00D34291" w:rsidRPr="00DC278B">
        <w:rPr>
          <w:rFonts w:ascii="Cambria" w:eastAsia="Times New Roman" w:hAnsi="Cambria"/>
          <w:sz w:val="20"/>
          <w:szCs w:val="20"/>
          <w:bdr w:val="none" w:sz="0" w:space="0" w:color="auto"/>
          <w:lang w:val="es-ES_tradnl"/>
        </w:rPr>
        <w:t xml:space="preserve"> de sus familiares</w:t>
      </w:r>
      <w:r w:rsidR="005C7488" w:rsidRPr="00DC278B">
        <w:rPr>
          <w:rFonts w:ascii="Cambria" w:eastAsia="Times New Roman" w:hAnsi="Cambria"/>
          <w:sz w:val="20"/>
          <w:szCs w:val="20"/>
          <w:bdr w:val="none" w:sz="0" w:space="0" w:color="auto"/>
          <w:lang w:val="es-ES_tradnl"/>
        </w:rPr>
        <w:t>;</w:t>
      </w:r>
      <w:r w:rsidR="00E3282D" w:rsidRPr="00DC278B">
        <w:rPr>
          <w:rFonts w:ascii="Cambria" w:eastAsia="Times New Roman" w:hAnsi="Cambria"/>
          <w:sz w:val="20"/>
          <w:szCs w:val="20"/>
          <w:bdr w:val="none" w:sz="0" w:space="0" w:color="auto"/>
          <w:lang w:val="es-ES_tradnl"/>
        </w:rPr>
        <w:t xml:space="preserve"> </w:t>
      </w:r>
      <w:r w:rsidR="0042699F" w:rsidRPr="00DC278B">
        <w:rPr>
          <w:rFonts w:ascii="Cambria" w:eastAsia="Times New Roman" w:hAnsi="Cambria"/>
          <w:sz w:val="20"/>
          <w:szCs w:val="20"/>
          <w:bdr w:val="none" w:sz="0" w:space="0" w:color="auto"/>
          <w:lang w:val="es-ES_tradnl"/>
        </w:rPr>
        <w:t xml:space="preserve">presuntamente </w:t>
      </w:r>
      <w:r w:rsidR="004E1D1E" w:rsidRPr="00DC278B">
        <w:rPr>
          <w:rFonts w:ascii="Cambria" w:eastAsia="Times New Roman" w:hAnsi="Cambria"/>
          <w:sz w:val="20"/>
          <w:szCs w:val="20"/>
          <w:bdr w:val="none" w:sz="0" w:space="0" w:color="auto"/>
          <w:lang w:val="es-ES_tradnl"/>
        </w:rPr>
        <w:t>a manos de</w:t>
      </w:r>
      <w:r w:rsidR="00E3282D" w:rsidRPr="00DC278B">
        <w:rPr>
          <w:rFonts w:ascii="Cambria" w:eastAsia="Times New Roman" w:hAnsi="Cambria"/>
          <w:sz w:val="20"/>
          <w:szCs w:val="20"/>
          <w:bdr w:val="none" w:sz="0" w:space="0" w:color="auto"/>
          <w:lang w:val="es-ES_tradnl"/>
        </w:rPr>
        <w:t xml:space="preserve"> agentes estatales</w:t>
      </w:r>
      <w:r w:rsidR="004E1D1E" w:rsidRPr="00DC278B">
        <w:rPr>
          <w:rFonts w:ascii="Cambria" w:eastAsia="Times New Roman" w:hAnsi="Cambria"/>
          <w:sz w:val="20"/>
          <w:szCs w:val="20"/>
          <w:bdr w:val="none" w:sz="0" w:space="0" w:color="auto"/>
          <w:lang w:val="es-ES_tradnl"/>
        </w:rPr>
        <w:t>,</w:t>
      </w:r>
      <w:r w:rsidR="00E3282D" w:rsidRPr="00DC278B">
        <w:rPr>
          <w:rFonts w:ascii="Cambria" w:eastAsia="Times New Roman" w:hAnsi="Cambria"/>
          <w:sz w:val="20"/>
          <w:szCs w:val="20"/>
          <w:bdr w:val="none" w:sz="0" w:space="0" w:color="auto"/>
          <w:lang w:val="es-ES_tradnl"/>
        </w:rPr>
        <w:t xml:space="preserve"> </w:t>
      </w:r>
      <w:r w:rsidR="004E1D1E" w:rsidRPr="00DC278B">
        <w:rPr>
          <w:rFonts w:ascii="Cambria" w:eastAsia="Times New Roman" w:hAnsi="Cambria"/>
          <w:sz w:val="20"/>
          <w:szCs w:val="20"/>
          <w:bdr w:val="none" w:sz="0" w:space="0" w:color="auto"/>
          <w:lang w:val="es-ES_tradnl"/>
        </w:rPr>
        <w:t xml:space="preserve">en 1973 y 1974, </w:t>
      </w:r>
      <w:r w:rsidR="00E3282D" w:rsidRPr="00DC278B">
        <w:rPr>
          <w:rFonts w:ascii="Cambria" w:eastAsia="Times New Roman" w:hAnsi="Cambria"/>
          <w:sz w:val="20"/>
          <w:szCs w:val="20"/>
          <w:bdr w:val="none" w:sz="0" w:space="0" w:color="auto"/>
          <w:lang w:val="es-ES_tradnl"/>
        </w:rPr>
        <w:t>durante la dictadura militar.</w:t>
      </w:r>
      <w:r w:rsidR="00193B22">
        <w:rPr>
          <w:rFonts w:ascii="Cambria" w:eastAsia="Times New Roman" w:hAnsi="Cambria"/>
          <w:sz w:val="20"/>
          <w:szCs w:val="20"/>
          <w:bdr w:val="none" w:sz="0" w:space="0" w:color="auto"/>
          <w:lang w:val="es-ES_tradnl"/>
        </w:rPr>
        <w:t xml:space="preserve"> </w:t>
      </w:r>
    </w:p>
    <w:p w:rsidR="00612699" w:rsidRPr="00DC278B" w:rsidRDefault="00612699" w:rsidP="00DC278B">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sz w:val="20"/>
          <w:szCs w:val="20"/>
          <w:bdr w:val="none" w:sz="0" w:space="0" w:color="auto"/>
          <w:lang w:val="es-ES_tradnl"/>
        </w:rPr>
      </w:pPr>
    </w:p>
    <w:p w:rsidR="00612699" w:rsidRPr="00DC278B" w:rsidRDefault="00612699"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r w:rsidRPr="00DC278B">
        <w:rPr>
          <w:rFonts w:ascii="Cambria" w:eastAsia="Times New Roman" w:hAnsi="Cambria"/>
          <w:sz w:val="20"/>
          <w:szCs w:val="20"/>
          <w:bdr w:val="none" w:sz="0" w:space="0" w:color="auto"/>
          <w:lang w:val="es-ES_tradnl"/>
        </w:rPr>
        <w:t>El peticionario alega que la aplicación de la prescripción por los tri</w:t>
      </w:r>
      <w:r w:rsidR="00160CA0" w:rsidRPr="00DC278B">
        <w:rPr>
          <w:rFonts w:ascii="Cambria" w:eastAsia="Times New Roman" w:hAnsi="Cambria"/>
          <w:sz w:val="20"/>
          <w:szCs w:val="20"/>
          <w:bdr w:val="none" w:sz="0" w:space="0" w:color="auto"/>
          <w:lang w:val="es-ES_tradnl"/>
        </w:rPr>
        <w:t>bunales judiciales chilenos</w:t>
      </w:r>
      <w:r w:rsidRPr="00DC278B">
        <w:rPr>
          <w:rFonts w:ascii="Cambria" w:eastAsia="Times New Roman" w:hAnsi="Cambria"/>
          <w:sz w:val="20"/>
          <w:szCs w:val="20"/>
          <w:bdr w:val="none" w:sz="0" w:space="0" w:color="auto"/>
          <w:lang w:val="es-ES_tradnl"/>
        </w:rPr>
        <w:t xml:space="preserve"> para</w:t>
      </w:r>
      <w:r w:rsidR="003F7E40" w:rsidRPr="00DC278B">
        <w:rPr>
          <w:rFonts w:ascii="Cambria" w:eastAsia="Times New Roman" w:hAnsi="Cambria"/>
          <w:sz w:val="20"/>
          <w:szCs w:val="20"/>
          <w:bdr w:val="none" w:sz="0" w:space="0" w:color="auto"/>
          <w:lang w:val="es-ES_tradnl"/>
        </w:rPr>
        <w:t xml:space="preserve"> decidir las acciones </w:t>
      </w:r>
      <w:r w:rsidR="000A13C7" w:rsidRPr="00DC278B">
        <w:rPr>
          <w:rFonts w:ascii="Cambria" w:eastAsia="Times New Roman" w:hAnsi="Cambria"/>
          <w:sz w:val="20"/>
          <w:szCs w:val="20"/>
          <w:bdr w:val="none" w:sz="0" w:space="0" w:color="auto"/>
          <w:lang w:val="es-ES_tradnl"/>
        </w:rPr>
        <w:t xml:space="preserve">judiciales </w:t>
      </w:r>
      <w:r w:rsidR="003F7E40" w:rsidRPr="00DC278B">
        <w:rPr>
          <w:rFonts w:ascii="Cambria" w:eastAsia="Times New Roman" w:hAnsi="Cambria"/>
          <w:sz w:val="20"/>
          <w:szCs w:val="20"/>
          <w:bdr w:val="none" w:sz="0" w:space="0" w:color="auto"/>
          <w:lang w:val="es-ES_tradnl"/>
        </w:rPr>
        <w:t>por indemnización de</w:t>
      </w:r>
      <w:r w:rsidRPr="00DC278B">
        <w:rPr>
          <w:rFonts w:ascii="Cambria" w:eastAsia="Times New Roman" w:hAnsi="Cambria"/>
          <w:sz w:val="20"/>
          <w:szCs w:val="20"/>
          <w:bdr w:val="none" w:sz="0" w:space="0" w:color="auto"/>
          <w:lang w:val="es-ES_tradnl"/>
        </w:rPr>
        <w:t xml:space="preserve"> perjuicios adelantadas por</w:t>
      </w:r>
      <w:r w:rsidR="002F225F" w:rsidRPr="00DC278B">
        <w:rPr>
          <w:rFonts w:ascii="Cambria" w:eastAsia="Times New Roman" w:hAnsi="Cambria"/>
          <w:sz w:val="20"/>
          <w:szCs w:val="20"/>
          <w:bdr w:val="none" w:sz="0" w:space="0" w:color="auto"/>
          <w:lang w:val="es-ES_tradnl"/>
        </w:rPr>
        <w:t xml:space="preserve"> las presuntas víctimas</w:t>
      </w:r>
      <w:r w:rsidRPr="00DC278B">
        <w:rPr>
          <w:rFonts w:ascii="Cambria" w:eastAsia="Times New Roman" w:hAnsi="Cambria"/>
          <w:sz w:val="20"/>
          <w:szCs w:val="20"/>
          <w:bdr w:val="none" w:sz="0" w:space="0" w:color="auto"/>
          <w:lang w:val="es-ES_tradnl"/>
        </w:rPr>
        <w:t xml:space="preserve">, vulneraría las obligaciones del Estado bajo la Convención Americana, en vista de que dichas </w:t>
      </w:r>
      <w:r w:rsidR="00193B22">
        <w:rPr>
          <w:rFonts w:ascii="Cambria" w:eastAsia="Times New Roman" w:hAnsi="Cambria"/>
          <w:sz w:val="20"/>
          <w:szCs w:val="20"/>
          <w:bdr w:val="none" w:sz="0" w:space="0" w:color="auto"/>
          <w:lang w:val="es-ES_tradnl"/>
        </w:rPr>
        <w:t xml:space="preserve">acciones son imprescriptibles. </w:t>
      </w:r>
      <w:r w:rsidRPr="00DC278B">
        <w:rPr>
          <w:rFonts w:ascii="Cambria" w:eastAsia="Times New Roman" w:hAnsi="Cambria"/>
          <w:sz w:val="20"/>
          <w:szCs w:val="20"/>
          <w:bdr w:val="none" w:sz="0" w:space="0" w:color="auto"/>
          <w:lang w:val="es-ES_tradnl"/>
        </w:rPr>
        <w:t xml:space="preserve">Afirma que </w:t>
      </w:r>
      <w:r w:rsidR="0003606B" w:rsidRPr="00DC278B">
        <w:rPr>
          <w:rFonts w:ascii="Cambria" w:eastAsia="Times New Roman" w:hAnsi="Cambria"/>
          <w:sz w:val="20"/>
          <w:szCs w:val="20"/>
          <w:bdr w:val="none" w:sz="0" w:space="0" w:color="auto"/>
          <w:lang w:val="es-ES_tradnl"/>
        </w:rPr>
        <w:t xml:space="preserve">la reparación integral de una grave violación de derechos humanos es un derecho, mientras que </w:t>
      </w:r>
      <w:r w:rsidRPr="00DC278B">
        <w:rPr>
          <w:rFonts w:ascii="Cambria" w:eastAsia="Times New Roman" w:hAnsi="Cambria"/>
          <w:sz w:val="20"/>
          <w:szCs w:val="20"/>
          <w:bdr w:val="none" w:sz="0" w:space="0" w:color="auto"/>
          <w:lang w:val="es-ES_tradnl"/>
        </w:rPr>
        <w:t>la compensación económica recibida por algunos familiares por el programa</w:t>
      </w:r>
      <w:r w:rsidR="005C2271" w:rsidRPr="00DC278B">
        <w:rPr>
          <w:rFonts w:ascii="Cambria" w:eastAsia="Times New Roman" w:hAnsi="Cambria"/>
          <w:sz w:val="20"/>
          <w:szCs w:val="20"/>
          <w:bdr w:val="none" w:sz="0" w:space="0" w:color="auto"/>
          <w:lang w:val="es-ES_tradnl"/>
        </w:rPr>
        <w:t xml:space="preserve"> administrativo</w:t>
      </w:r>
      <w:r w:rsidRPr="00DC278B">
        <w:rPr>
          <w:rFonts w:ascii="Cambria" w:eastAsia="Times New Roman" w:hAnsi="Cambria"/>
          <w:sz w:val="20"/>
          <w:szCs w:val="20"/>
          <w:bdr w:val="none" w:sz="0" w:space="0" w:color="auto"/>
          <w:lang w:val="es-ES_tradnl"/>
        </w:rPr>
        <w:t xml:space="preserve"> de reparaciones creado por el Estado s</w:t>
      </w:r>
      <w:r w:rsidR="000A13C7" w:rsidRPr="00DC278B">
        <w:rPr>
          <w:rFonts w:ascii="Cambria" w:eastAsia="Times New Roman" w:hAnsi="Cambria"/>
          <w:sz w:val="20"/>
          <w:szCs w:val="20"/>
          <w:bdr w:val="none" w:sz="0" w:space="0" w:color="auto"/>
          <w:lang w:val="es-ES_tradnl"/>
        </w:rPr>
        <w:t xml:space="preserve">on </w:t>
      </w:r>
      <w:r w:rsidR="00F257B1" w:rsidRPr="00DC278B">
        <w:rPr>
          <w:rFonts w:ascii="Cambria" w:eastAsia="Times New Roman" w:hAnsi="Cambria"/>
          <w:sz w:val="20"/>
          <w:szCs w:val="20"/>
          <w:bdr w:val="none" w:sz="0" w:space="0" w:color="auto"/>
          <w:lang w:val="es-ES_tradnl"/>
        </w:rPr>
        <w:t>asistenciales</w:t>
      </w:r>
      <w:r w:rsidR="000A13C7" w:rsidRPr="00DC278B">
        <w:rPr>
          <w:rFonts w:ascii="Cambria" w:eastAsia="Times New Roman" w:hAnsi="Cambria"/>
          <w:sz w:val="20"/>
          <w:szCs w:val="20"/>
          <w:bdr w:val="none" w:sz="0" w:space="0" w:color="auto"/>
          <w:lang w:val="es-ES_tradnl"/>
        </w:rPr>
        <w:t xml:space="preserve"> y no responden</w:t>
      </w:r>
      <w:r w:rsidR="00D84275" w:rsidRPr="00DC278B">
        <w:rPr>
          <w:rFonts w:ascii="Cambria" w:eastAsia="Times New Roman" w:hAnsi="Cambria"/>
          <w:sz w:val="20"/>
          <w:szCs w:val="20"/>
          <w:bdr w:val="none" w:sz="0" w:space="0" w:color="auto"/>
          <w:lang w:val="es-ES_tradnl"/>
        </w:rPr>
        <w:t xml:space="preserve"> de manera integral</w:t>
      </w:r>
      <w:r w:rsidR="000A13C7" w:rsidRPr="00DC278B">
        <w:rPr>
          <w:rFonts w:ascii="Cambria" w:eastAsia="Times New Roman" w:hAnsi="Cambria"/>
          <w:sz w:val="20"/>
          <w:szCs w:val="20"/>
          <w:bdr w:val="none" w:sz="0" w:space="0" w:color="auto"/>
          <w:lang w:val="es-ES_tradnl"/>
        </w:rPr>
        <w:t xml:space="preserve"> al daño individual causado como consecuencia de las violaciones de derechos humanos cometidas. Agrega que bajo la Convención Americana los familiares tienen derecho a que dicho daño sea determinado judicialmente, especialmente tomando en cuenta que los beneficios otorgados no responden a los </w:t>
      </w:r>
      <w:r w:rsidRPr="00DC278B">
        <w:rPr>
          <w:rFonts w:ascii="Cambria" w:eastAsia="Times New Roman" w:hAnsi="Cambria"/>
          <w:sz w:val="20"/>
          <w:szCs w:val="20"/>
          <w:bdr w:val="none" w:sz="0" w:space="0" w:color="auto"/>
          <w:lang w:val="es-ES_tradnl"/>
        </w:rPr>
        <w:t>estándares inter</w:t>
      </w:r>
      <w:r w:rsidR="000A13C7" w:rsidRPr="00DC278B">
        <w:rPr>
          <w:rFonts w:ascii="Cambria" w:eastAsia="Times New Roman" w:hAnsi="Cambria"/>
          <w:sz w:val="20"/>
          <w:szCs w:val="20"/>
          <w:bdr w:val="none" w:sz="0" w:space="0" w:color="auto"/>
          <w:lang w:val="es-ES_tradnl"/>
        </w:rPr>
        <w:t xml:space="preserve">americanos de </w:t>
      </w:r>
      <w:r w:rsidR="00BB11A2" w:rsidRPr="00DC278B">
        <w:rPr>
          <w:rFonts w:ascii="Cambria" w:eastAsia="Times New Roman" w:hAnsi="Cambria"/>
          <w:sz w:val="20"/>
          <w:szCs w:val="20"/>
          <w:bdr w:val="none" w:sz="0" w:space="0" w:color="auto"/>
          <w:lang w:val="es-ES_tradnl"/>
        </w:rPr>
        <w:t xml:space="preserve">reparación en casos análogos. </w:t>
      </w:r>
    </w:p>
    <w:p w:rsidR="008A75D0" w:rsidRPr="00DC278B" w:rsidRDefault="008A75D0" w:rsidP="00DC278B">
      <w:pPr>
        <w:pStyle w:val="MediumGrid1-Accent21"/>
        <w:rPr>
          <w:rFonts w:eastAsia="Times New Roman"/>
          <w:color w:val="auto"/>
          <w:sz w:val="20"/>
          <w:szCs w:val="20"/>
          <w:bdr w:val="none" w:sz="0" w:space="0" w:color="auto"/>
          <w:lang w:val="es-ES_tradnl"/>
        </w:rPr>
      </w:pPr>
    </w:p>
    <w:p w:rsidR="008A75D0" w:rsidRPr="00DC278B" w:rsidRDefault="008A75D0" w:rsidP="00DC278B">
      <w:pPr>
        <w:pStyle w:val="MediumGrid1-Accent21"/>
        <w:numPr>
          <w:ilvl w:val="0"/>
          <w:numId w:val="54"/>
        </w:numPr>
        <w:jc w:val="both"/>
        <w:rPr>
          <w:rFonts w:eastAsia="Times New Roman" w:cs="Times New Roman"/>
          <w:color w:val="auto"/>
          <w:sz w:val="20"/>
          <w:szCs w:val="20"/>
          <w:bdr w:val="none" w:sz="0" w:space="0" w:color="auto"/>
          <w:lang w:val="es-ES_tradnl" w:eastAsia="en-US"/>
        </w:rPr>
      </w:pPr>
      <w:r w:rsidRPr="00DC278B">
        <w:rPr>
          <w:rFonts w:eastAsia="Times New Roman" w:cs="Times New Roman"/>
          <w:color w:val="auto"/>
          <w:sz w:val="20"/>
          <w:szCs w:val="20"/>
          <w:bdr w:val="none" w:sz="0" w:space="0" w:color="auto"/>
          <w:lang w:val="es-ES_tradnl" w:eastAsia="en-US"/>
        </w:rPr>
        <w:t xml:space="preserve">Por su parte, el Estado argumenta que ha </w:t>
      </w:r>
      <w:r w:rsidR="00264C08" w:rsidRPr="00DC278B">
        <w:rPr>
          <w:rFonts w:eastAsia="Times New Roman" w:cs="Times New Roman"/>
          <w:color w:val="auto"/>
          <w:sz w:val="20"/>
          <w:szCs w:val="20"/>
          <w:bdr w:val="none" w:sz="0" w:space="0" w:color="auto"/>
          <w:lang w:val="es-ES_tradnl" w:eastAsia="en-US"/>
        </w:rPr>
        <w:t xml:space="preserve">desplegado esfuerzos destinados a </w:t>
      </w:r>
      <w:r w:rsidRPr="00DC278B">
        <w:rPr>
          <w:rFonts w:eastAsia="Times New Roman" w:cs="Times New Roman"/>
          <w:color w:val="auto"/>
          <w:sz w:val="20"/>
          <w:szCs w:val="20"/>
          <w:bdr w:val="none" w:sz="0" w:space="0" w:color="auto"/>
          <w:lang w:val="es-ES_tradnl" w:eastAsia="en-US"/>
        </w:rPr>
        <w:t xml:space="preserve">reparar </w:t>
      </w:r>
      <w:r w:rsidR="00264C08" w:rsidRPr="00DC278B">
        <w:rPr>
          <w:rFonts w:eastAsia="Times New Roman" w:cs="Times New Roman"/>
          <w:color w:val="auto"/>
          <w:sz w:val="20"/>
          <w:szCs w:val="20"/>
          <w:bdr w:val="none" w:sz="0" w:space="0" w:color="auto"/>
          <w:lang w:val="es-ES_tradnl" w:eastAsia="en-US"/>
        </w:rPr>
        <w:t xml:space="preserve">a </w:t>
      </w:r>
      <w:r w:rsidRPr="00DC278B">
        <w:rPr>
          <w:rFonts w:eastAsia="Times New Roman" w:cs="Times New Roman"/>
          <w:color w:val="auto"/>
          <w:sz w:val="20"/>
          <w:szCs w:val="20"/>
          <w:bdr w:val="none" w:sz="0" w:space="0" w:color="auto"/>
          <w:lang w:val="es-ES_tradnl" w:eastAsia="en-US"/>
        </w:rPr>
        <w:t xml:space="preserve">las víctimas </w:t>
      </w:r>
      <w:r w:rsidR="00264C08" w:rsidRPr="00DC278B">
        <w:rPr>
          <w:rFonts w:eastAsia="Times New Roman" w:cs="Times New Roman"/>
          <w:color w:val="auto"/>
          <w:sz w:val="20"/>
          <w:szCs w:val="20"/>
          <w:bdr w:val="none" w:sz="0" w:space="0" w:color="auto"/>
          <w:lang w:val="es-ES_tradnl" w:eastAsia="en-US"/>
        </w:rPr>
        <w:t xml:space="preserve">de la violencia política durante la </w:t>
      </w:r>
      <w:r w:rsidR="007F0264" w:rsidRPr="00DC278B">
        <w:rPr>
          <w:rFonts w:eastAsia="Times New Roman" w:cs="Times New Roman"/>
          <w:color w:val="auto"/>
          <w:sz w:val="20"/>
          <w:szCs w:val="20"/>
          <w:bdr w:val="none" w:sz="0" w:space="0" w:color="auto"/>
          <w:lang w:val="es-ES_tradnl" w:eastAsia="en-US"/>
        </w:rPr>
        <w:t>dictadura, enfocados en reparacio</w:t>
      </w:r>
      <w:r w:rsidRPr="00DC278B">
        <w:rPr>
          <w:rFonts w:eastAsia="Times New Roman" w:cs="Times New Roman"/>
          <w:color w:val="auto"/>
          <w:sz w:val="20"/>
          <w:szCs w:val="20"/>
          <w:bdr w:val="none" w:sz="0" w:space="0" w:color="auto"/>
          <w:lang w:val="es-ES_tradnl" w:eastAsia="en-US"/>
        </w:rPr>
        <w:t>n</w:t>
      </w:r>
      <w:r w:rsidR="007F0264" w:rsidRPr="00DC278B">
        <w:rPr>
          <w:rFonts w:eastAsia="Times New Roman" w:cs="Times New Roman"/>
          <w:color w:val="auto"/>
          <w:sz w:val="20"/>
          <w:szCs w:val="20"/>
          <w:bdr w:val="none" w:sz="0" w:space="0" w:color="auto"/>
          <w:lang w:val="es-ES_tradnl" w:eastAsia="en-US"/>
        </w:rPr>
        <w:t>es</w:t>
      </w:r>
      <w:r w:rsidRPr="00DC278B">
        <w:rPr>
          <w:rFonts w:eastAsia="Times New Roman" w:cs="Times New Roman"/>
          <w:color w:val="auto"/>
          <w:sz w:val="20"/>
          <w:szCs w:val="20"/>
          <w:bdr w:val="none" w:sz="0" w:space="0" w:color="auto"/>
          <w:lang w:val="es-ES_tradnl" w:eastAsia="en-US"/>
        </w:rPr>
        <w:t xml:space="preserve"> </w:t>
      </w:r>
      <w:r w:rsidR="007F0264" w:rsidRPr="00DC278B">
        <w:rPr>
          <w:rFonts w:eastAsia="Times New Roman" w:cs="Times New Roman"/>
          <w:color w:val="auto"/>
          <w:sz w:val="20"/>
          <w:szCs w:val="20"/>
          <w:bdr w:val="none" w:sz="0" w:space="0" w:color="auto"/>
          <w:lang w:val="es-ES_tradnl" w:eastAsia="en-US"/>
        </w:rPr>
        <w:t>individuales, colectivas, materiales e inmateriales, así como ayuda social y memoria</w:t>
      </w:r>
      <w:r w:rsidR="00AF46CA" w:rsidRPr="00DC278B">
        <w:rPr>
          <w:rFonts w:eastAsia="Times New Roman" w:cs="Times New Roman"/>
          <w:color w:val="auto"/>
          <w:sz w:val="20"/>
          <w:szCs w:val="20"/>
          <w:bdr w:val="none" w:sz="0" w:space="0" w:color="auto"/>
          <w:lang w:val="es-ES_tradnl" w:eastAsia="en-US"/>
        </w:rPr>
        <w:t xml:space="preserve">. Detalla </w:t>
      </w:r>
      <w:r w:rsidR="00975F13" w:rsidRPr="00DC278B">
        <w:rPr>
          <w:rFonts w:eastAsia="Times New Roman" w:cs="Times New Roman"/>
          <w:color w:val="auto"/>
          <w:sz w:val="20"/>
          <w:szCs w:val="20"/>
          <w:bdr w:val="none" w:sz="0" w:space="0" w:color="auto"/>
          <w:lang w:val="es-ES_tradnl" w:eastAsia="en-US"/>
        </w:rPr>
        <w:t xml:space="preserve">las leyes y programas correspondientes. </w:t>
      </w:r>
      <w:r w:rsidRPr="00DC278B">
        <w:rPr>
          <w:rFonts w:eastAsia="Times New Roman" w:cs="Times New Roman"/>
          <w:color w:val="auto"/>
          <w:sz w:val="20"/>
          <w:szCs w:val="20"/>
          <w:bdr w:val="none" w:sz="0" w:space="0" w:color="auto"/>
          <w:lang w:val="es-ES_tradnl" w:eastAsia="en-US"/>
        </w:rPr>
        <w:t xml:space="preserve"> </w:t>
      </w:r>
      <w:r w:rsidR="001B58DF" w:rsidRPr="00DC278B">
        <w:rPr>
          <w:rFonts w:eastAsia="Times New Roman" w:cs="Times New Roman"/>
          <w:color w:val="auto"/>
          <w:sz w:val="20"/>
          <w:szCs w:val="20"/>
          <w:bdr w:val="none" w:sz="0" w:space="0" w:color="auto"/>
          <w:lang w:val="es-ES_tradnl" w:eastAsia="en-US"/>
        </w:rPr>
        <w:t xml:space="preserve">Alega que la Corte Interamericana </w:t>
      </w:r>
      <w:r w:rsidR="003661B2" w:rsidRPr="00DC278B">
        <w:rPr>
          <w:rFonts w:eastAsia="Times New Roman" w:cs="Times New Roman"/>
          <w:color w:val="auto"/>
          <w:sz w:val="20"/>
          <w:szCs w:val="20"/>
          <w:bdr w:val="none" w:sz="0" w:space="0" w:color="auto"/>
          <w:lang w:val="es-ES_tradnl" w:eastAsia="en-US"/>
        </w:rPr>
        <w:t xml:space="preserve">de Derechos Humanos </w:t>
      </w:r>
      <w:r w:rsidR="001B58DF" w:rsidRPr="00DC278B">
        <w:rPr>
          <w:rFonts w:eastAsia="Times New Roman" w:cs="Times New Roman"/>
          <w:color w:val="auto"/>
          <w:sz w:val="20"/>
          <w:szCs w:val="20"/>
          <w:bdr w:val="none" w:sz="0" w:space="0" w:color="auto"/>
          <w:lang w:val="es-ES_tradnl" w:eastAsia="en-US"/>
        </w:rPr>
        <w:t>valoró la política chilena de reparaciones y consider</w:t>
      </w:r>
      <w:r w:rsidR="003661B2" w:rsidRPr="00DC278B">
        <w:rPr>
          <w:rFonts w:eastAsia="Times New Roman" w:cs="Times New Roman"/>
          <w:color w:val="auto"/>
          <w:sz w:val="20"/>
          <w:szCs w:val="20"/>
          <w:bdr w:val="none" w:sz="0" w:space="0" w:color="auto"/>
          <w:lang w:val="es-ES_tradnl" w:eastAsia="en-US"/>
        </w:rPr>
        <w:t>ó que é</w:t>
      </w:r>
      <w:r w:rsidR="001B58DF" w:rsidRPr="00DC278B">
        <w:rPr>
          <w:rFonts w:eastAsia="Times New Roman" w:cs="Times New Roman"/>
          <w:color w:val="auto"/>
          <w:sz w:val="20"/>
          <w:szCs w:val="20"/>
          <w:bdr w:val="none" w:sz="0" w:space="0" w:color="auto"/>
          <w:lang w:val="es-ES_tradnl" w:eastAsia="en-US"/>
        </w:rPr>
        <w:t xml:space="preserve">stas eran suficientes. </w:t>
      </w:r>
      <w:r w:rsidR="00250332">
        <w:rPr>
          <w:rFonts w:eastAsia="Times New Roman" w:cs="Times New Roman"/>
          <w:color w:val="auto"/>
          <w:sz w:val="20"/>
          <w:szCs w:val="20"/>
          <w:bdr w:val="none" w:sz="0" w:space="0" w:color="auto"/>
          <w:lang w:val="es-ES_tradnl" w:eastAsia="en-US"/>
        </w:rPr>
        <w:t>Ind</w:t>
      </w:r>
      <w:r w:rsidR="00975F13" w:rsidRPr="00DC278B">
        <w:rPr>
          <w:rFonts w:eastAsia="Times New Roman" w:cs="Times New Roman"/>
          <w:color w:val="auto"/>
          <w:sz w:val="20"/>
          <w:szCs w:val="20"/>
          <w:bdr w:val="none" w:sz="0" w:space="0" w:color="auto"/>
          <w:lang w:val="es-ES_tradnl" w:eastAsia="en-US"/>
        </w:rPr>
        <w:t xml:space="preserve">ica que </w:t>
      </w:r>
      <w:r w:rsidRPr="00DC278B">
        <w:rPr>
          <w:rFonts w:eastAsia="Times New Roman" w:cs="Times New Roman"/>
          <w:color w:val="auto"/>
          <w:sz w:val="20"/>
          <w:szCs w:val="20"/>
          <w:bdr w:val="none" w:sz="0" w:space="0" w:color="auto"/>
          <w:lang w:val="es-ES_tradnl" w:eastAsia="en-US"/>
        </w:rPr>
        <w:t xml:space="preserve">en estos casos los familiares </w:t>
      </w:r>
      <w:r w:rsidR="00975F13" w:rsidRPr="00DC278B">
        <w:rPr>
          <w:rFonts w:eastAsia="Times New Roman" w:cs="Times New Roman"/>
          <w:color w:val="auto"/>
          <w:sz w:val="20"/>
          <w:szCs w:val="20"/>
          <w:bdr w:val="none" w:sz="0" w:space="0" w:color="auto"/>
          <w:lang w:val="es-ES_tradnl" w:eastAsia="en-US"/>
        </w:rPr>
        <w:t>han recibido dichas reparaciones</w:t>
      </w:r>
      <w:r w:rsidR="003661B2" w:rsidRPr="00DC278B">
        <w:rPr>
          <w:rFonts w:eastAsia="Times New Roman" w:cs="Times New Roman"/>
          <w:color w:val="auto"/>
          <w:sz w:val="20"/>
          <w:szCs w:val="20"/>
          <w:bdr w:val="none" w:sz="0" w:space="0" w:color="auto"/>
          <w:lang w:val="es-ES_tradnl" w:eastAsia="en-US"/>
        </w:rPr>
        <w:t>.</w:t>
      </w:r>
      <w:r w:rsidR="00250332">
        <w:rPr>
          <w:rFonts w:eastAsia="Times New Roman" w:cs="Times New Roman"/>
          <w:color w:val="auto"/>
          <w:sz w:val="20"/>
          <w:szCs w:val="20"/>
          <w:bdr w:val="none" w:sz="0" w:space="0" w:color="auto"/>
          <w:lang w:val="es-ES_tradnl" w:eastAsia="en-US"/>
        </w:rPr>
        <w:t xml:space="preserve"> </w:t>
      </w:r>
    </w:p>
    <w:p w:rsidR="00612699" w:rsidRPr="00DC278B" w:rsidRDefault="00612699" w:rsidP="00DC278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p>
    <w:p w:rsidR="004B316C" w:rsidRPr="00DC278B" w:rsidRDefault="00B06C1C"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r w:rsidRPr="00DC278B">
        <w:rPr>
          <w:rFonts w:ascii="Cambria" w:eastAsia="Times New Roman" w:hAnsi="Cambria"/>
          <w:sz w:val="20"/>
          <w:szCs w:val="20"/>
          <w:bdr w:val="none" w:sz="0" w:space="0" w:color="auto"/>
          <w:lang w:val="es-ES_tradnl"/>
        </w:rPr>
        <w:t>Tras examinar las pruebas y los argumentos de las partes, la Comisión concluye en el presente informe que el Estado de Chile es responsable por las violaciones de los derechos</w:t>
      </w:r>
      <w:r w:rsidR="001E040F" w:rsidRPr="00DC278B">
        <w:rPr>
          <w:rFonts w:ascii="Cambria" w:eastAsia="Times New Roman" w:hAnsi="Cambria"/>
          <w:sz w:val="20"/>
          <w:szCs w:val="20"/>
          <w:bdr w:val="none" w:sz="0" w:space="0" w:color="auto"/>
          <w:lang w:val="es-ES_tradnl"/>
        </w:rPr>
        <w:t xml:space="preserve"> a las garantías judiciales y protección judicial establecidos en los artículos 8.1 y 25.1 de la Convención Americana sobre </w:t>
      </w:r>
      <w:r w:rsidR="001E040F" w:rsidRPr="00DC278B">
        <w:rPr>
          <w:rFonts w:ascii="Cambria" w:eastAsia="Times New Roman" w:hAnsi="Cambria"/>
          <w:sz w:val="20"/>
          <w:szCs w:val="20"/>
          <w:bdr w:val="none" w:sz="0" w:space="0" w:color="auto"/>
          <w:lang w:val="es-ES_tradnl"/>
        </w:rPr>
        <w:lastRenderedPageBreak/>
        <w:t>Derechos Humanos (en adelante “la Convención” o “la Convención Americana”) en relación con las obligaciones establecidas en los a</w:t>
      </w:r>
      <w:r w:rsidR="00273D36" w:rsidRPr="00DC278B">
        <w:rPr>
          <w:rFonts w:ascii="Cambria" w:eastAsia="Times New Roman" w:hAnsi="Cambria"/>
          <w:sz w:val="20"/>
          <w:szCs w:val="20"/>
          <w:bdr w:val="none" w:sz="0" w:space="0" w:color="auto"/>
          <w:lang w:val="es-ES_tradnl"/>
        </w:rPr>
        <w:t>rtículos 1.1 y 2 del mismo instrumento.</w:t>
      </w:r>
      <w:r w:rsidR="00250332">
        <w:rPr>
          <w:rFonts w:ascii="Cambria" w:eastAsia="Times New Roman" w:hAnsi="Cambria"/>
          <w:sz w:val="20"/>
          <w:szCs w:val="20"/>
          <w:bdr w:val="none" w:sz="0" w:space="0" w:color="auto"/>
          <w:lang w:val="es-ES_tradnl"/>
        </w:rPr>
        <w:t xml:space="preserve"> </w:t>
      </w:r>
      <w:r w:rsidRPr="00DC278B">
        <w:rPr>
          <w:rFonts w:ascii="Cambria" w:eastAsia="Times New Roman" w:hAnsi="Cambria"/>
          <w:sz w:val="20"/>
          <w:szCs w:val="20"/>
          <w:bdr w:val="none" w:sz="0" w:space="0" w:color="auto"/>
          <w:lang w:val="es-ES_tradnl"/>
        </w:rPr>
        <w:t xml:space="preserve">En consecuencia, la Comisión Interamericana </w:t>
      </w:r>
      <w:r w:rsidR="006B21B2" w:rsidRPr="00DC278B">
        <w:rPr>
          <w:rFonts w:ascii="Cambria" w:eastAsia="Times New Roman" w:hAnsi="Cambria"/>
          <w:sz w:val="20"/>
          <w:szCs w:val="20"/>
          <w:bdr w:val="none" w:sz="0" w:space="0" w:color="auto"/>
          <w:lang w:val="es-ES_tradnl"/>
        </w:rPr>
        <w:t xml:space="preserve">formuló las respectivas </w:t>
      </w:r>
      <w:r w:rsidRPr="00DC278B">
        <w:rPr>
          <w:rFonts w:ascii="Cambria" w:eastAsia="Times New Roman" w:hAnsi="Cambria"/>
          <w:sz w:val="20"/>
          <w:szCs w:val="20"/>
          <w:bdr w:val="none" w:sz="0" w:space="0" w:color="auto"/>
          <w:lang w:val="es-ES_tradnl"/>
        </w:rPr>
        <w:t>recomendaciones al Estado de Chile</w:t>
      </w:r>
      <w:r w:rsidR="008C6598" w:rsidRPr="00DC278B">
        <w:rPr>
          <w:rFonts w:ascii="Cambria" w:eastAsia="Times New Roman" w:hAnsi="Cambria"/>
          <w:sz w:val="20"/>
          <w:szCs w:val="20"/>
          <w:bdr w:val="none" w:sz="0" w:space="0" w:color="auto"/>
          <w:lang w:val="es-ES_tradnl"/>
        </w:rPr>
        <w:t>.</w:t>
      </w:r>
      <w:r w:rsidRPr="00DC278B">
        <w:rPr>
          <w:rFonts w:ascii="Cambria" w:eastAsia="Times New Roman" w:hAnsi="Cambria"/>
          <w:sz w:val="20"/>
          <w:szCs w:val="20"/>
          <w:bdr w:val="none" w:sz="0" w:space="0" w:color="auto"/>
          <w:lang w:val="es-ES_tradnl"/>
        </w:rPr>
        <w:t xml:space="preserve"> </w:t>
      </w:r>
    </w:p>
    <w:p w:rsidR="004B316C" w:rsidRPr="00DC278B" w:rsidRDefault="004B316C" w:rsidP="00DC278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p>
    <w:p w:rsidR="004B316C" w:rsidRPr="00DC278B" w:rsidRDefault="004B316C" w:rsidP="00DC278B">
      <w:pPr>
        <w:pStyle w:val="Ttulo1"/>
      </w:pPr>
      <w:bookmarkStart w:id="2" w:name="_Toc338425798"/>
      <w:bookmarkStart w:id="3" w:name="_Toc413397461"/>
      <w:r w:rsidRPr="00DC278B">
        <w:t>TRÁMITE ANTE LA COMISIÓN POSTERIOR A</w:t>
      </w:r>
      <w:r w:rsidR="00DE2DCE" w:rsidRPr="00DC278B">
        <w:t xml:space="preserve"> </w:t>
      </w:r>
      <w:r w:rsidRPr="00DC278B">
        <w:t>L</w:t>
      </w:r>
      <w:r w:rsidR="00DE2DCE" w:rsidRPr="00DC278B">
        <w:t>OS</w:t>
      </w:r>
      <w:r w:rsidRPr="00DC278B">
        <w:t xml:space="preserve"> INFORME</w:t>
      </w:r>
      <w:r w:rsidR="00DE2DCE" w:rsidRPr="00DC278B">
        <w:t>S</w:t>
      </w:r>
      <w:r w:rsidRPr="00DC278B">
        <w:t xml:space="preserve"> DE ADMISIBILIDAD</w:t>
      </w:r>
      <w:bookmarkEnd w:id="2"/>
      <w:bookmarkEnd w:id="3"/>
    </w:p>
    <w:p w:rsidR="004B316C" w:rsidRPr="00DC278B" w:rsidRDefault="004B316C" w:rsidP="00DC278B">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Times New Roman" w:hAnsi="Cambria"/>
          <w:sz w:val="20"/>
          <w:szCs w:val="20"/>
          <w:bdr w:val="none" w:sz="0" w:space="0" w:color="auto"/>
          <w:lang w:val="es-ES_tradnl"/>
        </w:rPr>
      </w:pPr>
    </w:p>
    <w:p w:rsidR="00B06C1C" w:rsidRPr="00DC278B" w:rsidRDefault="001E040F"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r w:rsidRPr="00DC278B">
        <w:rPr>
          <w:rFonts w:ascii="Cambria" w:eastAsia="Times New Roman" w:hAnsi="Cambria"/>
          <w:sz w:val="20"/>
          <w:szCs w:val="20"/>
          <w:bdr w:val="none" w:sz="0" w:space="0" w:color="auto"/>
          <w:lang w:val="es-ES_tradnl"/>
        </w:rPr>
        <w:t>El 14 de julio, 3 de septiembre y 24 de octubre de 2003 así como el 22 de enero de 2004</w:t>
      </w:r>
      <w:r w:rsidR="003E4145" w:rsidRPr="00DC278B">
        <w:rPr>
          <w:rFonts w:ascii="Cambria" w:eastAsia="Times New Roman" w:hAnsi="Cambria"/>
          <w:sz w:val="20"/>
          <w:szCs w:val="20"/>
          <w:bdr w:val="none" w:sz="0" w:space="0" w:color="auto"/>
          <w:lang w:val="es-ES_tradnl"/>
        </w:rPr>
        <w:t xml:space="preserve"> se recibieron las peticiones iniciales. </w:t>
      </w:r>
      <w:r w:rsidRPr="00DC278B">
        <w:rPr>
          <w:rFonts w:ascii="Cambria" w:eastAsia="Times New Roman" w:hAnsi="Cambria"/>
          <w:sz w:val="20"/>
          <w:szCs w:val="20"/>
          <w:bdr w:val="none" w:sz="0" w:space="0" w:color="auto"/>
          <w:lang w:val="es-ES_tradnl"/>
        </w:rPr>
        <w:t>El 12 de octubre de 2005</w:t>
      </w:r>
      <w:r w:rsidR="003E4145" w:rsidRPr="00DC278B">
        <w:rPr>
          <w:rFonts w:ascii="Cambria" w:eastAsia="Times New Roman" w:hAnsi="Cambria"/>
          <w:sz w:val="20"/>
          <w:szCs w:val="20"/>
          <w:bdr w:val="none" w:sz="0" w:space="0" w:color="auto"/>
          <w:lang w:val="es-ES_tradnl"/>
        </w:rPr>
        <w:t xml:space="preserve"> la Comisión emitió sus </w:t>
      </w:r>
      <w:r w:rsidRPr="00DC278B">
        <w:rPr>
          <w:rFonts w:ascii="Cambria" w:eastAsia="Times New Roman" w:hAnsi="Cambria"/>
          <w:sz w:val="20"/>
          <w:szCs w:val="20"/>
          <w:bdr w:val="none" w:sz="0" w:space="0" w:color="auto"/>
          <w:lang w:val="es-ES_tradnl"/>
        </w:rPr>
        <w:t>informes sobre admisibilidad No. 60/05</w:t>
      </w:r>
      <w:r w:rsidRPr="00DC278B">
        <w:rPr>
          <w:rFonts w:ascii="Cambria" w:eastAsia="Times New Roman" w:hAnsi="Cambria"/>
          <w:sz w:val="20"/>
          <w:szCs w:val="20"/>
          <w:bdr w:val="none" w:sz="0" w:space="0" w:color="auto"/>
          <w:vertAlign w:val="superscript"/>
          <w:lang w:val="es-ES"/>
        </w:rPr>
        <w:footnoteReference w:id="9"/>
      </w:r>
      <w:r w:rsidRPr="00DC278B">
        <w:rPr>
          <w:rFonts w:ascii="Cambria" w:eastAsia="Times New Roman" w:hAnsi="Cambria"/>
          <w:sz w:val="20"/>
          <w:szCs w:val="20"/>
          <w:bdr w:val="none" w:sz="0" w:space="0" w:color="auto"/>
          <w:lang w:val="es-ES_tradnl"/>
        </w:rPr>
        <w:t>, 61/05</w:t>
      </w:r>
      <w:r w:rsidRPr="00DC278B">
        <w:rPr>
          <w:rFonts w:ascii="Cambria" w:eastAsia="Times New Roman" w:hAnsi="Cambria"/>
          <w:sz w:val="20"/>
          <w:szCs w:val="20"/>
          <w:bdr w:val="none" w:sz="0" w:space="0" w:color="auto"/>
          <w:vertAlign w:val="superscript"/>
          <w:lang w:val="es-ES"/>
        </w:rPr>
        <w:footnoteReference w:id="10"/>
      </w:r>
      <w:r w:rsidRPr="00DC278B">
        <w:rPr>
          <w:rFonts w:ascii="Cambria" w:eastAsia="Times New Roman" w:hAnsi="Cambria"/>
          <w:sz w:val="20"/>
          <w:szCs w:val="20"/>
          <w:bdr w:val="none" w:sz="0" w:space="0" w:color="auto"/>
          <w:lang w:val="es-ES_tradnl"/>
        </w:rPr>
        <w:t>, 62/05</w:t>
      </w:r>
      <w:r w:rsidRPr="00DC278B">
        <w:rPr>
          <w:rFonts w:ascii="Cambria" w:eastAsia="Times New Roman" w:hAnsi="Cambria"/>
          <w:sz w:val="20"/>
          <w:szCs w:val="20"/>
          <w:bdr w:val="none" w:sz="0" w:space="0" w:color="auto"/>
          <w:vertAlign w:val="superscript"/>
          <w:lang w:val="es-ES"/>
        </w:rPr>
        <w:footnoteReference w:id="11"/>
      </w:r>
      <w:r w:rsidRPr="00DC278B">
        <w:rPr>
          <w:rFonts w:ascii="Cambria" w:eastAsia="Times New Roman" w:hAnsi="Cambria"/>
          <w:sz w:val="20"/>
          <w:szCs w:val="20"/>
          <w:bdr w:val="none" w:sz="0" w:space="0" w:color="auto"/>
          <w:lang w:val="es-ES_tradnl"/>
        </w:rPr>
        <w:t xml:space="preserve"> y 59/05</w:t>
      </w:r>
      <w:r w:rsidRPr="00DC278B">
        <w:rPr>
          <w:rFonts w:ascii="Cambria" w:eastAsia="Times New Roman" w:hAnsi="Cambria"/>
          <w:sz w:val="20"/>
          <w:szCs w:val="20"/>
          <w:bdr w:val="none" w:sz="0" w:space="0" w:color="auto"/>
          <w:vertAlign w:val="superscript"/>
          <w:lang w:val="es-ES"/>
        </w:rPr>
        <w:footnoteReference w:id="12"/>
      </w:r>
      <w:r w:rsidR="003E4145" w:rsidRPr="00DC278B">
        <w:rPr>
          <w:rFonts w:ascii="Cambria" w:eastAsia="Times New Roman" w:hAnsi="Cambria"/>
          <w:sz w:val="20"/>
          <w:szCs w:val="20"/>
          <w:bdr w:val="none" w:sz="0" w:space="0" w:color="auto"/>
          <w:lang w:val="es-ES_tradnl"/>
        </w:rPr>
        <w:t xml:space="preserve">. </w:t>
      </w:r>
      <w:r w:rsidR="00634931" w:rsidRPr="00DC278B">
        <w:rPr>
          <w:rFonts w:ascii="Cambria" w:eastAsia="Times New Roman" w:hAnsi="Cambria"/>
          <w:sz w:val="20"/>
          <w:szCs w:val="20"/>
          <w:bdr w:val="none" w:sz="0" w:space="0" w:color="auto"/>
          <w:lang w:val="es-ES_tradnl"/>
        </w:rPr>
        <w:t xml:space="preserve">El trámite desde la recepción de las peticiones hasta la decisión de admisibilidad se encuentra detallado en los informes respectivos. Los informes de admisibilidad fueron </w:t>
      </w:r>
      <w:r w:rsidR="00C533FC" w:rsidRPr="00DC278B">
        <w:rPr>
          <w:rFonts w:ascii="Cambria" w:eastAsia="Times New Roman" w:hAnsi="Cambria"/>
          <w:sz w:val="20"/>
          <w:szCs w:val="20"/>
          <w:bdr w:val="none" w:sz="0" w:space="0" w:color="auto"/>
          <w:lang w:val="es-ES_tradnl"/>
        </w:rPr>
        <w:t xml:space="preserve">notificados el </w:t>
      </w:r>
      <w:r w:rsidR="00B06C1C" w:rsidRPr="00DC278B">
        <w:rPr>
          <w:rFonts w:ascii="Cambria" w:eastAsia="Times New Roman" w:hAnsi="Cambria"/>
          <w:sz w:val="20"/>
          <w:szCs w:val="20"/>
          <w:bdr w:val="none" w:sz="0" w:space="0" w:color="auto"/>
          <w:lang w:val="es-ES_tradnl"/>
        </w:rPr>
        <w:t>5 de diciembre de 2005 (Informes 59/05 y 61/05); 3 de noviembre de 2005 (Informe 60/05) y 14 de no</w:t>
      </w:r>
      <w:r w:rsidR="00C533FC" w:rsidRPr="00DC278B">
        <w:rPr>
          <w:rFonts w:ascii="Cambria" w:eastAsia="Times New Roman" w:hAnsi="Cambria"/>
          <w:sz w:val="20"/>
          <w:szCs w:val="20"/>
          <w:bdr w:val="none" w:sz="0" w:space="0" w:color="auto"/>
          <w:lang w:val="es-ES_tradnl"/>
        </w:rPr>
        <w:t>vi</w:t>
      </w:r>
      <w:r w:rsidR="00193B22">
        <w:rPr>
          <w:rFonts w:ascii="Cambria" w:eastAsia="Times New Roman" w:hAnsi="Cambria"/>
          <w:sz w:val="20"/>
          <w:szCs w:val="20"/>
          <w:bdr w:val="none" w:sz="0" w:space="0" w:color="auto"/>
          <w:lang w:val="es-ES_tradnl"/>
        </w:rPr>
        <w:t xml:space="preserve">embre de 2005 (Informe 62/05). </w:t>
      </w:r>
      <w:r w:rsidR="00C533FC" w:rsidRPr="00DC278B">
        <w:rPr>
          <w:rFonts w:ascii="Cambria" w:eastAsia="Times New Roman" w:hAnsi="Cambria"/>
          <w:sz w:val="20"/>
          <w:szCs w:val="20"/>
          <w:bdr w:val="none" w:sz="0" w:space="0" w:color="auto"/>
          <w:lang w:val="es-ES_tradnl"/>
        </w:rPr>
        <w:t>L</w:t>
      </w:r>
      <w:r w:rsidR="00B06C1C" w:rsidRPr="00DC278B">
        <w:rPr>
          <w:rFonts w:ascii="Cambria" w:eastAsia="Times New Roman" w:hAnsi="Cambria"/>
          <w:sz w:val="20"/>
          <w:szCs w:val="20"/>
          <w:bdr w:val="none" w:sz="0" w:space="0" w:color="auto"/>
          <w:lang w:val="es-ES_tradnl"/>
        </w:rPr>
        <w:t xml:space="preserve">a Comisión informó a las partes que los casos habían sido registrados con los números </w:t>
      </w:r>
      <w:r w:rsidR="00160CA0" w:rsidRPr="00DC278B">
        <w:rPr>
          <w:rFonts w:ascii="Cambria" w:eastAsia="Times New Roman" w:hAnsi="Cambria"/>
          <w:sz w:val="20"/>
          <w:szCs w:val="20"/>
          <w:bdr w:val="none" w:sz="0" w:space="0" w:color="auto"/>
          <w:lang w:val="es-ES_tradnl"/>
        </w:rPr>
        <w:t>12.520, 12.521, 12.522 y 12.523 respectivamente</w:t>
      </w:r>
      <w:r w:rsidR="00B06C1C" w:rsidRPr="00DC278B">
        <w:rPr>
          <w:rFonts w:ascii="Cambria" w:eastAsia="Times New Roman" w:hAnsi="Cambria"/>
          <w:sz w:val="20"/>
          <w:szCs w:val="20"/>
          <w:bdr w:val="none" w:sz="0" w:space="0" w:color="auto"/>
          <w:lang w:val="es-ES_tradnl"/>
        </w:rPr>
        <w:t xml:space="preserve"> y</w:t>
      </w:r>
      <w:r w:rsidR="00160CA0" w:rsidRPr="00DC278B">
        <w:rPr>
          <w:rFonts w:ascii="Cambria" w:eastAsia="Times New Roman" w:hAnsi="Cambria"/>
          <w:sz w:val="20"/>
          <w:szCs w:val="20"/>
          <w:bdr w:val="none" w:sz="0" w:space="0" w:color="auto"/>
          <w:lang w:val="es-ES_tradnl"/>
        </w:rPr>
        <w:t>,</w:t>
      </w:r>
      <w:r w:rsidR="00B06C1C" w:rsidRPr="00DC278B">
        <w:rPr>
          <w:rFonts w:ascii="Cambria" w:eastAsia="Times New Roman" w:hAnsi="Cambria"/>
          <w:sz w:val="20"/>
          <w:szCs w:val="20"/>
          <w:bdr w:val="none" w:sz="0" w:space="0" w:color="auto"/>
          <w:lang w:val="es-ES_tradnl"/>
        </w:rPr>
        <w:t xml:space="preserve"> en virtud del artículo 38.1 de su Reglamento, fijó plazos de dos meses para que los peticionarios presentaran sus observaciones adicionales sobre el f</w:t>
      </w:r>
      <w:r w:rsidR="002878DF">
        <w:rPr>
          <w:rFonts w:ascii="Cambria" w:eastAsia="Times New Roman" w:hAnsi="Cambria"/>
          <w:sz w:val="20"/>
          <w:szCs w:val="20"/>
          <w:bdr w:val="none" w:sz="0" w:space="0" w:color="auto"/>
          <w:lang w:val="es-ES_tradnl"/>
        </w:rPr>
        <w:t xml:space="preserve">ondo en cada uno de los casos. </w:t>
      </w:r>
      <w:r w:rsidR="00B06C1C" w:rsidRPr="00DC278B">
        <w:rPr>
          <w:rFonts w:ascii="Cambria" w:eastAsia="Times New Roman" w:hAnsi="Cambria"/>
          <w:sz w:val="20"/>
          <w:szCs w:val="20"/>
          <w:bdr w:val="none" w:sz="0" w:space="0" w:color="auto"/>
          <w:lang w:val="es-ES_tradnl"/>
        </w:rPr>
        <w:t>Asimismo, de conformidad con el artículo 48.1.f) de la Convención, se puso a disposición de las partes a fin de llegar a una solu</w:t>
      </w:r>
      <w:r w:rsidR="00193B22">
        <w:rPr>
          <w:rFonts w:ascii="Cambria" w:eastAsia="Times New Roman" w:hAnsi="Cambria"/>
          <w:sz w:val="20"/>
          <w:szCs w:val="20"/>
          <w:bdr w:val="none" w:sz="0" w:space="0" w:color="auto"/>
          <w:lang w:val="es-ES_tradnl"/>
        </w:rPr>
        <w:t>ción amistosa en cada asunto.</w:t>
      </w:r>
    </w:p>
    <w:p w:rsidR="00B06C1C" w:rsidRPr="00DC278B" w:rsidRDefault="00B06C1C" w:rsidP="00DC278B">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sz w:val="20"/>
          <w:szCs w:val="20"/>
          <w:bdr w:val="none" w:sz="0" w:space="0" w:color="auto"/>
          <w:lang w:val="es-ES_tradnl"/>
        </w:rPr>
      </w:pPr>
    </w:p>
    <w:p w:rsidR="00B06C1C" w:rsidRPr="00DC278B" w:rsidRDefault="00CD5E40"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r w:rsidRPr="00DC278B">
        <w:rPr>
          <w:rFonts w:ascii="Cambria" w:eastAsia="Times New Roman" w:hAnsi="Cambria"/>
          <w:sz w:val="20"/>
          <w:szCs w:val="20"/>
          <w:bdr w:val="none" w:sz="0" w:space="0" w:color="auto"/>
          <w:lang w:val="es-ES_tradnl"/>
        </w:rPr>
        <w:t>Entre enero</w:t>
      </w:r>
      <w:r w:rsidR="000333B4" w:rsidRPr="00DC278B">
        <w:rPr>
          <w:rFonts w:ascii="Cambria" w:eastAsia="Times New Roman" w:hAnsi="Cambria"/>
          <w:sz w:val="20"/>
          <w:szCs w:val="20"/>
          <w:bdr w:val="none" w:sz="0" w:space="0" w:color="auto"/>
          <w:lang w:val="es-ES_tradnl"/>
        </w:rPr>
        <w:t xml:space="preserve"> de 2006 y junio de 2007</w:t>
      </w:r>
      <w:r w:rsidRPr="00DC278B">
        <w:rPr>
          <w:rFonts w:ascii="Cambria" w:eastAsia="Times New Roman" w:hAnsi="Cambria"/>
          <w:sz w:val="20"/>
          <w:szCs w:val="20"/>
          <w:bdr w:val="none" w:sz="0" w:space="0" w:color="auto"/>
          <w:lang w:val="es-ES_tradnl"/>
        </w:rPr>
        <w:t xml:space="preserve"> las partes manifestaron su voluntad </w:t>
      </w:r>
      <w:r w:rsidR="00B06C1C" w:rsidRPr="00DC278B">
        <w:rPr>
          <w:rFonts w:ascii="Cambria" w:eastAsia="Times New Roman" w:hAnsi="Cambria"/>
          <w:sz w:val="20"/>
          <w:szCs w:val="20"/>
          <w:bdr w:val="none" w:sz="0" w:space="0" w:color="auto"/>
          <w:lang w:val="es-ES_tradnl"/>
        </w:rPr>
        <w:t>para participar en un proceso de solución amistosa</w:t>
      </w:r>
      <w:r w:rsidR="002C04F4" w:rsidRPr="00DC278B">
        <w:rPr>
          <w:rFonts w:ascii="Cambria" w:eastAsia="Times New Roman" w:hAnsi="Cambria"/>
          <w:sz w:val="20"/>
          <w:szCs w:val="20"/>
          <w:bdr w:val="none" w:sz="0" w:space="0" w:color="auto"/>
          <w:lang w:val="es-ES_tradnl"/>
        </w:rPr>
        <w:t>.</w:t>
      </w:r>
      <w:r w:rsidR="00B06C1C" w:rsidRPr="00DC278B">
        <w:rPr>
          <w:rFonts w:ascii="Cambria" w:eastAsia="Times New Roman" w:hAnsi="Cambria"/>
          <w:sz w:val="20"/>
          <w:szCs w:val="20"/>
          <w:bdr w:val="none" w:sz="0" w:space="0" w:color="auto"/>
          <w:lang w:val="es-ES_tradnl"/>
        </w:rPr>
        <w:t xml:space="preserve"> </w:t>
      </w:r>
      <w:r w:rsidRPr="00DC278B">
        <w:rPr>
          <w:rFonts w:ascii="Cambria" w:eastAsia="Times New Roman" w:hAnsi="Cambria"/>
          <w:sz w:val="20"/>
          <w:szCs w:val="20"/>
          <w:bdr w:val="none" w:sz="0" w:space="0" w:color="auto"/>
          <w:lang w:val="es-ES_tradnl"/>
        </w:rPr>
        <w:t xml:space="preserve">Sin embargo, como se indica más adelante y ante la falta de información concreta sobre avances en dicho proceso, la Comisión decidió continuar con el trámite de fondo. </w:t>
      </w:r>
    </w:p>
    <w:p w:rsidR="00DD4B1F" w:rsidRPr="00DC278B" w:rsidRDefault="00DD4B1F" w:rsidP="00DC278B">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sz w:val="20"/>
          <w:szCs w:val="20"/>
          <w:bdr w:val="none" w:sz="0" w:space="0" w:color="auto"/>
          <w:lang w:val="es-ES_tradnl"/>
        </w:rPr>
      </w:pPr>
    </w:p>
    <w:p w:rsidR="00DD4B1F" w:rsidRPr="00DC278B" w:rsidRDefault="000333B4"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r w:rsidRPr="00DC278B">
        <w:rPr>
          <w:rFonts w:ascii="Cambria" w:eastAsia="Times New Roman" w:hAnsi="Cambria"/>
          <w:sz w:val="20"/>
          <w:szCs w:val="20"/>
          <w:bdr w:val="none" w:sz="0" w:space="0" w:color="auto"/>
          <w:lang w:val="es-ES_tradnl"/>
        </w:rPr>
        <w:t>El 8 de abril de 2008</w:t>
      </w:r>
      <w:r w:rsidR="00DD4B1F" w:rsidRPr="00DC278B">
        <w:rPr>
          <w:rFonts w:ascii="Cambria" w:eastAsia="Times New Roman" w:hAnsi="Cambria"/>
          <w:sz w:val="20"/>
          <w:szCs w:val="20"/>
          <w:bdr w:val="none" w:sz="0" w:space="0" w:color="auto"/>
          <w:lang w:val="es-ES_tradnl"/>
        </w:rPr>
        <w:t xml:space="preserve"> la Comisión decidió acumular los casos No 12.522 (Lucía Morales </w:t>
      </w:r>
      <w:proofErr w:type="spellStart"/>
      <w:r w:rsidR="00DD4B1F" w:rsidRPr="00DC278B">
        <w:rPr>
          <w:rFonts w:ascii="Cambria" w:eastAsia="Times New Roman" w:hAnsi="Cambria"/>
          <w:sz w:val="20"/>
          <w:szCs w:val="20"/>
          <w:bdr w:val="none" w:sz="0" w:space="0" w:color="auto"/>
          <w:lang w:val="es-ES_tradnl"/>
        </w:rPr>
        <w:t>Compagnon</w:t>
      </w:r>
      <w:proofErr w:type="spellEnd"/>
      <w:r w:rsidR="00DD4B1F" w:rsidRPr="00DC278B">
        <w:rPr>
          <w:rFonts w:ascii="Cambria" w:eastAsia="Times New Roman" w:hAnsi="Cambria"/>
          <w:sz w:val="20"/>
          <w:szCs w:val="20"/>
          <w:bdr w:val="none" w:sz="0" w:space="0" w:color="auto"/>
          <w:lang w:val="es-ES_tradnl"/>
        </w:rPr>
        <w:t xml:space="preserve"> y otros) y No 12.523 (Alina María Barraza y otros) al caso No 12.521 (María Laura Órdenes Guerra y otros), en aplicación del artículo 29.1.d) de su Reglamento vigente en ese momento, dado que versan sobre hechos similares.</w:t>
      </w:r>
    </w:p>
    <w:p w:rsidR="00DD4B1F" w:rsidRPr="00DC278B" w:rsidRDefault="00DD4B1F" w:rsidP="00DC278B">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sz w:val="20"/>
          <w:szCs w:val="20"/>
          <w:bdr w:val="none" w:sz="0" w:space="0" w:color="auto"/>
          <w:lang w:val="es-ES_tradnl"/>
        </w:rPr>
      </w:pPr>
    </w:p>
    <w:p w:rsidR="00B06C1C" w:rsidRPr="00DC278B" w:rsidRDefault="00A77765"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r w:rsidRPr="00DC278B">
        <w:rPr>
          <w:rFonts w:ascii="Cambria" w:eastAsia="Times New Roman" w:hAnsi="Cambria"/>
          <w:sz w:val="20"/>
          <w:szCs w:val="20"/>
          <w:bdr w:val="none" w:sz="0" w:space="0" w:color="auto"/>
          <w:lang w:val="es-ES_tradnl"/>
        </w:rPr>
        <w:t>E</w:t>
      </w:r>
      <w:r w:rsidR="00B06C1C" w:rsidRPr="00DC278B">
        <w:rPr>
          <w:rFonts w:ascii="Cambria" w:eastAsia="Times New Roman" w:hAnsi="Cambria"/>
          <w:sz w:val="20"/>
          <w:szCs w:val="20"/>
          <w:bdr w:val="none" w:sz="0" w:space="0" w:color="auto"/>
          <w:lang w:val="es-ES_tradnl"/>
        </w:rPr>
        <w:t>l 29 de mayo de 2008 la CIDH reiteró a los peticionarios su solicitud de observaciones adicionales sobre el fondo.</w:t>
      </w:r>
      <w:r w:rsidR="00193B22">
        <w:rPr>
          <w:rFonts w:ascii="Cambria" w:eastAsia="Times New Roman" w:hAnsi="Cambria"/>
          <w:sz w:val="20"/>
          <w:szCs w:val="20"/>
          <w:bdr w:val="none" w:sz="0" w:space="0" w:color="auto"/>
          <w:lang w:val="es-ES_tradnl"/>
        </w:rPr>
        <w:t xml:space="preserve"> </w:t>
      </w:r>
      <w:r w:rsidR="00B06C1C" w:rsidRPr="00DC278B">
        <w:rPr>
          <w:rFonts w:ascii="Cambria" w:eastAsia="Times New Roman" w:hAnsi="Cambria"/>
          <w:sz w:val="20"/>
          <w:szCs w:val="20"/>
          <w:bdr w:val="none" w:sz="0" w:space="0" w:color="auto"/>
          <w:lang w:val="es-ES_tradnl"/>
        </w:rPr>
        <w:t>El 17 de junio de 2008 el peticionario solicitó a la CIDH que proceda co</w:t>
      </w:r>
      <w:r w:rsidR="000A7EA7" w:rsidRPr="00DC278B">
        <w:rPr>
          <w:rFonts w:ascii="Cambria" w:eastAsia="Times New Roman" w:hAnsi="Cambria"/>
          <w:sz w:val="20"/>
          <w:szCs w:val="20"/>
          <w:bdr w:val="none" w:sz="0" w:space="0" w:color="auto"/>
          <w:lang w:val="es-ES_tradnl"/>
        </w:rPr>
        <w:t>n el examen de fondo del asunto</w:t>
      </w:r>
      <w:r w:rsidR="00193B22">
        <w:rPr>
          <w:rFonts w:ascii="Cambria" w:eastAsia="Times New Roman" w:hAnsi="Cambria"/>
          <w:sz w:val="20"/>
          <w:szCs w:val="20"/>
          <w:bdr w:val="none" w:sz="0" w:space="0" w:color="auto"/>
          <w:lang w:val="es-ES_tradnl"/>
        </w:rPr>
        <w:t>.</w:t>
      </w:r>
      <w:r w:rsidR="00B06C1C" w:rsidRPr="00DC278B">
        <w:rPr>
          <w:rFonts w:ascii="Cambria" w:eastAsia="Times New Roman" w:hAnsi="Cambria"/>
          <w:sz w:val="20"/>
          <w:szCs w:val="20"/>
          <w:bdr w:val="none" w:sz="0" w:space="0" w:color="auto"/>
          <w:lang w:val="es-ES_tradnl"/>
        </w:rPr>
        <w:t xml:space="preserve"> El 21 de noviembre de 2008, el Estado presentó sus observaciones sobre los </w:t>
      </w:r>
      <w:r w:rsidR="000A7EA7" w:rsidRPr="00DC278B">
        <w:rPr>
          <w:rFonts w:ascii="Cambria" w:eastAsia="Times New Roman" w:hAnsi="Cambria"/>
          <w:sz w:val="20"/>
          <w:szCs w:val="20"/>
          <w:bdr w:val="none" w:sz="0" w:space="0" w:color="auto"/>
          <w:lang w:val="es-ES_tradnl"/>
        </w:rPr>
        <w:t>cuatro</w:t>
      </w:r>
      <w:r w:rsidR="00B06C1C" w:rsidRPr="00DC278B">
        <w:rPr>
          <w:rFonts w:ascii="Cambria" w:eastAsia="Times New Roman" w:hAnsi="Cambria"/>
          <w:sz w:val="20"/>
          <w:szCs w:val="20"/>
          <w:bdr w:val="none" w:sz="0" w:space="0" w:color="auto"/>
          <w:lang w:val="es-ES_tradnl"/>
        </w:rPr>
        <w:t xml:space="preserve"> casos, las cuales fuero</w:t>
      </w:r>
      <w:r w:rsidR="00193B22">
        <w:rPr>
          <w:rFonts w:ascii="Cambria" w:eastAsia="Times New Roman" w:hAnsi="Cambria"/>
          <w:sz w:val="20"/>
          <w:szCs w:val="20"/>
          <w:bdr w:val="none" w:sz="0" w:space="0" w:color="auto"/>
          <w:lang w:val="es-ES_tradnl"/>
        </w:rPr>
        <w:t xml:space="preserve">n trasladadas al peticionario. </w:t>
      </w:r>
      <w:r w:rsidR="00B06C1C" w:rsidRPr="00DC278B">
        <w:rPr>
          <w:rFonts w:ascii="Cambria" w:eastAsia="Times New Roman" w:hAnsi="Cambria"/>
          <w:sz w:val="20"/>
          <w:szCs w:val="20"/>
          <w:bdr w:val="none" w:sz="0" w:space="0" w:color="auto"/>
          <w:lang w:val="es-ES_tradnl"/>
        </w:rPr>
        <w:t>El 23 de febrero de 2009 el peticionar</w:t>
      </w:r>
      <w:r w:rsidR="00193B22">
        <w:rPr>
          <w:rFonts w:ascii="Cambria" w:eastAsia="Times New Roman" w:hAnsi="Cambria"/>
          <w:sz w:val="20"/>
          <w:szCs w:val="20"/>
          <w:bdr w:val="none" w:sz="0" w:space="0" w:color="auto"/>
          <w:lang w:val="es-ES_tradnl"/>
        </w:rPr>
        <w:t xml:space="preserve">io presentó sus observaciones. </w:t>
      </w:r>
    </w:p>
    <w:p w:rsidR="00B06C1C" w:rsidRPr="00DC278B" w:rsidRDefault="00B06C1C" w:rsidP="00DC278B">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sz w:val="20"/>
          <w:szCs w:val="20"/>
          <w:bdr w:val="none" w:sz="0" w:space="0" w:color="auto"/>
          <w:lang w:val="es-ES_tradnl"/>
        </w:rPr>
      </w:pPr>
    </w:p>
    <w:p w:rsidR="00C533FC" w:rsidRPr="00DC278B" w:rsidRDefault="00B06C1C"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r w:rsidRPr="00DC278B">
        <w:rPr>
          <w:rFonts w:ascii="Cambria" w:eastAsia="Times New Roman" w:hAnsi="Cambria"/>
          <w:sz w:val="20"/>
          <w:szCs w:val="20"/>
          <w:bdr w:val="none" w:sz="0" w:space="0" w:color="auto"/>
          <w:lang w:val="es-ES_tradnl"/>
        </w:rPr>
        <w:t>El 21 de marzo de 2009, en el 134º Periodo de Sesiones de la CIDH</w:t>
      </w:r>
      <w:r w:rsidR="00634931" w:rsidRPr="00DC278B">
        <w:rPr>
          <w:rFonts w:ascii="Cambria" w:eastAsia="Times New Roman" w:hAnsi="Cambria"/>
          <w:sz w:val="20"/>
          <w:szCs w:val="20"/>
          <w:bdr w:val="none" w:sz="0" w:space="0" w:color="auto"/>
          <w:lang w:val="es-ES_tradnl"/>
        </w:rPr>
        <w:t>,</w:t>
      </w:r>
      <w:r w:rsidRPr="00DC278B">
        <w:rPr>
          <w:rFonts w:ascii="Cambria" w:eastAsia="Times New Roman" w:hAnsi="Cambria"/>
          <w:sz w:val="20"/>
          <w:szCs w:val="20"/>
          <w:bdr w:val="none" w:sz="0" w:space="0" w:color="auto"/>
          <w:lang w:val="es-ES_tradnl"/>
        </w:rPr>
        <w:t xml:space="preserve"> se llevó a cabo una audiencia sobre los casos No. 12.520 y 12.521, en la cual las partes expusieron sus observaciones adicionales sobre </w:t>
      </w:r>
      <w:r w:rsidR="00193B22">
        <w:rPr>
          <w:rFonts w:ascii="Cambria" w:eastAsia="Times New Roman" w:hAnsi="Cambria"/>
          <w:sz w:val="20"/>
          <w:szCs w:val="20"/>
          <w:bdr w:val="none" w:sz="0" w:space="0" w:color="auto"/>
          <w:lang w:val="es-ES_tradnl"/>
        </w:rPr>
        <w:t>el fondo</w:t>
      </w:r>
      <w:r w:rsidRPr="00DC278B">
        <w:rPr>
          <w:rFonts w:ascii="Cambria" w:eastAsia="Times New Roman" w:hAnsi="Cambria"/>
          <w:sz w:val="20"/>
          <w:szCs w:val="20"/>
          <w:bdr w:val="none" w:sz="0" w:space="0" w:color="auto"/>
          <w:lang w:val="es-ES_tradnl"/>
        </w:rPr>
        <w:t xml:space="preserve"> del caso y el peticionario presentó información adicional, l</w:t>
      </w:r>
      <w:r w:rsidR="00160CA0" w:rsidRPr="00DC278B">
        <w:rPr>
          <w:rFonts w:ascii="Cambria" w:eastAsia="Times New Roman" w:hAnsi="Cambria"/>
          <w:sz w:val="20"/>
          <w:szCs w:val="20"/>
          <w:bdr w:val="none" w:sz="0" w:space="0" w:color="auto"/>
          <w:lang w:val="es-ES_tradnl"/>
        </w:rPr>
        <w:t>a cual fue trasladada al Estado</w:t>
      </w:r>
      <w:r w:rsidR="00193B22">
        <w:rPr>
          <w:rFonts w:ascii="Cambria" w:eastAsia="Times New Roman" w:hAnsi="Cambria"/>
          <w:sz w:val="20"/>
          <w:szCs w:val="20"/>
          <w:bdr w:val="none" w:sz="0" w:space="0" w:color="auto"/>
          <w:lang w:val="es-ES_tradnl"/>
        </w:rPr>
        <w:t xml:space="preserve"> el 6 de abril de 2009.</w:t>
      </w:r>
    </w:p>
    <w:p w:rsidR="00C533FC" w:rsidRPr="00DC278B" w:rsidRDefault="00C533FC" w:rsidP="00DC278B">
      <w:pPr>
        <w:pStyle w:val="MediumGrid1-Accent21"/>
        <w:rPr>
          <w:rFonts w:eastAsia="Times New Roman"/>
          <w:color w:val="auto"/>
          <w:sz w:val="20"/>
          <w:szCs w:val="20"/>
          <w:bdr w:val="none" w:sz="0" w:space="0" w:color="auto"/>
          <w:lang w:val="es-ES_tradnl"/>
        </w:rPr>
      </w:pPr>
    </w:p>
    <w:p w:rsidR="00C533FC" w:rsidRPr="00DC278B" w:rsidRDefault="00160CA0"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r w:rsidRPr="00DC278B">
        <w:rPr>
          <w:rFonts w:ascii="Cambria" w:eastAsia="Times New Roman" w:hAnsi="Cambria"/>
          <w:sz w:val="20"/>
          <w:szCs w:val="20"/>
          <w:bdr w:val="none" w:sz="0" w:space="0" w:color="auto"/>
          <w:lang w:val="es-ES_tradnl"/>
        </w:rPr>
        <w:t>El 30 de abril de 2009</w:t>
      </w:r>
      <w:r w:rsidR="00B06C1C" w:rsidRPr="00DC278B">
        <w:rPr>
          <w:rFonts w:ascii="Cambria" w:eastAsia="Times New Roman" w:hAnsi="Cambria"/>
          <w:sz w:val="20"/>
          <w:szCs w:val="20"/>
          <w:bdr w:val="none" w:sz="0" w:space="0" w:color="auto"/>
          <w:lang w:val="es-ES_tradnl"/>
        </w:rPr>
        <w:t xml:space="preserve"> la Comisión comunicó a las partes su decisión de acumular el</w:t>
      </w:r>
      <w:r w:rsidR="007A17E4" w:rsidRPr="00DC278B">
        <w:rPr>
          <w:rFonts w:ascii="Cambria" w:eastAsia="Times New Roman" w:hAnsi="Cambria"/>
          <w:sz w:val="20"/>
          <w:szCs w:val="20"/>
          <w:bdr w:val="none" w:sz="0" w:space="0" w:color="auto"/>
          <w:lang w:val="es-ES_tradnl"/>
        </w:rPr>
        <w:t xml:space="preserve"> caso No. 12.520 (Mario Melo </w:t>
      </w:r>
      <w:proofErr w:type="spellStart"/>
      <w:r w:rsidR="007A17E4" w:rsidRPr="00DC278B">
        <w:rPr>
          <w:rFonts w:ascii="Cambria" w:eastAsia="Times New Roman" w:hAnsi="Cambria"/>
          <w:sz w:val="20"/>
          <w:szCs w:val="20"/>
          <w:bdr w:val="none" w:sz="0" w:space="0" w:color="auto"/>
          <w:lang w:val="es-ES_tradnl"/>
        </w:rPr>
        <w:t>Pra</w:t>
      </w:r>
      <w:r w:rsidR="00B06C1C" w:rsidRPr="00DC278B">
        <w:rPr>
          <w:rFonts w:ascii="Cambria" w:eastAsia="Times New Roman" w:hAnsi="Cambria"/>
          <w:sz w:val="20"/>
          <w:szCs w:val="20"/>
          <w:bdr w:val="none" w:sz="0" w:space="0" w:color="auto"/>
          <w:lang w:val="es-ES_tradnl"/>
        </w:rPr>
        <w:t>denas</w:t>
      </w:r>
      <w:proofErr w:type="spellEnd"/>
      <w:r w:rsidR="00B06C1C" w:rsidRPr="00DC278B">
        <w:rPr>
          <w:rFonts w:ascii="Cambria" w:eastAsia="Times New Roman" w:hAnsi="Cambria"/>
          <w:sz w:val="20"/>
          <w:szCs w:val="20"/>
          <w:bdr w:val="none" w:sz="0" w:space="0" w:color="auto"/>
          <w:lang w:val="es-ES_tradnl"/>
        </w:rPr>
        <w:t xml:space="preserve"> y ot</w:t>
      </w:r>
      <w:r w:rsidR="00E07F44" w:rsidRPr="00DC278B">
        <w:rPr>
          <w:rFonts w:ascii="Cambria" w:eastAsia="Times New Roman" w:hAnsi="Cambria"/>
          <w:sz w:val="20"/>
          <w:szCs w:val="20"/>
          <w:bdr w:val="none" w:sz="0" w:space="0" w:color="auto"/>
          <w:lang w:val="es-ES_tradnl"/>
        </w:rPr>
        <w:t>ros) al caso No. 12.521 (María Ó</w:t>
      </w:r>
      <w:r w:rsidR="00B06C1C" w:rsidRPr="00DC278B">
        <w:rPr>
          <w:rFonts w:ascii="Cambria" w:eastAsia="Times New Roman" w:hAnsi="Cambria"/>
          <w:sz w:val="20"/>
          <w:szCs w:val="20"/>
          <w:bdr w:val="none" w:sz="0" w:space="0" w:color="auto"/>
          <w:lang w:val="es-ES_tradnl"/>
        </w:rPr>
        <w:t xml:space="preserve">rdenes Guerra y otros), en base al artículo 29.1.d) de su Reglamento, por referirse a hechos similares. </w:t>
      </w:r>
    </w:p>
    <w:p w:rsidR="00C533FC" w:rsidRPr="00DC278B" w:rsidRDefault="00C533FC" w:rsidP="00DC278B">
      <w:pPr>
        <w:pStyle w:val="MediumGrid1-Accent21"/>
        <w:rPr>
          <w:rFonts w:eastAsia="Times New Roman"/>
          <w:color w:val="auto"/>
          <w:sz w:val="20"/>
          <w:szCs w:val="20"/>
          <w:bdr w:val="none" w:sz="0" w:space="0" w:color="auto"/>
          <w:lang w:val="es-ES_tradnl"/>
        </w:rPr>
      </w:pPr>
    </w:p>
    <w:p w:rsidR="00B06C1C" w:rsidRPr="00DC278B" w:rsidRDefault="00160CA0"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r w:rsidRPr="00DC278B">
        <w:rPr>
          <w:rFonts w:ascii="Cambria" w:eastAsia="Times New Roman" w:hAnsi="Cambria"/>
          <w:sz w:val="20"/>
          <w:szCs w:val="20"/>
          <w:bdr w:val="none" w:sz="0" w:space="0" w:color="auto"/>
          <w:lang w:val="es-ES_tradnl"/>
        </w:rPr>
        <w:t>El 4 de enero de 2012</w:t>
      </w:r>
      <w:r w:rsidR="00C533FC" w:rsidRPr="00DC278B">
        <w:rPr>
          <w:rFonts w:ascii="Cambria" w:eastAsia="Times New Roman" w:hAnsi="Cambria"/>
          <w:sz w:val="20"/>
          <w:szCs w:val="20"/>
          <w:bdr w:val="none" w:sz="0" w:space="0" w:color="auto"/>
          <w:lang w:val="es-ES_tradnl"/>
        </w:rPr>
        <w:t xml:space="preserve"> la CIDH recibió información respecto a dos de lo</w:t>
      </w:r>
      <w:r w:rsidR="00847AD3" w:rsidRPr="00DC278B">
        <w:rPr>
          <w:rFonts w:ascii="Cambria" w:eastAsia="Times New Roman" w:hAnsi="Cambria"/>
          <w:sz w:val="20"/>
          <w:szCs w:val="20"/>
          <w:bdr w:val="none" w:sz="0" w:space="0" w:color="auto"/>
          <w:lang w:val="es-ES_tradnl"/>
        </w:rPr>
        <w:t xml:space="preserve">s hijos de Hipólito Pedro </w:t>
      </w:r>
      <w:r w:rsidR="00516BD4" w:rsidRPr="00DC278B">
        <w:rPr>
          <w:rFonts w:ascii="Cambria" w:eastAsia="Times New Roman" w:hAnsi="Cambria"/>
          <w:sz w:val="20"/>
          <w:szCs w:val="20"/>
          <w:bdr w:val="none" w:sz="0" w:space="0" w:color="auto"/>
          <w:lang w:val="es-ES_tradnl"/>
        </w:rPr>
        <w:t>Cortés</w:t>
      </w:r>
      <w:r w:rsidR="00C533FC" w:rsidRPr="00DC278B">
        <w:rPr>
          <w:rFonts w:ascii="Cambria" w:eastAsia="Times New Roman" w:hAnsi="Cambria"/>
          <w:sz w:val="20"/>
          <w:szCs w:val="20"/>
          <w:bdr w:val="none" w:sz="0" w:space="0" w:color="auto"/>
          <w:lang w:val="es-ES_tradnl"/>
        </w:rPr>
        <w:t xml:space="preserve"> Álvarez, solicitando ser considerados en el trámite del reclamo ante la Comisión.</w:t>
      </w:r>
    </w:p>
    <w:p w:rsidR="00B06C1C" w:rsidRPr="00DC278B" w:rsidRDefault="00B06C1C" w:rsidP="00DC278B">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sz w:val="20"/>
          <w:szCs w:val="20"/>
          <w:bdr w:val="none" w:sz="0" w:space="0" w:color="auto"/>
          <w:lang w:val="es-ES_tradnl"/>
        </w:rPr>
      </w:pPr>
    </w:p>
    <w:p w:rsidR="00B06C1C" w:rsidRPr="00DC278B" w:rsidRDefault="00B06C1C"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r w:rsidRPr="00DC278B">
        <w:rPr>
          <w:rFonts w:ascii="Cambria" w:eastAsia="Times New Roman" w:hAnsi="Cambria"/>
          <w:sz w:val="20"/>
          <w:szCs w:val="20"/>
          <w:bdr w:val="none" w:sz="0" w:space="0" w:color="auto"/>
          <w:lang w:val="es-ES_tradnl"/>
        </w:rPr>
        <w:t>El 21 de febre</w:t>
      </w:r>
      <w:r w:rsidR="00160CA0" w:rsidRPr="00DC278B">
        <w:rPr>
          <w:rFonts w:ascii="Cambria" w:eastAsia="Times New Roman" w:hAnsi="Cambria"/>
          <w:sz w:val="20"/>
          <w:szCs w:val="20"/>
          <w:bdr w:val="none" w:sz="0" w:space="0" w:color="auto"/>
          <w:lang w:val="es-ES_tradnl"/>
        </w:rPr>
        <w:t>ro de 2013</w:t>
      </w:r>
      <w:r w:rsidR="002F225F" w:rsidRPr="00DC278B">
        <w:rPr>
          <w:rFonts w:ascii="Cambria" w:eastAsia="Times New Roman" w:hAnsi="Cambria"/>
          <w:sz w:val="20"/>
          <w:szCs w:val="20"/>
          <w:bdr w:val="none" w:sz="0" w:space="0" w:color="auto"/>
          <w:lang w:val="es-ES_tradnl"/>
        </w:rPr>
        <w:t xml:space="preserve"> la Comisión solicitó</w:t>
      </w:r>
      <w:r w:rsidRPr="00DC278B">
        <w:rPr>
          <w:rFonts w:ascii="Cambria" w:eastAsia="Times New Roman" w:hAnsi="Cambria"/>
          <w:sz w:val="20"/>
          <w:szCs w:val="20"/>
          <w:bdr w:val="none" w:sz="0" w:space="0" w:color="auto"/>
          <w:lang w:val="es-ES_tradnl"/>
        </w:rPr>
        <w:t xml:space="preserve"> al peticionario la remisión de los datos de los familiares de las presuntas ví</w:t>
      </w:r>
      <w:r w:rsidR="00FA7864">
        <w:rPr>
          <w:rFonts w:ascii="Cambria" w:eastAsia="Times New Roman" w:hAnsi="Cambria"/>
          <w:sz w:val="20"/>
          <w:szCs w:val="20"/>
          <w:bdr w:val="none" w:sz="0" w:space="0" w:color="auto"/>
          <w:lang w:val="es-ES_tradnl"/>
        </w:rPr>
        <w:t xml:space="preserve">ctimas. </w:t>
      </w:r>
      <w:r w:rsidR="00160CA0" w:rsidRPr="00DC278B">
        <w:rPr>
          <w:rFonts w:ascii="Cambria" w:eastAsia="Times New Roman" w:hAnsi="Cambria"/>
          <w:sz w:val="20"/>
          <w:szCs w:val="20"/>
          <w:bdr w:val="none" w:sz="0" w:space="0" w:color="auto"/>
          <w:lang w:val="es-ES_tradnl"/>
        </w:rPr>
        <w:t>El 21 de marzo de 2013</w:t>
      </w:r>
      <w:r w:rsidRPr="00DC278B">
        <w:rPr>
          <w:rFonts w:ascii="Cambria" w:eastAsia="Times New Roman" w:hAnsi="Cambria"/>
          <w:sz w:val="20"/>
          <w:szCs w:val="20"/>
          <w:bdr w:val="none" w:sz="0" w:space="0" w:color="auto"/>
          <w:lang w:val="es-ES_tradnl"/>
        </w:rPr>
        <w:t xml:space="preserve"> el peticionario solici</w:t>
      </w:r>
      <w:r w:rsidR="002F225F" w:rsidRPr="00DC278B">
        <w:rPr>
          <w:rFonts w:ascii="Cambria" w:eastAsia="Times New Roman" w:hAnsi="Cambria"/>
          <w:sz w:val="20"/>
          <w:szCs w:val="20"/>
          <w:bdr w:val="none" w:sz="0" w:space="0" w:color="auto"/>
          <w:lang w:val="es-ES_tradnl"/>
        </w:rPr>
        <w:t>tó</w:t>
      </w:r>
      <w:r w:rsidRPr="00DC278B">
        <w:rPr>
          <w:rFonts w:ascii="Cambria" w:eastAsia="Times New Roman" w:hAnsi="Cambria"/>
          <w:sz w:val="20"/>
          <w:szCs w:val="20"/>
          <w:bdr w:val="none" w:sz="0" w:space="0" w:color="auto"/>
          <w:lang w:val="es-ES_tradnl"/>
        </w:rPr>
        <w:t xml:space="preserve"> una prórroga a fin de </w:t>
      </w:r>
      <w:r w:rsidRPr="00DC278B">
        <w:rPr>
          <w:rFonts w:ascii="Cambria" w:eastAsia="Times New Roman" w:hAnsi="Cambria"/>
          <w:sz w:val="20"/>
          <w:szCs w:val="20"/>
          <w:bdr w:val="none" w:sz="0" w:space="0" w:color="auto"/>
          <w:lang w:val="es-ES_tradnl"/>
        </w:rPr>
        <w:lastRenderedPageBreak/>
        <w:t>aportar los da</w:t>
      </w:r>
      <w:r w:rsidR="00E07F44" w:rsidRPr="00DC278B">
        <w:rPr>
          <w:rFonts w:ascii="Cambria" w:eastAsia="Times New Roman" w:hAnsi="Cambria"/>
          <w:sz w:val="20"/>
          <w:szCs w:val="20"/>
          <w:bdr w:val="none" w:sz="0" w:space="0" w:color="auto"/>
          <w:lang w:val="es-ES_tradnl"/>
        </w:rPr>
        <w:t>tos de los familiares de María Ó</w:t>
      </w:r>
      <w:r w:rsidRPr="00DC278B">
        <w:rPr>
          <w:rFonts w:ascii="Cambria" w:eastAsia="Times New Roman" w:hAnsi="Cambria"/>
          <w:sz w:val="20"/>
          <w:szCs w:val="20"/>
          <w:bdr w:val="none" w:sz="0" w:space="0" w:color="auto"/>
          <w:lang w:val="es-ES_tradnl"/>
        </w:rPr>
        <w:t>rdenes Guerra, la cual fue otorgada por la CIDH el 9 de julio de 2013 por un mes.</w:t>
      </w:r>
    </w:p>
    <w:p w:rsidR="004B316C" w:rsidRPr="00DC278B" w:rsidRDefault="004B316C" w:rsidP="00DC278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bookmarkStart w:id="4" w:name="_Toc338425800"/>
    </w:p>
    <w:p w:rsidR="004B316C" w:rsidRPr="00DC278B" w:rsidRDefault="004B316C" w:rsidP="00DC278B">
      <w:pPr>
        <w:pStyle w:val="Ttulo1"/>
      </w:pPr>
      <w:bookmarkStart w:id="5" w:name="_Toc413397462"/>
      <w:r w:rsidRPr="00DC278B">
        <w:t>POSICIONES DE LAS PARTES SOBRE EL FONDO</w:t>
      </w:r>
      <w:bookmarkEnd w:id="4"/>
      <w:bookmarkEnd w:id="5"/>
      <w:r w:rsidRPr="00DC278B">
        <w:t xml:space="preserve"> </w:t>
      </w:r>
    </w:p>
    <w:p w:rsidR="004B316C" w:rsidRPr="00DC278B" w:rsidRDefault="004B316C" w:rsidP="00DC278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p>
    <w:p w:rsidR="005F74FD" w:rsidRPr="00DC278B" w:rsidRDefault="00FE45EF" w:rsidP="00DC278B">
      <w:pPr>
        <w:pStyle w:val="Ttulo2"/>
      </w:pPr>
      <w:bookmarkStart w:id="6" w:name="_Toc338425801"/>
      <w:bookmarkStart w:id="7" w:name="_Toc413397463"/>
      <w:r w:rsidRPr="00DC278B">
        <w:t>A.</w:t>
      </w:r>
      <w:r w:rsidRPr="00DC278B">
        <w:tab/>
        <w:t>Posición del</w:t>
      </w:r>
      <w:r w:rsidR="004B316C" w:rsidRPr="00DC278B">
        <w:t xml:space="preserve"> peticionario</w:t>
      </w:r>
      <w:bookmarkEnd w:id="6"/>
      <w:bookmarkEnd w:id="7"/>
      <w:r w:rsidR="004B316C" w:rsidRPr="00DC278B">
        <w:t xml:space="preserve"> </w:t>
      </w:r>
    </w:p>
    <w:p w:rsidR="005F74FD" w:rsidRPr="00DC278B" w:rsidRDefault="005F74FD" w:rsidP="00DC278B">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sz w:val="20"/>
          <w:szCs w:val="20"/>
          <w:bdr w:val="none" w:sz="0" w:space="0" w:color="auto"/>
          <w:lang w:val="es-ES_tradnl"/>
        </w:rPr>
      </w:pPr>
    </w:p>
    <w:p w:rsidR="00DA442B" w:rsidRPr="00DC278B" w:rsidRDefault="00DA442B" w:rsidP="00DC278B">
      <w:pPr>
        <w:pStyle w:val="Ttulo3"/>
        <w:spacing w:before="0"/>
        <w:ind w:left="720"/>
        <w:rPr>
          <w:color w:val="auto"/>
          <w:sz w:val="20"/>
          <w:szCs w:val="20"/>
          <w:bdr w:val="none" w:sz="0" w:space="0" w:color="auto"/>
          <w:lang w:val="es-ES_tradnl"/>
        </w:rPr>
      </w:pPr>
      <w:bookmarkStart w:id="8" w:name="_Toc413397468"/>
      <w:r w:rsidRPr="00DC278B">
        <w:rPr>
          <w:color w:val="auto"/>
          <w:sz w:val="20"/>
          <w:szCs w:val="20"/>
          <w:bdr w:val="none" w:sz="0" w:space="0" w:color="auto"/>
          <w:lang w:val="es-ES_tradnl"/>
        </w:rPr>
        <w:t>Alegatos generales</w:t>
      </w:r>
      <w:bookmarkEnd w:id="8"/>
    </w:p>
    <w:p w:rsidR="00DA442B" w:rsidRPr="00DC278B" w:rsidRDefault="00DA442B" w:rsidP="00DC278B">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sz w:val="20"/>
          <w:szCs w:val="20"/>
          <w:bdr w:val="none" w:sz="0" w:space="0" w:color="auto"/>
          <w:lang w:val="es-ES_tradnl"/>
        </w:rPr>
      </w:pPr>
    </w:p>
    <w:p w:rsidR="00DA442B" w:rsidRPr="00DC278B" w:rsidRDefault="00DA442B"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r w:rsidRPr="00DC278B">
        <w:rPr>
          <w:rFonts w:ascii="Cambria" w:eastAsia="Times New Roman" w:hAnsi="Cambria"/>
          <w:sz w:val="20"/>
          <w:szCs w:val="20"/>
          <w:bdr w:val="none" w:sz="0" w:space="0" w:color="auto"/>
          <w:lang w:val="es-ES_tradnl"/>
        </w:rPr>
        <w:t>El peticionario alega que</w:t>
      </w:r>
      <w:r w:rsidR="0024609E" w:rsidRPr="00DC278B">
        <w:rPr>
          <w:rFonts w:ascii="Cambria" w:eastAsia="Times New Roman" w:hAnsi="Cambria"/>
          <w:sz w:val="20"/>
          <w:szCs w:val="20"/>
          <w:bdr w:val="none" w:sz="0" w:space="0" w:color="auto"/>
          <w:lang w:val="es-ES_tradnl"/>
        </w:rPr>
        <w:t xml:space="preserve"> en todos los casos se cometieron crímenes de lesa humanidad – secuestro seguido de asesinato </w:t>
      </w:r>
      <w:r w:rsidR="00537F8A" w:rsidRPr="00DC278B">
        <w:rPr>
          <w:rFonts w:ascii="Cambria" w:eastAsia="Times New Roman" w:hAnsi="Cambria"/>
          <w:sz w:val="20"/>
          <w:szCs w:val="20"/>
          <w:bdr w:val="none" w:sz="0" w:space="0" w:color="auto"/>
          <w:lang w:val="es-ES_tradnl"/>
        </w:rPr>
        <w:t>o</w:t>
      </w:r>
      <w:r w:rsidR="0024609E" w:rsidRPr="00DC278B">
        <w:rPr>
          <w:rFonts w:ascii="Cambria" w:eastAsia="Times New Roman" w:hAnsi="Cambria"/>
          <w:sz w:val="20"/>
          <w:szCs w:val="20"/>
          <w:bdr w:val="none" w:sz="0" w:space="0" w:color="auto"/>
          <w:lang w:val="es-ES_tradnl"/>
        </w:rPr>
        <w:t xml:space="preserve"> desaparición forzada </w:t>
      </w:r>
      <w:r w:rsidR="00431645" w:rsidRPr="00DC278B">
        <w:rPr>
          <w:rFonts w:ascii="Cambria" w:eastAsia="Times New Roman" w:hAnsi="Cambria"/>
          <w:sz w:val="20"/>
          <w:szCs w:val="20"/>
          <w:bdr w:val="none" w:sz="0" w:space="0" w:color="auto"/>
          <w:lang w:val="es-ES_tradnl"/>
        </w:rPr>
        <w:t xml:space="preserve">– </w:t>
      </w:r>
      <w:r w:rsidR="0077707F" w:rsidRPr="00DC278B">
        <w:rPr>
          <w:rFonts w:ascii="Cambria" w:eastAsia="Times New Roman" w:hAnsi="Cambria"/>
          <w:sz w:val="20"/>
          <w:szCs w:val="20"/>
          <w:bdr w:val="none" w:sz="0" w:space="0" w:color="auto"/>
          <w:lang w:val="es-ES_tradnl"/>
        </w:rPr>
        <w:t xml:space="preserve">cometidos por las fuerzas de seguridad del Estado durante la dictadura militar. </w:t>
      </w:r>
      <w:r w:rsidR="00FA384C" w:rsidRPr="00DC278B">
        <w:rPr>
          <w:rFonts w:ascii="Cambria" w:eastAsia="Times New Roman" w:hAnsi="Cambria"/>
          <w:sz w:val="20"/>
          <w:szCs w:val="20"/>
          <w:bdr w:val="none" w:sz="0" w:space="0" w:color="auto"/>
          <w:lang w:val="es-ES_tradnl"/>
        </w:rPr>
        <w:t xml:space="preserve">Indica que se </w:t>
      </w:r>
      <w:r w:rsidR="0024609E" w:rsidRPr="00DC278B">
        <w:rPr>
          <w:rFonts w:ascii="Cambria" w:eastAsia="Times New Roman" w:hAnsi="Cambria"/>
          <w:sz w:val="20"/>
          <w:szCs w:val="20"/>
          <w:bdr w:val="none" w:sz="0" w:space="0" w:color="auto"/>
          <w:lang w:val="es-ES_tradnl"/>
        </w:rPr>
        <w:t>interpusieron acciones civiles de reparación pecuniaria</w:t>
      </w:r>
      <w:r w:rsidR="006E5BA8" w:rsidRPr="00DC278B">
        <w:rPr>
          <w:rFonts w:ascii="Cambria" w:eastAsia="Times New Roman" w:hAnsi="Cambria"/>
          <w:sz w:val="20"/>
          <w:szCs w:val="20"/>
          <w:bdr w:val="none" w:sz="0" w:space="0" w:color="auto"/>
          <w:lang w:val="es-ES_tradnl"/>
        </w:rPr>
        <w:t xml:space="preserve"> contra el Estado,</w:t>
      </w:r>
      <w:r w:rsidR="009B58EB" w:rsidRPr="00DC278B">
        <w:rPr>
          <w:rFonts w:ascii="Cambria" w:eastAsia="Times New Roman" w:hAnsi="Cambria"/>
          <w:sz w:val="20"/>
          <w:szCs w:val="20"/>
          <w:bdr w:val="none" w:sz="0" w:space="0" w:color="auto"/>
          <w:lang w:val="es-ES_tradnl"/>
        </w:rPr>
        <w:t xml:space="preserve"> las cuales fueron rechazas en aplicación del periodo de prescripci</w:t>
      </w:r>
      <w:r w:rsidR="001352D9" w:rsidRPr="00DC278B">
        <w:rPr>
          <w:rFonts w:ascii="Cambria" w:eastAsia="Times New Roman" w:hAnsi="Cambria"/>
          <w:sz w:val="20"/>
          <w:szCs w:val="20"/>
          <w:bdr w:val="none" w:sz="0" w:space="0" w:color="auto"/>
          <w:lang w:val="es-ES_tradnl"/>
        </w:rPr>
        <w:t xml:space="preserve">ón establecido en el Código Civil. </w:t>
      </w:r>
    </w:p>
    <w:p w:rsidR="00DA442B" w:rsidRPr="00DC278B" w:rsidRDefault="00DA442B" w:rsidP="00DC278B">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sz w:val="20"/>
          <w:szCs w:val="20"/>
          <w:bdr w:val="none" w:sz="0" w:space="0" w:color="auto"/>
          <w:lang w:val="es-ES_tradnl"/>
        </w:rPr>
      </w:pPr>
    </w:p>
    <w:p w:rsidR="00DA442B" w:rsidRPr="00DC278B" w:rsidRDefault="00DA442B"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r w:rsidRPr="00DC278B">
        <w:rPr>
          <w:rFonts w:ascii="Cambria" w:eastAsia="Times New Roman" w:hAnsi="Cambria"/>
          <w:sz w:val="20"/>
          <w:szCs w:val="20"/>
          <w:bdr w:val="none" w:sz="0" w:space="0" w:color="auto"/>
          <w:lang w:val="es-ES_tradnl"/>
        </w:rPr>
        <w:t xml:space="preserve">El peticionario </w:t>
      </w:r>
      <w:r w:rsidR="00E61B3B" w:rsidRPr="00DC278B">
        <w:rPr>
          <w:rFonts w:ascii="Cambria" w:eastAsia="Times New Roman" w:hAnsi="Cambria"/>
          <w:sz w:val="20"/>
          <w:szCs w:val="20"/>
          <w:bdr w:val="none" w:sz="0" w:space="0" w:color="auto"/>
          <w:lang w:val="es-ES_tradnl"/>
        </w:rPr>
        <w:t xml:space="preserve">argumenta </w:t>
      </w:r>
      <w:r w:rsidRPr="00DC278B">
        <w:rPr>
          <w:rFonts w:ascii="Cambria" w:eastAsia="Times New Roman" w:hAnsi="Cambria"/>
          <w:sz w:val="20"/>
          <w:szCs w:val="20"/>
          <w:bdr w:val="none" w:sz="0" w:space="0" w:color="auto"/>
          <w:lang w:val="es-ES_tradnl"/>
        </w:rPr>
        <w:t>que los casos presentados en las peticiones son crímenes de lesa humanidad, por lo que las acciones civiles y penales son imprescriptibles</w:t>
      </w:r>
      <w:r w:rsidR="00C930A7" w:rsidRPr="00DC278B">
        <w:rPr>
          <w:rFonts w:ascii="Cambria" w:eastAsia="Times New Roman" w:hAnsi="Cambria"/>
          <w:sz w:val="20"/>
          <w:szCs w:val="20"/>
          <w:bdr w:val="none" w:sz="0" w:space="0" w:color="auto"/>
          <w:lang w:val="es-ES_tradnl"/>
        </w:rPr>
        <w:t xml:space="preserve"> bajo el derecho internacional</w:t>
      </w:r>
      <w:r w:rsidRPr="00DC278B">
        <w:rPr>
          <w:rFonts w:ascii="Cambria" w:eastAsia="Times New Roman" w:hAnsi="Cambria"/>
          <w:sz w:val="20"/>
          <w:szCs w:val="20"/>
          <w:bdr w:val="none" w:sz="0" w:space="0" w:color="auto"/>
          <w:lang w:val="es-ES_tradnl"/>
        </w:rPr>
        <w:t>. Al respecto, argumentó que la aplicación de la prescripción a crímenes de lesa humanidad es contraria a los derechos a la protección judicial y a las garantías judiciales. Asimismo, argumenta que la aplicación de la prescripción es contraria a la obligación de adoptar medidas de derecho interno, prevista en el artículo</w:t>
      </w:r>
      <w:r w:rsidR="00FA7864">
        <w:rPr>
          <w:rFonts w:ascii="Cambria" w:eastAsia="Times New Roman" w:hAnsi="Cambria"/>
          <w:sz w:val="20"/>
          <w:szCs w:val="20"/>
          <w:bdr w:val="none" w:sz="0" w:space="0" w:color="auto"/>
          <w:lang w:val="es-ES_tradnl"/>
        </w:rPr>
        <w:t xml:space="preserve"> 2 de la Convención Americana. A</w:t>
      </w:r>
      <w:r w:rsidRPr="00DC278B">
        <w:rPr>
          <w:rFonts w:ascii="Cambria" w:eastAsia="Times New Roman" w:hAnsi="Cambria"/>
          <w:sz w:val="20"/>
          <w:szCs w:val="20"/>
          <w:bdr w:val="none" w:sz="0" w:space="0" w:color="auto"/>
          <w:lang w:val="es-ES_tradnl"/>
        </w:rPr>
        <w:t xml:space="preserve">l respecto, alega que una norma consuetudinaria establece que el Estado que firma un tratado debe adoptar medidas de derecho interno para adecuar su legislación a sus obligaciones internacionales. En sentido similar, alega que la aplicación de la prescripción también desconoce el artículo 27 de la Convención de Viena sobre el Derecho de los Tratados, que establece que los Estados no pueden invocar normas de derecho interno como justificación del incumplimiento de un tratado internacional. </w:t>
      </w:r>
    </w:p>
    <w:p w:rsidR="00DA442B" w:rsidRPr="00DC278B" w:rsidRDefault="00DA442B" w:rsidP="00DC278B">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sz w:val="20"/>
          <w:szCs w:val="20"/>
          <w:bdr w:val="none" w:sz="0" w:space="0" w:color="auto"/>
          <w:lang w:val="es-ES_tradnl"/>
        </w:rPr>
      </w:pPr>
    </w:p>
    <w:p w:rsidR="00DA442B" w:rsidRPr="00DC278B" w:rsidRDefault="00DA442B"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r w:rsidRPr="00DC278B">
        <w:rPr>
          <w:rFonts w:ascii="Cambria" w:eastAsia="Times New Roman" w:hAnsi="Cambria"/>
          <w:sz w:val="20"/>
          <w:szCs w:val="20"/>
          <w:bdr w:val="none" w:sz="0" w:space="0" w:color="auto"/>
          <w:lang w:val="es-ES_tradnl"/>
        </w:rPr>
        <w:t>En relación con la obligación de reparar prevista en el artículo 1.1 de la Convención Americana, el peticionario alega que las pensiones y bonos de compensación otorgadas a las presuntas víctimas son pagos asistenciales que no podrían sustituir una autentica indemnizació</w:t>
      </w:r>
      <w:r w:rsidR="00FA7864">
        <w:rPr>
          <w:rFonts w:ascii="Cambria" w:eastAsia="Times New Roman" w:hAnsi="Cambria"/>
          <w:sz w:val="20"/>
          <w:szCs w:val="20"/>
          <w:bdr w:val="none" w:sz="0" w:space="0" w:color="auto"/>
          <w:lang w:val="es-ES_tradnl"/>
        </w:rPr>
        <w:t xml:space="preserve">n de perjuicios. </w:t>
      </w:r>
      <w:r w:rsidRPr="00DC278B">
        <w:rPr>
          <w:rFonts w:ascii="Cambria" w:eastAsia="Times New Roman" w:hAnsi="Cambria"/>
          <w:sz w:val="20"/>
          <w:szCs w:val="20"/>
          <w:bdr w:val="none" w:sz="0" w:space="0" w:color="auto"/>
          <w:lang w:val="es-ES_tradnl"/>
        </w:rPr>
        <w:t>En ese sentido, señala que los tribunales chilenos han declarado de manera explícita que tales beneficios legales s</w:t>
      </w:r>
      <w:r w:rsidR="00FA7864">
        <w:rPr>
          <w:rFonts w:ascii="Cambria" w:eastAsia="Times New Roman" w:hAnsi="Cambria"/>
          <w:sz w:val="20"/>
          <w:szCs w:val="20"/>
          <w:bdr w:val="none" w:sz="0" w:space="0" w:color="auto"/>
          <w:lang w:val="es-ES_tradnl"/>
        </w:rPr>
        <w:t xml:space="preserve">on sólo medidas asistenciales. </w:t>
      </w:r>
      <w:r w:rsidRPr="00DC278B">
        <w:rPr>
          <w:rFonts w:ascii="Cambria" w:eastAsia="Times New Roman" w:hAnsi="Cambria"/>
          <w:sz w:val="20"/>
          <w:szCs w:val="20"/>
          <w:bdr w:val="none" w:sz="0" w:space="0" w:color="auto"/>
          <w:lang w:val="es-ES_tradnl"/>
        </w:rPr>
        <w:t>También indica que de conformidad con la Ley No. 19.123 las pensiones son compatibles con o</w:t>
      </w:r>
      <w:r w:rsidR="00FA7864">
        <w:rPr>
          <w:rFonts w:ascii="Cambria" w:eastAsia="Times New Roman" w:hAnsi="Cambria"/>
          <w:sz w:val="20"/>
          <w:szCs w:val="20"/>
          <w:bdr w:val="none" w:sz="0" w:space="0" w:color="auto"/>
          <w:lang w:val="es-ES_tradnl"/>
        </w:rPr>
        <w:t xml:space="preserve">tro tipo de reparación. </w:t>
      </w:r>
      <w:r w:rsidRPr="00DC278B">
        <w:rPr>
          <w:rFonts w:ascii="Cambria" w:eastAsia="Times New Roman" w:hAnsi="Cambria"/>
          <w:sz w:val="20"/>
          <w:szCs w:val="20"/>
          <w:bdr w:val="none" w:sz="0" w:space="0" w:color="auto"/>
          <w:lang w:val="es-ES_tradnl"/>
        </w:rPr>
        <w:t>Al respecto, señala que los montos de las pensiones y bonos de reparación son insuficientes e inferiores a los criterios fijados por los estándares internacionales en materia de indemnización de perjuicios en casos de graves violaciones a los derechos humanos.</w:t>
      </w:r>
    </w:p>
    <w:p w:rsidR="00DA442B" w:rsidRPr="00DC278B" w:rsidRDefault="00DA442B" w:rsidP="00DC278B">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sz w:val="20"/>
          <w:szCs w:val="20"/>
          <w:bdr w:val="none" w:sz="0" w:space="0" w:color="auto"/>
          <w:lang w:val="es-ES_tradnl"/>
        </w:rPr>
      </w:pPr>
    </w:p>
    <w:p w:rsidR="00DA442B" w:rsidRPr="00DC278B" w:rsidRDefault="00DA442B"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r w:rsidRPr="00DC278B">
        <w:rPr>
          <w:rFonts w:ascii="Cambria" w:eastAsia="Times New Roman" w:hAnsi="Cambria"/>
          <w:sz w:val="20"/>
          <w:szCs w:val="20"/>
          <w:bdr w:val="none" w:sz="0" w:space="0" w:color="auto"/>
          <w:lang w:val="es-ES_tradnl"/>
        </w:rPr>
        <w:t xml:space="preserve">El peticionario argumenta que la indemnización de perjuicios debe incluir la reparación tanto del daño emergente, como del lucro cesante, el daño moral </w:t>
      </w:r>
      <w:r w:rsidR="00FA7864">
        <w:rPr>
          <w:rFonts w:ascii="Cambria" w:eastAsia="Times New Roman" w:hAnsi="Cambria"/>
          <w:sz w:val="20"/>
          <w:szCs w:val="20"/>
          <w:bdr w:val="none" w:sz="0" w:space="0" w:color="auto"/>
          <w:lang w:val="es-ES_tradnl"/>
        </w:rPr>
        <w:t xml:space="preserve">y el daño al proyecto de vida. </w:t>
      </w:r>
      <w:r w:rsidRPr="00DC278B">
        <w:rPr>
          <w:rFonts w:ascii="Cambria" w:eastAsia="Times New Roman" w:hAnsi="Cambria"/>
          <w:sz w:val="20"/>
          <w:szCs w:val="20"/>
          <w:bdr w:val="none" w:sz="0" w:space="0" w:color="auto"/>
          <w:lang w:val="es-ES_tradnl"/>
        </w:rPr>
        <w:t>Agrega que estos aspectos sólo pueden ser valorados en sede judicial para que se pueda realizar un análisis de las circunstancias particulares y concretas de la situación de cada víctima.</w:t>
      </w:r>
    </w:p>
    <w:p w:rsidR="00DA442B" w:rsidRPr="00DC278B" w:rsidRDefault="00DA442B" w:rsidP="00DC278B">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sz w:val="20"/>
          <w:szCs w:val="20"/>
          <w:bdr w:val="none" w:sz="0" w:space="0" w:color="auto"/>
          <w:lang w:val="es-ES_tradnl"/>
        </w:rPr>
      </w:pPr>
    </w:p>
    <w:p w:rsidR="00DA442B" w:rsidRPr="00DC278B" w:rsidRDefault="00DA442B"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eastAsia="es-ES"/>
        </w:rPr>
      </w:pPr>
      <w:r w:rsidRPr="00DC278B">
        <w:rPr>
          <w:rFonts w:ascii="Cambria" w:eastAsia="Times New Roman" w:hAnsi="Cambria"/>
          <w:sz w:val="20"/>
          <w:szCs w:val="20"/>
          <w:bdr w:val="none" w:sz="0" w:space="0" w:color="auto"/>
          <w:lang w:val="es-ES_tradnl"/>
        </w:rPr>
        <w:t>El peticionario denuncia que esta aplicación de normas del derecho civil, destinadas a las relaciones entre particulares, a un conflicto de derecho público reg</w:t>
      </w:r>
      <w:r w:rsidR="00166E75" w:rsidRPr="00DC278B">
        <w:rPr>
          <w:rFonts w:ascii="Cambria" w:eastAsia="Times New Roman" w:hAnsi="Cambria"/>
          <w:sz w:val="20"/>
          <w:szCs w:val="20"/>
          <w:bdr w:val="none" w:sz="0" w:space="0" w:color="auto"/>
          <w:lang w:val="es-ES_tradnl"/>
        </w:rPr>
        <w:t>u</w:t>
      </w:r>
      <w:r w:rsidRPr="00DC278B">
        <w:rPr>
          <w:rFonts w:ascii="Cambria" w:eastAsia="Times New Roman" w:hAnsi="Cambria"/>
          <w:sz w:val="20"/>
          <w:szCs w:val="20"/>
          <w:bdr w:val="none" w:sz="0" w:space="0" w:color="auto"/>
          <w:lang w:val="es-ES_tradnl"/>
        </w:rPr>
        <w:t>lado por la Constitución y los tratados internacionales de derechos humanos es “extraordinariamente errónea, perjudicial para el interés de las víctimas, sus familiares y violatorio del derecho internacio</w:t>
      </w:r>
      <w:r w:rsidR="00FA7864">
        <w:rPr>
          <w:rFonts w:ascii="Cambria" w:eastAsia="Times New Roman" w:hAnsi="Cambria"/>
          <w:sz w:val="20"/>
          <w:szCs w:val="20"/>
          <w:bdr w:val="none" w:sz="0" w:space="0" w:color="auto"/>
          <w:lang w:val="es-ES_tradnl"/>
        </w:rPr>
        <w:t xml:space="preserve">nal de los derechos humanos”. </w:t>
      </w:r>
      <w:r w:rsidRPr="00DC278B">
        <w:rPr>
          <w:rFonts w:ascii="Cambria" w:eastAsia="Times New Roman" w:hAnsi="Cambria"/>
          <w:sz w:val="20"/>
          <w:szCs w:val="20"/>
          <w:bdr w:val="none" w:sz="0" w:space="0" w:color="auto"/>
          <w:lang w:val="es-ES_tradnl"/>
        </w:rPr>
        <w:t>Así, al aplicar estas disposiciones los jueces niegan el derecho a la reparación y ponen al Estado en una flagrante situación de vulneración de la Convención Americana, puesto que de acuerdo con su artículo 2 los Estados deben adecuar su derecho interno a las disposiciones de esta Convención.</w:t>
      </w:r>
    </w:p>
    <w:p w:rsidR="00DA442B" w:rsidRPr="00DC278B" w:rsidRDefault="00DA442B" w:rsidP="00DC278B">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sz w:val="20"/>
          <w:szCs w:val="20"/>
          <w:bdr w:val="none" w:sz="0" w:space="0" w:color="auto"/>
          <w:lang w:val="es-ES_tradnl"/>
        </w:rPr>
      </w:pPr>
    </w:p>
    <w:p w:rsidR="005F74FD" w:rsidRPr="00DC278B" w:rsidRDefault="005F74FD" w:rsidP="00DC278B">
      <w:pPr>
        <w:pStyle w:val="Ttulo3"/>
        <w:spacing w:before="0"/>
        <w:ind w:left="720"/>
        <w:rPr>
          <w:color w:val="auto"/>
          <w:sz w:val="20"/>
          <w:szCs w:val="20"/>
          <w:bdr w:val="none" w:sz="0" w:space="0" w:color="auto"/>
          <w:lang w:val="es-ES_tradnl"/>
        </w:rPr>
      </w:pPr>
      <w:bookmarkStart w:id="9" w:name="_Toc413397464"/>
      <w:r w:rsidRPr="00DC278B">
        <w:rPr>
          <w:color w:val="auto"/>
          <w:sz w:val="20"/>
          <w:szCs w:val="20"/>
          <w:bdr w:val="none" w:sz="0" w:space="0" w:color="auto"/>
          <w:lang w:val="es-ES_tradnl"/>
        </w:rPr>
        <w:t>Caso 12.521 – Aleg</w:t>
      </w:r>
      <w:r w:rsidR="00E07F44" w:rsidRPr="00DC278B">
        <w:rPr>
          <w:color w:val="auto"/>
          <w:sz w:val="20"/>
          <w:szCs w:val="20"/>
          <w:bdr w:val="none" w:sz="0" w:space="0" w:color="auto"/>
          <w:lang w:val="es-ES_tradnl"/>
        </w:rPr>
        <w:t>atos específicos – María Laura Ó</w:t>
      </w:r>
      <w:r w:rsidRPr="00DC278B">
        <w:rPr>
          <w:color w:val="auto"/>
          <w:sz w:val="20"/>
          <w:szCs w:val="20"/>
          <w:bdr w:val="none" w:sz="0" w:space="0" w:color="auto"/>
          <w:lang w:val="es-ES_tradnl"/>
        </w:rPr>
        <w:t>rdenes Guerra</w:t>
      </w:r>
      <w:r w:rsidR="004C609C" w:rsidRPr="00DC278B">
        <w:rPr>
          <w:color w:val="auto"/>
          <w:sz w:val="20"/>
          <w:szCs w:val="20"/>
          <w:bdr w:val="none" w:sz="0" w:space="0" w:color="auto"/>
          <w:lang w:val="es-ES_tradnl"/>
        </w:rPr>
        <w:t xml:space="preserve"> e hijos (familiares de</w:t>
      </w:r>
      <w:r w:rsidRPr="00DC278B">
        <w:rPr>
          <w:color w:val="auto"/>
          <w:sz w:val="20"/>
          <w:szCs w:val="20"/>
          <w:bdr w:val="none" w:sz="0" w:space="0" w:color="auto"/>
          <w:lang w:val="es-ES_tradnl"/>
        </w:rPr>
        <w:t xml:space="preserve"> Augusto Andino </w:t>
      </w:r>
      <w:proofErr w:type="spellStart"/>
      <w:r w:rsidRPr="00DC278B">
        <w:rPr>
          <w:color w:val="auto"/>
          <w:sz w:val="20"/>
          <w:szCs w:val="20"/>
          <w:bdr w:val="none" w:sz="0" w:space="0" w:color="auto"/>
          <w:lang w:val="es-ES_tradnl"/>
        </w:rPr>
        <w:t>Alcalaya</w:t>
      </w:r>
      <w:proofErr w:type="spellEnd"/>
      <w:r w:rsidR="00D5389D">
        <w:rPr>
          <w:color w:val="auto"/>
          <w:sz w:val="20"/>
          <w:szCs w:val="20"/>
          <w:bdr w:val="none" w:sz="0" w:space="0" w:color="auto"/>
          <w:lang w:val="es-ES_tradnl"/>
        </w:rPr>
        <w:t xml:space="preserve"> </w:t>
      </w:r>
      <w:r w:rsidRPr="00DC278B">
        <w:rPr>
          <w:color w:val="auto"/>
          <w:sz w:val="20"/>
          <w:szCs w:val="20"/>
          <w:bdr w:val="none" w:sz="0" w:space="0" w:color="auto"/>
          <w:lang w:val="es-ES_tradnl"/>
        </w:rPr>
        <w:t xml:space="preserve"> </w:t>
      </w:r>
      <w:proofErr w:type="spellStart"/>
      <w:r w:rsidRPr="00DC278B">
        <w:rPr>
          <w:color w:val="auto"/>
          <w:sz w:val="20"/>
          <w:szCs w:val="20"/>
          <w:bdr w:val="none" w:sz="0" w:space="0" w:color="auto"/>
          <w:lang w:val="es-ES_tradnl"/>
        </w:rPr>
        <w:t>Aldunate</w:t>
      </w:r>
      <w:proofErr w:type="spellEnd"/>
      <w:r w:rsidRPr="00DC278B">
        <w:rPr>
          <w:color w:val="auto"/>
          <w:sz w:val="20"/>
          <w:szCs w:val="20"/>
          <w:bdr w:val="none" w:sz="0" w:space="0" w:color="auto"/>
          <w:lang w:val="es-ES_tradnl"/>
        </w:rPr>
        <w:t>)</w:t>
      </w:r>
      <w:bookmarkEnd w:id="9"/>
    </w:p>
    <w:p w:rsidR="005F74FD" w:rsidRPr="00DC278B" w:rsidRDefault="005F74FD" w:rsidP="00DC278B">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sz w:val="20"/>
          <w:szCs w:val="20"/>
          <w:bdr w:val="none" w:sz="0" w:space="0" w:color="auto"/>
          <w:lang w:val="es-ES_tradnl"/>
        </w:rPr>
      </w:pPr>
    </w:p>
    <w:p w:rsidR="005F74FD" w:rsidRPr="00DC278B" w:rsidRDefault="0020078A"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r w:rsidRPr="00DC278B">
        <w:rPr>
          <w:rFonts w:ascii="Cambria" w:eastAsia="Times New Roman" w:hAnsi="Cambria"/>
          <w:sz w:val="20"/>
          <w:szCs w:val="20"/>
          <w:bdr w:val="none" w:sz="0" w:space="0" w:color="auto"/>
          <w:lang w:val="es-ES_tradnl"/>
        </w:rPr>
        <w:t>El peticionario a</w:t>
      </w:r>
      <w:r w:rsidR="005F74FD" w:rsidRPr="00DC278B">
        <w:rPr>
          <w:rFonts w:ascii="Cambria" w:eastAsia="Times New Roman" w:hAnsi="Cambria"/>
          <w:sz w:val="20"/>
          <w:szCs w:val="20"/>
          <w:bdr w:val="none" w:sz="0" w:space="0" w:color="auto"/>
          <w:lang w:val="es-ES_tradnl"/>
        </w:rPr>
        <w:t>lega que para la búsqueda de una reparación integral establecid</w:t>
      </w:r>
      <w:r w:rsidR="00E07F44" w:rsidRPr="00DC278B">
        <w:rPr>
          <w:rFonts w:ascii="Cambria" w:eastAsia="Times New Roman" w:hAnsi="Cambria"/>
          <w:sz w:val="20"/>
          <w:szCs w:val="20"/>
          <w:bdr w:val="none" w:sz="0" w:space="0" w:color="auto"/>
          <w:lang w:val="es-ES_tradnl"/>
        </w:rPr>
        <w:t>a judicialmente, en 1997 María Ó</w:t>
      </w:r>
      <w:r w:rsidR="005F74FD" w:rsidRPr="00DC278B">
        <w:rPr>
          <w:rFonts w:ascii="Cambria" w:eastAsia="Times New Roman" w:hAnsi="Cambria"/>
          <w:sz w:val="20"/>
          <w:szCs w:val="20"/>
          <w:bdr w:val="none" w:sz="0" w:space="0" w:color="auto"/>
          <w:lang w:val="es-ES_tradnl"/>
        </w:rPr>
        <w:t>rdenes presentó una demanda de indemnización ante el Octavo Juzgado Civil de Santia</w:t>
      </w:r>
      <w:r w:rsidR="00A97FB6" w:rsidRPr="00DC278B">
        <w:rPr>
          <w:rFonts w:ascii="Cambria" w:eastAsia="Times New Roman" w:hAnsi="Cambria"/>
          <w:sz w:val="20"/>
          <w:szCs w:val="20"/>
          <w:bdr w:val="none" w:sz="0" w:space="0" w:color="auto"/>
          <w:lang w:val="es-ES_tradnl"/>
        </w:rPr>
        <w:t>go de Chile (en adelante “</w:t>
      </w:r>
      <w:r w:rsidR="005A68B1" w:rsidRPr="00DC278B">
        <w:rPr>
          <w:rFonts w:ascii="Cambria" w:eastAsia="Times New Roman" w:hAnsi="Cambria"/>
          <w:sz w:val="20"/>
          <w:szCs w:val="20"/>
          <w:bdr w:val="none" w:sz="0" w:space="0" w:color="auto"/>
          <w:lang w:val="es-ES_tradnl"/>
        </w:rPr>
        <w:t xml:space="preserve">el </w:t>
      </w:r>
      <w:r w:rsidR="00BA0A5E" w:rsidRPr="00DC278B">
        <w:rPr>
          <w:rFonts w:ascii="Cambria" w:eastAsia="Times New Roman" w:hAnsi="Cambria"/>
          <w:sz w:val="20"/>
          <w:szCs w:val="20"/>
          <w:bdr w:val="none" w:sz="0" w:space="0" w:color="auto"/>
          <w:lang w:val="es-ES_tradnl"/>
        </w:rPr>
        <w:t>8º</w:t>
      </w:r>
      <w:r w:rsidR="005F74FD" w:rsidRPr="00DC278B">
        <w:rPr>
          <w:rFonts w:ascii="Cambria" w:eastAsia="Times New Roman" w:hAnsi="Cambria"/>
          <w:sz w:val="20"/>
          <w:szCs w:val="20"/>
          <w:bdr w:val="none" w:sz="0" w:space="0" w:color="auto"/>
          <w:lang w:val="es-ES_tradnl"/>
        </w:rPr>
        <w:t xml:space="preserve"> Juzgado Civil”), por el daño moral ocasionado por los agentes estatales por el secuestro y asesinato de su esposo</w:t>
      </w:r>
      <w:r w:rsidR="003555B8" w:rsidRPr="00DC278B">
        <w:rPr>
          <w:rFonts w:ascii="Cambria" w:eastAsia="Times New Roman" w:hAnsi="Cambria"/>
          <w:sz w:val="20"/>
          <w:szCs w:val="20"/>
          <w:bdr w:val="none" w:sz="0" w:space="0" w:color="auto"/>
          <w:lang w:val="es-ES_tradnl"/>
        </w:rPr>
        <w:t xml:space="preserve"> Augusto </w:t>
      </w:r>
      <w:proofErr w:type="spellStart"/>
      <w:r w:rsidR="003555B8" w:rsidRPr="00DC278B">
        <w:rPr>
          <w:rFonts w:ascii="Cambria" w:eastAsia="Times New Roman" w:hAnsi="Cambria"/>
          <w:sz w:val="20"/>
          <w:szCs w:val="20"/>
          <w:bdr w:val="none" w:sz="0" w:space="0" w:color="auto"/>
          <w:lang w:val="es-ES_tradnl"/>
        </w:rPr>
        <w:t>Alcayaga</w:t>
      </w:r>
      <w:proofErr w:type="spellEnd"/>
      <w:r w:rsidRPr="00DC278B">
        <w:rPr>
          <w:rFonts w:ascii="Cambria" w:eastAsia="Times New Roman" w:hAnsi="Cambria"/>
          <w:sz w:val="20"/>
          <w:szCs w:val="20"/>
          <w:bdr w:val="none" w:sz="0" w:space="0" w:color="auto"/>
          <w:lang w:val="es-ES_tradnl"/>
        </w:rPr>
        <w:t>,</w:t>
      </w:r>
      <w:r w:rsidR="003555B8" w:rsidRPr="00DC278B">
        <w:rPr>
          <w:rFonts w:ascii="Cambria" w:eastAsia="Times New Roman" w:hAnsi="Cambria"/>
          <w:sz w:val="20"/>
          <w:szCs w:val="20"/>
          <w:bdr w:val="none" w:sz="0" w:space="0" w:color="auto"/>
          <w:lang w:val="es-ES_tradnl"/>
        </w:rPr>
        <w:t xml:space="preserve"> ocurrido en 1973</w:t>
      </w:r>
      <w:r w:rsidR="005F74FD" w:rsidRPr="00DC278B">
        <w:rPr>
          <w:rFonts w:ascii="Cambria" w:eastAsia="Times New Roman" w:hAnsi="Cambria"/>
          <w:sz w:val="20"/>
          <w:szCs w:val="20"/>
          <w:bdr w:val="none" w:sz="0" w:space="0" w:color="auto"/>
          <w:lang w:val="es-ES_tradnl"/>
        </w:rPr>
        <w:t xml:space="preserve">, así como por la denegación de justicia y falta de </w:t>
      </w:r>
      <w:r w:rsidRPr="00DC278B">
        <w:rPr>
          <w:rFonts w:ascii="Cambria" w:eastAsia="Times New Roman" w:hAnsi="Cambria"/>
          <w:sz w:val="20"/>
          <w:szCs w:val="20"/>
          <w:bdr w:val="none" w:sz="0" w:space="0" w:color="auto"/>
          <w:lang w:val="es-ES_tradnl"/>
        </w:rPr>
        <w:t>información sobre dichos hechos;</w:t>
      </w:r>
      <w:r w:rsidR="00E07F44" w:rsidRPr="00DC278B">
        <w:rPr>
          <w:rFonts w:ascii="Cambria" w:eastAsia="Times New Roman" w:hAnsi="Cambria"/>
          <w:sz w:val="20"/>
          <w:szCs w:val="20"/>
          <w:bdr w:val="none" w:sz="0" w:space="0" w:color="auto"/>
          <w:lang w:val="es-ES_tradnl"/>
        </w:rPr>
        <w:t xml:space="preserve"> dándose inicio al proceso “Ó</w:t>
      </w:r>
      <w:r w:rsidR="005F74FD" w:rsidRPr="00DC278B">
        <w:rPr>
          <w:rFonts w:ascii="Cambria" w:eastAsia="Times New Roman" w:hAnsi="Cambria"/>
          <w:sz w:val="20"/>
          <w:szCs w:val="20"/>
          <w:bdr w:val="none" w:sz="0" w:space="0" w:color="auto"/>
          <w:lang w:val="es-ES_tradnl"/>
        </w:rPr>
        <w:t>rde</w:t>
      </w:r>
      <w:r w:rsidR="00FA7864">
        <w:rPr>
          <w:rFonts w:ascii="Cambria" w:eastAsia="Times New Roman" w:hAnsi="Cambria"/>
          <w:sz w:val="20"/>
          <w:szCs w:val="20"/>
          <w:bdr w:val="none" w:sz="0" w:space="0" w:color="auto"/>
          <w:lang w:val="es-ES_tradnl"/>
        </w:rPr>
        <w:t xml:space="preserve">nes María </w:t>
      </w:r>
      <w:r w:rsidR="00FA7864">
        <w:rPr>
          <w:rFonts w:ascii="Cambria" w:eastAsia="Times New Roman" w:hAnsi="Cambria"/>
          <w:sz w:val="20"/>
          <w:szCs w:val="20"/>
          <w:bdr w:val="none" w:sz="0" w:space="0" w:color="auto"/>
          <w:lang w:val="es-ES_tradnl"/>
        </w:rPr>
        <w:lastRenderedPageBreak/>
        <w:t xml:space="preserve">con Fisco de Chile”. </w:t>
      </w:r>
      <w:r w:rsidR="00DD79A0" w:rsidRPr="00DC278B">
        <w:rPr>
          <w:rFonts w:ascii="Cambria" w:eastAsia="Times New Roman" w:hAnsi="Cambria"/>
          <w:sz w:val="20"/>
          <w:szCs w:val="20"/>
          <w:bdr w:val="none" w:sz="0" w:space="0" w:color="auto"/>
          <w:lang w:val="es-ES_tradnl"/>
        </w:rPr>
        <w:t>Señala que</w:t>
      </w:r>
      <w:r w:rsidR="002420FF" w:rsidRPr="00DC278B">
        <w:rPr>
          <w:rFonts w:ascii="Cambria" w:eastAsia="Times New Roman" w:hAnsi="Cambria"/>
          <w:sz w:val="20"/>
          <w:szCs w:val="20"/>
          <w:bdr w:val="none" w:sz="0" w:space="0" w:color="auto"/>
          <w:lang w:val="es-ES_tradnl"/>
        </w:rPr>
        <w:t xml:space="preserve"> la</w:t>
      </w:r>
      <w:r w:rsidR="00DD79A0" w:rsidRPr="00DC278B">
        <w:rPr>
          <w:rFonts w:ascii="Cambria" w:eastAsia="Times New Roman" w:hAnsi="Cambria"/>
          <w:sz w:val="20"/>
          <w:szCs w:val="20"/>
          <w:bdr w:val="none" w:sz="0" w:space="0" w:color="auto"/>
          <w:lang w:val="es-ES_tradnl"/>
        </w:rPr>
        <w:t xml:space="preserve"> </w:t>
      </w:r>
      <w:r w:rsidR="005F74FD" w:rsidRPr="00DC278B">
        <w:rPr>
          <w:rFonts w:ascii="Cambria" w:eastAsia="Times New Roman" w:hAnsi="Cambria"/>
          <w:sz w:val="20"/>
          <w:szCs w:val="20"/>
          <w:bdr w:val="none" w:sz="0" w:space="0" w:color="auto"/>
          <w:lang w:val="es-ES_tradnl"/>
        </w:rPr>
        <w:t xml:space="preserve">demanda se </w:t>
      </w:r>
      <w:r w:rsidR="00DD79A0" w:rsidRPr="00DC278B">
        <w:rPr>
          <w:rFonts w:ascii="Cambria" w:eastAsia="Times New Roman" w:hAnsi="Cambria"/>
          <w:sz w:val="20"/>
          <w:szCs w:val="20"/>
          <w:bdr w:val="none" w:sz="0" w:space="0" w:color="auto"/>
          <w:lang w:val="es-ES_tradnl"/>
        </w:rPr>
        <w:t xml:space="preserve">basó </w:t>
      </w:r>
      <w:r w:rsidR="005F74FD" w:rsidRPr="00DC278B">
        <w:rPr>
          <w:rFonts w:ascii="Cambria" w:eastAsia="Times New Roman" w:hAnsi="Cambria"/>
          <w:sz w:val="20"/>
          <w:szCs w:val="20"/>
          <w:bdr w:val="none" w:sz="0" w:space="0" w:color="auto"/>
          <w:lang w:val="es-ES_tradnl"/>
        </w:rPr>
        <w:t>en el informe de la Comisión Nacional de Verdad y Reconciliación (en adelante “</w:t>
      </w:r>
      <w:r w:rsidR="00DD79A0" w:rsidRPr="00DC278B">
        <w:rPr>
          <w:rFonts w:ascii="Cambria" w:eastAsia="Times New Roman" w:hAnsi="Cambria"/>
          <w:sz w:val="20"/>
          <w:szCs w:val="20"/>
          <w:bdr w:val="none" w:sz="0" w:space="0" w:color="auto"/>
          <w:lang w:val="es-ES_tradnl"/>
        </w:rPr>
        <w:t xml:space="preserve">la </w:t>
      </w:r>
      <w:r w:rsidR="005F74FD" w:rsidRPr="00DC278B">
        <w:rPr>
          <w:rFonts w:ascii="Cambria" w:eastAsia="Times New Roman" w:hAnsi="Cambria"/>
          <w:sz w:val="20"/>
          <w:szCs w:val="20"/>
          <w:bdr w:val="none" w:sz="0" w:space="0" w:color="auto"/>
          <w:lang w:val="es-ES_tradnl"/>
        </w:rPr>
        <w:t xml:space="preserve">Comisión </w:t>
      </w:r>
      <w:proofErr w:type="spellStart"/>
      <w:r w:rsidR="005F74FD" w:rsidRPr="00DC278B">
        <w:rPr>
          <w:rFonts w:ascii="Cambria" w:eastAsia="Times New Roman" w:hAnsi="Cambria"/>
          <w:sz w:val="20"/>
          <w:szCs w:val="20"/>
          <w:bdr w:val="none" w:sz="0" w:space="0" w:color="auto"/>
          <w:lang w:val="es-ES_tradnl"/>
        </w:rPr>
        <w:t>Rettig</w:t>
      </w:r>
      <w:proofErr w:type="spellEnd"/>
      <w:r w:rsidR="005F74FD" w:rsidRPr="00DC278B">
        <w:rPr>
          <w:rFonts w:ascii="Cambria" w:eastAsia="Times New Roman" w:hAnsi="Cambria"/>
          <w:sz w:val="20"/>
          <w:szCs w:val="20"/>
          <w:bdr w:val="none" w:sz="0" w:space="0" w:color="auto"/>
          <w:lang w:val="es-ES_tradnl"/>
        </w:rPr>
        <w:t xml:space="preserve">”), en el cual se reconoció a Augusto </w:t>
      </w:r>
      <w:proofErr w:type="spellStart"/>
      <w:r w:rsidR="005F74FD" w:rsidRPr="00DC278B">
        <w:rPr>
          <w:rFonts w:ascii="Cambria" w:eastAsia="Times New Roman" w:hAnsi="Cambria"/>
          <w:sz w:val="20"/>
          <w:szCs w:val="20"/>
          <w:bdr w:val="none" w:sz="0" w:space="0" w:color="auto"/>
          <w:lang w:val="es-ES_tradnl"/>
        </w:rPr>
        <w:t>Alcayaga</w:t>
      </w:r>
      <w:proofErr w:type="spellEnd"/>
      <w:r w:rsidR="005F74FD" w:rsidRPr="00DC278B">
        <w:rPr>
          <w:rFonts w:ascii="Cambria" w:eastAsia="Times New Roman" w:hAnsi="Cambria"/>
          <w:sz w:val="20"/>
          <w:szCs w:val="20"/>
          <w:bdr w:val="none" w:sz="0" w:space="0" w:color="auto"/>
          <w:lang w:val="es-ES_tradnl"/>
        </w:rPr>
        <w:t xml:space="preserve"> como víctima de </w:t>
      </w:r>
      <w:r w:rsidR="00DD7305" w:rsidRPr="00DC278B">
        <w:rPr>
          <w:rFonts w:ascii="Cambria" w:eastAsia="Times New Roman" w:hAnsi="Cambria"/>
          <w:sz w:val="20"/>
          <w:szCs w:val="20"/>
          <w:bdr w:val="none" w:sz="0" w:space="0" w:color="auto"/>
          <w:lang w:val="es-ES_tradnl"/>
        </w:rPr>
        <w:t xml:space="preserve">secuestro y asesinato </w:t>
      </w:r>
      <w:r w:rsidR="00FA7864">
        <w:rPr>
          <w:rFonts w:ascii="Cambria" w:eastAsia="Times New Roman" w:hAnsi="Cambria"/>
          <w:sz w:val="20"/>
          <w:szCs w:val="20"/>
          <w:bdr w:val="none" w:sz="0" w:space="0" w:color="auto"/>
          <w:lang w:val="es-ES_tradnl"/>
        </w:rPr>
        <w:t>durante la dictadura militar.</w:t>
      </w:r>
    </w:p>
    <w:p w:rsidR="005F74FD" w:rsidRPr="00DC278B" w:rsidRDefault="005F74FD" w:rsidP="00DC278B">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sz w:val="20"/>
          <w:szCs w:val="20"/>
          <w:bdr w:val="none" w:sz="0" w:space="0" w:color="auto"/>
          <w:lang w:val="es-ES_tradnl"/>
        </w:rPr>
      </w:pPr>
    </w:p>
    <w:p w:rsidR="005F74FD" w:rsidRPr="00DC278B" w:rsidRDefault="005F74FD"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r w:rsidRPr="00DC278B">
        <w:rPr>
          <w:rFonts w:ascii="Cambria" w:eastAsia="Times New Roman" w:hAnsi="Cambria"/>
          <w:sz w:val="20"/>
          <w:szCs w:val="20"/>
          <w:bdr w:val="none" w:sz="0" w:space="0" w:color="auto"/>
          <w:lang w:val="es-ES_tradnl"/>
        </w:rPr>
        <w:t>Indica que e</w:t>
      </w:r>
      <w:r w:rsidR="00817E57" w:rsidRPr="00DC278B">
        <w:rPr>
          <w:rFonts w:ascii="Cambria" w:eastAsia="Times New Roman" w:hAnsi="Cambria"/>
          <w:sz w:val="20"/>
          <w:szCs w:val="20"/>
          <w:bdr w:val="none" w:sz="0" w:space="0" w:color="auto"/>
          <w:lang w:val="es-ES_tradnl"/>
        </w:rPr>
        <w:t>l 28 de enero de 1999, el 8º</w:t>
      </w:r>
      <w:r w:rsidRPr="00DC278B">
        <w:rPr>
          <w:rFonts w:ascii="Cambria" w:eastAsia="Times New Roman" w:hAnsi="Cambria"/>
          <w:sz w:val="20"/>
          <w:szCs w:val="20"/>
          <w:bdr w:val="none" w:sz="0" w:space="0" w:color="auto"/>
          <w:lang w:val="es-ES_tradnl"/>
        </w:rPr>
        <w:t xml:space="preserve"> Juzgado Civil negó las pretensiones de la demanda al considerar que “el hecho del cual deriva la acción indemnizatoria acaeció en determinada fecha del año 1973, desde la cual, hasta la fecha de notificación de la demanda de autos, transcurrió en exceso el plazo de prescripción de cinco años que el tribunal ha estimado aplicable en la especie”.  El peticionario indic</w:t>
      </w:r>
      <w:r w:rsidR="00E07F44" w:rsidRPr="00DC278B">
        <w:rPr>
          <w:rFonts w:ascii="Cambria" w:eastAsia="Times New Roman" w:hAnsi="Cambria"/>
          <w:sz w:val="20"/>
          <w:szCs w:val="20"/>
          <w:bdr w:val="none" w:sz="0" w:space="0" w:color="auto"/>
          <w:lang w:val="es-ES_tradnl"/>
        </w:rPr>
        <w:t>a que esto significa que María Ó</w:t>
      </w:r>
      <w:r w:rsidRPr="00DC278B">
        <w:rPr>
          <w:rFonts w:ascii="Cambria" w:eastAsia="Times New Roman" w:hAnsi="Cambria"/>
          <w:sz w:val="20"/>
          <w:szCs w:val="20"/>
          <w:bdr w:val="none" w:sz="0" w:space="0" w:color="auto"/>
          <w:lang w:val="es-ES_tradnl"/>
        </w:rPr>
        <w:t>rdenes debió haber deman</w:t>
      </w:r>
      <w:r w:rsidR="00AE67E1" w:rsidRPr="00DC278B">
        <w:rPr>
          <w:rFonts w:ascii="Cambria" w:eastAsia="Times New Roman" w:hAnsi="Cambria"/>
          <w:sz w:val="20"/>
          <w:szCs w:val="20"/>
          <w:bdr w:val="none" w:sz="0" w:space="0" w:color="auto"/>
          <w:lang w:val="es-ES_tradnl"/>
        </w:rPr>
        <w:t>dado al Estado en 1977, durante la misma dictadura,</w:t>
      </w:r>
      <w:r w:rsidRPr="00DC278B">
        <w:rPr>
          <w:rFonts w:ascii="Cambria" w:eastAsia="Times New Roman" w:hAnsi="Cambria"/>
          <w:sz w:val="20"/>
          <w:szCs w:val="20"/>
          <w:bdr w:val="none" w:sz="0" w:space="0" w:color="auto"/>
          <w:lang w:val="es-ES_tradnl"/>
        </w:rPr>
        <w:t xml:space="preserve"> para que su solicitud fuera atendida.  Señala que la demandante presentó recurso de apelación contra dicha sentencia, la cual fue denegada, el 24 de octubre de 2002, por la Cuarta Sala de la </w:t>
      </w:r>
      <w:r w:rsidR="00BA0A5E" w:rsidRPr="00DC278B">
        <w:rPr>
          <w:rFonts w:ascii="Cambria" w:eastAsia="Times New Roman" w:hAnsi="Cambria"/>
          <w:sz w:val="20"/>
          <w:szCs w:val="20"/>
          <w:bdr w:val="none" w:sz="0" w:space="0" w:color="auto"/>
          <w:lang w:val="es-ES_tradnl"/>
        </w:rPr>
        <w:t>Corte de Apelaciones de Santiago (en adelante “</w:t>
      </w:r>
      <w:r w:rsidR="00955C93" w:rsidRPr="00DC278B">
        <w:rPr>
          <w:rFonts w:ascii="Cambria" w:eastAsia="Times New Roman" w:hAnsi="Cambria"/>
          <w:sz w:val="20"/>
          <w:szCs w:val="20"/>
          <w:bdr w:val="none" w:sz="0" w:space="0" w:color="auto"/>
          <w:lang w:val="es-ES_tradnl"/>
        </w:rPr>
        <w:t xml:space="preserve">la </w:t>
      </w:r>
      <w:r w:rsidR="00BA0A5E" w:rsidRPr="00DC278B">
        <w:rPr>
          <w:rFonts w:ascii="Cambria" w:eastAsia="Times New Roman" w:hAnsi="Cambria"/>
          <w:sz w:val="20"/>
          <w:szCs w:val="20"/>
          <w:bdr w:val="none" w:sz="0" w:space="0" w:color="auto"/>
          <w:lang w:val="es-ES_tradnl"/>
        </w:rPr>
        <w:t>CAS”)</w:t>
      </w:r>
      <w:r w:rsidRPr="00DC278B">
        <w:rPr>
          <w:rFonts w:ascii="Cambria" w:eastAsia="Times New Roman" w:hAnsi="Cambria"/>
          <w:sz w:val="20"/>
          <w:szCs w:val="20"/>
          <w:bdr w:val="none" w:sz="0" w:space="0" w:color="auto"/>
          <w:lang w:val="es-ES_tradnl"/>
        </w:rPr>
        <w:t>, compartiendo el ar</w:t>
      </w:r>
      <w:r w:rsidR="00377BCD">
        <w:rPr>
          <w:rFonts w:ascii="Cambria" w:eastAsia="Times New Roman" w:hAnsi="Cambria"/>
          <w:sz w:val="20"/>
          <w:szCs w:val="20"/>
          <w:bdr w:val="none" w:sz="0" w:space="0" w:color="auto"/>
          <w:lang w:val="es-ES_tradnl"/>
        </w:rPr>
        <w:t>gumento de la prescripción del Juzgado de P</w:t>
      </w:r>
      <w:r w:rsidRPr="00DC278B">
        <w:rPr>
          <w:rFonts w:ascii="Cambria" w:eastAsia="Times New Roman" w:hAnsi="Cambria"/>
          <w:sz w:val="20"/>
          <w:szCs w:val="20"/>
          <w:bdr w:val="none" w:sz="0" w:space="0" w:color="auto"/>
          <w:lang w:val="es-ES_tradnl"/>
        </w:rPr>
        <w:t>rimer</w:t>
      </w:r>
      <w:r w:rsidR="00377BCD">
        <w:rPr>
          <w:rFonts w:ascii="Cambria" w:eastAsia="Times New Roman" w:hAnsi="Cambria"/>
          <w:sz w:val="20"/>
          <w:szCs w:val="20"/>
          <w:bdr w:val="none" w:sz="0" w:space="0" w:color="auto"/>
          <w:lang w:val="es-ES_tradnl"/>
        </w:rPr>
        <w:t>a I</w:t>
      </w:r>
      <w:r w:rsidRPr="00DC278B">
        <w:rPr>
          <w:rFonts w:ascii="Cambria" w:eastAsia="Times New Roman" w:hAnsi="Cambria"/>
          <w:sz w:val="20"/>
          <w:szCs w:val="20"/>
          <w:bdr w:val="none" w:sz="0" w:space="0" w:color="auto"/>
          <w:lang w:val="es-ES_tradnl"/>
        </w:rPr>
        <w:t>nstancia.</w:t>
      </w:r>
      <w:r w:rsidR="00B24174" w:rsidRPr="00DC278B">
        <w:rPr>
          <w:rFonts w:ascii="Cambria" w:eastAsia="Times New Roman" w:hAnsi="Cambria"/>
          <w:sz w:val="20"/>
          <w:szCs w:val="20"/>
          <w:bdr w:val="none" w:sz="0" w:space="0" w:color="auto"/>
          <w:lang w:val="es-ES_tradnl"/>
        </w:rPr>
        <w:t xml:space="preserve"> Indicó que c</w:t>
      </w:r>
      <w:r w:rsidRPr="00DC278B">
        <w:rPr>
          <w:rFonts w:ascii="Cambria" w:eastAsia="Times New Roman" w:hAnsi="Cambria"/>
          <w:sz w:val="20"/>
          <w:szCs w:val="20"/>
          <w:bdr w:val="none" w:sz="0" w:space="0" w:color="auto"/>
          <w:lang w:val="es-ES_tradnl"/>
        </w:rPr>
        <w:t xml:space="preserve">ontra dicha decisión </w:t>
      </w:r>
      <w:r w:rsidR="00B24174" w:rsidRPr="00DC278B">
        <w:rPr>
          <w:rFonts w:ascii="Cambria" w:eastAsia="Times New Roman" w:hAnsi="Cambria"/>
          <w:sz w:val="20"/>
          <w:szCs w:val="20"/>
          <w:bdr w:val="none" w:sz="0" w:space="0" w:color="auto"/>
          <w:lang w:val="es-ES_tradnl"/>
        </w:rPr>
        <w:t xml:space="preserve">se </w:t>
      </w:r>
      <w:r w:rsidRPr="00DC278B">
        <w:rPr>
          <w:rFonts w:ascii="Cambria" w:eastAsia="Times New Roman" w:hAnsi="Cambria"/>
          <w:sz w:val="20"/>
          <w:szCs w:val="20"/>
          <w:bdr w:val="none" w:sz="0" w:space="0" w:color="auto"/>
          <w:lang w:val="es-ES_tradnl"/>
        </w:rPr>
        <w:t xml:space="preserve">interpuso un recurso de casación en el fondo, el cual fue declarado “desierto” por la </w:t>
      </w:r>
      <w:r w:rsidR="00BA0A5E" w:rsidRPr="00DC278B">
        <w:rPr>
          <w:rFonts w:ascii="Cambria" w:eastAsia="Times New Roman" w:hAnsi="Cambria"/>
          <w:sz w:val="20"/>
          <w:szCs w:val="20"/>
          <w:bdr w:val="none" w:sz="0" w:space="0" w:color="auto"/>
          <w:lang w:val="es-ES_tradnl"/>
        </w:rPr>
        <w:t>Corte Suprema de Justicia (en adelante “</w:t>
      </w:r>
      <w:r w:rsidR="00B24174" w:rsidRPr="00DC278B">
        <w:rPr>
          <w:rFonts w:ascii="Cambria" w:eastAsia="Times New Roman" w:hAnsi="Cambria"/>
          <w:sz w:val="20"/>
          <w:szCs w:val="20"/>
          <w:bdr w:val="none" w:sz="0" w:space="0" w:color="auto"/>
          <w:lang w:val="es-ES_tradnl"/>
        </w:rPr>
        <w:t xml:space="preserve">la </w:t>
      </w:r>
      <w:r w:rsidR="00BA0A5E" w:rsidRPr="00DC278B">
        <w:rPr>
          <w:rFonts w:ascii="Cambria" w:eastAsia="Times New Roman" w:hAnsi="Cambria"/>
          <w:sz w:val="20"/>
          <w:szCs w:val="20"/>
          <w:bdr w:val="none" w:sz="0" w:space="0" w:color="auto"/>
          <w:lang w:val="es-ES_tradnl"/>
        </w:rPr>
        <w:t>CSJ”)</w:t>
      </w:r>
      <w:r w:rsidRPr="00DC278B">
        <w:rPr>
          <w:rFonts w:ascii="Cambria" w:eastAsia="Times New Roman" w:hAnsi="Cambria"/>
          <w:sz w:val="20"/>
          <w:szCs w:val="20"/>
          <w:bdr w:val="none" w:sz="0" w:space="0" w:color="auto"/>
          <w:lang w:val="es-ES_tradnl"/>
        </w:rPr>
        <w:t>, el 7 de enero de 2003, por lo que el expediente fue devuelto al tribunal de origen, el cual dictó resolución de “cúmplase”, el 17 de marzo de 2003, siendo ésta la última resolución pronunciada en la causa.</w:t>
      </w:r>
    </w:p>
    <w:p w:rsidR="005F74FD" w:rsidRPr="00DC278B" w:rsidRDefault="005F74FD" w:rsidP="00DC278B">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sz w:val="20"/>
          <w:szCs w:val="20"/>
          <w:bdr w:val="none" w:sz="0" w:space="0" w:color="auto"/>
          <w:lang w:val="es-ES_tradnl"/>
        </w:rPr>
      </w:pPr>
    </w:p>
    <w:p w:rsidR="005F74FD" w:rsidRPr="00DC278B" w:rsidRDefault="005F74FD" w:rsidP="00DC278B">
      <w:pPr>
        <w:pStyle w:val="Ttulo3"/>
        <w:spacing w:before="0"/>
        <w:ind w:left="720"/>
        <w:rPr>
          <w:color w:val="auto"/>
          <w:sz w:val="20"/>
          <w:szCs w:val="20"/>
          <w:bdr w:val="none" w:sz="0" w:space="0" w:color="auto"/>
          <w:lang w:val="es-ES_tradnl"/>
        </w:rPr>
      </w:pPr>
      <w:bookmarkStart w:id="10" w:name="_Toc413397465"/>
      <w:r w:rsidRPr="00DC278B">
        <w:rPr>
          <w:color w:val="auto"/>
          <w:sz w:val="20"/>
          <w:szCs w:val="20"/>
          <w:bdr w:val="none" w:sz="0" w:space="0" w:color="auto"/>
          <w:lang w:val="es-ES_tradnl"/>
        </w:rPr>
        <w:t xml:space="preserve">Caso 12.522 – Alegatos Específicos – Lucía Morales </w:t>
      </w:r>
      <w:proofErr w:type="spellStart"/>
      <w:r w:rsidRPr="00DC278B">
        <w:rPr>
          <w:color w:val="auto"/>
          <w:sz w:val="20"/>
          <w:szCs w:val="20"/>
          <w:bdr w:val="none" w:sz="0" w:space="0" w:color="auto"/>
          <w:lang w:val="es-ES_tradnl"/>
        </w:rPr>
        <w:t>Compagnon</w:t>
      </w:r>
      <w:proofErr w:type="spellEnd"/>
      <w:r w:rsidRPr="00DC278B">
        <w:rPr>
          <w:color w:val="auto"/>
          <w:sz w:val="20"/>
          <w:szCs w:val="20"/>
          <w:bdr w:val="none" w:sz="0" w:space="0" w:color="auto"/>
          <w:lang w:val="es-ES_tradnl"/>
        </w:rPr>
        <w:t xml:space="preserve"> y otros (familiares de Jorge Ovidio Osorio Zamora)</w:t>
      </w:r>
      <w:bookmarkEnd w:id="10"/>
    </w:p>
    <w:p w:rsidR="005F74FD" w:rsidRPr="00DC278B" w:rsidRDefault="005F74FD" w:rsidP="00DC278B">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sz w:val="20"/>
          <w:szCs w:val="20"/>
          <w:bdr w:val="none" w:sz="0" w:space="0" w:color="auto"/>
          <w:lang w:val="es-ES_tradnl"/>
        </w:rPr>
      </w:pPr>
    </w:p>
    <w:p w:rsidR="005F74FD" w:rsidRPr="00DC278B" w:rsidRDefault="005F74FD"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r w:rsidRPr="00DC278B">
        <w:rPr>
          <w:rFonts w:ascii="Cambria" w:eastAsia="Times New Roman" w:hAnsi="Cambria"/>
          <w:sz w:val="20"/>
          <w:szCs w:val="20"/>
          <w:bdr w:val="none" w:sz="0" w:space="0" w:color="auto"/>
          <w:lang w:val="es-ES_tradnl"/>
        </w:rPr>
        <w:t>Alega que para la búsqueda de una reparación integral establecida judicialmente, en</w:t>
      </w:r>
      <w:r w:rsidR="0081449E" w:rsidRPr="00DC278B">
        <w:rPr>
          <w:rFonts w:ascii="Cambria" w:eastAsia="Times New Roman" w:hAnsi="Cambria"/>
          <w:sz w:val="20"/>
          <w:szCs w:val="20"/>
          <w:bdr w:val="none" w:sz="0" w:space="0" w:color="auto"/>
          <w:lang w:val="es-ES_tradnl"/>
        </w:rPr>
        <w:t xml:space="preserve"> 1997, la esposa y los hijos de</w:t>
      </w:r>
      <w:r w:rsidRPr="00DC278B">
        <w:rPr>
          <w:rFonts w:ascii="Cambria" w:eastAsia="Times New Roman" w:hAnsi="Cambria"/>
          <w:sz w:val="20"/>
          <w:szCs w:val="20"/>
          <w:bdr w:val="none" w:sz="0" w:space="0" w:color="auto"/>
          <w:lang w:val="es-ES_tradnl"/>
        </w:rPr>
        <w:t xml:space="preserve"> Jorge Osorio presentaron una acción ci</w:t>
      </w:r>
      <w:r w:rsidR="00BA0A5E" w:rsidRPr="00DC278B">
        <w:rPr>
          <w:rFonts w:ascii="Cambria" w:eastAsia="Times New Roman" w:hAnsi="Cambria"/>
          <w:sz w:val="20"/>
          <w:szCs w:val="20"/>
          <w:bdr w:val="none" w:sz="0" w:space="0" w:color="auto"/>
          <w:lang w:val="es-ES_tradnl"/>
        </w:rPr>
        <w:t>vil de perjuicios ante el 8º</w:t>
      </w:r>
      <w:r w:rsidRPr="00DC278B">
        <w:rPr>
          <w:rFonts w:ascii="Cambria" w:eastAsia="Times New Roman" w:hAnsi="Cambria"/>
          <w:sz w:val="20"/>
          <w:szCs w:val="20"/>
          <w:bdr w:val="none" w:sz="0" w:space="0" w:color="auto"/>
          <w:lang w:val="es-ES_tradnl"/>
        </w:rPr>
        <w:t xml:space="preserve"> Juzgado Civil, dándose inicio al proceso “Morales con</w:t>
      </w:r>
      <w:r w:rsidR="000A73B5" w:rsidRPr="00DC278B">
        <w:rPr>
          <w:rFonts w:ascii="Cambria" w:eastAsia="Times New Roman" w:hAnsi="Cambria"/>
          <w:sz w:val="20"/>
          <w:szCs w:val="20"/>
          <w:bdr w:val="none" w:sz="0" w:space="0" w:color="auto"/>
          <w:lang w:val="es-ES_tradnl"/>
        </w:rPr>
        <w:t xml:space="preserve"> Fisco de Chile”, Rol 4720-97</w:t>
      </w:r>
      <w:r w:rsidR="0081449E" w:rsidRPr="00DC278B">
        <w:rPr>
          <w:rFonts w:ascii="Cambria" w:eastAsia="Times New Roman" w:hAnsi="Cambria"/>
          <w:sz w:val="20"/>
          <w:szCs w:val="20"/>
          <w:bdr w:val="none" w:sz="0" w:space="0" w:color="auto"/>
          <w:lang w:val="es-ES_tradnl"/>
        </w:rPr>
        <w:t>, por su</w:t>
      </w:r>
      <w:r w:rsidR="000A73B5" w:rsidRPr="00DC278B">
        <w:rPr>
          <w:rFonts w:ascii="Cambria" w:eastAsia="Times New Roman" w:hAnsi="Cambria"/>
          <w:sz w:val="20"/>
          <w:szCs w:val="20"/>
          <w:bdr w:val="none" w:sz="0" w:space="0" w:color="auto"/>
          <w:lang w:val="es-ES_tradnl"/>
        </w:rPr>
        <w:t xml:space="preserve"> detención y ejecución en 1973</w:t>
      </w:r>
      <w:r w:rsidR="00EA0D25" w:rsidRPr="00DC278B">
        <w:rPr>
          <w:rFonts w:ascii="Cambria" w:eastAsia="Times New Roman" w:hAnsi="Cambria"/>
          <w:sz w:val="20"/>
          <w:szCs w:val="20"/>
          <w:bdr w:val="none" w:sz="0" w:space="0" w:color="auto"/>
          <w:lang w:val="es-ES_tradnl"/>
        </w:rPr>
        <w:t xml:space="preserve"> por parte de agentes de seguridad del Estado</w:t>
      </w:r>
      <w:r w:rsidR="00EC4F92" w:rsidRPr="00DC278B">
        <w:rPr>
          <w:rFonts w:ascii="Cambria" w:eastAsia="Times New Roman" w:hAnsi="Cambria"/>
          <w:sz w:val="20"/>
          <w:szCs w:val="20"/>
          <w:bdr w:val="none" w:sz="0" w:space="0" w:color="auto"/>
          <w:lang w:val="es-ES_tradnl"/>
        </w:rPr>
        <w:t xml:space="preserve">, tal como fue reconocido por el </w:t>
      </w:r>
      <w:r w:rsidR="00FA7864">
        <w:rPr>
          <w:rFonts w:ascii="Cambria" w:eastAsia="Times New Roman" w:hAnsi="Cambria"/>
          <w:sz w:val="20"/>
          <w:szCs w:val="20"/>
          <w:bdr w:val="none" w:sz="0" w:space="0" w:color="auto"/>
          <w:lang w:val="es-ES_tradnl"/>
        </w:rPr>
        <w:t xml:space="preserve">informe de la Comisión </w:t>
      </w:r>
      <w:proofErr w:type="spellStart"/>
      <w:r w:rsidR="00FA7864">
        <w:rPr>
          <w:rFonts w:ascii="Cambria" w:eastAsia="Times New Roman" w:hAnsi="Cambria"/>
          <w:sz w:val="20"/>
          <w:szCs w:val="20"/>
          <w:bdr w:val="none" w:sz="0" w:space="0" w:color="auto"/>
          <w:lang w:val="es-ES_tradnl"/>
        </w:rPr>
        <w:t>Rettig</w:t>
      </w:r>
      <w:proofErr w:type="spellEnd"/>
      <w:r w:rsidR="00FA7864">
        <w:rPr>
          <w:rFonts w:ascii="Cambria" w:eastAsia="Times New Roman" w:hAnsi="Cambria"/>
          <w:sz w:val="20"/>
          <w:szCs w:val="20"/>
          <w:bdr w:val="none" w:sz="0" w:space="0" w:color="auto"/>
          <w:lang w:val="es-ES_tradnl"/>
        </w:rPr>
        <w:t xml:space="preserve">. </w:t>
      </w:r>
      <w:r w:rsidRPr="00DC278B">
        <w:rPr>
          <w:rFonts w:ascii="Cambria" w:eastAsia="Times New Roman" w:hAnsi="Cambria"/>
          <w:sz w:val="20"/>
          <w:szCs w:val="20"/>
          <w:bdr w:val="none" w:sz="0" w:space="0" w:color="auto"/>
          <w:lang w:val="es-ES_tradnl"/>
        </w:rPr>
        <w:t>Indica que e</w:t>
      </w:r>
      <w:r w:rsidR="00BA0A5E" w:rsidRPr="00DC278B">
        <w:rPr>
          <w:rFonts w:ascii="Cambria" w:eastAsia="Times New Roman" w:hAnsi="Cambria"/>
          <w:sz w:val="20"/>
          <w:szCs w:val="20"/>
          <w:bdr w:val="none" w:sz="0" w:space="0" w:color="auto"/>
          <w:lang w:val="es-ES_tradnl"/>
        </w:rPr>
        <w:t>l 27 de enero de 1999, el 8º</w:t>
      </w:r>
      <w:r w:rsidRPr="00DC278B">
        <w:rPr>
          <w:rFonts w:ascii="Cambria" w:eastAsia="Times New Roman" w:hAnsi="Cambria"/>
          <w:sz w:val="20"/>
          <w:szCs w:val="20"/>
          <w:bdr w:val="none" w:sz="0" w:space="0" w:color="auto"/>
          <w:lang w:val="es-ES_tradnl"/>
        </w:rPr>
        <w:t xml:space="preserve"> Juzgado Civil negó la reparación solicitada, al considerar que conforme a las normas de derecho civil, la acción indemnizatoria estaba prescrita. </w:t>
      </w:r>
      <w:r w:rsidR="00B24174" w:rsidRPr="00DC278B">
        <w:rPr>
          <w:rFonts w:ascii="Cambria" w:eastAsia="Times New Roman" w:hAnsi="Cambria"/>
          <w:sz w:val="20"/>
          <w:szCs w:val="20"/>
          <w:bdr w:val="none" w:sz="0" w:space="0" w:color="auto"/>
          <w:lang w:val="es-ES_tradnl"/>
        </w:rPr>
        <w:t>Señala que l</w:t>
      </w:r>
      <w:r w:rsidRPr="00DC278B">
        <w:rPr>
          <w:rFonts w:ascii="Cambria" w:eastAsia="Times New Roman" w:hAnsi="Cambria"/>
          <w:sz w:val="20"/>
          <w:szCs w:val="20"/>
          <w:bdr w:val="none" w:sz="0" w:space="0" w:color="auto"/>
          <w:lang w:val="es-ES_tradnl"/>
        </w:rPr>
        <w:t xml:space="preserve">os demandantes apelaron dicho fallo ante la CAS, la cual confirmó el fallo de primera instancia, </w:t>
      </w:r>
      <w:r w:rsidR="00FA7864">
        <w:rPr>
          <w:rFonts w:ascii="Cambria" w:eastAsia="Times New Roman" w:hAnsi="Cambria"/>
          <w:sz w:val="20"/>
          <w:szCs w:val="20"/>
          <w:bdr w:val="none" w:sz="0" w:space="0" w:color="auto"/>
          <w:lang w:val="es-ES_tradnl"/>
        </w:rPr>
        <w:t>el 10 de diciembre de 2002.</w:t>
      </w:r>
      <w:r w:rsidRPr="00DC278B">
        <w:rPr>
          <w:rFonts w:ascii="Cambria" w:eastAsia="Times New Roman" w:hAnsi="Cambria"/>
          <w:sz w:val="20"/>
          <w:szCs w:val="20"/>
          <w:bdr w:val="none" w:sz="0" w:space="0" w:color="auto"/>
          <w:lang w:val="es-ES_tradnl"/>
        </w:rPr>
        <w:t xml:space="preserve"> </w:t>
      </w:r>
      <w:r w:rsidR="00F00623" w:rsidRPr="00DC278B">
        <w:rPr>
          <w:rFonts w:ascii="Cambria" w:eastAsia="Times New Roman" w:hAnsi="Cambria"/>
          <w:sz w:val="20"/>
          <w:szCs w:val="20"/>
          <w:bdr w:val="none" w:sz="0" w:space="0" w:color="auto"/>
          <w:lang w:val="es-ES_tradnl"/>
        </w:rPr>
        <w:t>Menciona que c</w:t>
      </w:r>
      <w:r w:rsidRPr="00DC278B">
        <w:rPr>
          <w:rFonts w:ascii="Cambria" w:eastAsia="Times New Roman" w:hAnsi="Cambria"/>
          <w:sz w:val="20"/>
          <w:szCs w:val="20"/>
          <w:bdr w:val="none" w:sz="0" w:space="0" w:color="auto"/>
          <w:lang w:val="es-ES_tradnl"/>
        </w:rPr>
        <w:t>ontra este fallo, los demandantes interpu</w:t>
      </w:r>
      <w:r w:rsidR="00F00623" w:rsidRPr="00DC278B">
        <w:rPr>
          <w:rFonts w:ascii="Cambria" w:eastAsia="Times New Roman" w:hAnsi="Cambria"/>
          <w:sz w:val="20"/>
          <w:szCs w:val="20"/>
          <w:bdr w:val="none" w:sz="0" w:space="0" w:color="auto"/>
          <w:lang w:val="es-ES_tradnl"/>
        </w:rPr>
        <w:t>sieron</w:t>
      </w:r>
      <w:r w:rsidRPr="00DC278B">
        <w:rPr>
          <w:rFonts w:ascii="Cambria" w:eastAsia="Times New Roman" w:hAnsi="Cambria"/>
          <w:sz w:val="20"/>
          <w:szCs w:val="20"/>
          <w:bdr w:val="none" w:sz="0" w:space="0" w:color="auto"/>
          <w:lang w:val="es-ES_tradnl"/>
        </w:rPr>
        <w:t xml:space="preserve"> un recurso </w:t>
      </w:r>
      <w:r w:rsidR="00F00623" w:rsidRPr="00DC278B">
        <w:rPr>
          <w:rFonts w:ascii="Cambria" w:eastAsia="Times New Roman" w:hAnsi="Cambria"/>
          <w:sz w:val="20"/>
          <w:szCs w:val="20"/>
          <w:bdr w:val="none" w:sz="0" w:space="0" w:color="auto"/>
          <w:lang w:val="es-ES_tradnl"/>
        </w:rPr>
        <w:t xml:space="preserve">de casación ante la CSJ, el cual </w:t>
      </w:r>
      <w:r w:rsidRPr="00DC278B">
        <w:rPr>
          <w:rFonts w:ascii="Cambria" w:eastAsia="Times New Roman" w:hAnsi="Cambria"/>
          <w:sz w:val="20"/>
          <w:szCs w:val="20"/>
          <w:bdr w:val="none" w:sz="0" w:space="0" w:color="auto"/>
          <w:lang w:val="es-ES_tradnl"/>
        </w:rPr>
        <w:t>fue declarado desierto el 25 de marzo de 2003, al no haberse cumplido con el pago de unas fotocopias</w:t>
      </w:r>
      <w:r w:rsidR="005A68B1" w:rsidRPr="00DC278B">
        <w:rPr>
          <w:rFonts w:ascii="Cambria" w:eastAsia="Times New Roman" w:hAnsi="Cambria"/>
          <w:sz w:val="20"/>
          <w:szCs w:val="20"/>
          <w:bdr w:val="none" w:sz="0" w:space="0" w:color="auto"/>
          <w:lang w:val="es-ES_tradnl"/>
        </w:rPr>
        <w:t>,</w:t>
      </w:r>
      <w:r w:rsidRPr="00DC278B">
        <w:rPr>
          <w:rFonts w:ascii="Cambria" w:eastAsia="Times New Roman" w:hAnsi="Cambria"/>
          <w:sz w:val="20"/>
          <w:szCs w:val="20"/>
          <w:bdr w:val="none" w:sz="0" w:space="0" w:color="auto"/>
          <w:lang w:val="es-ES_tradnl"/>
        </w:rPr>
        <w:t xml:space="preserve"> por lo que el expediente</w:t>
      </w:r>
      <w:r w:rsidR="00FA7864">
        <w:rPr>
          <w:rFonts w:ascii="Cambria" w:eastAsia="Times New Roman" w:hAnsi="Cambria"/>
          <w:sz w:val="20"/>
          <w:szCs w:val="20"/>
          <w:bdr w:val="none" w:sz="0" w:space="0" w:color="auto"/>
          <w:lang w:val="es-ES_tradnl"/>
        </w:rPr>
        <w:t xml:space="preserve"> volvió al tribunal de origen. </w:t>
      </w:r>
      <w:r w:rsidRPr="00DC278B">
        <w:rPr>
          <w:rFonts w:ascii="Cambria" w:eastAsia="Times New Roman" w:hAnsi="Cambria"/>
          <w:sz w:val="20"/>
          <w:szCs w:val="20"/>
          <w:bdr w:val="none" w:sz="0" w:space="0" w:color="auto"/>
          <w:lang w:val="es-ES_tradnl"/>
        </w:rPr>
        <w:t xml:space="preserve">Señala que el 2 de abril de 2003 se dictó la resolución de “cúmplase”, siendo ésta la última decisión pronunciada en la causa. </w:t>
      </w:r>
    </w:p>
    <w:p w:rsidR="005F74FD" w:rsidRPr="00DC278B" w:rsidRDefault="005F74FD" w:rsidP="00DC278B">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sz w:val="20"/>
          <w:szCs w:val="20"/>
          <w:bdr w:val="none" w:sz="0" w:space="0" w:color="auto"/>
          <w:lang w:val="es-ES_tradnl"/>
        </w:rPr>
      </w:pPr>
    </w:p>
    <w:p w:rsidR="005F74FD" w:rsidRPr="00DC278B" w:rsidRDefault="005F74FD" w:rsidP="00DC278B">
      <w:pPr>
        <w:pStyle w:val="Ttulo3"/>
        <w:spacing w:before="0"/>
        <w:ind w:left="720"/>
        <w:rPr>
          <w:color w:val="auto"/>
          <w:sz w:val="20"/>
          <w:szCs w:val="20"/>
          <w:bdr w:val="none" w:sz="0" w:space="0" w:color="auto"/>
          <w:lang w:val="es-ES_tradnl"/>
        </w:rPr>
      </w:pPr>
      <w:bookmarkStart w:id="11" w:name="_Toc413397466"/>
      <w:r w:rsidRPr="00DC278B">
        <w:rPr>
          <w:color w:val="auto"/>
          <w:sz w:val="20"/>
          <w:szCs w:val="20"/>
          <w:bdr w:val="none" w:sz="0" w:space="0" w:color="auto"/>
          <w:lang w:val="es-ES_tradnl"/>
        </w:rPr>
        <w:t xml:space="preserve">Caso 12.523 – Alegatos Específicos – Alina Barraza </w:t>
      </w:r>
      <w:proofErr w:type="spellStart"/>
      <w:r w:rsidRPr="00DC278B">
        <w:rPr>
          <w:color w:val="auto"/>
          <w:sz w:val="20"/>
          <w:szCs w:val="20"/>
          <w:bdr w:val="none" w:sz="0" w:space="0" w:color="auto"/>
          <w:lang w:val="es-ES_tradnl"/>
        </w:rPr>
        <w:t>Codeceo</w:t>
      </w:r>
      <w:proofErr w:type="spellEnd"/>
      <w:r w:rsidRPr="00DC278B">
        <w:rPr>
          <w:color w:val="auto"/>
          <w:sz w:val="20"/>
          <w:szCs w:val="20"/>
          <w:bdr w:val="none" w:sz="0" w:space="0" w:color="auto"/>
          <w:lang w:val="es-ES_tradnl"/>
        </w:rPr>
        <w:t xml:space="preserve"> y otros (familiares de Hipólito Cortés Alvarez)</w:t>
      </w:r>
      <w:bookmarkEnd w:id="11"/>
    </w:p>
    <w:p w:rsidR="005F74FD" w:rsidRPr="00DC278B" w:rsidRDefault="005F74FD" w:rsidP="00DC278B">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sz w:val="20"/>
          <w:szCs w:val="20"/>
          <w:bdr w:val="none" w:sz="0" w:space="0" w:color="auto"/>
          <w:lang w:val="es-ES_tradnl"/>
        </w:rPr>
      </w:pPr>
    </w:p>
    <w:p w:rsidR="005F74FD" w:rsidRPr="00DC278B" w:rsidRDefault="005F74FD"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r w:rsidRPr="00DC278B">
        <w:rPr>
          <w:rFonts w:ascii="Cambria" w:eastAsia="Times New Roman" w:hAnsi="Cambria"/>
          <w:sz w:val="20"/>
          <w:szCs w:val="20"/>
          <w:bdr w:val="none" w:sz="0" w:space="0" w:color="auto"/>
          <w:lang w:val="es-ES_tradnl"/>
        </w:rPr>
        <w:t>Alega que para la búsqueda de una reparación integral establecida judicialmente</w:t>
      </w:r>
      <w:r w:rsidR="00CB75DC" w:rsidRPr="00DC278B">
        <w:rPr>
          <w:rFonts w:ascii="Cambria" w:eastAsia="Times New Roman" w:hAnsi="Cambria"/>
          <w:sz w:val="20"/>
          <w:szCs w:val="20"/>
          <w:bdr w:val="none" w:sz="0" w:space="0" w:color="auto"/>
          <w:lang w:val="es-ES_tradnl"/>
        </w:rPr>
        <w:t>,</w:t>
      </w:r>
      <w:r w:rsidRPr="00DC278B">
        <w:rPr>
          <w:rFonts w:ascii="Cambria" w:eastAsia="Times New Roman" w:hAnsi="Cambria"/>
          <w:sz w:val="20"/>
          <w:szCs w:val="20"/>
          <w:bdr w:val="none" w:sz="0" w:space="0" w:color="auto"/>
          <w:lang w:val="es-ES_tradnl"/>
        </w:rPr>
        <w:t xml:space="preserve"> </w:t>
      </w:r>
      <w:r w:rsidR="0081449E" w:rsidRPr="00DC278B">
        <w:rPr>
          <w:rFonts w:ascii="Cambria" w:eastAsia="Times New Roman" w:hAnsi="Cambria"/>
          <w:sz w:val="20"/>
          <w:szCs w:val="20"/>
          <w:bdr w:val="none" w:sz="0" w:space="0" w:color="auto"/>
          <w:lang w:val="es-ES_tradnl"/>
        </w:rPr>
        <w:t>en 1999</w:t>
      </w:r>
      <w:r w:rsidRPr="00DC278B">
        <w:rPr>
          <w:rFonts w:ascii="Cambria" w:eastAsia="Times New Roman" w:hAnsi="Cambria"/>
          <w:sz w:val="20"/>
          <w:szCs w:val="20"/>
          <w:bdr w:val="none" w:sz="0" w:space="0" w:color="auto"/>
          <w:lang w:val="es-ES_tradnl"/>
        </w:rPr>
        <w:t xml:space="preserve">, la esposa y los hijos de Jorge Cortés presentaron una demanda por perjuicios ante el Segundo Juzgado Civil de “La Serena”, </w:t>
      </w:r>
      <w:r w:rsidR="0016081C" w:rsidRPr="00DC278B">
        <w:rPr>
          <w:rFonts w:ascii="Cambria" w:eastAsia="Times New Roman" w:hAnsi="Cambria"/>
          <w:sz w:val="20"/>
          <w:szCs w:val="20"/>
          <w:bdr w:val="none" w:sz="0" w:space="0" w:color="auto"/>
          <w:lang w:val="es-ES_tradnl"/>
        </w:rPr>
        <w:t>(en adelante “</w:t>
      </w:r>
      <w:r w:rsidR="005A68B1" w:rsidRPr="00DC278B">
        <w:rPr>
          <w:rFonts w:ascii="Cambria" w:eastAsia="Times New Roman" w:hAnsi="Cambria"/>
          <w:sz w:val="20"/>
          <w:szCs w:val="20"/>
          <w:bdr w:val="none" w:sz="0" w:space="0" w:color="auto"/>
          <w:lang w:val="es-ES_tradnl"/>
        </w:rPr>
        <w:t xml:space="preserve">el </w:t>
      </w:r>
      <w:r w:rsidR="0016081C" w:rsidRPr="00DC278B">
        <w:rPr>
          <w:rFonts w:ascii="Cambria" w:eastAsia="Times New Roman" w:hAnsi="Cambria"/>
          <w:sz w:val="20"/>
          <w:szCs w:val="20"/>
          <w:bdr w:val="none" w:sz="0" w:space="0" w:color="auto"/>
          <w:lang w:val="es-ES_tradnl"/>
        </w:rPr>
        <w:t>2</w:t>
      </w:r>
      <w:r w:rsidR="00B25D62" w:rsidRPr="00DC278B">
        <w:rPr>
          <w:rFonts w:ascii="Cambria" w:hAnsi="Cambria"/>
          <w:sz w:val="20"/>
          <w:szCs w:val="20"/>
          <w:lang w:val="es-ES"/>
        </w:rPr>
        <w:t>º</w:t>
      </w:r>
      <w:r w:rsidR="0016081C" w:rsidRPr="00DC278B">
        <w:rPr>
          <w:rFonts w:ascii="Cambria" w:eastAsia="Times New Roman" w:hAnsi="Cambria"/>
          <w:sz w:val="20"/>
          <w:szCs w:val="20"/>
          <w:bdr w:val="none" w:sz="0" w:space="0" w:color="auto"/>
          <w:lang w:val="es-ES_tradnl"/>
        </w:rPr>
        <w:t xml:space="preserve"> Juzgado Civil”) </w:t>
      </w:r>
      <w:r w:rsidRPr="00DC278B">
        <w:rPr>
          <w:rFonts w:ascii="Cambria" w:eastAsia="Times New Roman" w:hAnsi="Cambria"/>
          <w:sz w:val="20"/>
          <w:szCs w:val="20"/>
          <w:bdr w:val="none" w:sz="0" w:space="0" w:color="auto"/>
          <w:lang w:val="es-ES_tradnl"/>
        </w:rPr>
        <w:t xml:space="preserve">dándose inicio al proceso </w:t>
      </w:r>
      <w:r w:rsidR="002F225F" w:rsidRPr="00DC278B">
        <w:rPr>
          <w:rFonts w:ascii="Cambria" w:eastAsia="Times New Roman" w:hAnsi="Cambria"/>
          <w:sz w:val="20"/>
          <w:szCs w:val="20"/>
          <w:bdr w:val="none" w:sz="0" w:space="0" w:color="auto"/>
          <w:lang w:val="es-ES_tradnl"/>
        </w:rPr>
        <w:t>“Corté</w:t>
      </w:r>
      <w:r w:rsidRPr="00DC278B">
        <w:rPr>
          <w:rFonts w:ascii="Cambria" w:eastAsia="Times New Roman" w:hAnsi="Cambria"/>
          <w:sz w:val="20"/>
          <w:szCs w:val="20"/>
          <w:bdr w:val="none" w:sz="0" w:space="0" w:color="auto"/>
          <w:lang w:val="es-ES_tradnl"/>
        </w:rPr>
        <w:t>s con Fisco de Chile”, Rol 1122-99</w:t>
      </w:r>
      <w:r w:rsidR="00CB75DC" w:rsidRPr="00DC278B">
        <w:rPr>
          <w:rFonts w:ascii="Cambria" w:eastAsia="Times New Roman" w:hAnsi="Cambria"/>
          <w:sz w:val="20"/>
          <w:szCs w:val="20"/>
          <w:bdr w:val="none" w:sz="0" w:space="0" w:color="auto"/>
          <w:lang w:val="es-ES_tradnl"/>
        </w:rPr>
        <w:t>, por su detención y ejecución</w:t>
      </w:r>
      <w:r w:rsidR="0081449E" w:rsidRPr="00DC278B">
        <w:rPr>
          <w:rFonts w:ascii="Cambria" w:eastAsia="Times New Roman" w:hAnsi="Cambria"/>
          <w:sz w:val="20"/>
          <w:szCs w:val="20"/>
          <w:bdr w:val="none" w:sz="0" w:space="0" w:color="auto"/>
          <w:lang w:val="es-ES_tradnl"/>
        </w:rPr>
        <w:t xml:space="preserve"> en 1973</w:t>
      </w:r>
      <w:r w:rsidR="00044991" w:rsidRPr="00DC278B">
        <w:rPr>
          <w:rFonts w:ascii="Cambria" w:eastAsia="Times New Roman" w:hAnsi="Cambria"/>
          <w:sz w:val="20"/>
          <w:szCs w:val="20"/>
          <w:bdr w:val="none" w:sz="0" w:space="0" w:color="auto"/>
          <w:lang w:val="es-ES_tradnl"/>
        </w:rPr>
        <w:t xml:space="preserve">, tal como fue reconocido por el informe de la Comisión </w:t>
      </w:r>
      <w:proofErr w:type="spellStart"/>
      <w:r w:rsidR="00044991" w:rsidRPr="00DC278B">
        <w:rPr>
          <w:rFonts w:ascii="Cambria" w:eastAsia="Times New Roman" w:hAnsi="Cambria"/>
          <w:sz w:val="20"/>
          <w:szCs w:val="20"/>
          <w:bdr w:val="none" w:sz="0" w:space="0" w:color="auto"/>
          <w:lang w:val="es-ES_tradnl"/>
        </w:rPr>
        <w:t>Rettig</w:t>
      </w:r>
      <w:proofErr w:type="spellEnd"/>
      <w:r w:rsidR="00044991" w:rsidRPr="00DC278B">
        <w:rPr>
          <w:rFonts w:ascii="Cambria" w:eastAsia="Times New Roman" w:hAnsi="Cambria"/>
          <w:sz w:val="20"/>
          <w:szCs w:val="20"/>
          <w:bdr w:val="none" w:sz="0" w:space="0" w:color="auto"/>
          <w:lang w:val="es-ES_tradnl"/>
        </w:rPr>
        <w:t>.</w:t>
      </w:r>
      <w:r w:rsidR="00FA7864">
        <w:rPr>
          <w:rFonts w:ascii="Cambria" w:eastAsia="Times New Roman" w:hAnsi="Cambria"/>
          <w:sz w:val="20"/>
          <w:szCs w:val="20"/>
          <w:bdr w:val="none" w:sz="0" w:space="0" w:color="auto"/>
          <w:lang w:val="es-ES_tradnl"/>
        </w:rPr>
        <w:t xml:space="preserve"> </w:t>
      </w:r>
      <w:r w:rsidRPr="00DC278B">
        <w:rPr>
          <w:rFonts w:ascii="Cambria" w:eastAsia="Times New Roman" w:hAnsi="Cambria"/>
          <w:sz w:val="20"/>
          <w:szCs w:val="20"/>
          <w:bdr w:val="none" w:sz="0" w:space="0" w:color="auto"/>
          <w:lang w:val="es-ES_tradnl"/>
        </w:rPr>
        <w:t>Indica que e</w:t>
      </w:r>
      <w:r w:rsidR="0016081C" w:rsidRPr="00DC278B">
        <w:rPr>
          <w:rFonts w:ascii="Cambria" w:eastAsia="Times New Roman" w:hAnsi="Cambria"/>
          <w:sz w:val="20"/>
          <w:szCs w:val="20"/>
          <w:bdr w:val="none" w:sz="0" w:space="0" w:color="auto"/>
          <w:lang w:val="es-ES_tradnl"/>
        </w:rPr>
        <w:t>l 9 de marzo de 2001, el 2</w:t>
      </w:r>
      <w:r w:rsidR="00B25D62" w:rsidRPr="00DC278B">
        <w:rPr>
          <w:rFonts w:ascii="Cambria" w:hAnsi="Cambria"/>
          <w:sz w:val="20"/>
          <w:szCs w:val="20"/>
          <w:lang w:val="es-ES"/>
        </w:rPr>
        <w:t>º</w:t>
      </w:r>
      <w:r w:rsidRPr="00DC278B">
        <w:rPr>
          <w:rFonts w:ascii="Cambria" w:eastAsia="Times New Roman" w:hAnsi="Cambria"/>
          <w:sz w:val="20"/>
          <w:szCs w:val="20"/>
          <w:bdr w:val="none" w:sz="0" w:space="0" w:color="auto"/>
          <w:lang w:val="es-ES_tradnl"/>
        </w:rPr>
        <w:t xml:space="preserve"> Juzgado Civil acogió la demanda y condenó al Estado a pagar la suma de quince millones de pesos para cada </w:t>
      </w:r>
      <w:r w:rsidR="00FA7864">
        <w:rPr>
          <w:rFonts w:ascii="Cambria" w:eastAsia="Times New Roman" w:hAnsi="Cambria"/>
          <w:sz w:val="20"/>
          <w:szCs w:val="20"/>
          <w:bdr w:val="none" w:sz="0" w:space="0" w:color="auto"/>
          <w:lang w:val="es-ES_tradnl"/>
        </w:rPr>
        <w:t>uno de los demandantes.</w:t>
      </w:r>
      <w:r w:rsidRPr="00DC278B">
        <w:rPr>
          <w:rFonts w:ascii="Cambria" w:eastAsia="Times New Roman" w:hAnsi="Cambria"/>
          <w:sz w:val="20"/>
          <w:szCs w:val="20"/>
          <w:bdr w:val="none" w:sz="0" w:space="0" w:color="auto"/>
          <w:lang w:val="es-ES_tradnl"/>
        </w:rPr>
        <w:t xml:space="preserve"> </w:t>
      </w:r>
      <w:r w:rsidR="00D174CB" w:rsidRPr="00DC278B">
        <w:rPr>
          <w:rFonts w:ascii="Cambria" w:eastAsia="Times New Roman" w:hAnsi="Cambria"/>
          <w:sz w:val="20"/>
          <w:szCs w:val="20"/>
          <w:bdr w:val="none" w:sz="0" w:space="0" w:color="auto"/>
          <w:lang w:val="es-ES_tradnl"/>
        </w:rPr>
        <w:t>Señala que c</w:t>
      </w:r>
      <w:r w:rsidRPr="00DC278B">
        <w:rPr>
          <w:rFonts w:ascii="Cambria" w:eastAsia="Times New Roman" w:hAnsi="Cambria"/>
          <w:sz w:val="20"/>
          <w:szCs w:val="20"/>
          <w:bdr w:val="none" w:sz="0" w:space="0" w:color="auto"/>
          <w:lang w:val="es-ES_tradnl"/>
        </w:rPr>
        <w:t>ontra este fallo, el Fisco de Chile interpu</w:t>
      </w:r>
      <w:r w:rsidR="00D174CB" w:rsidRPr="00DC278B">
        <w:rPr>
          <w:rFonts w:ascii="Cambria" w:eastAsia="Times New Roman" w:hAnsi="Cambria"/>
          <w:sz w:val="20"/>
          <w:szCs w:val="20"/>
          <w:bdr w:val="none" w:sz="0" w:space="0" w:color="auto"/>
          <w:lang w:val="es-ES_tradnl"/>
        </w:rPr>
        <w:t xml:space="preserve">so </w:t>
      </w:r>
      <w:r w:rsidRPr="00DC278B">
        <w:rPr>
          <w:rFonts w:ascii="Cambria" w:eastAsia="Times New Roman" w:hAnsi="Cambria"/>
          <w:sz w:val="20"/>
          <w:szCs w:val="20"/>
          <w:bdr w:val="none" w:sz="0" w:space="0" w:color="auto"/>
          <w:lang w:val="es-ES_tradnl"/>
        </w:rPr>
        <w:t xml:space="preserve">un recurso de apelación ante la CAS de “La Serena” la cual </w:t>
      </w:r>
      <w:r w:rsidR="00D174CB" w:rsidRPr="00DC278B">
        <w:rPr>
          <w:rFonts w:ascii="Cambria" w:eastAsia="Times New Roman" w:hAnsi="Cambria"/>
          <w:sz w:val="20"/>
          <w:szCs w:val="20"/>
          <w:bdr w:val="none" w:sz="0" w:space="0" w:color="auto"/>
          <w:lang w:val="es-ES_tradnl"/>
        </w:rPr>
        <w:t xml:space="preserve">revocó </w:t>
      </w:r>
      <w:r w:rsidRPr="00DC278B">
        <w:rPr>
          <w:rFonts w:ascii="Cambria" w:eastAsia="Times New Roman" w:hAnsi="Cambria"/>
          <w:sz w:val="20"/>
          <w:szCs w:val="20"/>
          <w:bdr w:val="none" w:sz="0" w:space="0" w:color="auto"/>
          <w:lang w:val="es-ES_tradnl"/>
        </w:rPr>
        <w:t xml:space="preserve">el fallo de primera instancia, </w:t>
      </w:r>
      <w:r w:rsidR="00DE2DCE" w:rsidRPr="00DC278B">
        <w:rPr>
          <w:rFonts w:ascii="Cambria" w:eastAsia="Times New Roman" w:hAnsi="Cambria"/>
          <w:sz w:val="20"/>
          <w:szCs w:val="20"/>
          <w:bdr w:val="none" w:sz="0" w:space="0" w:color="auto"/>
          <w:lang w:val="es-ES_tradnl"/>
        </w:rPr>
        <w:t xml:space="preserve">el </w:t>
      </w:r>
      <w:r w:rsidRPr="00DC278B">
        <w:rPr>
          <w:rFonts w:ascii="Cambria" w:eastAsia="Times New Roman" w:hAnsi="Cambria"/>
          <w:sz w:val="20"/>
          <w:szCs w:val="20"/>
          <w:bdr w:val="none" w:sz="0" w:space="0" w:color="auto"/>
          <w:lang w:val="es-ES_tradnl"/>
        </w:rPr>
        <w:t>9 de abril de 2002, acogiendo el planteamiento de prescripción presentado</w:t>
      </w:r>
      <w:r w:rsidR="00FA7864">
        <w:rPr>
          <w:rFonts w:ascii="Cambria" w:eastAsia="Times New Roman" w:hAnsi="Cambria"/>
          <w:sz w:val="20"/>
          <w:szCs w:val="20"/>
          <w:bdr w:val="none" w:sz="0" w:space="0" w:color="auto"/>
          <w:lang w:val="es-ES_tradnl"/>
        </w:rPr>
        <w:t xml:space="preserve"> por el Estado.</w:t>
      </w:r>
      <w:r w:rsidRPr="00DC278B">
        <w:rPr>
          <w:rFonts w:ascii="Cambria" w:eastAsia="Times New Roman" w:hAnsi="Cambria"/>
          <w:sz w:val="20"/>
          <w:szCs w:val="20"/>
          <w:bdr w:val="none" w:sz="0" w:space="0" w:color="auto"/>
          <w:lang w:val="es-ES_tradnl"/>
        </w:rPr>
        <w:t xml:space="preserve"> Indica que contra este fallo los demandantes interpusieron un recurso de casación ante la CSJ, el cual fue rechazado el 7 de mayo de 2003, dejando en firme el rechazo de la indem</w:t>
      </w:r>
      <w:r w:rsidR="00FA7864">
        <w:rPr>
          <w:rFonts w:ascii="Cambria" w:eastAsia="Times New Roman" w:hAnsi="Cambria"/>
          <w:sz w:val="20"/>
          <w:szCs w:val="20"/>
          <w:bdr w:val="none" w:sz="0" w:space="0" w:color="auto"/>
          <w:lang w:val="es-ES_tradnl"/>
        </w:rPr>
        <w:t xml:space="preserve">nización para los demandantes. </w:t>
      </w:r>
      <w:r w:rsidRPr="00DC278B">
        <w:rPr>
          <w:rFonts w:ascii="Cambria" w:eastAsia="Times New Roman" w:hAnsi="Cambria"/>
          <w:sz w:val="20"/>
          <w:szCs w:val="20"/>
          <w:bdr w:val="none" w:sz="0" w:space="0" w:color="auto"/>
          <w:lang w:val="es-ES_tradnl"/>
        </w:rPr>
        <w:t xml:space="preserve">Señala que el expediente volvió a su tribunal de origen y en junio de 2003 se habría dictado resolución de “cúmplase”, siendo ésta la última decisión pronunciada en la causa, la cual pone término al proceso y ordena su archivo. </w:t>
      </w:r>
    </w:p>
    <w:p w:rsidR="005F74FD" w:rsidRPr="00DC278B" w:rsidRDefault="005F74FD" w:rsidP="00DC278B">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sz w:val="20"/>
          <w:szCs w:val="20"/>
          <w:bdr w:val="none" w:sz="0" w:space="0" w:color="auto"/>
          <w:lang w:val="es-ES_tradnl"/>
        </w:rPr>
      </w:pPr>
    </w:p>
    <w:p w:rsidR="005F74FD" w:rsidRPr="00DC278B" w:rsidRDefault="005F74FD" w:rsidP="00DC278B">
      <w:pPr>
        <w:pStyle w:val="Ttulo3"/>
        <w:spacing w:before="0"/>
        <w:ind w:left="720"/>
        <w:jc w:val="both"/>
        <w:rPr>
          <w:color w:val="auto"/>
          <w:sz w:val="20"/>
          <w:szCs w:val="20"/>
          <w:bdr w:val="none" w:sz="0" w:space="0" w:color="auto"/>
          <w:lang w:val="es-ES_tradnl"/>
        </w:rPr>
      </w:pPr>
      <w:bookmarkStart w:id="12" w:name="_Toc413397467"/>
      <w:r w:rsidRPr="00DC278B">
        <w:rPr>
          <w:color w:val="auto"/>
          <w:sz w:val="20"/>
          <w:szCs w:val="20"/>
          <w:bdr w:val="none" w:sz="0" w:space="0" w:color="auto"/>
          <w:lang w:val="es-ES_tradnl"/>
        </w:rPr>
        <w:t>Caso 12.520 – Alegatos Específicos – Magdalena Mercedes Navarrete y otr</w:t>
      </w:r>
      <w:r w:rsidR="007A17E4" w:rsidRPr="00DC278B">
        <w:rPr>
          <w:color w:val="auto"/>
          <w:sz w:val="20"/>
          <w:szCs w:val="20"/>
          <w:bdr w:val="none" w:sz="0" w:space="0" w:color="auto"/>
          <w:lang w:val="es-ES_tradnl"/>
        </w:rPr>
        <w:t xml:space="preserve">os (familiares de Mario Melo </w:t>
      </w:r>
      <w:proofErr w:type="spellStart"/>
      <w:r w:rsidR="007A17E4" w:rsidRPr="00DC278B">
        <w:rPr>
          <w:color w:val="auto"/>
          <w:sz w:val="20"/>
          <w:szCs w:val="20"/>
          <w:bdr w:val="none" w:sz="0" w:space="0" w:color="auto"/>
          <w:lang w:val="es-ES_tradnl"/>
        </w:rPr>
        <w:t>Pra</w:t>
      </w:r>
      <w:r w:rsidRPr="00DC278B">
        <w:rPr>
          <w:color w:val="auto"/>
          <w:sz w:val="20"/>
          <w:szCs w:val="20"/>
          <w:bdr w:val="none" w:sz="0" w:space="0" w:color="auto"/>
          <w:lang w:val="es-ES_tradnl"/>
        </w:rPr>
        <w:t>denas</w:t>
      </w:r>
      <w:proofErr w:type="spellEnd"/>
      <w:r w:rsidRPr="00DC278B">
        <w:rPr>
          <w:color w:val="auto"/>
          <w:sz w:val="20"/>
          <w:szCs w:val="20"/>
          <w:bdr w:val="none" w:sz="0" w:space="0" w:color="auto"/>
          <w:lang w:val="es-ES_tradnl"/>
        </w:rPr>
        <w:t xml:space="preserve">, Ramón Luis Vivanco, Rodolfo Alejandro Espejo </w:t>
      </w:r>
      <w:r w:rsidR="00C96C27" w:rsidRPr="00DC278B">
        <w:rPr>
          <w:color w:val="auto"/>
          <w:sz w:val="20"/>
          <w:szCs w:val="20"/>
          <w:bdr w:val="none" w:sz="0" w:space="0" w:color="auto"/>
          <w:lang w:val="es-ES_tradnl"/>
        </w:rPr>
        <w:t>Gómez</w:t>
      </w:r>
      <w:r w:rsidRPr="00DC278B">
        <w:rPr>
          <w:color w:val="auto"/>
          <w:sz w:val="20"/>
          <w:szCs w:val="20"/>
          <w:bdr w:val="none" w:sz="0" w:space="0" w:color="auto"/>
          <w:lang w:val="es-ES_tradnl"/>
        </w:rPr>
        <w:t xml:space="preserve"> y Sergio Alfonso Reyes Navarrete)</w:t>
      </w:r>
      <w:bookmarkEnd w:id="12"/>
    </w:p>
    <w:p w:rsidR="005F74FD" w:rsidRPr="00DC278B" w:rsidRDefault="005F74FD" w:rsidP="00DC278B">
      <w:pPr>
        <w:pBdr>
          <w:top w:val="none" w:sz="0" w:space="0" w:color="auto"/>
          <w:left w:val="none" w:sz="0" w:space="0" w:color="auto"/>
          <w:bottom w:val="none" w:sz="0" w:space="0" w:color="auto"/>
          <w:right w:val="none" w:sz="0" w:space="0" w:color="auto"/>
          <w:between w:val="none" w:sz="0" w:space="0" w:color="auto"/>
          <w:bar w:val="none" w:sz="0" w:color="auto"/>
        </w:pBdr>
        <w:ind w:left="720"/>
        <w:jc w:val="center"/>
        <w:rPr>
          <w:rFonts w:ascii="Cambria" w:eastAsia="Times New Roman" w:hAnsi="Cambria"/>
          <w:sz w:val="20"/>
          <w:szCs w:val="20"/>
          <w:bdr w:val="none" w:sz="0" w:space="0" w:color="auto"/>
          <w:lang w:val="es-ES_tradnl"/>
        </w:rPr>
      </w:pPr>
    </w:p>
    <w:p w:rsidR="005F74FD" w:rsidRPr="00DC278B" w:rsidRDefault="005F74FD"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r w:rsidRPr="00DC278B">
        <w:rPr>
          <w:rFonts w:ascii="Cambria" w:eastAsia="Times New Roman" w:hAnsi="Cambria"/>
          <w:sz w:val="20"/>
          <w:szCs w:val="20"/>
          <w:bdr w:val="none" w:sz="0" w:space="0" w:color="auto"/>
          <w:lang w:val="es-ES_tradnl"/>
        </w:rPr>
        <w:t xml:space="preserve">Indica que para </w:t>
      </w:r>
      <w:r w:rsidR="00C96C27" w:rsidRPr="00DC278B">
        <w:rPr>
          <w:rFonts w:ascii="Cambria" w:eastAsia="Times New Roman" w:hAnsi="Cambria"/>
          <w:sz w:val="20"/>
          <w:szCs w:val="20"/>
          <w:bdr w:val="none" w:sz="0" w:space="0" w:color="auto"/>
          <w:lang w:val="es-ES_tradnl"/>
        </w:rPr>
        <w:t xml:space="preserve">la </w:t>
      </w:r>
      <w:r w:rsidRPr="00DC278B">
        <w:rPr>
          <w:rFonts w:ascii="Cambria" w:eastAsia="Times New Roman" w:hAnsi="Cambria"/>
          <w:sz w:val="20"/>
          <w:szCs w:val="20"/>
          <w:bdr w:val="none" w:sz="0" w:space="0" w:color="auto"/>
          <w:lang w:val="es-ES_tradnl"/>
        </w:rPr>
        <w:t>búsqueda de una reparación integral establecida judicialmente</w:t>
      </w:r>
      <w:r w:rsidR="0052356C" w:rsidRPr="00DC278B">
        <w:rPr>
          <w:rFonts w:ascii="Cambria" w:eastAsia="Times New Roman" w:hAnsi="Cambria"/>
          <w:sz w:val="20"/>
          <w:szCs w:val="20"/>
          <w:bdr w:val="none" w:sz="0" w:space="0" w:color="auto"/>
          <w:lang w:val="es-ES_tradnl"/>
        </w:rPr>
        <w:t>,</w:t>
      </w:r>
      <w:r w:rsidR="00DC6F6C" w:rsidRPr="00DC278B">
        <w:rPr>
          <w:rFonts w:ascii="Cambria" w:eastAsia="Times New Roman" w:hAnsi="Cambria"/>
          <w:sz w:val="20"/>
          <w:szCs w:val="20"/>
          <w:bdr w:val="none" w:sz="0" w:space="0" w:color="auto"/>
          <w:lang w:val="es-ES_tradnl"/>
        </w:rPr>
        <w:t xml:space="preserve"> </w:t>
      </w:r>
      <w:r w:rsidR="00CB75DC" w:rsidRPr="00DC278B">
        <w:rPr>
          <w:rFonts w:ascii="Cambria" w:eastAsia="Times New Roman" w:hAnsi="Cambria"/>
          <w:sz w:val="20"/>
          <w:szCs w:val="20"/>
          <w:bdr w:val="none" w:sz="0" w:space="0" w:color="auto"/>
          <w:lang w:val="es-ES_tradnl"/>
        </w:rPr>
        <w:t>la</w:t>
      </w:r>
      <w:r w:rsidR="00DC6F6C" w:rsidRPr="00DC278B">
        <w:rPr>
          <w:rFonts w:ascii="Cambria" w:eastAsia="Times New Roman" w:hAnsi="Cambria"/>
          <w:sz w:val="20"/>
          <w:szCs w:val="20"/>
          <w:bdr w:val="none" w:sz="0" w:space="0" w:color="auto"/>
          <w:lang w:val="es-ES_tradnl"/>
        </w:rPr>
        <w:t xml:space="preserve"> madre y hermanos</w:t>
      </w:r>
      <w:r w:rsidR="00CB75DC" w:rsidRPr="00DC278B">
        <w:rPr>
          <w:rFonts w:ascii="Cambria" w:eastAsia="Times New Roman" w:hAnsi="Cambria"/>
          <w:sz w:val="20"/>
          <w:szCs w:val="20"/>
          <w:bdr w:val="none" w:sz="0" w:space="0" w:color="auto"/>
          <w:lang w:val="es-ES_tradnl"/>
        </w:rPr>
        <w:t xml:space="preserve"> de Sergio Reyes</w:t>
      </w:r>
      <w:r w:rsidR="006F47F5" w:rsidRPr="00DC278B">
        <w:rPr>
          <w:rFonts w:ascii="Cambria" w:eastAsia="Times New Roman" w:hAnsi="Cambria"/>
          <w:sz w:val="20"/>
          <w:szCs w:val="20"/>
          <w:bdr w:val="none" w:sz="0" w:space="0" w:color="auto"/>
          <w:lang w:val="es-ES_tradnl"/>
        </w:rPr>
        <w:t xml:space="preserve"> -</w:t>
      </w:r>
      <w:r w:rsidR="00DC6F6C" w:rsidRPr="00DC278B">
        <w:rPr>
          <w:rFonts w:ascii="Cambria" w:eastAsia="Times New Roman" w:hAnsi="Cambria"/>
          <w:sz w:val="20"/>
          <w:szCs w:val="20"/>
          <w:bdr w:val="none" w:sz="0" w:space="0" w:color="auto"/>
          <w:lang w:val="es-ES_tradnl"/>
        </w:rPr>
        <w:t xml:space="preserve"> </w:t>
      </w:r>
      <w:r w:rsidRPr="00DC278B">
        <w:rPr>
          <w:rFonts w:ascii="Cambria" w:eastAsia="Times New Roman" w:hAnsi="Cambria"/>
          <w:sz w:val="20"/>
          <w:szCs w:val="20"/>
          <w:bdr w:val="none" w:sz="0" w:space="0" w:color="auto"/>
          <w:lang w:val="es-ES_tradnl"/>
        </w:rPr>
        <w:t>Magdalena Mercedes Navarrete, Alberto Reyes Navarrete, Víctor Eduardo Reyes Navarrete y Patricio Hernán Reyes Navarrete</w:t>
      </w:r>
      <w:r w:rsidR="006F47F5" w:rsidRPr="00DC278B">
        <w:rPr>
          <w:rFonts w:ascii="Cambria" w:eastAsia="Times New Roman" w:hAnsi="Cambria"/>
          <w:sz w:val="20"/>
          <w:szCs w:val="20"/>
          <w:bdr w:val="none" w:sz="0" w:space="0" w:color="auto"/>
          <w:lang w:val="es-ES_tradnl"/>
        </w:rPr>
        <w:t xml:space="preserve"> -</w:t>
      </w:r>
      <w:r w:rsidRPr="00DC278B">
        <w:rPr>
          <w:rFonts w:ascii="Cambria" w:eastAsia="Times New Roman" w:hAnsi="Cambria"/>
          <w:sz w:val="20"/>
          <w:szCs w:val="20"/>
          <w:bdr w:val="none" w:sz="0" w:space="0" w:color="auto"/>
          <w:lang w:val="es-ES_tradnl"/>
        </w:rPr>
        <w:t xml:space="preserve"> demandaron reparación por el daño moral por </w:t>
      </w:r>
      <w:r w:rsidR="00CB75DC" w:rsidRPr="00DC278B">
        <w:rPr>
          <w:rFonts w:ascii="Cambria" w:eastAsia="Times New Roman" w:hAnsi="Cambria"/>
          <w:sz w:val="20"/>
          <w:szCs w:val="20"/>
          <w:bdr w:val="none" w:sz="0" w:space="0" w:color="auto"/>
          <w:lang w:val="es-ES_tradnl"/>
        </w:rPr>
        <w:t xml:space="preserve">su secuestro y </w:t>
      </w:r>
      <w:r w:rsidR="00CB75DC" w:rsidRPr="00DC278B">
        <w:rPr>
          <w:rFonts w:ascii="Cambria" w:eastAsia="Times New Roman" w:hAnsi="Cambria"/>
          <w:sz w:val="20"/>
          <w:szCs w:val="20"/>
          <w:bdr w:val="none" w:sz="0" w:space="0" w:color="auto"/>
          <w:lang w:val="es-ES_tradnl"/>
        </w:rPr>
        <w:lastRenderedPageBreak/>
        <w:t xml:space="preserve">desaparición </w:t>
      </w:r>
      <w:r w:rsidR="0081449E" w:rsidRPr="00DC278B">
        <w:rPr>
          <w:rFonts w:ascii="Cambria" w:eastAsia="Times New Roman" w:hAnsi="Cambria"/>
          <w:sz w:val="20"/>
          <w:szCs w:val="20"/>
          <w:bdr w:val="none" w:sz="0" w:space="0" w:color="auto"/>
          <w:lang w:val="es-ES_tradnl"/>
        </w:rPr>
        <w:t>en 1974</w:t>
      </w:r>
      <w:r w:rsidR="00133B71" w:rsidRPr="00DC278B">
        <w:rPr>
          <w:rFonts w:ascii="Cambria" w:eastAsia="Times New Roman" w:hAnsi="Cambria"/>
          <w:sz w:val="20"/>
          <w:szCs w:val="20"/>
          <w:bdr w:val="none" w:sz="0" w:space="0" w:color="auto"/>
          <w:lang w:val="es-ES_tradnl"/>
        </w:rPr>
        <w:t xml:space="preserve">, tal como fue reconocido por el informe de la Comisión </w:t>
      </w:r>
      <w:proofErr w:type="spellStart"/>
      <w:r w:rsidR="00133B71" w:rsidRPr="00DC278B">
        <w:rPr>
          <w:rFonts w:ascii="Cambria" w:eastAsia="Times New Roman" w:hAnsi="Cambria"/>
          <w:sz w:val="20"/>
          <w:szCs w:val="20"/>
          <w:bdr w:val="none" w:sz="0" w:space="0" w:color="auto"/>
          <w:lang w:val="es-ES_tradnl"/>
        </w:rPr>
        <w:t>Rettig</w:t>
      </w:r>
      <w:proofErr w:type="spellEnd"/>
      <w:r w:rsidR="00133B71" w:rsidRPr="00DC278B">
        <w:rPr>
          <w:rFonts w:ascii="Cambria" w:eastAsia="Times New Roman" w:hAnsi="Cambria"/>
          <w:sz w:val="20"/>
          <w:szCs w:val="20"/>
          <w:bdr w:val="none" w:sz="0" w:space="0" w:color="auto"/>
          <w:lang w:val="es-ES_tradnl"/>
        </w:rPr>
        <w:t>.</w:t>
      </w:r>
      <w:r w:rsidR="0081449E" w:rsidRPr="00DC278B">
        <w:rPr>
          <w:rFonts w:ascii="Cambria" w:eastAsia="Times New Roman" w:hAnsi="Cambria"/>
          <w:sz w:val="20"/>
          <w:szCs w:val="20"/>
          <w:bdr w:val="none" w:sz="0" w:space="0" w:color="auto"/>
          <w:lang w:val="es-ES_tradnl"/>
        </w:rPr>
        <w:t xml:space="preserve"> </w:t>
      </w:r>
      <w:r w:rsidRPr="00DC278B">
        <w:rPr>
          <w:rFonts w:ascii="Cambria" w:eastAsia="Times New Roman" w:hAnsi="Cambria"/>
          <w:sz w:val="20"/>
          <w:szCs w:val="20"/>
          <w:bdr w:val="none" w:sz="0" w:space="0" w:color="auto"/>
          <w:lang w:val="es-ES_tradnl"/>
        </w:rPr>
        <w:t>y</w:t>
      </w:r>
      <w:r w:rsidR="004F5006" w:rsidRPr="00DC278B">
        <w:rPr>
          <w:rFonts w:ascii="Cambria" w:eastAsia="Times New Roman" w:hAnsi="Cambria"/>
          <w:sz w:val="20"/>
          <w:szCs w:val="20"/>
          <w:bdr w:val="none" w:sz="0" w:space="0" w:color="auto"/>
          <w:lang w:val="es-ES_tradnl"/>
        </w:rPr>
        <w:t xml:space="preserve"> que el 19 de junio de 2002, </w:t>
      </w:r>
      <w:r w:rsidR="0052356C" w:rsidRPr="00DC278B">
        <w:rPr>
          <w:rFonts w:ascii="Cambria" w:eastAsia="Times New Roman" w:hAnsi="Cambria"/>
          <w:sz w:val="20"/>
          <w:szCs w:val="20"/>
          <w:bdr w:val="none" w:sz="0" w:space="0" w:color="auto"/>
          <w:lang w:val="es-ES_tradnl"/>
        </w:rPr>
        <w:t xml:space="preserve">el </w:t>
      </w:r>
      <w:r w:rsidR="004F5006" w:rsidRPr="00DC278B">
        <w:rPr>
          <w:rFonts w:ascii="Cambria" w:eastAsia="Times New Roman" w:hAnsi="Cambria"/>
          <w:sz w:val="20"/>
          <w:szCs w:val="20"/>
          <w:bdr w:val="none" w:sz="0" w:space="0" w:color="auto"/>
          <w:lang w:val="es-ES_tradnl"/>
        </w:rPr>
        <w:t>Décimo Séptimo</w:t>
      </w:r>
      <w:r w:rsidRPr="00DC278B">
        <w:rPr>
          <w:rFonts w:ascii="Cambria" w:eastAsia="Times New Roman" w:hAnsi="Cambria"/>
          <w:sz w:val="20"/>
          <w:szCs w:val="20"/>
          <w:bdr w:val="none" w:sz="0" w:space="0" w:color="auto"/>
          <w:lang w:val="es-ES_tradnl"/>
        </w:rPr>
        <w:t xml:space="preserve"> Juzgado Civil de Santiago</w:t>
      </w:r>
      <w:r w:rsidR="004F5006" w:rsidRPr="00DC278B">
        <w:rPr>
          <w:rFonts w:ascii="Cambria" w:eastAsia="Times New Roman" w:hAnsi="Cambria"/>
          <w:sz w:val="20"/>
          <w:szCs w:val="20"/>
          <w:bdr w:val="none" w:sz="0" w:space="0" w:color="auto"/>
          <w:lang w:val="es-ES_tradnl"/>
        </w:rPr>
        <w:t xml:space="preserve"> (en adelante “</w:t>
      </w:r>
      <w:r w:rsidR="00D174CB" w:rsidRPr="00DC278B">
        <w:rPr>
          <w:rFonts w:ascii="Cambria" w:eastAsia="Times New Roman" w:hAnsi="Cambria"/>
          <w:sz w:val="20"/>
          <w:szCs w:val="20"/>
          <w:bdr w:val="none" w:sz="0" w:space="0" w:color="auto"/>
          <w:lang w:val="es-ES_tradnl"/>
        </w:rPr>
        <w:t xml:space="preserve">el </w:t>
      </w:r>
      <w:r w:rsidR="004F5006" w:rsidRPr="00DC278B">
        <w:rPr>
          <w:rFonts w:ascii="Cambria" w:eastAsia="Times New Roman" w:hAnsi="Cambria"/>
          <w:sz w:val="20"/>
          <w:szCs w:val="20"/>
          <w:bdr w:val="none" w:sz="0" w:space="0" w:color="auto"/>
          <w:lang w:val="es-ES_tradnl"/>
        </w:rPr>
        <w:t>17</w:t>
      </w:r>
      <w:r w:rsidR="004F5006" w:rsidRPr="00DC278B">
        <w:rPr>
          <w:rFonts w:ascii="Cambria" w:hAnsi="Cambria"/>
          <w:sz w:val="20"/>
          <w:szCs w:val="20"/>
          <w:lang w:val="es-ES"/>
        </w:rPr>
        <w:t>º</w:t>
      </w:r>
      <w:r w:rsidR="004F5006" w:rsidRPr="00DC278B">
        <w:rPr>
          <w:rFonts w:ascii="Cambria" w:eastAsia="Times New Roman" w:hAnsi="Cambria"/>
          <w:sz w:val="20"/>
          <w:szCs w:val="20"/>
          <w:bdr w:val="none" w:sz="0" w:space="0" w:color="auto"/>
          <w:lang w:val="es-ES_tradnl"/>
        </w:rPr>
        <w:t xml:space="preserve"> Juzgado Civil”)</w:t>
      </w:r>
      <w:r w:rsidRPr="00DC278B">
        <w:rPr>
          <w:rFonts w:ascii="Cambria" w:eastAsia="Times New Roman" w:hAnsi="Cambria"/>
          <w:sz w:val="20"/>
          <w:szCs w:val="20"/>
          <w:bdr w:val="none" w:sz="0" w:space="0" w:color="auto"/>
          <w:lang w:val="es-ES_tradnl"/>
        </w:rPr>
        <w:t xml:space="preserve">, en el juicio </w:t>
      </w:r>
      <w:r w:rsidR="00F97E62" w:rsidRPr="00DC278B">
        <w:rPr>
          <w:rFonts w:ascii="Cambria" w:eastAsia="Times New Roman" w:hAnsi="Cambria"/>
          <w:sz w:val="20"/>
          <w:szCs w:val="20"/>
          <w:bdr w:val="none" w:sz="0" w:space="0" w:color="auto"/>
          <w:lang w:val="es-ES_tradnl"/>
        </w:rPr>
        <w:t>“Navarrete con Fisco de Chile”, Rol 3118-2000,</w:t>
      </w:r>
      <w:r w:rsidR="00CB75DC" w:rsidRPr="00DC278B">
        <w:rPr>
          <w:rFonts w:ascii="Cambria" w:eastAsia="Times New Roman" w:hAnsi="Cambria"/>
          <w:sz w:val="20"/>
          <w:szCs w:val="20"/>
          <w:bdr w:val="none" w:sz="0" w:space="0" w:color="auto"/>
          <w:lang w:val="es-ES_tradnl"/>
        </w:rPr>
        <w:t xml:space="preserve"> negó dicha</w:t>
      </w:r>
      <w:r w:rsidRPr="00DC278B">
        <w:rPr>
          <w:rFonts w:ascii="Cambria" w:eastAsia="Times New Roman" w:hAnsi="Cambria"/>
          <w:sz w:val="20"/>
          <w:szCs w:val="20"/>
          <w:bdr w:val="none" w:sz="0" w:space="0" w:color="auto"/>
          <w:lang w:val="es-ES_tradnl"/>
        </w:rPr>
        <w:t xml:space="preserve"> reparación</w:t>
      </w:r>
      <w:r w:rsidR="003F0C00" w:rsidRPr="00DC278B">
        <w:rPr>
          <w:rFonts w:ascii="Cambria" w:eastAsia="Times New Roman" w:hAnsi="Cambria"/>
          <w:sz w:val="20"/>
          <w:szCs w:val="20"/>
          <w:bdr w:val="none" w:sz="0" w:space="0" w:color="auto"/>
          <w:lang w:val="es-ES_tradnl"/>
        </w:rPr>
        <w:t xml:space="preserve"> en aplicación del plazo de prescripción.</w:t>
      </w:r>
      <w:r w:rsidR="00FA7864">
        <w:rPr>
          <w:rFonts w:ascii="Cambria" w:eastAsia="Times New Roman" w:hAnsi="Cambria"/>
          <w:sz w:val="20"/>
          <w:szCs w:val="20"/>
          <w:bdr w:val="none" w:sz="0" w:space="0" w:color="auto"/>
          <w:lang w:val="es-ES_tradnl"/>
        </w:rPr>
        <w:t xml:space="preserve"> </w:t>
      </w:r>
      <w:r w:rsidRPr="00DC278B">
        <w:rPr>
          <w:rFonts w:ascii="Cambria" w:eastAsia="Times New Roman" w:hAnsi="Cambria"/>
          <w:sz w:val="20"/>
          <w:szCs w:val="20"/>
          <w:bdr w:val="none" w:sz="0" w:space="0" w:color="auto"/>
          <w:lang w:val="es-ES_tradnl"/>
        </w:rPr>
        <w:t>Indica que el 7 de noviembre de 2002, los demandantes presentaron un recurso de apelación, el cual fue declarado desierto por</w:t>
      </w:r>
      <w:r w:rsidR="00D94A3B" w:rsidRPr="00DC278B">
        <w:rPr>
          <w:rFonts w:ascii="Cambria" w:eastAsia="Times New Roman" w:hAnsi="Cambria"/>
          <w:sz w:val="20"/>
          <w:szCs w:val="20"/>
          <w:bdr w:val="none" w:sz="0" w:space="0" w:color="auto"/>
          <w:lang w:val="es-ES_tradnl"/>
        </w:rPr>
        <w:t xml:space="preserve"> la CAS</w:t>
      </w:r>
      <w:r w:rsidRPr="00DC278B">
        <w:rPr>
          <w:rFonts w:ascii="Cambria" w:eastAsia="Times New Roman" w:hAnsi="Cambria"/>
          <w:sz w:val="20"/>
          <w:szCs w:val="20"/>
          <w:bdr w:val="none" w:sz="0" w:space="0" w:color="auto"/>
          <w:lang w:val="es-ES_tradnl"/>
        </w:rPr>
        <w:t xml:space="preserve">, la cual devolvió el expediente al </w:t>
      </w:r>
      <w:r w:rsidR="002878DF">
        <w:rPr>
          <w:rFonts w:ascii="Cambria" w:eastAsia="Times New Roman" w:hAnsi="Cambria"/>
          <w:sz w:val="20"/>
          <w:szCs w:val="20"/>
          <w:bdr w:val="none" w:sz="0" w:space="0" w:color="auto"/>
          <w:lang w:val="es-ES_tradnl"/>
        </w:rPr>
        <w:t xml:space="preserve">tribunal de primera instancia. </w:t>
      </w:r>
      <w:r w:rsidRPr="00DC278B">
        <w:rPr>
          <w:rFonts w:ascii="Cambria" w:eastAsia="Times New Roman" w:hAnsi="Cambria"/>
          <w:sz w:val="20"/>
          <w:szCs w:val="20"/>
          <w:bdr w:val="none" w:sz="0" w:space="0" w:color="auto"/>
          <w:lang w:val="es-ES_tradnl"/>
        </w:rPr>
        <w:t>Indica que el 26 de junio de 2003 se dictó orden de “cúmplase”, siendo ésta la última resolución dictada en el proceso.</w:t>
      </w:r>
    </w:p>
    <w:p w:rsidR="005F74FD" w:rsidRPr="00DC278B" w:rsidRDefault="005F74FD" w:rsidP="00DC278B">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sz w:val="20"/>
          <w:szCs w:val="20"/>
          <w:bdr w:val="none" w:sz="0" w:space="0" w:color="auto"/>
          <w:lang w:val="es-ES_tradnl"/>
        </w:rPr>
      </w:pPr>
    </w:p>
    <w:p w:rsidR="005F74FD" w:rsidRPr="00DC278B" w:rsidRDefault="004E1D1E"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r w:rsidRPr="00DC278B">
        <w:rPr>
          <w:rFonts w:ascii="Cambria" w:eastAsia="Times New Roman" w:hAnsi="Cambria"/>
          <w:sz w:val="20"/>
          <w:szCs w:val="20"/>
          <w:bdr w:val="none" w:sz="0" w:space="0" w:color="auto"/>
          <w:lang w:val="es-ES_tradnl"/>
        </w:rPr>
        <w:t xml:space="preserve">Indica que en el caso de </w:t>
      </w:r>
      <w:r w:rsidR="005F74FD" w:rsidRPr="00DC278B">
        <w:rPr>
          <w:rFonts w:ascii="Cambria" w:eastAsia="Times New Roman" w:hAnsi="Cambria"/>
          <w:sz w:val="20"/>
          <w:szCs w:val="20"/>
          <w:bdr w:val="none" w:sz="0" w:space="0" w:color="auto"/>
          <w:lang w:val="es-ES_tradnl"/>
        </w:rPr>
        <w:t>Ramón Luís Vivanco, su hija Pamela Adriana Vivanco Medida solicitó una indemnización por el daño sufrido</w:t>
      </w:r>
      <w:r w:rsidR="00BA7F1C" w:rsidRPr="00DC278B">
        <w:rPr>
          <w:rFonts w:ascii="Cambria" w:eastAsia="Times New Roman" w:hAnsi="Cambria"/>
          <w:sz w:val="20"/>
          <w:szCs w:val="20"/>
          <w:bdr w:val="none" w:sz="0" w:space="0" w:color="auto"/>
          <w:lang w:val="es-ES_tradnl"/>
        </w:rPr>
        <w:t xml:space="preserve"> por la de</w:t>
      </w:r>
      <w:r w:rsidR="00702D07" w:rsidRPr="00DC278B">
        <w:rPr>
          <w:rFonts w:ascii="Cambria" w:eastAsia="Times New Roman" w:hAnsi="Cambria"/>
          <w:sz w:val="20"/>
          <w:szCs w:val="20"/>
          <w:bdr w:val="none" w:sz="0" w:space="0" w:color="auto"/>
          <w:lang w:val="es-ES_tradnl"/>
        </w:rPr>
        <w:t xml:space="preserve">tención y ejecución de su padre - tal como fue reconocido por el informe de la Comisión </w:t>
      </w:r>
      <w:proofErr w:type="spellStart"/>
      <w:r w:rsidR="00702D07" w:rsidRPr="00DC278B">
        <w:rPr>
          <w:rFonts w:ascii="Cambria" w:eastAsia="Times New Roman" w:hAnsi="Cambria"/>
          <w:sz w:val="20"/>
          <w:szCs w:val="20"/>
          <w:bdr w:val="none" w:sz="0" w:space="0" w:color="auto"/>
          <w:lang w:val="es-ES_tradnl"/>
        </w:rPr>
        <w:t>Rettig</w:t>
      </w:r>
      <w:proofErr w:type="spellEnd"/>
      <w:r w:rsidR="00702D07" w:rsidRPr="00DC278B">
        <w:rPr>
          <w:rFonts w:ascii="Cambria" w:eastAsia="Times New Roman" w:hAnsi="Cambria"/>
          <w:sz w:val="20"/>
          <w:szCs w:val="20"/>
          <w:bdr w:val="none" w:sz="0" w:space="0" w:color="auto"/>
          <w:lang w:val="es-ES_tradnl"/>
        </w:rPr>
        <w:t xml:space="preserve"> -</w:t>
      </w:r>
      <w:r w:rsidR="005F74FD" w:rsidRPr="00DC278B">
        <w:rPr>
          <w:rFonts w:ascii="Cambria" w:eastAsia="Times New Roman" w:hAnsi="Cambria"/>
          <w:sz w:val="20"/>
          <w:szCs w:val="20"/>
          <w:bdr w:val="none" w:sz="0" w:space="0" w:color="auto"/>
          <w:lang w:val="es-ES_tradnl"/>
        </w:rPr>
        <w:t xml:space="preserve"> ante el </w:t>
      </w:r>
      <w:r w:rsidR="00653C47" w:rsidRPr="00DC278B">
        <w:rPr>
          <w:rFonts w:ascii="Cambria" w:eastAsia="Times New Roman" w:hAnsi="Cambria"/>
          <w:sz w:val="20"/>
          <w:szCs w:val="20"/>
          <w:bdr w:val="none" w:sz="0" w:space="0" w:color="auto"/>
          <w:lang w:val="es-ES_tradnl"/>
        </w:rPr>
        <w:t>Décimo Sexto</w:t>
      </w:r>
      <w:r w:rsidR="005F74FD" w:rsidRPr="00DC278B">
        <w:rPr>
          <w:rFonts w:ascii="Cambria" w:eastAsia="Times New Roman" w:hAnsi="Cambria"/>
          <w:sz w:val="20"/>
          <w:szCs w:val="20"/>
          <w:bdr w:val="none" w:sz="0" w:space="0" w:color="auto"/>
          <w:lang w:val="es-ES_tradnl"/>
        </w:rPr>
        <w:t xml:space="preserve"> Juzgado Civil de Santiago</w:t>
      </w:r>
      <w:r w:rsidR="00653C47" w:rsidRPr="00DC278B">
        <w:rPr>
          <w:rFonts w:ascii="Cambria" w:eastAsia="Times New Roman" w:hAnsi="Cambria"/>
          <w:sz w:val="20"/>
          <w:szCs w:val="20"/>
          <w:bdr w:val="none" w:sz="0" w:space="0" w:color="auto"/>
          <w:lang w:val="es-ES_tradnl"/>
        </w:rPr>
        <w:t xml:space="preserve"> (en adelante “16</w:t>
      </w:r>
      <w:r w:rsidR="00653C47" w:rsidRPr="00DC278B">
        <w:rPr>
          <w:rFonts w:ascii="Cambria" w:hAnsi="Cambria"/>
          <w:sz w:val="20"/>
          <w:szCs w:val="20"/>
          <w:lang w:val="es-ES"/>
        </w:rPr>
        <w:t>º Juzgado Civil”)</w:t>
      </w:r>
      <w:r w:rsidR="005F74FD" w:rsidRPr="00DC278B">
        <w:rPr>
          <w:rFonts w:ascii="Cambria" w:eastAsia="Times New Roman" w:hAnsi="Cambria"/>
          <w:sz w:val="20"/>
          <w:szCs w:val="20"/>
          <w:bdr w:val="none" w:sz="0" w:space="0" w:color="auto"/>
          <w:lang w:val="es-ES_tradnl"/>
        </w:rPr>
        <w:t>, con lo cual se dio inicio al proceso “Vivan</w:t>
      </w:r>
      <w:r w:rsidR="00F97E62" w:rsidRPr="00DC278B">
        <w:rPr>
          <w:rFonts w:ascii="Cambria" w:eastAsia="Times New Roman" w:hAnsi="Cambria"/>
          <w:sz w:val="20"/>
          <w:szCs w:val="20"/>
          <w:bdr w:val="none" w:sz="0" w:space="0" w:color="auto"/>
          <w:lang w:val="es-ES_tradnl"/>
        </w:rPr>
        <w:t>co Medina con Fisco de Chile”, R</w:t>
      </w:r>
      <w:r w:rsidR="00FA7864">
        <w:rPr>
          <w:rFonts w:ascii="Cambria" w:eastAsia="Times New Roman" w:hAnsi="Cambria"/>
          <w:sz w:val="20"/>
          <w:szCs w:val="20"/>
          <w:bdr w:val="none" w:sz="0" w:space="0" w:color="auto"/>
          <w:lang w:val="es-ES_tradnl"/>
        </w:rPr>
        <w:t xml:space="preserve">ol 3245-2000. </w:t>
      </w:r>
      <w:r w:rsidR="005F74FD" w:rsidRPr="00DC278B">
        <w:rPr>
          <w:rFonts w:ascii="Cambria" w:eastAsia="Times New Roman" w:hAnsi="Cambria"/>
          <w:sz w:val="20"/>
          <w:szCs w:val="20"/>
          <w:bdr w:val="none" w:sz="0" w:space="0" w:color="auto"/>
          <w:lang w:val="es-ES_tradnl"/>
        </w:rPr>
        <w:t>Indica que el 4 de</w:t>
      </w:r>
      <w:r w:rsidR="003A723B" w:rsidRPr="00DC278B">
        <w:rPr>
          <w:rFonts w:ascii="Cambria" w:eastAsia="Times New Roman" w:hAnsi="Cambria"/>
          <w:sz w:val="20"/>
          <w:szCs w:val="20"/>
          <w:bdr w:val="none" w:sz="0" w:space="0" w:color="auto"/>
          <w:lang w:val="es-ES_tradnl"/>
        </w:rPr>
        <w:t xml:space="preserve"> octubre de 2002, en</w:t>
      </w:r>
      <w:r w:rsidR="005F74FD" w:rsidRPr="00DC278B">
        <w:rPr>
          <w:rFonts w:ascii="Cambria" w:eastAsia="Times New Roman" w:hAnsi="Cambria"/>
          <w:sz w:val="20"/>
          <w:szCs w:val="20"/>
          <w:bdr w:val="none" w:sz="0" w:space="0" w:color="auto"/>
          <w:lang w:val="es-ES_tradnl"/>
        </w:rPr>
        <w:t xml:space="preserve"> primera instancia </w:t>
      </w:r>
      <w:r w:rsidR="003A723B" w:rsidRPr="00DC278B">
        <w:rPr>
          <w:rFonts w:ascii="Cambria" w:eastAsia="Times New Roman" w:hAnsi="Cambria"/>
          <w:sz w:val="20"/>
          <w:szCs w:val="20"/>
          <w:bdr w:val="none" w:sz="0" w:space="0" w:color="auto"/>
          <w:lang w:val="es-ES_tradnl"/>
        </w:rPr>
        <w:t xml:space="preserve">se </w:t>
      </w:r>
      <w:r w:rsidR="005F74FD" w:rsidRPr="00DC278B">
        <w:rPr>
          <w:rFonts w:ascii="Cambria" w:eastAsia="Times New Roman" w:hAnsi="Cambria"/>
          <w:sz w:val="20"/>
          <w:szCs w:val="20"/>
          <w:bdr w:val="none" w:sz="0" w:space="0" w:color="auto"/>
          <w:lang w:val="es-ES_tradnl"/>
        </w:rPr>
        <w:t>negó la solicitud de reparación</w:t>
      </w:r>
      <w:r w:rsidR="00623FE7" w:rsidRPr="00DC278B">
        <w:rPr>
          <w:rFonts w:ascii="Cambria" w:eastAsia="Times New Roman" w:hAnsi="Cambria"/>
          <w:sz w:val="20"/>
          <w:szCs w:val="20"/>
          <w:bdr w:val="none" w:sz="0" w:space="0" w:color="auto"/>
          <w:lang w:val="es-ES_tradnl"/>
        </w:rPr>
        <w:t xml:space="preserve"> en aplicación del plazo de prescripción. Agrega que </w:t>
      </w:r>
      <w:r w:rsidR="0016081C" w:rsidRPr="00DC278B">
        <w:rPr>
          <w:rFonts w:ascii="Cambria" w:eastAsia="Times New Roman" w:hAnsi="Cambria"/>
          <w:sz w:val="20"/>
          <w:szCs w:val="20"/>
          <w:bdr w:val="none" w:sz="0" w:space="0" w:color="auto"/>
          <w:lang w:val="es-ES_tradnl"/>
        </w:rPr>
        <w:t xml:space="preserve">la apelación al fallo fue declarada </w:t>
      </w:r>
      <w:r w:rsidR="00FA7864">
        <w:rPr>
          <w:rFonts w:ascii="Cambria" w:eastAsia="Times New Roman" w:hAnsi="Cambria"/>
          <w:sz w:val="20"/>
          <w:szCs w:val="20"/>
          <w:bdr w:val="none" w:sz="0" w:space="0" w:color="auto"/>
          <w:lang w:val="es-ES_tradnl"/>
        </w:rPr>
        <w:t>desierta.</w:t>
      </w:r>
      <w:r w:rsidR="005F74FD" w:rsidRPr="00DC278B">
        <w:rPr>
          <w:rFonts w:ascii="Cambria" w:eastAsia="Times New Roman" w:hAnsi="Cambria"/>
          <w:sz w:val="20"/>
          <w:szCs w:val="20"/>
          <w:bdr w:val="none" w:sz="0" w:space="0" w:color="auto"/>
          <w:lang w:val="es-ES_tradnl"/>
        </w:rPr>
        <w:t xml:space="preserve"> Indica que el expediente fue devuelto al juzgado de origen, el cual dictó resolución de “cúmplase”, el 3 de junio de 2003.</w:t>
      </w:r>
    </w:p>
    <w:p w:rsidR="005F74FD" w:rsidRPr="00DC278B" w:rsidRDefault="005F74FD" w:rsidP="00DC278B">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sz w:val="20"/>
          <w:szCs w:val="20"/>
          <w:bdr w:val="none" w:sz="0" w:space="0" w:color="auto"/>
          <w:lang w:val="es-ES_tradnl"/>
        </w:rPr>
      </w:pPr>
    </w:p>
    <w:p w:rsidR="005F74FD" w:rsidRPr="00DC278B" w:rsidRDefault="004E1D1E"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r w:rsidRPr="00DC278B">
        <w:rPr>
          <w:rFonts w:ascii="Cambria" w:eastAsia="Times New Roman" w:hAnsi="Cambria"/>
          <w:sz w:val="20"/>
          <w:szCs w:val="20"/>
          <w:bdr w:val="none" w:sz="0" w:space="0" w:color="auto"/>
          <w:lang w:val="es-ES_tradnl"/>
        </w:rPr>
        <w:t xml:space="preserve">Señala que en el caso de </w:t>
      </w:r>
      <w:r w:rsidR="005F74FD" w:rsidRPr="00DC278B">
        <w:rPr>
          <w:rFonts w:ascii="Cambria" w:eastAsia="Times New Roman" w:hAnsi="Cambria"/>
          <w:sz w:val="20"/>
          <w:szCs w:val="20"/>
          <w:bdr w:val="none" w:sz="0" w:space="0" w:color="auto"/>
          <w:lang w:val="es-ES_tradnl"/>
        </w:rPr>
        <w:t>Rodolfo Alejandro Espejo Gómez, la hermana, Katia Espejo Gómez y la madre, Elena Alejandrina Vargas iniciaron la demanda por daño moral</w:t>
      </w:r>
      <w:r w:rsidR="00BA7F1C" w:rsidRPr="00DC278B">
        <w:rPr>
          <w:rFonts w:ascii="Cambria" w:eastAsia="Times New Roman" w:hAnsi="Cambria"/>
          <w:sz w:val="20"/>
          <w:szCs w:val="20"/>
          <w:bdr w:val="none" w:sz="0" w:space="0" w:color="auto"/>
          <w:lang w:val="es-ES_tradnl"/>
        </w:rPr>
        <w:t xml:space="preserve"> causado por el secuestro y desaparición de su familiar</w:t>
      </w:r>
      <w:r w:rsidR="00F96BAF" w:rsidRPr="00DC278B">
        <w:rPr>
          <w:rFonts w:ascii="Cambria" w:eastAsia="Times New Roman" w:hAnsi="Cambria"/>
          <w:sz w:val="20"/>
          <w:szCs w:val="20"/>
          <w:bdr w:val="none" w:sz="0" w:space="0" w:color="auto"/>
          <w:lang w:val="es-ES_tradnl"/>
        </w:rPr>
        <w:t xml:space="preserve"> - tal como fue reconocido por el informe de la Comisión </w:t>
      </w:r>
      <w:proofErr w:type="spellStart"/>
      <w:r w:rsidR="00F96BAF" w:rsidRPr="00DC278B">
        <w:rPr>
          <w:rFonts w:ascii="Cambria" w:eastAsia="Times New Roman" w:hAnsi="Cambria"/>
          <w:sz w:val="20"/>
          <w:szCs w:val="20"/>
          <w:bdr w:val="none" w:sz="0" w:space="0" w:color="auto"/>
          <w:lang w:val="es-ES_tradnl"/>
        </w:rPr>
        <w:t>Rettig</w:t>
      </w:r>
      <w:proofErr w:type="spellEnd"/>
      <w:r w:rsidR="00F96BAF" w:rsidRPr="00DC278B">
        <w:rPr>
          <w:rFonts w:ascii="Cambria" w:eastAsia="Times New Roman" w:hAnsi="Cambria"/>
          <w:sz w:val="20"/>
          <w:szCs w:val="20"/>
          <w:bdr w:val="none" w:sz="0" w:space="0" w:color="auto"/>
          <w:lang w:val="es-ES_tradnl"/>
        </w:rPr>
        <w:t xml:space="preserve"> -</w:t>
      </w:r>
      <w:r w:rsidR="005F74FD" w:rsidRPr="00DC278B">
        <w:rPr>
          <w:rFonts w:ascii="Cambria" w:eastAsia="Times New Roman" w:hAnsi="Cambria"/>
          <w:sz w:val="20"/>
          <w:szCs w:val="20"/>
          <w:bdr w:val="none" w:sz="0" w:space="0" w:color="auto"/>
          <w:lang w:val="es-ES_tradnl"/>
        </w:rPr>
        <w:t xml:space="preserve"> iniciándose la causa “Esp</w:t>
      </w:r>
      <w:r w:rsidR="00B25D62" w:rsidRPr="00DC278B">
        <w:rPr>
          <w:rFonts w:ascii="Cambria" w:eastAsia="Times New Roman" w:hAnsi="Cambria"/>
          <w:sz w:val="20"/>
          <w:szCs w:val="20"/>
          <w:bdr w:val="none" w:sz="0" w:space="0" w:color="auto"/>
          <w:lang w:val="es-ES_tradnl"/>
        </w:rPr>
        <w:t>ejo Gómez con Fisco de Chile”, R</w:t>
      </w:r>
      <w:r w:rsidR="00FA7864">
        <w:rPr>
          <w:rFonts w:ascii="Cambria" w:eastAsia="Times New Roman" w:hAnsi="Cambria"/>
          <w:sz w:val="20"/>
          <w:szCs w:val="20"/>
          <w:bdr w:val="none" w:sz="0" w:space="0" w:color="auto"/>
          <w:lang w:val="es-ES_tradnl"/>
        </w:rPr>
        <w:t xml:space="preserve">ol 2918-2000. </w:t>
      </w:r>
      <w:r w:rsidR="005F74FD" w:rsidRPr="00DC278B">
        <w:rPr>
          <w:rFonts w:ascii="Cambria" w:eastAsia="Times New Roman" w:hAnsi="Cambria"/>
          <w:sz w:val="20"/>
          <w:szCs w:val="20"/>
          <w:bdr w:val="none" w:sz="0" w:space="0" w:color="auto"/>
          <w:lang w:val="es-ES_tradnl"/>
        </w:rPr>
        <w:t xml:space="preserve">Indica que el 19 de junio de </w:t>
      </w:r>
      <w:r w:rsidR="00B25D62" w:rsidRPr="00DC278B">
        <w:rPr>
          <w:rFonts w:ascii="Cambria" w:eastAsia="Times New Roman" w:hAnsi="Cambria"/>
          <w:sz w:val="20"/>
          <w:szCs w:val="20"/>
          <w:bdr w:val="none" w:sz="0" w:space="0" w:color="auto"/>
          <w:lang w:val="es-ES_tradnl"/>
        </w:rPr>
        <w:t xml:space="preserve">2002 </w:t>
      </w:r>
      <w:r w:rsidR="005F74FD" w:rsidRPr="00DC278B">
        <w:rPr>
          <w:rFonts w:ascii="Cambria" w:eastAsia="Times New Roman" w:hAnsi="Cambria"/>
          <w:sz w:val="20"/>
          <w:szCs w:val="20"/>
          <w:bdr w:val="none" w:sz="0" w:space="0" w:color="auto"/>
          <w:lang w:val="es-ES_tradnl"/>
        </w:rPr>
        <w:t>el 17</w:t>
      </w:r>
      <w:r w:rsidR="00B25D62" w:rsidRPr="00DC278B">
        <w:rPr>
          <w:rFonts w:ascii="Cambria" w:hAnsi="Cambria"/>
          <w:sz w:val="20"/>
          <w:szCs w:val="20"/>
          <w:lang w:val="es-ES"/>
        </w:rPr>
        <w:t>º</w:t>
      </w:r>
      <w:r w:rsidR="005F74FD" w:rsidRPr="00DC278B">
        <w:rPr>
          <w:rFonts w:ascii="Cambria" w:eastAsia="Times New Roman" w:hAnsi="Cambria"/>
          <w:sz w:val="20"/>
          <w:szCs w:val="20"/>
          <w:bdr w:val="none" w:sz="0" w:space="0" w:color="auto"/>
          <w:lang w:val="es-ES_tradnl"/>
        </w:rPr>
        <w:t xml:space="preserve"> </w:t>
      </w:r>
      <w:r w:rsidR="00F62D1E" w:rsidRPr="00DC278B">
        <w:rPr>
          <w:rFonts w:ascii="Cambria" w:eastAsia="Times New Roman" w:hAnsi="Cambria"/>
          <w:sz w:val="20"/>
          <w:szCs w:val="20"/>
          <w:bdr w:val="none" w:sz="0" w:space="0" w:color="auto"/>
          <w:lang w:val="es-ES_tradnl"/>
        </w:rPr>
        <w:t>Juzgado Civil</w:t>
      </w:r>
      <w:r w:rsidR="005F74FD" w:rsidRPr="00DC278B">
        <w:rPr>
          <w:rFonts w:ascii="Cambria" w:eastAsia="Times New Roman" w:hAnsi="Cambria"/>
          <w:sz w:val="20"/>
          <w:szCs w:val="20"/>
          <w:bdr w:val="none" w:sz="0" w:space="0" w:color="auto"/>
          <w:lang w:val="es-ES_tradnl"/>
        </w:rPr>
        <w:t xml:space="preserve"> negó la so</w:t>
      </w:r>
      <w:r w:rsidR="0016081C" w:rsidRPr="00DC278B">
        <w:rPr>
          <w:rFonts w:ascii="Cambria" w:eastAsia="Times New Roman" w:hAnsi="Cambria"/>
          <w:sz w:val="20"/>
          <w:szCs w:val="20"/>
          <w:bdr w:val="none" w:sz="0" w:space="0" w:color="auto"/>
          <w:lang w:val="es-ES_tradnl"/>
        </w:rPr>
        <w:t>licitud de reparaciones</w:t>
      </w:r>
      <w:r w:rsidR="00E101DA" w:rsidRPr="00DC278B">
        <w:rPr>
          <w:rFonts w:ascii="Cambria" w:eastAsia="Times New Roman" w:hAnsi="Cambria"/>
          <w:sz w:val="20"/>
          <w:szCs w:val="20"/>
          <w:bdr w:val="none" w:sz="0" w:space="0" w:color="auto"/>
          <w:lang w:val="es-ES_tradnl"/>
        </w:rPr>
        <w:t xml:space="preserve"> en aplicación del plazo de prescripción. Agrega que </w:t>
      </w:r>
      <w:r w:rsidR="0016081C" w:rsidRPr="00DC278B">
        <w:rPr>
          <w:rFonts w:ascii="Cambria" w:eastAsia="Times New Roman" w:hAnsi="Cambria"/>
          <w:sz w:val="20"/>
          <w:szCs w:val="20"/>
          <w:bdr w:val="none" w:sz="0" w:space="0" w:color="auto"/>
          <w:lang w:val="es-ES_tradnl"/>
        </w:rPr>
        <w:t>la</w:t>
      </w:r>
      <w:r w:rsidR="005F74FD" w:rsidRPr="00DC278B">
        <w:rPr>
          <w:rFonts w:ascii="Cambria" w:eastAsia="Times New Roman" w:hAnsi="Cambria"/>
          <w:sz w:val="20"/>
          <w:szCs w:val="20"/>
          <w:bdr w:val="none" w:sz="0" w:space="0" w:color="auto"/>
          <w:lang w:val="es-ES_tradnl"/>
        </w:rPr>
        <w:t xml:space="preserve"> apelación </w:t>
      </w:r>
      <w:r w:rsidR="0016081C" w:rsidRPr="00DC278B">
        <w:rPr>
          <w:rFonts w:ascii="Cambria" w:eastAsia="Times New Roman" w:hAnsi="Cambria"/>
          <w:sz w:val="20"/>
          <w:szCs w:val="20"/>
          <w:bdr w:val="none" w:sz="0" w:space="0" w:color="auto"/>
          <w:lang w:val="es-ES_tradnl"/>
        </w:rPr>
        <w:t>al fallo fue declarada</w:t>
      </w:r>
      <w:r w:rsidR="005F74FD" w:rsidRPr="00DC278B">
        <w:rPr>
          <w:rFonts w:ascii="Cambria" w:eastAsia="Times New Roman" w:hAnsi="Cambria"/>
          <w:sz w:val="20"/>
          <w:szCs w:val="20"/>
          <w:bdr w:val="none" w:sz="0" w:space="0" w:color="auto"/>
          <w:lang w:val="es-ES_tradnl"/>
        </w:rPr>
        <w:t xml:space="preserve"> desiert</w:t>
      </w:r>
      <w:r w:rsidR="0016081C" w:rsidRPr="00DC278B">
        <w:rPr>
          <w:rFonts w:ascii="Cambria" w:eastAsia="Times New Roman" w:hAnsi="Cambria"/>
          <w:sz w:val="20"/>
          <w:szCs w:val="20"/>
          <w:bdr w:val="none" w:sz="0" w:space="0" w:color="auto"/>
          <w:lang w:val="es-ES_tradnl"/>
        </w:rPr>
        <w:t>a</w:t>
      </w:r>
      <w:r w:rsidR="005F74FD" w:rsidRPr="00DC278B">
        <w:rPr>
          <w:rFonts w:ascii="Cambria" w:eastAsia="Times New Roman" w:hAnsi="Cambria"/>
          <w:sz w:val="20"/>
          <w:szCs w:val="20"/>
          <w:bdr w:val="none" w:sz="0" w:space="0" w:color="auto"/>
          <w:lang w:val="es-ES_tradnl"/>
        </w:rPr>
        <w:t xml:space="preserve"> y devuelto al 17</w:t>
      </w:r>
      <w:r w:rsidR="00B25D62" w:rsidRPr="00DC278B">
        <w:rPr>
          <w:rFonts w:ascii="Cambria" w:hAnsi="Cambria"/>
          <w:sz w:val="20"/>
          <w:szCs w:val="20"/>
          <w:lang w:val="es-ES"/>
        </w:rPr>
        <w:t>º</w:t>
      </w:r>
      <w:r w:rsidR="005F74FD" w:rsidRPr="00DC278B">
        <w:rPr>
          <w:rFonts w:ascii="Cambria" w:eastAsia="Times New Roman" w:hAnsi="Cambria"/>
          <w:sz w:val="20"/>
          <w:szCs w:val="20"/>
          <w:bdr w:val="none" w:sz="0" w:space="0" w:color="auto"/>
          <w:lang w:val="es-ES_tradnl"/>
        </w:rPr>
        <w:t xml:space="preserve"> Juzgado Civil, el cual emitió resolución de “cúmplase” el 9 de julio de 2003, dándose fin al proceso.</w:t>
      </w:r>
    </w:p>
    <w:p w:rsidR="005F74FD" w:rsidRPr="00DC278B" w:rsidRDefault="005F74FD" w:rsidP="00DC278B">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sz w:val="20"/>
          <w:szCs w:val="20"/>
          <w:bdr w:val="none" w:sz="0" w:space="0" w:color="auto"/>
          <w:lang w:val="es-ES_tradnl"/>
        </w:rPr>
      </w:pPr>
    </w:p>
    <w:p w:rsidR="005F74FD" w:rsidRPr="00DC278B" w:rsidRDefault="004E1D1E"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r w:rsidRPr="00DC278B">
        <w:rPr>
          <w:rFonts w:ascii="Cambria" w:eastAsia="Times New Roman" w:hAnsi="Cambria"/>
          <w:sz w:val="20"/>
          <w:szCs w:val="20"/>
          <w:bdr w:val="none" w:sz="0" w:space="0" w:color="auto"/>
          <w:lang w:val="es-ES_tradnl"/>
        </w:rPr>
        <w:t xml:space="preserve">Indica que en el caso </w:t>
      </w:r>
      <w:r w:rsidR="007A17E4" w:rsidRPr="00DC278B">
        <w:rPr>
          <w:rFonts w:ascii="Cambria" w:eastAsia="Times New Roman" w:hAnsi="Cambria"/>
          <w:sz w:val="20"/>
          <w:szCs w:val="20"/>
          <w:bdr w:val="none" w:sz="0" w:space="0" w:color="auto"/>
          <w:lang w:val="es-ES_tradnl"/>
        </w:rPr>
        <w:t xml:space="preserve">de Mario Melo </w:t>
      </w:r>
      <w:proofErr w:type="spellStart"/>
      <w:r w:rsidR="007A17E4" w:rsidRPr="00DC278B">
        <w:rPr>
          <w:rFonts w:ascii="Cambria" w:eastAsia="Times New Roman" w:hAnsi="Cambria"/>
          <w:sz w:val="20"/>
          <w:szCs w:val="20"/>
          <w:bdr w:val="none" w:sz="0" w:space="0" w:color="auto"/>
          <w:lang w:val="es-ES_tradnl"/>
        </w:rPr>
        <w:t>Pra</w:t>
      </w:r>
      <w:r w:rsidR="005F74FD" w:rsidRPr="00DC278B">
        <w:rPr>
          <w:rFonts w:ascii="Cambria" w:eastAsia="Times New Roman" w:hAnsi="Cambria"/>
          <w:sz w:val="20"/>
          <w:szCs w:val="20"/>
          <w:bdr w:val="none" w:sz="0" w:space="0" w:color="auto"/>
          <w:lang w:val="es-ES_tradnl"/>
        </w:rPr>
        <w:t>denas</w:t>
      </w:r>
      <w:proofErr w:type="spellEnd"/>
      <w:r w:rsidR="005F74FD" w:rsidRPr="00DC278B">
        <w:rPr>
          <w:rFonts w:ascii="Cambria" w:eastAsia="Times New Roman" w:hAnsi="Cambria"/>
          <w:sz w:val="20"/>
          <w:szCs w:val="20"/>
          <w:bdr w:val="none" w:sz="0" w:space="0" w:color="auto"/>
          <w:lang w:val="es-ES_tradnl"/>
        </w:rPr>
        <w:t xml:space="preserve">, Carlos Gustavo Melo </w:t>
      </w:r>
      <w:proofErr w:type="spellStart"/>
      <w:r w:rsidR="005F74FD" w:rsidRPr="00DC278B">
        <w:rPr>
          <w:rFonts w:ascii="Cambria" w:eastAsia="Times New Roman" w:hAnsi="Cambria"/>
          <w:sz w:val="20"/>
          <w:szCs w:val="20"/>
          <w:bdr w:val="none" w:sz="0" w:space="0" w:color="auto"/>
          <w:lang w:val="es-ES_tradnl"/>
        </w:rPr>
        <w:t>Pr</w:t>
      </w:r>
      <w:r w:rsidR="007A17E4" w:rsidRPr="00DC278B">
        <w:rPr>
          <w:rFonts w:ascii="Cambria" w:eastAsia="Times New Roman" w:hAnsi="Cambria"/>
          <w:sz w:val="20"/>
          <w:szCs w:val="20"/>
          <w:bdr w:val="none" w:sz="0" w:space="0" w:color="auto"/>
          <w:lang w:val="es-ES_tradnl"/>
        </w:rPr>
        <w:t>a</w:t>
      </w:r>
      <w:r w:rsidR="005F74FD" w:rsidRPr="00DC278B">
        <w:rPr>
          <w:rFonts w:ascii="Cambria" w:eastAsia="Times New Roman" w:hAnsi="Cambria"/>
          <w:sz w:val="20"/>
          <w:szCs w:val="20"/>
          <w:bdr w:val="none" w:sz="0" w:space="0" w:color="auto"/>
          <w:lang w:val="es-ES_tradnl"/>
        </w:rPr>
        <w:t>denas</w:t>
      </w:r>
      <w:proofErr w:type="spellEnd"/>
      <w:r w:rsidR="005F74FD" w:rsidRPr="00DC278B">
        <w:rPr>
          <w:rFonts w:ascii="Cambria" w:eastAsia="Times New Roman" w:hAnsi="Cambria"/>
          <w:sz w:val="20"/>
          <w:szCs w:val="20"/>
          <w:bdr w:val="none" w:sz="0" w:space="0" w:color="auto"/>
          <w:lang w:val="es-ES_tradnl"/>
        </w:rPr>
        <w:t>, hermano y M</w:t>
      </w:r>
      <w:r w:rsidR="007A17E4" w:rsidRPr="00DC278B">
        <w:rPr>
          <w:rFonts w:ascii="Cambria" w:eastAsia="Times New Roman" w:hAnsi="Cambria"/>
          <w:sz w:val="20"/>
          <w:szCs w:val="20"/>
          <w:bdr w:val="none" w:sz="0" w:space="0" w:color="auto"/>
          <w:lang w:val="es-ES_tradnl"/>
        </w:rPr>
        <w:t xml:space="preserve">ario Melo Acuña e Ilia María </w:t>
      </w:r>
      <w:proofErr w:type="spellStart"/>
      <w:r w:rsidR="007A17E4" w:rsidRPr="00DC278B">
        <w:rPr>
          <w:rFonts w:ascii="Cambria" w:eastAsia="Times New Roman" w:hAnsi="Cambria"/>
          <w:sz w:val="20"/>
          <w:szCs w:val="20"/>
          <w:bdr w:val="none" w:sz="0" w:space="0" w:color="auto"/>
          <w:lang w:val="es-ES_tradnl"/>
        </w:rPr>
        <w:t>Pra</w:t>
      </w:r>
      <w:r w:rsidR="005F74FD" w:rsidRPr="00DC278B">
        <w:rPr>
          <w:rFonts w:ascii="Cambria" w:eastAsia="Times New Roman" w:hAnsi="Cambria"/>
          <w:sz w:val="20"/>
          <w:szCs w:val="20"/>
          <w:bdr w:val="none" w:sz="0" w:space="0" w:color="auto"/>
          <w:lang w:val="es-ES_tradnl"/>
        </w:rPr>
        <w:t>denas</w:t>
      </w:r>
      <w:proofErr w:type="spellEnd"/>
      <w:r w:rsidR="005F74FD" w:rsidRPr="00DC278B">
        <w:rPr>
          <w:rFonts w:ascii="Cambria" w:eastAsia="Times New Roman" w:hAnsi="Cambria"/>
          <w:sz w:val="20"/>
          <w:szCs w:val="20"/>
          <w:bdr w:val="none" w:sz="0" w:space="0" w:color="auto"/>
          <w:lang w:val="es-ES_tradnl"/>
        </w:rPr>
        <w:t xml:space="preserve"> Pérez, padres</w:t>
      </w:r>
      <w:r w:rsidR="004C609C" w:rsidRPr="00DC278B">
        <w:rPr>
          <w:rFonts w:ascii="Cambria" w:eastAsia="Times New Roman" w:hAnsi="Cambria"/>
          <w:sz w:val="20"/>
          <w:szCs w:val="20"/>
          <w:bdr w:val="none" w:sz="0" w:space="0" w:color="auto"/>
          <w:lang w:val="es-ES_tradnl"/>
        </w:rPr>
        <w:t>,</w:t>
      </w:r>
      <w:r w:rsidR="005F74FD" w:rsidRPr="00DC278B">
        <w:rPr>
          <w:rFonts w:ascii="Cambria" w:eastAsia="Times New Roman" w:hAnsi="Cambria"/>
          <w:sz w:val="20"/>
          <w:szCs w:val="20"/>
          <w:bdr w:val="none" w:sz="0" w:space="0" w:color="auto"/>
          <w:lang w:val="es-ES_tradnl"/>
        </w:rPr>
        <w:t xml:space="preserve"> demandaron indemnización por el daño</w:t>
      </w:r>
      <w:r w:rsidR="00BA7F1C" w:rsidRPr="00DC278B">
        <w:rPr>
          <w:rFonts w:ascii="Cambria" w:eastAsia="Times New Roman" w:hAnsi="Cambria"/>
          <w:sz w:val="20"/>
          <w:szCs w:val="20"/>
          <w:bdr w:val="none" w:sz="0" w:space="0" w:color="auto"/>
          <w:lang w:val="es-ES_tradnl"/>
        </w:rPr>
        <w:t xml:space="preserve"> sufrido por el secuestro y desaparición de su familiar</w:t>
      </w:r>
      <w:r w:rsidR="008C60CB" w:rsidRPr="00DC278B">
        <w:rPr>
          <w:rFonts w:ascii="Cambria" w:eastAsia="Times New Roman" w:hAnsi="Cambria"/>
          <w:sz w:val="20"/>
          <w:szCs w:val="20"/>
          <w:bdr w:val="none" w:sz="0" w:space="0" w:color="auto"/>
          <w:lang w:val="es-ES_tradnl"/>
        </w:rPr>
        <w:t xml:space="preserve"> - tal como fue reconocido por el informe de la Comisión </w:t>
      </w:r>
      <w:proofErr w:type="spellStart"/>
      <w:r w:rsidR="008C60CB" w:rsidRPr="00DC278B">
        <w:rPr>
          <w:rFonts w:ascii="Cambria" w:eastAsia="Times New Roman" w:hAnsi="Cambria"/>
          <w:sz w:val="20"/>
          <w:szCs w:val="20"/>
          <w:bdr w:val="none" w:sz="0" w:space="0" w:color="auto"/>
          <w:lang w:val="es-ES_tradnl"/>
        </w:rPr>
        <w:t>Rettig</w:t>
      </w:r>
      <w:proofErr w:type="spellEnd"/>
      <w:r w:rsidR="008C60CB" w:rsidRPr="00DC278B">
        <w:rPr>
          <w:rFonts w:ascii="Cambria" w:eastAsia="Times New Roman" w:hAnsi="Cambria"/>
          <w:sz w:val="20"/>
          <w:szCs w:val="20"/>
          <w:bdr w:val="none" w:sz="0" w:space="0" w:color="auto"/>
          <w:lang w:val="es-ES_tradnl"/>
        </w:rPr>
        <w:t xml:space="preserve"> -</w:t>
      </w:r>
      <w:r w:rsidR="005F74FD" w:rsidRPr="00DC278B">
        <w:rPr>
          <w:rFonts w:ascii="Cambria" w:eastAsia="Times New Roman" w:hAnsi="Cambria"/>
          <w:sz w:val="20"/>
          <w:szCs w:val="20"/>
          <w:bdr w:val="none" w:sz="0" w:space="0" w:color="auto"/>
          <w:lang w:val="es-ES_tradnl"/>
        </w:rPr>
        <w:t xml:space="preserve"> dándose inicio a la causa “M</w:t>
      </w:r>
      <w:r w:rsidR="00B25D62" w:rsidRPr="00DC278B">
        <w:rPr>
          <w:rFonts w:ascii="Cambria" w:eastAsia="Times New Roman" w:hAnsi="Cambria"/>
          <w:sz w:val="20"/>
          <w:szCs w:val="20"/>
          <w:bdr w:val="none" w:sz="0" w:space="0" w:color="auto"/>
          <w:lang w:val="es-ES_tradnl"/>
        </w:rPr>
        <w:t>elo Acuña con Fisco de Chile”, R</w:t>
      </w:r>
      <w:r w:rsidR="00FA7864">
        <w:rPr>
          <w:rFonts w:ascii="Cambria" w:eastAsia="Times New Roman" w:hAnsi="Cambria"/>
          <w:sz w:val="20"/>
          <w:szCs w:val="20"/>
          <w:bdr w:val="none" w:sz="0" w:space="0" w:color="auto"/>
          <w:lang w:val="es-ES_tradnl"/>
        </w:rPr>
        <w:t xml:space="preserve">ol 3830-2001. </w:t>
      </w:r>
      <w:r w:rsidR="005F74FD" w:rsidRPr="00DC278B">
        <w:rPr>
          <w:rFonts w:ascii="Cambria" w:eastAsia="Times New Roman" w:hAnsi="Cambria"/>
          <w:sz w:val="20"/>
          <w:szCs w:val="20"/>
          <w:bdr w:val="none" w:sz="0" w:space="0" w:color="auto"/>
          <w:lang w:val="es-ES_tradnl"/>
        </w:rPr>
        <w:t>Señala que e</w:t>
      </w:r>
      <w:r w:rsidR="0016081C" w:rsidRPr="00DC278B">
        <w:rPr>
          <w:rFonts w:ascii="Cambria" w:eastAsia="Times New Roman" w:hAnsi="Cambria"/>
          <w:sz w:val="20"/>
          <w:szCs w:val="20"/>
          <w:bdr w:val="none" w:sz="0" w:space="0" w:color="auto"/>
          <w:lang w:val="es-ES_tradnl"/>
        </w:rPr>
        <w:t>l 27 de septiembre de 2002, el 8</w:t>
      </w:r>
      <w:r w:rsidR="00B25D62" w:rsidRPr="00DC278B">
        <w:rPr>
          <w:rFonts w:ascii="Cambria" w:hAnsi="Cambria"/>
          <w:sz w:val="20"/>
          <w:szCs w:val="20"/>
          <w:lang w:val="es-ES"/>
        </w:rPr>
        <w:t>º</w:t>
      </w:r>
      <w:r w:rsidR="0016081C" w:rsidRPr="00DC278B">
        <w:rPr>
          <w:rFonts w:ascii="Cambria" w:eastAsia="Times New Roman" w:hAnsi="Cambria"/>
          <w:sz w:val="20"/>
          <w:szCs w:val="20"/>
          <w:bdr w:val="none" w:sz="0" w:space="0" w:color="auto"/>
          <w:lang w:val="es-ES_tradnl"/>
        </w:rPr>
        <w:t xml:space="preserve"> </w:t>
      </w:r>
      <w:r w:rsidR="005F74FD" w:rsidRPr="00DC278B">
        <w:rPr>
          <w:rFonts w:ascii="Cambria" w:eastAsia="Times New Roman" w:hAnsi="Cambria"/>
          <w:sz w:val="20"/>
          <w:szCs w:val="20"/>
          <w:bdr w:val="none" w:sz="0" w:space="0" w:color="auto"/>
          <w:lang w:val="es-ES_tradnl"/>
        </w:rPr>
        <w:t xml:space="preserve">Juzgado </w:t>
      </w:r>
      <w:r w:rsidR="0016081C" w:rsidRPr="00DC278B">
        <w:rPr>
          <w:rFonts w:ascii="Cambria" w:eastAsia="Times New Roman" w:hAnsi="Cambria"/>
          <w:sz w:val="20"/>
          <w:szCs w:val="20"/>
          <w:bdr w:val="none" w:sz="0" w:space="0" w:color="auto"/>
          <w:lang w:val="es-ES_tradnl"/>
        </w:rPr>
        <w:t>Civil</w:t>
      </w:r>
      <w:r w:rsidR="005F74FD" w:rsidRPr="00DC278B">
        <w:rPr>
          <w:rFonts w:ascii="Cambria" w:eastAsia="Times New Roman" w:hAnsi="Cambria"/>
          <w:sz w:val="20"/>
          <w:szCs w:val="20"/>
          <w:bdr w:val="none" w:sz="0" w:space="0" w:color="auto"/>
          <w:lang w:val="es-ES_tradnl"/>
        </w:rPr>
        <w:t xml:space="preserve"> negó las pretensiones de</w:t>
      </w:r>
      <w:r w:rsidR="0016081C" w:rsidRPr="00DC278B">
        <w:rPr>
          <w:rFonts w:ascii="Cambria" w:eastAsia="Times New Roman" w:hAnsi="Cambria"/>
          <w:sz w:val="20"/>
          <w:szCs w:val="20"/>
          <w:bdr w:val="none" w:sz="0" w:space="0" w:color="auto"/>
          <w:lang w:val="es-ES_tradnl"/>
        </w:rPr>
        <w:t xml:space="preserve"> los demandantes</w:t>
      </w:r>
      <w:r w:rsidR="00034B2E" w:rsidRPr="00DC278B">
        <w:rPr>
          <w:rFonts w:ascii="Cambria" w:eastAsia="Times New Roman" w:hAnsi="Cambria"/>
          <w:sz w:val="20"/>
          <w:szCs w:val="20"/>
          <w:bdr w:val="none" w:sz="0" w:space="0" w:color="auto"/>
          <w:lang w:val="es-ES_tradnl"/>
        </w:rPr>
        <w:t xml:space="preserve"> por considerar que no se probaron los hechos y en aplicación del plazo de prescripción</w:t>
      </w:r>
      <w:r w:rsidR="0016081C" w:rsidRPr="00DC278B">
        <w:rPr>
          <w:rFonts w:ascii="Cambria" w:eastAsia="Times New Roman" w:hAnsi="Cambria"/>
          <w:sz w:val="20"/>
          <w:szCs w:val="20"/>
          <w:bdr w:val="none" w:sz="0" w:space="0" w:color="auto"/>
          <w:lang w:val="es-ES_tradnl"/>
        </w:rPr>
        <w:t>. Indica que la</w:t>
      </w:r>
      <w:r w:rsidR="005F74FD" w:rsidRPr="00DC278B">
        <w:rPr>
          <w:rFonts w:ascii="Cambria" w:eastAsia="Times New Roman" w:hAnsi="Cambria"/>
          <w:sz w:val="20"/>
          <w:szCs w:val="20"/>
          <w:bdr w:val="none" w:sz="0" w:space="0" w:color="auto"/>
          <w:lang w:val="es-ES_tradnl"/>
        </w:rPr>
        <w:t xml:space="preserve"> apelación </w:t>
      </w:r>
      <w:r w:rsidR="0016081C" w:rsidRPr="00DC278B">
        <w:rPr>
          <w:rFonts w:ascii="Cambria" w:eastAsia="Times New Roman" w:hAnsi="Cambria"/>
          <w:sz w:val="20"/>
          <w:szCs w:val="20"/>
          <w:bdr w:val="none" w:sz="0" w:space="0" w:color="auto"/>
          <w:lang w:val="es-ES_tradnl"/>
        </w:rPr>
        <w:t>al fallo fue declarada desierta</w:t>
      </w:r>
      <w:r w:rsidR="005F74FD" w:rsidRPr="00DC278B">
        <w:rPr>
          <w:rFonts w:ascii="Cambria" w:eastAsia="Times New Roman" w:hAnsi="Cambria"/>
          <w:sz w:val="20"/>
          <w:szCs w:val="20"/>
          <w:bdr w:val="none" w:sz="0" w:space="0" w:color="auto"/>
          <w:lang w:val="es-ES_tradnl"/>
        </w:rPr>
        <w:t>.  Señala que el expediente retornó al juzgado de origen en donde se dictó resolución de “cúmplase” el 23 de enero de 2003, dándose fin al proceso.</w:t>
      </w:r>
    </w:p>
    <w:p w:rsidR="00CB75DC" w:rsidRPr="00DC278B" w:rsidRDefault="00CB75DC" w:rsidP="00DC278B">
      <w:pPr>
        <w:pStyle w:val="MediumGrid1-Accent21"/>
        <w:rPr>
          <w:rFonts w:eastAsia="Times New Roman"/>
          <w:color w:val="auto"/>
          <w:sz w:val="20"/>
          <w:szCs w:val="20"/>
          <w:bdr w:val="none" w:sz="0" w:space="0" w:color="auto"/>
          <w:lang w:val="es-ES_tradnl"/>
        </w:rPr>
      </w:pPr>
    </w:p>
    <w:bookmarkStart w:id="13" w:name="_Toc338425802"/>
    <w:bookmarkStart w:id="14" w:name="_Toc413397469"/>
    <w:p w:rsidR="004B316C" w:rsidRPr="00DC278B" w:rsidRDefault="008673AE" w:rsidP="00DC278B">
      <w:pPr>
        <w:pStyle w:val="Ttulo2"/>
      </w:pPr>
      <w:r>
        <w:rPr>
          <w:noProof/>
          <w:lang w:val="es-AR" w:eastAsia="es-AR"/>
        </w:rPr>
        <mc:AlternateContent>
          <mc:Choice Requires="wps">
            <w:drawing>
              <wp:anchor distT="4294967295" distB="4294967295" distL="114300" distR="114300" simplePos="0" relativeHeight="251662336" behindDoc="0" locked="0" layoutInCell="1" allowOverlap="1" wp14:anchorId="172FFAA0" wp14:editId="26AE7989">
                <wp:simplePos x="0" y="0"/>
                <wp:positionH relativeFrom="column">
                  <wp:posOffset>3657600</wp:posOffset>
                </wp:positionH>
                <wp:positionV relativeFrom="paragraph">
                  <wp:posOffset>41274</wp:posOffset>
                </wp:positionV>
                <wp:extent cx="635"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in,3.25pt" to="288.0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A9rGQIAADIEAAAOAAAAZHJzL2Uyb0RvYy54bWysU8GO2yAQvVfqPyDuWdtZb5pYcVaVnfSy&#10;bSNl+wEEsI2KGQQkTlT13wskjrLtparqAx5geLx581g+n3qJjtxYAarE2UOKEVcUmFBtib+9biZz&#10;jKwjihEJipf4zC1+Xr1/txx0wafQgWTcIA+ibDHoEnfO6SJJLO14T+wDaK78ZgOmJ85PTZswQwaP&#10;3stkmqazZADDtAHKrfWr9WUTryJ+03DqvjaN5Q7JEntuLo4mjvswJqslKVpDdCfolQb5BxY9Ecpf&#10;eoOqiSPoYMQfUL2gBiw07oFCn0DTCMpjDb6aLP2tml1HNI+1eHGsvslk/x8s/XLcGiRYiWcYKdL7&#10;Fu2cIaLtHKpAKS8gGDQLOg3aFj69UlsTKqUntdMvQL9bpKDqiGp55Pt61h4kCyeSN0fCxGp/2374&#10;DMznkIODKNqpMX2A9HKgU+zN+dYbfnKI+sXZ4xNGdFxPSDEe0sa6Txx6FIISS6GCZKQgxxfrAglS&#10;jClhWcFGSBnbLhUaSjyfL9J4wIIULGyGNGvafSUNOpJgnPjFivzOfZqBg2IRrOOEra+xI0JeYn+5&#10;VAHPl+HpXKOLM34s0sV6vp7nk3w6W0/ytK4nHzdVPpltsg9P9WNdVXX2M1DL8qITjHEV2I0uzfK/&#10;c8H1vVz8dfPpTYbkLXrUy5Md/5F07GNo3cUEe2DnrRn7640Zk6+PKDj/fu7j+6e++gUAAP//AwBQ&#10;SwMEFAAGAAgAAAAhAGGvtk7bAAAABwEAAA8AAABkcnMvZG93bnJldi54bWxMj0FPhDAQhe8m/odm&#10;TLwYt6zJokHKBle9cDARNp4LHQGlU9J2d/HfO3rR45c3ee+bfLvYSRzRh9GRgvUqAYHUOTNSr2Df&#10;PF/fgQhRk9GTI1TwhQG2xflZrjPjTvSKxzr2gksoZFrBEOOcSRm6Aa0OKzcjcfbuvNWR0ffSeH3i&#10;cjvJmyRJpdUj8cKgZ9wN2H3WB6ugfSrTXVO5/Uvz1lb+qvoo64dHpS4vlvIeRMQl/h3Djz6rQ8FO&#10;rTuQCWJSsLlN+ZeoIN2A4Jx5DaL9ZVnk8r9/8Q0AAP//AwBQSwECLQAUAAYACAAAACEAtoM4kv4A&#10;AADhAQAAEwAAAAAAAAAAAAAAAAAAAAAAW0NvbnRlbnRfVHlwZXNdLnhtbFBLAQItABQABgAIAAAA&#10;IQA4/SH/1gAAAJQBAAALAAAAAAAAAAAAAAAAAC8BAABfcmVscy8ucmVsc1BLAQItABQABgAIAAAA&#10;IQBkDA9rGQIAADIEAAAOAAAAAAAAAAAAAAAAAC4CAABkcnMvZTJvRG9jLnhtbFBLAQItABQABgAI&#10;AAAAIQBhr7ZO2wAAAAcBAAAPAAAAAAAAAAAAAAAAAHMEAABkcnMvZG93bnJldi54bWxQSwUGAAAA&#10;AAQABADzAAAAewUAAAAA&#10;" strokeweight=".7pt"/>
            </w:pict>
          </mc:Fallback>
        </mc:AlternateContent>
      </w:r>
      <w:r>
        <w:rPr>
          <w:noProof/>
          <w:lang w:val="es-AR" w:eastAsia="es-AR"/>
        </w:rPr>
        <mc:AlternateContent>
          <mc:Choice Requires="wps">
            <w:drawing>
              <wp:anchor distT="4294967295" distB="4294967295" distL="114300" distR="114300" simplePos="0" relativeHeight="251661312" behindDoc="0" locked="0" layoutInCell="1" allowOverlap="1" wp14:anchorId="0E793319" wp14:editId="5AA9EDA5">
                <wp:simplePos x="0" y="0"/>
                <wp:positionH relativeFrom="column">
                  <wp:posOffset>1943100</wp:posOffset>
                </wp:positionH>
                <wp:positionV relativeFrom="paragraph">
                  <wp:posOffset>345439</wp:posOffset>
                </wp:positionV>
                <wp:extent cx="635"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3pt,27.2pt" to="153.05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3v7GQIAADIEAAAOAAAAZHJzL2Uyb0RvYy54bWysU8GO2yAQvVfqPyDuWdtZb5pYcVaVnfSy&#10;bSNl+wEEsI2KGQQkTlT13wskjrLtparqAx5geLx581g+n3qJjtxYAarE2UOKEVcUmFBtib+9biZz&#10;jKwjihEJipf4zC1+Xr1/txx0wafQgWTcIA+ibDHoEnfO6SJJLO14T+wDaK78ZgOmJ85PTZswQwaP&#10;3stkmqazZADDtAHKrfWr9WUTryJ+03DqvjaN5Q7JEntuLo4mjvswJqslKVpDdCfolQb5BxY9Ecpf&#10;eoOqiSPoYMQfUL2gBiw07oFCn0DTCMpjDb6aLP2tml1HNI+1eHGsvslk/x8s/XLcGiRYiacYKdL7&#10;Fu2cIaLtHKpAKS8gGDQNOg3aFj69UlsTKqUntdMvQL9bpKDqiGp55Pt61h4kCyeSN0fCxGp/2374&#10;DMznkIODKNqpMX2A9HKgU+zN+dYbfnKI+sXZ4xNGdFxPSDEe0sa6Txx6FIISS6GCZKQgxxfrAglS&#10;jClhWcFGSBnbLhUaSjyfL9J4wIIULGyGNGvafSUNOpJgnPjFivzOfZqBg2IRrOOEra+xI0JeYn+5&#10;VAHPl+HpXKOLM34s0sV6vp7nk3w6W0/ytK4nHzdVPpltsg9P9WNdVXX2M1DL8qITjHEV2I0uzfK/&#10;c8H1vVz8dfPpTYbkLXrUy5Md/5F07GNo3cUEe2DnrRn7640Zk6+PKDj/fu7j+6e++gUAAP//AwBQ&#10;SwMEFAAGAAgAAAAhADV3ROfeAAAACQEAAA8AAABkcnMvZG93bnJldi54bWxMj0FPg0AQhe8m/ofN&#10;mHgxdqlW0lCWBqteODQRGs8LOwLKzhJ22+K/d4wHPc6bl/e+l25nO4gTTr53pGC5iEAgNc701Co4&#10;VC+3axA+aDJ6cIQKvtDDNru8SHVi3Jle8VSGVnAI+UQr6EIYEyl906HVfuFGJP69u8nqwOfUSjPp&#10;M4fbQd5FUSyt7okbOj3irsPmszxaBfVzHu+qwh321VtdTDfFR14+Pil1fTXnGxAB5/Bnhh98RoeM&#10;mWp3JOPFoOA+inlLUPCwWoFgAwtLEPWvILNU/l+QfQMAAP//AwBQSwECLQAUAAYACAAAACEAtoM4&#10;kv4AAADhAQAAEwAAAAAAAAAAAAAAAAAAAAAAW0NvbnRlbnRfVHlwZXNdLnhtbFBLAQItABQABgAI&#10;AAAAIQA4/SH/1gAAAJQBAAALAAAAAAAAAAAAAAAAAC8BAABfcmVscy8ucmVsc1BLAQItABQABgAI&#10;AAAAIQDJX3v7GQIAADIEAAAOAAAAAAAAAAAAAAAAAC4CAABkcnMvZTJvRG9jLnhtbFBLAQItABQA&#10;BgAIAAAAIQA1d0Tn3gAAAAkBAAAPAAAAAAAAAAAAAAAAAHMEAABkcnMvZG93bnJldi54bWxQSwUG&#10;AAAAAAQABADzAAAAfgUAAAAA&#10;" strokeweight=".7pt"/>
            </w:pict>
          </mc:Fallback>
        </mc:AlternateContent>
      </w:r>
      <w:r w:rsidR="004B316C" w:rsidRPr="00DC278B">
        <w:t>B.</w:t>
      </w:r>
      <w:r w:rsidR="004B316C" w:rsidRPr="00DC278B">
        <w:tab/>
        <w:t>Posición del Estado</w:t>
      </w:r>
      <w:bookmarkEnd w:id="13"/>
      <w:bookmarkEnd w:id="14"/>
    </w:p>
    <w:p w:rsidR="005F74FD" w:rsidRPr="00DC278B" w:rsidRDefault="005F74FD" w:rsidP="00DC278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p>
    <w:p w:rsidR="005F74FD" w:rsidRPr="00DC278B" w:rsidRDefault="005F74FD"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r w:rsidRPr="00DC278B">
        <w:rPr>
          <w:rFonts w:ascii="Cambria" w:eastAsia="Times New Roman" w:hAnsi="Cambria"/>
          <w:sz w:val="20"/>
          <w:szCs w:val="20"/>
          <w:bdr w:val="none" w:sz="0" w:space="0" w:color="auto"/>
          <w:lang w:val="es-ES_tradnl"/>
        </w:rPr>
        <w:t>El Estado alega que desde l</w:t>
      </w:r>
      <w:r w:rsidR="0091085A" w:rsidRPr="00DC278B">
        <w:rPr>
          <w:rFonts w:ascii="Cambria" w:eastAsia="Times New Roman" w:hAnsi="Cambria"/>
          <w:sz w:val="20"/>
          <w:szCs w:val="20"/>
          <w:bdr w:val="none" w:sz="0" w:space="0" w:color="auto"/>
          <w:lang w:val="es-ES_tradnl"/>
        </w:rPr>
        <w:t>a recuperación de la democracia</w:t>
      </w:r>
      <w:r w:rsidRPr="00DC278B">
        <w:rPr>
          <w:rFonts w:ascii="Cambria" w:eastAsia="Times New Roman" w:hAnsi="Cambria"/>
          <w:sz w:val="20"/>
          <w:szCs w:val="20"/>
          <w:bdr w:val="none" w:sz="0" w:space="0" w:color="auto"/>
          <w:lang w:val="es-ES_tradnl"/>
        </w:rPr>
        <w:t xml:space="preserve"> asumió el compromiso de buscar verdad y justicia en torno a las violaciones a los derechos humanos cometid</w:t>
      </w:r>
      <w:r w:rsidR="00FA7864">
        <w:rPr>
          <w:rFonts w:ascii="Cambria" w:eastAsia="Times New Roman" w:hAnsi="Cambria"/>
          <w:sz w:val="20"/>
          <w:szCs w:val="20"/>
          <w:bdr w:val="none" w:sz="0" w:space="0" w:color="auto"/>
          <w:lang w:val="es-ES_tradnl"/>
        </w:rPr>
        <w:t xml:space="preserve">os entre los años 1973 y 1990. </w:t>
      </w:r>
      <w:r w:rsidRPr="00DC278B">
        <w:rPr>
          <w:rFonts w:ascii="Cambria" w:eastAsia="Times New Roman" w:hAnsi="Cambria"/>
          <w:sz w:val="20"/>
          <w:szCs w:val="20"/>
          <w:bdr w:val="none" w:sz="0" w:space="0" w:color="auto"/>
          <w:lang w:val="es-ES_tradnl"/>
        </w:rPr>
        <w:t>Indicó que como consecuencia de ello, se creó la Comis</w:t>
      </w:r>
      <w:r w:rsidR="00912B46" w:rsidRPr="00DC278B">
        <w:rPr>
          <w:rFonts w:ascii="Cambria" w:eastAsia="Times New Roman" w:hAnsi="Cambria"/>
          <w:sz w:val="20"/>
          <w:szCs w:val="20"/>
          <w:bdr w:val="none" w:sz="0" w:space="0" w:color="auto"/>
          <w:lang w:val="es-ES_tradnl"/>
        </w:rPr>
        <w:t xml:space="preserve">ión </w:t>
      </w:r>
      <w:proofErr w:type="spellStart"/>
      <w:r w:rsidR="00912B46" w:rsidRPr="00DC278B">
        <w:rPr>
          <w:rFonts w:ascii="Cambria" w:eastAsia="Times New Roman" w:hAnsi="Cambria"/>
          <w:sz w:val="20"/>
          <w:szCs w:val="20"/>
          <w:bdr w:val="none" w:sz="0" w:space="0" w:color="auto"/>
          <w:lang w:val="es-ES_tradnl"/>
        </w:rPr>
        <w:t>Rettig</w:t>
      </w:r>
      <w:proofErr w:type="spellEnd"/>
      <w:r w:rsidR="00912B46" w:rsidRPr="00DC278B">
        <w:rPr>
          <w:rFonts w:ascii="Cambria" w:eastAsia="Times New Roman" w:hAnsi="Cambria"/>
          <w:sz w:val="20"/>
          <w:szCs w:val="20"/>
          <w:bdr w:val="none" w:sz="0" w:space="0" w:color="auto"/>
          <w:lang w:val="es-ES_tradnl"/>
        </w:rPr>
        <w:t xml:space="preserve">, la cual emitió </w:t>
      </w:r>
      <w:r w:rsidRPr="00DC278B">
        <w:rPr>
          <w:rFonts w:ascii="Cambria" w:eastAsia="Times New Roman" w:hAnsi="Cambria"/>
          <w:sz w:val="20"/>
          <w:szCs w:val="20"/>
          <w:bdr w:val="none" w:sz="0" w:space="0" w:color="auto"/>
          <w:lang w:val="es-ES_tradnl"/>
        </w:rPr>
        <w:t>u</w:t>
      </w:r>
      <w:r w:rsidR="00912B46" w:rsidRPr="00DC278B">
        <w:rPr>
          <w:rFonts w:ascii="Cambria" w:eastAsia="Times New Roman" w:hAnsi="Cambria"/>
          <w:sz w:val="20"/>
          <w:szCs w:val="20"/>
          <w:bdr w:val="none" w:sz="0" w:space="0" w:color="auto"/>
          <w:lang w:val="es-ES_tradnl"/>
        </w:rPr>
        <w:t>n</w:t>
      </w:r>
      <w:r w:rsidRPr="00DC278B">
        <w:rPr>
          <w:rFonts w:ascii="Cambria" w:eastAsia="Times New Roman" w:hAnsi="Cambria"/>
          <w:sz w:val="20"/>
          <w:szCs w:val="20"/>
          <w:bdr w:val="none" w:sz="0" w:space="0" w:color="auto"/>
          <w:lang w:val="es-ES_tradnl"/>
        </w:rPr>
        <w:t xml:space="preserve"> informe </w:t>
      </w:r>
      <w:r w:rsidR="0091085A" w:rsidRPr="00DC278B">
        <w:rPr>
          <w:rFonts w:ascii="Cambria" w:eastAsia="Times New Roman" w:hAnsi="Cambria"/>
          <w:sz w:val="20"/>
          <w:szCs w:val="20"/>
          <w:bdr w:val="none" w:sz="0" w:space="0" w:color="auto"/>
          <w:lang w:val="es-ES_tradnl"/>
        </w:rPr>
        <w:t xml:space="preserve">que </w:t>
      </w:r>
      <w:r w:rsidRPr="00DC278B">
        <w:rPr>
          <w:rFonts w:ascii="Cambria" w:eastAsia="Times New Roman" w:hAnsi="Cambria"/>
          <w:sz w:val="20"/>
          <w:szCs w:val="20"/>
          <w:bdr w:val="none" w:sz="0" w:space="0" w:color="auto"/>
          <w:lang w:val="es-ES_tradnl"/>
        </w:rPr>
        <w:t>documentó graves violaciones a derechos humanos que tuvieron lug</w:t>
      </w:r>
      <w:r w:rsidR="00FA7864">
        <w:rPr>
          <w:rFonts w:ascii="Cambria" w:eastAsia="Times New Roman" w:hAnsi="Cambria"/>
          <w:sz w:val="20"/>
          <w:szCs w:val="20"/>
          <w:bdr w:val="none" w:sz="0" w:space="0" w:color="auto"/>
          <w:lang w:val="es-ES_tradnl"/>
        </w:rPr>
        <w:t xml:space="preserve">ar durante el régimen militar. </w:t>
      </w:r>
      <w:r w:rsidRPr="00DC278B">
        <w:rPr>
          <w:rFonts w:ascii="Cambria" w:eastAsia="Times New Roman" w:hAnsi="Cambria"/>
          <w:sz w:val="20"/>
          <w:szCs w:val="20"/>
          <w:bdr w:val="none" w:sz="0" w:space="0" w:color="auto"/>
          <w:lang w:val="es-ES_tradnl"/>
        </w:rPr>
        <w:t>Asimismo, indica que en 1991 el Presidente de la República, Patricio Aylwin</w:t>
      </w:r>
      <w:r w:rsidR="008504EE" w:rsidRPr="00DC278B">
        <w:rPr>
          <w:rFonts w:ascii="Cambria" w:eastAsia="Times New Roman" w:hAnsi="Cambria"/>
          <w:sz w:val="20"/>
          <w:szCs w:val="20"/>
          <w:bdr w:val="none" w:sz="0" w:space="0" w:color="auto"/>
          <w:lang w:val="es-ES_tradnl"/>
        </w:rPr>
        <w:t>,</w:t>
      </w:r>
      <w:r w:rsidRPr="00DC278B">
        <w:rPr>
          <w:rFonts w:ascii="Cambria" w:eastAsia="Times New Roman" w:hAnsi="Cambria"/>
          <w:sz w:val="20"/>
          <w:szCs w:val="20"/>
          <w:bdr w:val="none" w:sz="0" w:space="0" w:color="auto"/>
          <w:lang w:val="es-ES_tradnl"/>
        </w:rPr>
        <w:t xml:space="preserve"> pidió perdón a los familiares de las víctimas. </w:t>
      </w:r>
    </w:p>
    <w:p w:rsidR="005F74FD" w:rsidRPr="00DC278B" w:rsidRDefault="005F74FD" w:rsidP="00DC278B">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sz w:val="20"/>
          <w:szCs w:val="20"/>
          <w:bdr w:val="none" w:sz="0" w:space="0" w:color="auto"/>
          <w:lang w:val="es-ES_tradnl"/>
        </w:rPr>
      </w:pPr>
    </w:p>
    <w:p w:rsidR="005F74FD" w:rsidRPr="00DC278B" w:rsidRDefault="005F74FD"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r w:rsidRPr="00DC278B">
        <w:rPr>
          <w:rFonts w:ascii="Cambria" w:eastAsia="Times New Roman" w:hAnsi="Cambria"/>
          <w:sz w:val="20"/>
          <w:szCs w:val="20"/>
          <w:bdr w:val="none" w:sz="0" w:space="0" w:color="auto"/>
          <w:lang w:val="es-ES_tradnl"/>
        </w:rPr>
        <w:t>Indica que en 1992 se expidió la Ley No 19.123 que creó la Corporación Nacional de Reparación y Reconciliación (en adelante “</w:t>
      </w:r>
      <w:r w:rsidR="008504EE" w:rsidRPr="00DC278B">
        <w:rPr>
          <w:rFonts w:ascii="Cambria" w:eastAsia="Times New Roman" w:hAnsi="Cambria"/>
          <w:sz w:val="20"/>
          <w:szCs w:val="20"/>
          <w:bdr w:val="none" w:sz="0" w:space="0" w:color="auto"/>
          <w:lang w:val="es-ES_tradnl"/>
        </w:rPr>
        <w:t xml:space="preserve">la </w:t>
      </w:r>
      <w:r w:rsidRPr="00DC278B">
        <w:rPr>
          <w:rFonts w:ascii="Cambria" w:eastAsia="Times New Roman" w:hAnsi="Cambria"/>
          <w:sz w:val="20"/>
          <w:szCs w:val="20"/>
          <w:bdr w:val="none" w:sz="0" w:space="0" w:color="auto"/>
          <w:lang w:val="es-ES_tradnl"/>
        </w:rPr>
        <w:t xml:space="preserve">CNRR”), con el fin de analizar los casos que la Comisión </w:t>
      </w:r>
      <w:proofErr w:type="spellStart"/>
      <w:r w:rsidRPr="00DC278B">
        <w:rPr>
          <w:rFonts w:ascii="Cambria" w:eastAsia="Times New Roman" w:hAnsi="Cambria"/>
          <w:sz w:val="20"/>
          <w:szCs w:val="20"/>
          <w:bdr w:val="none" w:sz="0" w:space="0" w:color="auto"/>
          <w:lang w:val="es-ES_tradnl"/>
        </w:rPr>
        <w:t>Rettig</w:t>
      </w:r>
      <w:proofErr w:type="spellEnd"/>
      <w:r w:rsidRPr="00DC278B">
        <w:rPr>
          <w:rFonts w:ascii="Cambria" w:eastAsia="Times New Roman" w:hAnsi="Cambria"/>
          <w:sz w:val="20"/>
          <w:szCs w:val="20"/>
          <w:bdr w:val="none" w:sz="0" w:space="0" w:color="auto"/>
          <w:lang w:val="es-ES_tradnl"/>
        </w:rPr>
        <w:t xml:space="preserve"> no alcanzó a conocer en profundidad, así como los nuevo</w:t>
      </w:r>
      <w:r w:rsidR="00FA7864">
        <w:rPr>
          <w:rFonts w:ascii="Cambria" w:eastAsia="Times New Roman" w:hAnsi="Cambria"/>
          <w:sz w:val="20"/>
          <w:szCs w:val="20"/>
          <w:bdr w:val="none" w:sz="0" w:space="0" w:color="auto"/>
          <w:lang w:val="es-ES_tradnl"/>
        </w:rPr>
        <w:t xml:space="preserve">s casos que se le presentaron. </w:t>
      </w:r>
      <w:r w:rsidRPr="00DC278B">
        <w:rPr>
          <w:rFonts w:ascii="Cambria" w:eastAsia="Times New Roman" w:hAnsi="Cambria"/>
          <w:sz w:val="20"/>
          <w:szCs w:val="20"/>
          <w:bdr w:val="none" w:sz="0" w:space="0" w:color="auto"/>
          <w:lang w:val="es-ES_tradnl"/>
        </w:rPr>
        <w:t>Asimismo, señala que la CNRR también se encargaría de prestar asistencia social y legal a los familiares de las víctimas; y precisa que dicha Comisión diseñó las siguientes seis líneas de acción para realizar su trabajo, programas de: a) calificación de víctimas; b) investigación del destino final de las víctimas; c) atención social y legal a los familiares de las víctimas y apoyo a las acciones de reparación; d) educación y promoción cultural; e) estudios e investigaciones jurídicas; y f) el centro de documentaci</w:t>
      </w:r>
      <w:r w:rsidR="00902F13" w:rsidRPr="00DC278B">
        <w:rPr>
          <w:rFonts w:ascii="Cambria" w:eastAsia="Times New Roman" w:hAnsi="Cambria"/>
          <w:sz w:val="20"/>
          <w:szCs w:val="20"/>
          <w:bdr w:val="none" w:sz="0" w:space="0" w:color="auto"/>
          <w:lang w:val="es-ES_tradnl"/>
        </w:rPr>
        <w:t>ón y archivos de la corporación</w:t>
      </w:r>
      <w:r w:rsidRPr="00DC278B">
        <w:rPr>
          <w:rFonts w:ascii="Cambria" w:eastAsia="Times New Roman" w:hAnsi="Cambria"/>
          <w:sz w:val="20"/>
          <w:szCs w:val="20"/>
          <w:bdr w:val="none" w:sz="0" w:space="0" w:color="auto"/>
          <w:lang w:val="es-ES_tradnl"/>
        </w:rPr>
        <w:t xml:space="preserve">. </w:t>
      </w:r>
      <w:r w:rsidR="00E42AB4" w:rsidRPr="00DC278B">
        <w:rPr>
          <w:rFonts w:ascii="Cambria" w:hAnsi="Cambria"/>
          <w:sz w:val="20"/>
          <w:szCs w:val="20"/>
          <w:lang w:val="es-ES"/>
        </w:rPr>
        <w:t>El Estado indica que en el año 1996, la CNRR entregó su informe sobre “Calificación de víctimas de violaciones de Derechos Humanos y de la Violencia Política”.</w:t>
      </w:r>
    </w:p>
    <w:p w:rsidR="005F74FD" w:rsidRPr="00DC278B" w:rsidRDefault="005F74FD" w:rsidP="00DC278B">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sz w:val="20"/>
          <w:szCs w:val="20"/>
          <w:bdr w:val="none" w:sz="0" w:space="0" w:color="auto"/>
          <w:lang w:val="es-ES_tradnl"/>
        </w:rPr>
      </w:pPr>
    </w:p>
    <w:p w:rsidR="005F74FD" w:rsidRPr="00DC278B" w:rsidRDefault="005F74FD"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r w:rsidRPr="00DC278B">
        <w:rPr>
          <w:rFonts w:ascii="Cambria" w:eastAsia="Times New Roman" w:hAnsi="Cambria"/>
          <w:sz w:val="20"/>
          <w:szCs w:val="20"/>
          <w:bdr w:val="none" w:sz="0" w:space="0" w:color="auto"/>
          <w:lang w:val="es-ES_tradnl"/>
        </w:rPr>
        <w:t xml:space="preserve">Agrega que en el año 1997, y haciendo un nuevo esfuerzo para avanzar en la ubicación de las personas detenidas desaparecidas y ejecutados políticos, el Gobierno dictó el Decreto Supremo No. 1005, estableciendo </w:t>
      </w:r>
      <w:r w:rsidR="00912B46" w:rsidRPr="00DC278B">
        <w:rPr>
          <w:rFonts w:ascii="Cambria" w:eastAsia="Times New Roman" w:hAnsi="Cambria"/>
          <w:sz w:val="20"/>
          <w:szCs w:val="20"/>
          <w:bdr w:val="none" w:sz="0" w:space="0" w:color="auto"/>
          <w:lang w:val="es-ES_tradnl"/>
        </w:rPr>
        <w:t xml:space="preserve">el </w:t>
      </w:r>
      <w:r w:rsidRPr="00DC278B">
        <w:rPr>
          <w:rFonts w:ascii="Cambria" w:eastAsia="Times New Roman" w:hAnsi="Cambria"/>
          <w:sz w:val="20"/>
          <w:szCs w:val="20"/>
          <w:bdr w:val="none" w:sz="0" w:space="0" w:color="auto"/>
          <w:lang w:val="es-ES_tradnl"/>
        </w:rPr>
        <w:t xml:space="preserve">“Programa Continuación de la Ley No. 19.123 dependiente del Ministerio del Interior” con el objetivo de intervenir en los procesos judiciales relacionados con las violaciones cometidas durante la </w:t>
      </w:r>
      <w:r w:rsidRPr="00DC278B">
        <w:rPr>
          <w:rFonts w:ascii="Cambria" w:eastAsia="Times New Roman" w:hAnsi="Cambria"/>
          <w:sz w:val="20"/>
          <w:szCs w:val="20"/>
          <w:bdr w:val="none" w:sz="0" w:space="0" w:color="auto"/>
          <w:lang w:val="es-ES_tradnl"/>
        </w:rPr>
        <w:lastRenderedPageBreak/>
        <w:t xml:space="preserve">dictadura, ya sea en forma directa presentando denuncias o como parte coadyuvante; o en forma de intervención indirecta, mediante la entrega de información solicitada por los jueces. </w:t>
      </w:r>
    </w:p>
    <w:p w:rsidR="005F74FD" w:rsidRPr="00DC278B" w:rsidRDefault="005F74FD" w:rsidP="00DC278B">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sz w:val="20"/>
          <w:szCs w:val="20"/>
          <w:bdr w:val="none" w:sz="0" w:space="0" w:color="auto"/>
          <w:lang w:val="es-ES_tradnl"/>
        </w:rPr>
      </w:pPr>
    </w:p>
    <w:p w:rsidR="005F74FD" w:rsidRPr="00DC278B" w:rsidRDefault="005F74FD"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r w:rsidRPr="00DC278B">
        <w:rPr>
          <w:rFonts w:ascii="Cambria" w:eastAsia="Times New Roman" w:hAnsi="Cambria"/>
          <w:sz w:val="20"/>
          <w:szCs w:val="20"/>
          <w:bdr w:val="none" w:sz="0" w:space="0" w:color="auto"/>
          <w:lang w:val="es-ES_tradnl"/>
        </w:rPr>
        <w:t>El Estado sostiene que en 2003 el Gobierno y los representantes de agrupaciones de familiares de las víctimas, firmaron un Acta de Acuerdo para construir obras de reparación simbólica</w:t>
      </w:r>
      <w:r w:rsidR="00FA7864">
        <w:rPr>
          <w:rFonts w:ascii="Cambria" w:eastAsia="Times New Roman" w:hAnsi="Cambria"/>
          <w:sz w:val="20"/>
          <w:szCs w:val="20"/>
          <w:bdr w:val="none" w:sz="0" w:space="0" w:color="auto"/>
          <w:lang w:val="es-ES_tradnl"/>
        </w:rPr>
        <w:t xml:space="preserve"> en diversos lugares del país. </w:t>
      </w:r>
      <w:r w:rsidRPr="00DC278B">
        <w:rPr>
          <w:rFonts w:ascii="Cambria" w:eastAsia="Times New Roman" w:hAnsi="Cambria"/>
          <w:sz w:val="20"/>
          <w:szCs w:val="20"/>
          <w:bdr w:val="none" w:sz="0" w:space="0" w:color="auto"/>
          <w:lang w:val="es-ES_tradnl"/>
        </w:rPr>
        <w:t>Agrega que a finales de ese año, se procedió en la creación de la Comisión Nacional Sobre Prisión Política y Tortura (en adelante “</w:t>
      </w:r>
      <w:r w:rsidR="008504EE" w:rsidRPr="00DC278B">
        <w:rPr>
          <w:rFonts w:ascii="Cambria" w:eastAsia="Times New Roman" w:hAnsi="Cambria"/>
          <w:sz w:val="20"/>
          <w:szCs w:val="20"/>
          <w:bdr w:val="none" w:sz="0" w:space="0" w:color="auto"/>
          <w:lang w:val="es-ES_tradnl"/>
        </w:rPr>
        <w:t xml:space="preserve">la </w:t>
      </w:r>
      <w:r w:rsidRPr="00DC278B">
        <w:rPr>
          <w:rFonts w:ascii="Cambria" w:eastAsia="Times New Roman" w:hAnsi="Cambria"/>
          <w:sz w:val="20"/>
          <w:szCs w:val="20"/>
          <w:bdr w:val="none" w:sz="0" w:space="0" w:color="auto"/>
          <w:lang w:val="es-ES_tradnl"/>
        </w:rPr>
        <w:t>Co</w:t>
      </w:r>
      <w:r w:rsidR="008A2B89" w:rsidRPr="00DC278B">
        <w:rPr>
          <w:rFonts w:ascii="Cambria" w:eastAsia="Times New Roman" w:hAnsi="Cambria"/>
          <w:sz w:val="20"/>
          <w:szCs w:val="20"/>
          <w:bdr w:val="none" w:sz="0" w:space="0" w:color="auto"/>
          <w:lang w:val="es-ES_tradnl"/>
        </w:rPr>
        <w:t xml:space="preserve">misión </w:t>
      </w:r>
      <w:proofErr w:type="spellStart"/>
      <w:r w:rsidR="008A2B89" w:rsidRPr="00DC278B">
        <w:rPr>
          <w:rFonts w:ascii="Cambria" w:eastAsia="Times New Roman" w:hAnsi="Cambria"/>
          <w:sz w:val="20"/>
          <w:szCs w:val="20"/>
          <w:bdr w:val="none" w:sz="0" w:space="0" w:color="auto"/>
          <w:lang w:val="es-ES_tradnl"/>
        </w:rPr>
        <w:t>Va</w:t>
      </w:r>
      <w:r w:rsidRPr="00DC278B">
        <w:rPr>
          <w:rFonts w:ascii="Cambria" w:eastAsia="Times New Roman" w:hAnsi="Cambria"/>
          <w:sz w:val="20"/>
          <w:szCs w:val="20"/>
          <w:bdr w:val="none" w:sz="0" w:space="0" w:color="auto"/>
          <w:lang w:val="es-ES_tradnl"/>
        </w:rPr>
        <w:t>lech</w:t>
      </w:r>
      <w:proofErr w:type="spellEnd"/>
      <w:r w:rsidRPr="00DC278B">
        <w:rPr>
          <w:rFonts w:ascii="Cambria" w:eastAsia="Times New Roman" w:hAnsi="Cambria"/>
          <w:sz w:val="20"/>
          <w:szCs w:val="20"/>
          <w:bdr w:val="none" w:sz="0" w:space="0" w:color="auto"/>
          <w:lang w:val="es-ES_tradnl"/>
        </w:rPr>
        <w:t>”), la cual, re</w:t>
      </w:r>
      <w:r w:rsidR="009A09E9" w:rsidRPr="00DC278B">
        <w:rPr>
          <w:rFonts w:ascii="Cambria" w:eastAsia="Times New Roman" w:hAnsi="Cambria"/>
          <w:sz w:val="20"/>
          <w:szCs w:val="20"/>
          <w:bdr w:val="none" w:sz="0" w:space="0" w:color="auto"/>
          <w:lang w:val="es-ES_tradnl"/>
        </w:rPr>
        <w:t>cibió más de 35 mil testimonios</w:t>
      </w:r>
      <w:r w:rsidRPr="00DC278B">
        <w:rPr>
          <w:rFonts w:ascii="Cambria" w:eastAsia="Times New Roman" w:hAnsi="Cambria"/>
          <w:sz w:val="20"/>
          <w:szCs w:val="20"/>
          <w:bdr w:val="none" w:sz="0" w:space="0" w:color="auto"/>
          <w:lang w:val="es-ES_tradnl"/>
        </w:rPr>
        <w:t xml:space="preserve"> y habría calificado como víctimas a más de 28 mil personas. </w:t>
      </w:r>
    </w:p>
    <w:p w:rsidR="005F74FD" w:rsidRPr="00DC278B" w:rsidRDefault="005F74FD" w:rsidP="00DC278B">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sz w:val="20"/>
          <w:szCs w:val="20"/>
          <w:bdr w:val="none" w:sz="0" w:space="0" w:color="auto"/>
          <w:lang w:val="es-ES_tradnl"/>
        </w:rPr>
      </w:pPr>
    </w:p>
    <w:p w:rsidR="005F74FD" w:rsidRPr="00DC278B" w:rsidRDefault="005F74FD"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r w:rsidRPr="00DC278B">
        <w:rPr>
          <w:rFonts w:ascii="Cambria" w:eastAsia="Times New Roman" w:hAnsi="Cambria"/>
          <w:sz w:val="20"/>
          <w:szCs w:val="20"/>
          <w:bdr w:val="none" w:sz="0" w:space="0" w:color="auto"/>
          <w:lang w:val="es-ES_tradnl"/>
        </w:rPr>
        <w:t xml:space="preserve">El Estado indica que, con dicho marco, durante 2004 los esfuerzos estatales se intensificaron y se promulgaron dos leyes de </w:t>
      </w:r>
      <w:r w:rsidR="00FA7864">
        <w:rPr>
          <w:rFonts w:ascii="Cambria" w:eastAsia="Times New Roman" w:hAnsi="Cambria"/>
          <w:sz w:val="20"/>
          <w:szCs w:val="20"/>
          <w:bdr w:val="none" w:sz="0" w:space="0" w:color="auto"/>
          <w:lang w:val="es-ES_tradnl"/>
        </w:rPr>
        <w:t xml:space="preserve">reparación. </w:t>
      </w:r>
      <w:r w:rsidR="00587D9C" w:rsidRPr="00DC278B">
        <w:rPr>
          <w:rFonts w:ascii="Cambria" w:eastAsia="Times New Roman" w:hAnsi="Cambria"/>
          <w:sz w:val="20"/>
          <w:szCs w:val="20"/>
          <w:bdr w:val="none" w:sz="0" w:space="0" w:color="auto"/>
          <w:lang w:val="es-ES_tradnl"/>
        </w:rPr>
        <w:t>La primera fue la L</w:t>
      </w:r>
      <w:r w:rsidRPr="00DC278B">
        <w:rPr>
          <w:rFonts w:ascii="Cambria" w:eastAsia="Times New Roman" w:hAnsi="Cambria"/>
          <w:sz w:val="20"/>
          <w:szCs w:val="20"/>
          <w:bdr w:val="none" w:sz="0" w:space="0" w:color="auto"/>
          <w:lang w:val="es-ES_tradnl"/>
        </w:rPr>
        <w:t>ey No 19.980 que modificó la Ley No. 19.123 ampliando o estableciendo beneficios a favor de los familiares de las víctimas ejecutadas y detenidas desapareci</w:t>
      </w:r>
      <w:r w:rsidR="00FA7864">
        <w:rPr>
          <w:rFonts w:ascii="Cambria" w:eastAsia="Times New Roman" w:hAnsi="Cambria"/>
          <w:sz w:val="20"/>
          <w:szCs w:val="20"/>
          <w:bdr w:val="none" w:sz="0" w:space="0" w:color="auto"/>
          <w:lang w:val="es-ES_tradnl"/>
        </w:rPr>
        <w:t xml:space="preserve">das. </w:t>
      </w:r>
      <w:r w:rsidRPr="00DC278B">
        <w:rPr>
          <w:rFonts w:ascii="Cambria" w:eastAsia="Times New Roman" w:hAnsi="Cambria"/>
          <w:sz w:val="20"/>
          <w:szCs w:val="20"/>
          <w:bdr w:val="none" w:sz="0" w:space="0" w:color="auto"/>
          <w:lang w:val="es-ES_tradnl"/>
        </w:rPr>
        <w:t>El Estado resalta que dicha ley comprendía entre otros beneficios: (i) el bono único de reparación a los hijos que no percibieron pensión de reparación; y (ii) el otorgamiento de 200 pensiones de gracia a familiares en situaciones especiales establec</w:t>
      </w:r>
      <w:r w:rsidR="00FA7864">
        <w:rPr>
          <w:rFonts w:ascii="Cambria" w:eastAsia="Times New Roman" w:hAnsi="Cambria"/>
          <w:sz w:val="20"/>
          <w:szCs w:val="20"/>
          <w:bdr w:val="none" w:sz="0" w:space="0" w:color="auto"/>
          <w:lang w:val="es-ES_tradnl"/>
        </w:rPr>
        <w:t xml:space="preserve">idas en la ley. </w:t>
      </w:r>
      <w:r w:rsidRPr="00DC278B">
        <w:rPr>
          <w:rFonts w:ascii="Cambria" w:eastAsia="Times New Roman" w:hAnsi="Cambria"/>
          <w:sz w:val="20"/>
          <w:szCs w:val="20"/>
          <w:bdr w:val="none" w:sz="0" w:space="0" w:color="auto"/>
          <w:lang w:val="es-ES_tradnl"/>
        </w:rPr>
        <w:t>Agrega que dicha ley también otorgó recursos especiales para la atención en salud a través del Programa de Reparación y Atención Integral de Salud (PRAIS) y que amplió los recursos destinados por el Ministerio del Interior para la construcción y mejoramiento de memoriales y sitios históricos</w:t>
      </w:r>
      <w:r w:rsidR="00401D94">
        <w:rPr>
          <w:rFonts w:ascii="Cambria" w:eastAsia="Times New Roman" w:hAnsi="Cambria"/>
          <w:sz w:val="20"/>
          <w:szCs w:val="20"/>
          <w:bdr w:val="none" w:sz="0" w:space="0" w:color="auto"/>
          <w:lang w:val="es-ES_tradnl"/>
        </w:rPr>
        <w:t xml:space="preserve"> para recordar a las víctimas. </w:t>
      </w:r>
    </w:p>
    <w:p w:rsidR="005F74FD" w:rsidRPr="00DC278B" w:rsidRDefault="005F74FD" w:rsidP="00DC278B">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sz w:val="20"/>
          <w:szCs w:val="20"/>
          <w:bdr w:val="none" w:sz="0" w:space="0" w:color="auto"/>
          <w:lang w:val="es-ES_tradnl"/>
        </w:rPr>
      </w:pPr>
    </w:p>
    <w:p w:rsidR="005F74FD" w:rsidRPr="00DC278B" w:rsidRDefault="005F74FD"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r w:rsidRPr="00DC278B">
        <w:rPr>
          <w:rFonts w:ascii="Cambria" w:eastAsia="Times New Roman" w:hAnsi="Cambria"/>
          <w:sz w:val="20"/>
          <w:szCs w:val="20"/>
          <w:bdr w:val="none" w:sz="0" w:space="0" w:color="auto"/>
          <w:lang w:val="es-ES_tradnl"/>
        </w:rPr>
        <w:t xml:space="preserve">Sostiene que la segunda ley de reparación fue la No. 19.992, la cual estableció una pensión de reparación y otorgó otros beneficios en materia de educación, salud y vivienda en favor de aquellas personas que fueron calificadas como víctimas de la prisión y tortura por motivos políticos, en el periodo comprendido entre el 11 de septiembre de 1973 y el 10 de marzo de 1990, cometidas por agentes del Estado. </w:t>
      </w:r>
    </w:p>
    <w:p w:rsidR="005F74FD" w:rsidRPr="00DC278B" w:rsidRDefault="005F74FD" w:rsidP="00DC278B">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sz w:val="20"/>
          <w:szCs w:val="20"/>
          <w:bdr w:val="none" w:sz="0" w:space="0" w:color="auto"/>
          <w:lang w:val="es-ES_tradnl"/>
        </w:rPr>
      </w:pPr>
    </w:p>
    <w:p w:rsidR="003661B2" w:rsidRPr="00DC278B" w:rsidRDefault="005F74FD"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r w:rsidRPr="00DC278B">
        <w:rPr>
          <w:rFonts w:ascii="Cambria" w:eastAsia="Times New Roman" w:hAnsi="Cambria"/>
          <w:sz w:val="20"/>
          <w:szCs w:val="20"/>
          <w:bdr w:val="none" w:sz="0" w:space="0" w:color="auto"/>
          <w:lang w:val="es-ES_tradnl"/>
        </w:rPr>
        <w:t>Respecto de las anteriores medidas de reparación, el Estado alega que éstas se han enfocado en cuatro aspectos fundamentales: (i) reparaciones colectivas e individuales; (ii) reparaciones materiales e inmateriales; (iii) planes de</w:t>
      </w:r>
      <w:r w:rsidR="00FA7864">
        <w:rPr>
          <w:rFonts w:ascii="Cambria" w:eastAsia="Times New Roman" w:hAnsi="Cambria"/>
          <w:sz w:val="20"/>
          <w:szCs w:val="20"/>
          <w:bdr w:val="none" w:sz="0" w:space="0" w:color="auto"/>
          <w:lang w:val="es-ES_tradnl"/>
        </w:rPr>
        <w:t xml:space="preserve"> ayuda social; y (iv) memoria. </w:t>
      </w:r>
      <w:r w:rsidRPr="00DC278B">
        <w:rPr>
          <w:rFonts w:ascii="Cambria" w:eastAsia="Times New Roman" w:hAnsi="Cambria"/>
          <w:sz w:val="20"/>
          <w:szCs w:val="20"/>
          <w:bdr w:val="none" w:sz="0" w:space="0" w:color="auto"/>
          <w:lang w:val="es-ES_tradnl"/>
        </w:rPr>
        <w:t xml:space="preserve">Asimismo, indica que la política implementada en ese sentido fue materia de análisis de la propia Corte Interamericana, la cual habría valorado la política estatal de reparaciones en su sentencia </w:t>
      </w:r>
      <w:proofErr w:type="spellStart"/>
      <w:r w:rsidRPr="00DC278B">
        <w:rPr>
          <w:rFonts w:ascii="Cambria" w:eastAsia="Times New Roman" w:hAnsi="Cambria"/>
          <w:i/>
          <w:sz w:val="20"/>
          <w:szCs w:val="20"/>
          <w:bdr w:val="none" w:sz="0" w:space="0" w:color="auto"/>
          <w:lang w:val="es-ES_tradnl"/>
        </w:rPr>
        <w:t>Almonacid</w:t>
      </w:r>
      <w:proofErr w:type="spellEnd"/>
      <w:r w:rsidRPr="00DC278B">
        <w:rPr>
          <w:rFonts w:ascii="Cambria" w:eastAsia="Times New Roman" w:hAnsi="Cambria"/>
          <w:i/>
          <w:sz w:val="20"/>
          <w:szCs w:val="20"/>
          <w:bdr w:val="none" w:sz="0" w:space="0" w:color="auto"/>
          <w:lang w:val="es-ES_tradnl"/>
        </w:rPr>
        <w:t xml:space="preserve"> vs. Chile</w:t>
      </w:r>
      <w:r w:rsidR="003661B2" w:rsidRPr="00DC278B">
        <w:rPr>
          <w:rFonts w:ascii="Cambria" w:eastAsia="Times New Roman" w:hAnsi="Cambria"/>
          <w:sz w:val="20"/>
          <w:szCs w:val="20"/>
          <w:bdr w:val="none" w:sz="0" w:space="0" w:color="auto"/>
          <w:lang w:val="es-ES_tradnl"/>
        </w:rPr>
        <w:t>.</w:t>
      </w:r>
    </w:p>
    <w:p w:rsidR="005F74FD" w:rsidRPr="00DC278B" w:rsidRDefault="005F74FD" w:rsidP="00DC278B">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sz w:val="20"/>
          <w:szCs w:val="20"/>
          <w:bdr w:val="none" w:sz="0" w:space="0" w:color="auto"/>
          <w:lang w:val="es-ES_tradnl"/>
        </w:rPr>
      </w:pPr>
    </w:p>
    <w:p w:rsidR="005F74FD" w:rsidRPr="00DC278B" w:rsidRDefault="005F74FD"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r w:rsidRPr="00DC278B">
        <w:rPr>
          <w:rFonts w:ascii="Cambria" w:eastAsia="Times New Roman" w:hAnsi="Cambria"/>
          <w:sz w:val="20"/>
          <w:szCs w:val="20"/>
          <w:bdr w:val="none" w:sz="0" w:space="0" w:color="auto"/>
          <w:lang w:val="es-ES_tradnl"/>
        </w:rPr>
        <w:t>Por otra parte, el Estado indica que la Ley No 19.123</w:t>
      </w:r>
      <w:r w:rsidR="009E60A2" w:rsidRPr="00DC278B">
        <w:rPr>
          <w:rFonts w:ascii="Cambria" w:eastAsia="Times New Roman" w:hAnsi="Cambria"/>
          <w:sz w:val="20"/>
          <w:szCs w:val="20"/>
          <w:bdr w:val="none" w:sz="0" w:space="0" w:color="auto"/>
          <w:lang w:val="es-ES_tradnl"/>
        </w:rPr>
        <w:t>, modificada por la L</w:t>
      </w:r>
      <w:r w:rsidRPr="00DC278B">
        <w:rPr>
          <w:rFonts w:ascii="Cambria" w:eastAsia="Times New Roman" w:hAnsi="Cambria"/>
          <w:sz w:val="20"/>
          <w:szCs w:val="20"/>
          <w:bdr w:val="none" w:sz="0" w:space="0" w:color="auto"/>
          <w:lang w:val="es-ES_tradnl"/>
        </w:rPr>
        <w:t xml:space="preserve">ey No 19.980, estableció beneficios </w:t>
      </w:r>
      <w:proofErr w:type="spellStart"/>
      <w:r w:rsidRPr="00DC278B">
        <w:rPr>
          <w:rFonts w:ascii="Cambria" w:eastAsia="Times New Roman" w:hAnsi="Cambria"/>
          <w:sz w:val="20"/>
          <w:szCs w:val="20"/>
          <w:bdr w:val="none" w:sz="0" w:space="0" w:color="auto"/>
          <w:lang w:val="es-ES_tradnl"/>
        </w:rPr>
        <w:t>reparatorios</w:t>
      </w:r>
      <w:proofErr w:type="spellEnd"/>
      <w:r w:rsidRPr="00DC278B">
        <w:rPr>
          <w:rFonts w:ascii="Cambria" w:eastAsia="Times New Roman" w:hAnsi="Cambria"/>
          <w:sz w:val="20"/>
          <w:szCs w:val="20"/>
          <w:bdr w:val="none" w:sz="0" w:space="0" w:color="auto"/>
          <w:lang w:val="es-ES_tradnl"/>
        </w:rPr>
        <w:t xml:space="preserve"> a los familiares de los detenidos desaparecidos y de ejecutados políticos de los casos bajo análisis, calificados por la Comisión</w:t>
      </w:r>
      <w:r w:rsidR="00FA7864">
        <w:rPr>
          <w:rFonts w:ascii="Cambria" w:eastAsia="Times New Roman" w:hAnsi="Cambria"/>
          <w:sz w:val="20"/>
          <w:szCs w:val="20"/>
          <w:bdr w:val="none" w:sz="0" w:space="0" w:color="auto"/>
          <w:lang w:val="es-ES_tradnl"/>
        </w:rPr>
        <w:t xml:space="preserve"> </w:t>
      </w:r>
      <w:proofErr w:type="spellStart"/>
      <w:r w:rsidR="00FA7864">
        <w:rPr>
          <w:rFonts w:ascii="Cambria" w:eastAsia="Times New Roman" w:hAnsi="Cambria"/>
          <w:sz w:val="20"/>
          <w:szCs w:val="20"/>
          <w:bdr w:val="none" w:sz="0" w:space="0" w:color="auto"/>
          <w:lang w:val="es-ES_tradnl"/>
        </w:rPr>
        <w:t>Rettig</w:t>
      </w:r>
      <w:proofErr w:type="spellEnd"/>
      <w:r w:rsidR="00FA7864">
        <w:rPr>
          <w:rFonts w:ascii="Cambria" w:eastAsia="Times New Roman" w:hAnsi="Cambria"/>
          <w:sz w:val="20"/>
          <w:szCs w:val="20"/>
          <w:bdr w:val="none" w:sz="0" w:space="0" w:color="auto"/>
          <w:lang w:val="es-ES_tradnl"/>
        </w:rPr>
        <w:t xml:space="preserve"> y a través de la CNRR. </w:t>
      </w:r>
      <w:r w:rsidRPr="00DC278B">
        <w:rPr>
          <w:rFonts w:ascii="Cambria" w:eastAsia="Times New Roman" w:hAnsi="Cambria"/>
          <w:sz w:val="20"/>
          <w:szCs w:val="20"/>
          <w:bdr w:val="none" w:sz="0" w:space="0" w:color="auto"/>
          <w:lang w:val="es-ES_tradnl"/>
        </w:rPr>
        <w:t xml:space="preserve">Asimismo, alega que se le brindó atención de salud para todo el grupo familiar a través del PRAIS, becas de estudio para los hijos menores de 35 años, </w:t>
      </w:r>
      <w:r w:rsidR="00AA09B7" w:rsidRPr="00DC278B">
        <w:rPr>
          <w:rFonts w:ascii="Cambria" w:eastAsia="Times New Roman" w:hAnsi="Cambria"/>
          <w:sz w:val="20"/>
          <w:szCs w:val="20"/>
          <w:bdr w:val="none" w:sz="0" w:space="0" w:color="auto"/>
          <w:lang w:val="es-ES_tradnl"/>
        </w:rPr>
        <w:t>exención</w:t>
      </w:r>
      <w:r w:rsidRPr="00DC278B">
        <w:rPr>
          <w:rFonts w:ascii="Cambria" w:eastAsia="Times New Roman" w:hAnsi="Cambria"/>
          <w:sz w:val="20"/>
          <w:szCs w:val="20"/>
          <w:bdr w:val="none" w:sz="0" w:space="0" w:color="auto"/>
          <w:lang w:val="es-ES_tradnl"/>
        </w:rPr>
        <w:t xml:space="preserve"> del servicio militar obliga</w:t>
      </w:r>
      <w:r w:rsidR="00FA7864">
        <w:rPr>
          <w:rFonts w:ascii="Cambria" w:eastAsia="Times New Roman" w:hAnsi="Cambria"/>
          <w:sz w:val="20"/>
          <w:szCs w:val="20"/>
          <w:bdr w:val="none" w:sz="0" w:space="0" w:color="auto"/>
          <w:lang w:val="es-ES_tradnl"/>
        </w:rPr>
        <w:t xml:space="preserve">torio y pensión de reparación. </w:t>
      </w:r>
      <w:r w:rsidRPr="00DC278B">
        <w:rPr>
          <w:rFonts w:ascii="Cambria" w:eastAsia="Times New Roman" w:hAnsi="Cambria"/>
          <w:sz w:val="20"/>
          <w:szCs w:val="20"/>
          <w:bdr w:val="none" w:sz="0" w:space="0" w:color="auto"/>
          <w:lang w:val="es-ES_tradnl"/>
        </w:rPr>
        <w:t>El Estado señala que la suma mensual de las pensiones de reparación entregada a las presuntas víctimas-familiares de las víctimas de la dictadura varía dependiend</w:t>
      </w:r>
      <w:r w:rsidR="00FA7864">
        <w:rPr>
          <w:rFonts w:ascii="Cambria" w:eastAsia="Times New Roman" w:hAnsi="Cambria"/>
          <w:sz w:val="20"/>
          <w:szCs w:val="20"/>
          <w:bdr w:val="none" w:sz="0" w:space="0" w:color="auto"/>
          <w:lang w:val="es-ES_tradnl"/>
        </w:rPr>
        <w:t xml:space="preserve">o del número de beneficiarios. </w:t>
      </w:r>
      <w:r w:rsidRPr="00DC278B">
        <w:rPr>
          <w:rFonts w:ascii="Cambria" w:eastAsia="Times New Roman" w:hAnsi="Cambria"/>
          <w:sz w:val="20"/>
          <w:szCs w:val="20"/>
          <w:bdr w:val="none" w:sz="0" w:space="0" w:color="auto"/>
          <w:lang w:val="es-ES_tradnl"/>
        </w:rPr>
        <w:t>Indica que cuando se trata de un solo beneficiario se entrega</w:t>
      </w:r>
      <w:r w:rsidR="00173BFF" w:rsidRPr="00DC278B">
        <w:rPr>
          <w:rFonts w:ascii="Cambria" w:eastAsia="Times New Roman" w:hAnsi="Cambria"/>
          <w:sz w:val="20"/>
          <w:szCs w:val="20"/>
          <w:bdr w:val="none" w:sz="0" w:space="0" w:color="auto"/>
          <w:lang w:val="es-ES_tradnl"/>
        </w:rPr>
        <w:t xml:space="preserve"> un monto de $360.674 Pesos c</w:t>
      </w:r>
      <w:r w:rsidRPr="00DC278B">
        <w:rPr>
          <w:rFonts w:ascii="Cambria" w:eastAsia="Times New Roman" w:hAnsi="Cambria"/>
          <w:sz w:val="20"/>
          <w:szCs w:val="20"/>
          <w:bdr w:val="none" w:sz="0" w:space="0" w:color="auto"/>
          <w:lang w:val="es-ES_tradnl"/>
        </w:rPr>
        <w:t xml:space="preserve">hilenos y de $504,903 Pesos chilenos, cuando hay más de uno.  </w:t>
      </w:r>
    </w:p>
    <w:p w:rsidR="005F74FD" w:rsidRPr="00DC278B" w:rsidRDefault="005F74FD" w:rsidP="00DC278B">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sz w:val="20"/>
          <w:szCs w:val="20"/>
          <w:bdr w:val="none" w:sz="0" w:space="0" w:color="auto"/>
          <w:lang w:val="es-ES_tradnl"/>
        </w:rPr>
      </w:pPr>
    </w:p>
    <w:p w:rsidR="005F74FD" w:rsidRPr="00DC278B" w:rsidRDefault="005F74FD"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r w:rsidRPr="00DC278B">
        <w:rPr>
          <w:rFonts w:ascii="Cambria" w:eastAsia="Times New Roman" w:hAnsi="Cambria"/>
          <w:sz w:val="20"/>
          <w:szCs w:val="20"/>
          <w:bdr w:val="none" w:sz="0" w:space="0" w:color="auto"/>
          <w:lang w:val="es-ES_tradnl"/>
        </w:rPr>
        <w:t>En cuanto a los beneficios previsionales, el Estado señala que las presuntas víctimas de este caso habrían sido beneficiarias de pe</w:t>
      </w:r>
      <w:r w:rsidR="00FA7864">
        <w:rPr>
          <w:rFonts w:ascii="Cambria" w:eastAsia="Times New Roman" w:hAnsi="Cambria"/>
          <w:sz w:val="20"/>
          <w:szCs w:val="20"/>
          <w:bdr w:val="none" w:sz="0" w:space="0" w:color="auto"/>
          <w:lang w:val="es-ES_tradnl"/>
        </w:rPr>
        <w:t xml:space="preserve">nsiones y bonos de reparación. </w:t>
      </w:r>
      <w:r w:rsidRPr="00DC278B">
        <w:rPr>
          <w:rFonts w:ascii="Cambria" w:eastAsia="Times New Roman" w:hAnsi="Cambria"/>
          <w:sz w:val="20"/>
          <w:szCs w:val="20"/>
          <w:bdr w:val="none" w:sz="0" w:space="0" w:color="auto"/>
          <w:lang w:val="es-ES_tradnl"/>
        </w:rPr>
        <w:t>Al respecto afirma que en</w:t>
      </w:r>
      <w:r w:rsidR="00912B46" w:rsidRPr="00DC278B">
        <w:rPr>
          <w:rFonts w:ascii="Cambria" w:eastAsia="Times New Roman" w:hAnsi="Cambria"/>
          <w:sz w:val="20"/>
          <w:szCs w:val="20"/>
          <w:bdr w:val="none" w:sz="0" w:space="0" w:color="auto"/>
          <w:lang w:val="es-ES_tradnl"/>
        </w:rPr>
        <w:t xml:space="preserve"> </w:t>
      </w:r>
      <w:r w:rsidRPr="00DC278B">
        <w:rPr>
          <w:rFonts w:ascii="Cambria" w:eastAsia="Times New Roman" w:hAnsi="Cambria"/>
          <w:sz w:val="20"/>
          <w:szCs w:val="20"/>
          <w:bdr w:val="none" w:sz="0" w:space="0" w:color="auto"/>
          <w:lang w:val="es-ES_tradnl"/>
        </w:rPr>
        <w:t>la causa “</w:t>
      </w:r>
      <w:proofErr w:type="spellStart"/>
      <w:r w:rsidRPr="00DC278B">
        <w:rPr>
          <w:rFonts w:ascii="Cambria" w:eastAsia="Times New Roman" w:hAnsi="Cambria"/>
          <w:sz w:val="20"/>
          <w:szCs w:val="20"/>
          <w:bdr w:val="none" w:sz="0" w:space="0" w:color="auto"/>
          <w:lang w:val="es-ES_tradnl"/>
        </w:rPr>
        <w:t>Codoceo</w:t>
      </w:r>
      <w:proofErr w:type="spellEnd"/>
      <w:r w:rsidRPr="00DC278B">
        <w:rPr>
          <w:rFonts w:ascii="Cambria" w:eastAsia="Times New Roman" w:hAnsi="Cambria"/>
          <w:sz w:val="20"/>
          <w:szCs w:val="20"/>
          <w:bdr w:val="none" w:sz="0" w:space="0" w:color="auto"/>
          <w:lang w:val="es-ES_tradnl"/>
        </w:rPr>
        <w:t xml:space="preserve"> y otros” desde julio de 1991, la cónyuge de Hipólito Cortés, Alina Barraza </w:t>
      </w:r>
      <w:proofErr w:type="spellStart"/>
      <w:r w:rsidRPr="00DC278B">
        <w:rPr>
          <w:rFonts w:ascii="Cambria" w:eastAsia="Times New Roman" w:hAnsi="Cambria"/>
          <w:sz w:val="20"/>
          <w:szCs w:val="20"/>
          <w:bdr w:val="none" w:sz="0" w:space="0" w:color="auto"/>
          <w:lang w:val="es-ES_tradnl"/>
        </w:rPr>
        <w:t>Codoceo</w:t>
      </w:r>
      <w:proofErr w:type="spellEnd"/>
      <w:r w:rsidRPr="00DC278B">
        <w:rPr>
          <w:rFonts w:ascii="Cambria" w:eastAsia="Times New Roman" w:hAnsi="Cambria"/>
          <w:sz w:val="20"/>
          <w:szCs w:val="20"/>
          <w:bdr w:val="none" w:sz="0" w:space="0" w:color="auto"/>
          <w:lang w:val="es-ES_tradnl"/>
        </w:rPr>
        <w:t>, recibe una pensión mensual</w:t>
      </w:r>
      <w:r w:rsidR="00902F13" w:rsidRPr="00DC278B">
        <w:rPr>
          <w:rFonts w:ascii="Cambria" w:eastAsia="Times New Roman" w:hAnsi="Cambria"/>
          <w:sz w:val="20"/>
          <w:szCs w:val="20"/>
          <w:bdr w:val="none" w:sz="0" w:space="0" w:color="auto"/>
          <w:vertAlign w:val="superscript"/>
          <w:lang w:val="es-ES_tradnl"/>
        </w:rPr>
        <w:footnoteReference w:id="13"/>
      </w:r>
      <w:r w:rsidRPr="00DC278B">
        <w:rPr>
          <w:rFonts w:ascii="Cambria" w:eastAsia="Times New Roman" w:hAnsi="Cambria"/>
          <w:sz w:val="20"/>
          <w:szCs w:val="20"/>
          <w:bdr w:val="none" w:sz="0" w:space="0" w:color="auto"/>
          <w:lang w:val="es-ES_tradnl"/>
        </w:rPr>
        <w:t>; y sus siete hijos recibieron bonos de reparación que oscilan entre</w:t>
      </w:r>
      <w:r w:rsidR="00F97E62" w:rsidRPr="00DC278B">
        <w:rPr>
          <w:rFonts w:ascii="Cambria" w:eastAsia="Times New Roman" w:hAnsi="Cambria"/>
          <w:sz w:val="20"/>
          <w:szCs w:val="20"/>
          <w:bdr w:val="none" w:sz="0" w:space="0" w:color="auto"/>
          <w:lang w:val="es-ES_tradnl"/>
        </w:rPr>
        <w:t xml:space="preserve"> ocho y diez millones de Pesos c</w:t>
      </w:r>
      <w:r w:rsidRPr="00DC278B">
        <w:rPr>
          <w:rFonts w:ascii="Cambria" w:eastAsia="Times New Roman" w:hAnsi="Cambria"/>
          <w:sz w:val="20"/>
          <w:szCs w:val="20"/>
          <w:bdr w:val="none" w:sz="0" w:space="0" w:color="auto"/>
          <w:lang w:val="es-ES_tradnl"/>
        </w:rPr>
        <w:t>hilenos.</w:t>
      </w:r>
      <w:r w:rsidR="00705668" w:rsidRPr="00DC278B">
        <w:rPr>
          <w:rFonts w:ascii="Cambria" w:eastAsia="Times New Roman" w:hAnsi="Cambria"/>
          <w:sz w:val="20"/>
          <w:szCs w:val="20"/>
          <w:bdr w:val="none" w:sz="0" w:space="0" w:color="auto"/>
          <w:lang w:val="es-ES_tradnl"/>
        </w:rPr>
        <w:t xml:space="preserve"> </w:t>
      </w:r>
      <w:r w:rsidR="009E60A2" w:rsidRPr="00DC278B">
        <w:rPr>
          <w:rFonts w:ascii="Cambria" w:eastAsia="Times New Roman" w:hAnsi="Cambria"/>
          <w:sz w:val="20"/>
          <w:szCs w:val="20"/>
          <w:bdr w:val="none" w:sz="0" w:space="0" w:color="auto"/>
          <w:lang w:val="es-ES_tradnl"/>
        </w:rPr>
        <w:t>D</w:t>
      </w:r>
      <w:r w:rsidR="00705668" w:rsidRPr="00DC278B">
        <w:rPr>
          <w:rFonts w:ascii="Cambria" w:eastAsia="Times New Roman" w:hAnsi="Cambria"/>
          <w:sz w:val="20"/>
          <w:szCs w:val="20"/>
          <w:bdr w:val="none" w:sz="0" w:space="0" w:color="auto"/>
          <w:lang w:val="es-ES_tradnl"/>
        </w:rPr>
        <w:t>urante la audiencia pública sostenida ante la CIDH el 21 de marzo de 2009, el re</w:t>
      </w:r>
      <w:r w:rsidR="00885CA7" w:rsidRPr="00DC278B">
        <w:rPr>
          <w:rFonts w:ascii="Cambria" w:eastAsia="Times New Roman" w:hAnsi="Cambria"/>
          <w:sz w:val="20"/>
          <w:szCs w:val="20"/>
          <w:bdr w:val="none" w:sz="0" w:space="0" w:color="auto"/>
          <w:lang w:val="es-ES_tradnl"/>
        </w:rPr>
        <w:t>presentante del Estado detalló</w:t>
      </w:r>
      <w:r w:rsidR="00705668" w:rsidRPr="00DC278B">
        <w:rPr>
          <w:rFonts w:ascii="Cambria" w:eastAsia="Times New Roman" w:hAnsi="Cambria"/>
          <w:sz w:val="20"/>
          <w:szCs w:val="20"/>
          <w:bdr w:val="none" w:sz="0" w:space="0" w:color="auto"/>
          <w:lang w:val="es-ES_tradnl"/>
        </w:rPr>
        <w:t xml:space="preserve"> que Alina Barraza </w:t>
      </w:r>
      <w:proofErr w:type="spellStart"/>
      <w:r w:rsidR="00705668" w:rsidRPr="00DC278B">
        <w:rPr>
          <w:rFonts w:ascii="Cambria" w:eastAsia="Times New Roman" w:hAnsi="Cambria"/>
          <w:sz w:val="20"/>
          <w:szCs w:val="20"/>
          <w:bdr w:val="none" w:sz="0" w:space="0" w:color="auto"/>
          <w:lang w:val="es-ES_tradnl"/>
        </w:rPr>
        <w:t>Codoceo</w:t>
      </w:r>
      <w:proofErr w:type="spellEnd"/>
      <w:r w:rsidR="00705668" w:rsidRPr="00DC278B">
        <w:rPr>
          <w:rFonts w:ascii="Cambria" w:eastAsia="Times New Roman" w:hAnsi="Cambria"/>
          <w:sz w:val="20"/>
          <w:szCs w:val="20"/>
          <w:bdr w:val="none" w:sz="0" w:space="0" w:color="auto"/>
          <w:lang w:val="es-ES_tradnl"/>
        </w:rPr>
        <w:t xml:space="preserve"> continuaba recibiendo una pensión actual de US$600 y desde 1991 había recibido </w:t>
      </w:r>
      <w:r w:rsidR="00885CA7" w:rsidRPr="00DC278B">
        <w:rPr>
          <w:rFonts w:ascii="Cambria" w:eastAsia="Times New Roman" w:hAnsi="Cambria"/>
          <w:sz w:val="20"/>
          <w:szCs w:val="20"/>
          <w:bdr w:val="none" w:sz="0" w:space="0" w:color="auto"/>
          <w:lang w:val="es-ES_tradnl"/>
        </w:rPr>
        <w:t xml:space="preserve">un total de </w:t>
      </w:r>
      <w:r w:rsidR="00705668" w:rsidRPr="00DC278B">
        <w:rPr>
          <w:rFonts w:ascii="Cambria" w:eastAsia="Times New Roman" w:hAnsi="Cambria"/>
          <w:sz w:val="20"/>
          <w:szCs w:val="20"/>
          <w:bdr w:val="none" w:sz="0" w:space="0" w:color="auto"/>
          <w:lang w:val="es-ES_tradnl"/>
        </w:rPr>
        <w:t>US$</w:t>
      </w:r>
      <w:r w:rsidR="002275B6" w:rsidRPr="00DC278B">
        <w:rPr>
          <w:rFonts w:ascii="Cambria" w:eastAsia="Times New Roman" w:hAnsi="Cambria"/>
          <w:sz w:val="20"/>
          <w:szCs w:val="20"/>
          <w:bdr w:val="none" w:sz="0" w:space="0" w:color="auto"/>
          <w:lang w:val="es-ES_tradnl"/>
        </w:rPr>
        <w:t xml:space="preserve"> </w:t>
      </w:r>
      <w:r w:rsidR="002878DF">
        <w:rPr>
          <w:rFonts w:ascii="Cambria" w:eastAsia="Times New Roman" w:hAnsi="Cambria"/>
          <w:sz w:val="20"/>
          <w:szCs w:val="20"/>
          <w:bdr w:val="none" w:sz="0" w:space="0" w:color="auto"/>
          <w:lang w:val="es-ES_tradnl"/>
        </w:rPr>
        <w:t xml:space="preserve">25.000. </w:t>
      </w:r>
      <w:r w:rsidR="00705668" w:rsidRPr="00DC278B">
        <w:rPr>
          <w:rFonts w:ascii="Cambria" w:eastAsia="Times New Roman" w:hAnsi="Cambria"/>
          <w:sz w:val="20"/>
          <w:szCs w:val="20"/>
          <w:bdr w:val="none" w:sz="0" w:space="0" w:color="auto"/>
          <w:lang w:val="es-ES_tradnl"/>
        </w:rPr>
        <w:t>Indicó que s</w:t>
      </w:r>
      <w:r w:rsidR="00845447" w:rsidRPr="00DC278B">
        <w:rPr>
          <w:rFonts w:ascii="Cambria" w:eastAsia="Times New Roman" w:hAnsi="Cambria"/>
          <w:sz w:val="20"/>
          <w:szCs w:val="20"/>
          <w:bdr w:val="none" w:sz="0" w:space="0" w:color="auto"/>
          <w:lang w:val="es-ES_tradnl"/>
        </w:rPr>
        <w:t>us</w:t>
      </w:r>
      <w:r w:rsidR="00705668" w:rsidRPr="00DC278B">
        <w:rPr>
          <w:rFonts w:ascii="Cambria" w:eastAsia="Times New Roman" w:hAnsi="Cambria"/>
          <w:sz w:val="20"/>
          <w:szCs w:val="20"/>
          <w:bdr w:val="none" w:sz="0" w:space="0" w:color="auto"/>
          <w:lang w:val="es-ES_tradnl"/>
        </w:rPr>
        <w:t xml:space="preserve"> hijos recibieron una reparación total aproximada de US$ 6.000</w:t>
      </w:r>
      <w:r w:rsidR="00885CA7" w:rsidRPr="00DC278B">
        <w:rPr>
          <w:rStyle w:val="Refdenotaalpie"/>
          <w:rFonts w:ascii="Cambria" w:eastAsia="Times New Roman" w:hAnsi="Cambria"/>
          <w:sz w:val="20"/>
          <w:szCs w:val="20"/>
          <w:bdr w:val="none" w:sz="0" w:space="0" w:color="auto"/>
          <w:lang w:val="es-ES_tradnl"/>
        </w:rPr>
        <w:footnoteReference w:id="14"/>
      </w:r>
      <w:r w:rsidR="00705668" w:rsidRPr="00DC278B">
        <w:rPr>
          <w:rFonts w:ascii="Cambria" w:eastAsia="Times New Roman" w:hAnsi="Cambria"/>
          <w:sz w:val="20"/>
          <w:szCs w:val="20"/>
          <w:bdr w:val="none" w:sz="0" w:space="0" w:color="auto"/>
          <w:lang w:val="es-ES_tradnl"/>
        </w:rPr>
        <w:t xml:space="preserve">. </w:t>
      </w:r>
      <w:r w:rsidR="008668F6" w:rsidRPr="00DC278B">
        <w:rPr>
          <w:rFonts w:ascii="Cambria" w:eastAsia="Times New Roman" w:hAnsi="Cambria"/>
          <w:sz w:val="20"/>
          <w:szCs w:val="20"/>
          <w:bdr w:val="none" w:sz="0" w:space="0" w:color="auto"/>
          <w:lang w:val="es-ES_tradnl"/>
        </w:rPr>
        <w:t>Asimismo indicó que la familia está</w:t>
      </w:r>
      <w:r w:rsidR="00912B46" w:rsidRPr="00DC278B">
        <w:rPr>
          <w:rFonts w:ascii="Cambria" w:eastAsia="Times New Roman" w:hAnsi="Cambria"/>
          <w:sz w:val="20"/>
          <w:szCs w:val="20"/>
          <w:bdr w:val="none" w:sz="0" w:space="0" w:color="auto"/>
          <w:lang w:val="es-ES_tradnl"/>
        </w:rPr>
        <w:t xml:space="preserve"> incorporada</w:t>
      </w:r>
      <w:r w:rsidR="00705668" w:rsidRPr="00DC278B">
        <w:rPr>
          <w:rFonts w:ascii="Cambria" w:eastAsia="Times New Roman" w:hAnsi="Cambria"/>
          <w:sz w:val="20"/>
          <w:szCs w:val="20"/>
          <w:bdr w:val="none" w:sz="0" w:space="0" w:color="auto"/>
          <w:lang w:val="es-ES_tradnl"/>
        </w:rPr>
        <w:t xml:space="preserve"> </w:t>
      </w:r>
      <w:r w:rsidR="008668F6" w:rsidRPr="00DC278B">
        <w:rPr>
          <w:rFonts w:ascii="Cambria" w:eastAsia="Times New Roman" w:hAnsi="Cambria"/>
          <w:sz w:val="20"/>
          <w:szCs w:val="20"/>
          <w:bdr w:val="none" w:sz="0" w:space="0" w:color="auto"/>
          <w:lang w:val="es-ES_tradnl"/>
        </w:rPr>
        <w:t xml:space="preserve">en el PRAIS </w:t>
      </w:r>
      <w:r w:rsidR="00705668" w:rsidRPr="00DC278B">
        <w:rPr>
          <w:rFonts w:ascii="Cambria" w:eastAsia="Times New Roman" w:hAnsi="Cambria"/>
          <w:sz w:val="20"/>
          <w:szCs w:val="20"/>
          <w:bdr w:val="none" w:sz="0" w:space="0" w:color="auto"/>
          <w:lang w:val="es-ES_tradnl"/>
        </w:rPr>
        <w:t xml:space="preserve">y </w:t>
      </w:r>
      <w:r w:rsidR="008668F6" w:rsidRPr="00DC278B">
        <w:rPr>
          <w:rFonts w:ascii="Cambria" w:eastAsia="Times New Roman" w:hAnsi="Cambria"/>
          <w:sz w:val="20"/>
          <w:szCs w:val="20"/>
          <w:bdr w:val="none" w:sz="0" w:space="0" w:color="auto"/>
          <w:lang w:val="es-ES_tradnl"/>
        </w:rPr>
        <w:t>que se le</w:t>
      </w:r>
      <w:r w:rsidR="00705668" w:rsidRPr="00DC278B">
        <w:rPr>
          <w:rFonts w:ascii="Cambria" w:eastAsia="Times New Roman" w:hAnsi="Cambria"/>
          <w:sz w:val="20"/>
          <w:szCs w:val="20"/>
          <w:bdr w:val="none" w:sz="0" w:space="0" w:color="auto"/>
          <w:lang w:val="es-ES_tradnl"/>
        </w:rPr>
        <w:t xml:space="preserve"> brinda un subsidio mensual de </w:t>
      </w:r>
      <w:r w:rsidR="008668F6" w:rsidRPr="00DC278B">
        <w:rPr>
          <w:rFonts w:ascii="Cambria" w:eastAsia="Times New Roman" w:hAnsi="Cambria"/>
          <w:sz w:val="20"/>
          <w:szCs w:val="20"/>
          <w:bdr w:val="none" w:sz="0" w:space="0" w:color="auto"/>
          <w:lang w:val="es-ES_tradnl"/>
        </w:rPr>
        <w:t xml:space="preserve">US$ </w:t>
      </w:r>
      <w:r w:rsidR="00705668" w:rsidRPr="00DC278B">
        <w:rPr>
          <w:rFonts w:ascii="Cambria" w:eastAsia="Times New Roman" w:hAnsi="Cambria"/>
          <w:sz w:val="20"/>
          <w:szCs w:val="20"/>
          <w:bdr w:val="none" w:sz="0" w:space="0" w:color="auto"/>
          <w:lang w:val="es-ES_tradnl"/>
        </w:rPr>
        <w:t xml:space="preserve">35 a </w:t>
      </w:r>
      <w:r w:rsidR="008668F6" w:rsidRPr="00DC278B">
        <w:rPr>
          <w:rFonts w:ascii="Cambria" w:eastAsia="Times New Roman" w:hAnsi="Cambria"/>
          <w:sz w:val="20"/>
          <w:szCs w:val="20"/>
          <w:bdr w:val="none" w:sz="0" w:space="0" w:color="auto"/>
          <w:lang w:val="es-ES_tradnl"/>
        </w:rPr>
        <w:t xml:space="preserve">US$ </w:t>
      </w:r>
      <w:r w:rsidR="00705668" w:rsidRPr="00DC278B">
        <w:rPr>
          <w:rFonts w:ascii="Cambria" w:eastAsia="Times New Roman" w:hAnsi="Cambria"/>
          <w:sz w:val="20"/>
          <w:szCs w:val="20"/>
          <w:bdr w:val="none" w:sz="0" w:space="0" w:color="auto"/>
          <w:lang w:val="es-ES_tradnl"/>
        </w:rPr>
        <w:t xml:space="preserve">40 para </w:t>
      </w:r>
      <w:r w:rsidR="008668F6" w:rsidRPr="00DC278B">
        <w:rPr>
          <w:rFonts w:ascii="Cambria" w:eastAsia="Times New Roman" w:hAnsi="Cambria"/>
          <w:sz w:val="20"/>
          <w:szCs w:val="20"/>
          <w:bdr w:val="none" w:sz="0" w:space="0" w:color="auto"/>
          <w:lang w:val="es-ES_tradnl"/>
        </w:rPr>
        <w:t xml:space="preserve">la continuación de </w:t>
      </w:r>
      <w:r w:rsidR="00705668" w:rsidRPr="00DC278B">
        <w:rPr>
          <w:rFonts w:ascii="Cambria" w:eastAsia="Times New Roman" w:hAnsi="Cambria"/>
          <w:sz w:val="20"/>
          <w:szCs w:val="20"/>
          <w:bdr w:val="none" w:sz="0" w:space="0" w:color="auto"/>
          <w:lang w:val="es-ES_tradnl"/>
        </w:rPr>
        <w:t>estudios en la enseñanza media y superior.</w:t>
      </w:r>
    </w:p>
    <w:p w:rsidR="00705668" w:rsidRPr="00DC278B" w:rsidRDefault="00705668" w:rsidP="00DC278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p>
    <w:p w:rsidR="005F74FD" w:rsidRPr="00DC278B" w:rsidRDefault="005F74FD"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r w:rsidRPr="00DC278B">
        <w:rPr>
          <w:rFonts w:ascii="Cambria" w:eastAsia="Times New Roman" w:hAnsi="Cambria"/>
          <w:sz w:val="20"/>
          <w:szCs w:val="20"/>
          <w:bdr w:val="none" w:sz="0" w:space="0" w:color="auto"/>
          <w:lang w:val="es-ES_tradnl"/>
        </w:rPr>
        <w:t xml:space="preserve">Indica que en la causa “Morales </w:t>
      </w:r>
      <w:proofErr w:type="spellStart"/>
      <w:r w:rsidRPr="00DC278B">
        <w:rPr>
          <w:rFonts w:ascii="Cambria" w:eastAsia="Times New Roman" w:hAnsi="Cambria"/>
          <w:sz w:val="20"/>
          <w:szCs w:val="20"/>
          <w:bdr w:val="none" w:sz="0" w:space="0" w:color="auto"/>
          <w:lang w:val="es-ES_tradnl"/>
        </w:rPr>
        <w:t>Compagnon</w:t>
      </w:r>
      <w:proofErr w:type="spellEnd"/>
      <w:r w:rsidRPr="00DC278B">
        <w:rPr>
          <w:rFonts w:ascii="Cambria" w:eastAsia="Times New Roman" w:hAnsi="Cambria"/>
          <w:sz w:val="20"/>
          <w:szCs w:val="20"/>
          <w:bdr w:val="none" w:sz="0" w:space="0" w:color="auto"/>
          <w:lang w:val="es-ES_tradnl"/>
        </w:rPr>
        <w:t xml:space="preserve"> y otros” desde julio de 1991 la cónyuge de Jorge Osorio, Lucia Morales </w:t>
      </w:r>
      <w:proofErr w:type="spellStart"/>
      <w:r w:rsidRPr="00DC278B">
        <w:rPr>
          <w:rFonts w:ascii="Cambria" w:eastAsia="Times New Roman" w:hAnsi="Cambria"/>
          <w:sz w:val="20"/>
          <w:szCs w:val="20"/>
          <w:bdr w:val="none" w:sz="0" w:space="0" w:color="auto"/>
          <w:lang w:val="es-ES_tradnl"/>
        </w:rPr>
        <w:t>Compagnon</w:t>
      </w:r>
      <w:proofErr w:type="spellEnd"/>
      <w:r w:rsidRPr="00DC278B">
        <w:rPr>
          <w:rFonts w:ascii="Cambria" w:eastAsia="Times New Roman" w:hAnsi="Cambria"/>
          <w:sz w:val="20"/>
          <w:szCs w:val="20"/>
          <w:bdr w:val="none" w:sz="0" w:space="0" w:color="auto"/>
          <w:lang w:val="es-ES_tradnl"/>
        </w:rPr>
        <w:t>, recibe una pensión mensual</w:t>
      </w:r>
      <w:r w:rsidR="00902F13" w:rsidRPr="00DC278B">
        <w:rPr>
          <w:rFonts w:ascii="Cambria" w:eastAsia="Times New Roman" w:hAnsi="Cambria"/>
          <w:sz w:val="20"/>
          <w:szCs w:val="20"/>
          <w:bdr w:val="none" w:sz="0" w:space="0" w:color="auto"/>
          <w:vertAlign w:val="superscript"/>
          <w:lang w:val="es-ES"/>
        </w:rPr>
        <w:footnoteReference w:id="15"/>
      </w:r>
      <w:r w:rsidRPr="00DC278B">
        <w:rPr>
          <w:rFonts w:ascii="Cambria" w:eastAsia="Times New Roman" w:hAnsi="Cambria"/>
          <w:sz w:val="20"/>
          <w:szCs w:val="20"/>
          <w:bdr w:val="none" w:sz="0" w:space="0" w:color="auto"/>
          <w:lang w:val="es-ES_tradnl"/>
        </w:rPr>
        <w:t>; y cada uno de los cuatro hijos recibieron bonos de reparación que oscilan entre siete y diez millones de pesos.</w:t>
      </w:r>
    </w:p>
    <w:p w:rsidR="005F74FD" w:rsidRPr="00DC278B" w:rsidRDefault="005F74FD" w:rsidP="00DC278B">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sz w:val="20"/>
          <w:szCs w:val="20"/>
          <w:bdr w:val="none" w:sz="0" w:space="0" w:color="auto"/>
          <w:lang w:val="es-ES_tradnl"/>
        </w:rPr>
      </w:pPr>
    </w:p>
    <w:p w:rsidR="005F74FD" w:rsidRPr="00DC278B" w:rsidRDefault="00E07F44"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r w:rsidRPr="00DC278B">
        <w:rPr>
          <w:rFonts w:ascii="Cambria" w:eastAsia="Times New Roman" w:hAnsi="Cambria"/>
          <w:sz w:val="20"/>
          <w:szCs w:val="20"/>
          <w:bdr w:val="none" w:sz="0" w:space="0" w:color="auto"/>
          <w:lang w:val="es-ES_tradnl"/>
        </w:rPr>
        <w:t>Indica que en la causa “Ó</w:t>
      </w:r>
      <w:r w:rsidR="005F74FD" w:rsidRPr="00DC278B">
        <w:rPr>
          <w:rFonts w:ascii="Cambria" w:eastAsia="Times New Roman" w:hAnsi="Cambria"/>
          <w:sz w:val="20"/>
          <w:szCs w:val="20"/>
          <w:bdr w:val="none" w:sz="0" w:space="0" w:color="auto"/>
          <w:lang w:val="es-ES_tradnl"/>
        </w:rPr>
        <w:t xml:space="preserve">rdenes Guerra y otro” desde el 1˚ de julio de 1991, la cónyuge de Augusto </w:t>
      </w:r>
      <w:proofErr w:type="spellStart"/>
      <w:r w:rsidR="005F74FD" w:rsidRPr="00DC278B">
        <w:rPr>
          <w:rFonts w:ascii="Cambria" w:eastAsia="Times New Roman" w:hAnsi="Cambria"/>
          <w:sz w:val="20"/>
          <w:szCs w:val="20"/>
          <w:bdr w:val="none" w:sz="0" w:space="0" w:color="auto"/>
          <w:lang w:val="es-ES_tradnl"/>
        </w:rPr>
        <w:t>Alcayaga</w:t>
      </w:r>
      <w:proofErr w:type="spellEnd"/>
      <w:r w:rsidR="005F74FD" w:rsidRPr="00DC278B">
        <w:rPr>
          <w:rFonts w:ascii="Cambria" w:eastAsia="Times New Roman" w:hAnsi="Cambria"/>
          <w:sz w:val="20"/>
          <w:szCs w:val="20"/>
          <w:bdr w:val="none" w:sz="0" w:space="0" w:color="auto"/>
          <w:lang w:val="es-ES_tradnl"/>
        </w:rPr>
        <w:t xml:space="preserve">, María Laura </w:t>
      </w:r>
      <w:r w:rsidRPr="00DC278B">
        <w:rPr>
          <w:rFonts w:ascii="Cambria" w:eastAsia="Times New Roman" w:hAnsi="Cambria"/>
          <w:sz w:val="20"/>
          <w:szCs w:val="20"/>
          <w:bdr w:val="none" w:sz="0" w:space="0" w:color="auto"/>
          <w:lang w:val="es-ES_tradnl"/>
        </w:rPr>
        <w:t>Ó</w:t>
      </w:r>
      <w:r w:rsidR="005F74FD" w:rsidRPr="00DC278B">
        <w:rPr>
          <w:rFonts w:ascii="Cambria" w:eastAsia="Times New Roman" w:hAnsi="Cambria"/>
          <w:sz w:val="20"/>
          <w:szCs w:val="20"/>
          <w:bdr w:val="none" w:sz="0" w:space="0" w:color="auto"/>
          <w:lang w:val="es-ES_tradnl"/>
        </w:rPr>
        <w:t>rdenes Guerra, recibe una pen</w:t>
      </w:r>
      <w:r w:rsidR="008563A3" w:rsidRPr="00DC278B">
        <w:rPr>
          <w:rFonts w:ascii="Cambria" w:eastAsia="Times New Roman" w:hAnsi="Cambria"/>
          <w:sz w:val="20"/>
          <w:szCs w:val="20"/>
          <w:bdr w:val="none" w:sz="0" w:space="0" w:color="auto"/>
          <w:lang w:val="es-ES_tradnl"/>
        </w:rPr>
        <w:t xml:space="preserve">sión mensual de </w:t>
      </w:r>
      <w:r w:rsidR="00F97E62" w:rsidRPr="00DC278B">
        <w:rPr>
          <w:rFonts w:ascii="Cambria" w:eastAsia="Times New Roman" w:hAnsi="Cambria"/>
          <w:sz w:val="20"/>
          <w:szCs w:val="20"/>
          <w:bdr w:val="none" w:sz="0" w:space="0" w:color="auto"/>
          <w:lang w:val="es-ES_tradnl"/>
        </w:rPr>
        <w:t>360.674 Pesos c</w:t>
      </w:r>
      <w:r w:rsidR="005F74FD" w:rsidRPr="00DC278B">
        <w:rPr>
          <w:rFonts w:ascii="Cambria" w:eastAsia="Times New Roman" w:hAnsi="Cambria"/>
          <w:sz w:val="20"/>
          <w:szCs w:val="20"/>
          <w:bdr w:val="none" w:sz="0" w:space="0" w:color="auto"/>
          <w:lang w:val="es-ES_tradnl"/>
        </w:rPr>
        <w:t xml:space="preserve">hilenos y que cada uno de sus cinco hijos tuvieron derecho a percibir, el 15% del monto total de la pensión, hasta los 25 años de edad.  Indica que en noviembre de 2005 a los hijos que por edad no le correspondía pensión, se les otorgó un bono de reparación por </w:t>
      </w:r>
      <w:r w:rsidR="00F97E62" w:rsidRPr="00DC278B">
        <w:rPr>
          <w:rFonts w:ascii="Cambria" w:eastAsia="Times New Roman" w:hAnsi="Cambria"/>
          <w:sz w:val="20"/>
          <w:szCs w:val="20"/>
          <w:bdr w:val="none" w:sz="0" w:space="0" w:color="auto"/>
          <w:lang w:val="es-ES_tradnl"/>
        </w:rPr>
        <w:t>única vez de $10.000.000 Pesos c</w:t>
      </w:r>
      <w:r w:rsidR="00D30856">
        <w:rPr>
          <w:rFonts w:ascii="Cambria" w:eastAsia="Times New Roman" w:hAnsi="Cambria"/>
          <w:sz w:val="20"/>
          <w:szCs w:val="20"/>
          <w:bdr w:val="none" w:sz="0" w:space="0" w:color="auto"/>
          <w:lang w:val="es-ES_tradnl"/>
        </w:rPr>
        <w:t xml:space="preserve">hilenos. </w:t>
      </w:r>
      <w:r w:rsidR="005F74FD" w:rsidRPr="00DC278B">
        <w:rPr>
          <w:rFonts w:ascii="Cambria" w:eastAsia="Times New Roman" w:hAnsi="Cambria"/>
          <w:sz w:val="20"/>
          <w:szCs w:val="20"/>
          <w:bdr w:val="none" w:sz="0" w:space="0" w:color="auto"/>
          <w:lang w:val="es-ES_tradnl"/>
        </w:rPr>
        <w:t>Precisa además que a los hijos que por edad recibieron pensiones de reparación, se les otorgó la diferencia entre lo que habían recibido por pensión y el monto de la bonificación única.</w:t>
      </w:r>
    </w:p>
    <w:p w:rsidR="005F74FD" w:rsidRPr="00DC278B" w:rsidRDefault="005F74FD" w:rsidP="00DC278B">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sz w:val="20"/>
          <w:szCs w:val="20"/>
          <w:bdr w:val="none" w:sz="0" w:space="0" w:color="auto"/>
          <w:lang w:val="es-ES_tradnl"/>
        </w:rPr>
      </w:pPr>
    </w:p>
    <w:p w:rsidR="005F74FD" w:rsidRPr="00DC278B" w:rsidRDefault="005F74FD"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r w:rsidRPr="00DC278B">
        <w:rPr>
          <w:rFonts w:ascii="Cambria" w:eastAsia="Times New Roman" w:hAnsi="Cambria"/>
          <w:sz w:val="20"/>
          <w:szCs w:val="20"/>
          <w:bdr w:val="none" w:sz="0" w:space="0" w:color="auto"/>
          <w:lang w:val="es-ES_tradnl"/>
        </w:rPr>
        <w:t>Seña</w:t>
      </w:r>
      <w:r w:rsidR="00790F8B" w:rsidRPr="00DC278B">
        <w:rPr>
          <w:rFonts w:ascii="Cambria" w:eastAsia="Times New Roman" w:hAnsi="Cambria"/>
          <w:sz w:val="20"/>
          <w:szCs w:val="20"/>
          <w:bdr w:val="none" w:sz="0" w:space="0" w:color="auto"/>
          <w:lang w:val="es-ES_tradnl"/>
        </w:rPr>
        <w:t xml:space="preserve">la que en la causas “Melo </w:t>
      </w:r>
      <w:proofErr w:type="spellStart"/>
      <w:r w:rsidR="00790F8B" w:rsidRPr="00DC278B">
        <w:rPr>
          <w:rFonts w:ascii="Cambria" w:eastAsia="Times New Roman" w:hAnsi="Cambria"/>
          <w:sz w:val="20"/>
          <w:szCs w:val="20"/>
          <w:bdr w:val="none" w:sz="0" w:space="0" w:color="auto"/>
          <w:lang w:val="es-ES_tradnl"/>
        </w:rPr>
        <w:t>Pr</w:t>
      </w:r>
      <w:r w:rsidR="00EC75CD" w:rsidRPr="00DC278B">
        <w:rPr>
          <w:rFonts w:ascii="Cambria" w:eastAsia="Times New Roman" w:hAnsi="Cambria"/>
          <w:sz w:val="20"/>
          <w:szCs w:val="20"/>
          <w:bdr w:val="none" w:sz="0" w:space="0" w:color="auto"/>
          <w:lang w:val="es-ES_tradnl"/>
        </w:rPr>
        <w:t>a</w:t>
      </w:r>
      <w:r w:rsidR="00790F8B" w:rsidRPr="00DC278B">
        <w:rPr>
          <w:rFonts w:ascii="Cambria" w:eastAsia="Times New Roman" w:hAnsi="Cambria"/>
          <w:sz w:val="20"/>
          <w:szCs w:val="20"/>
          <w:bdr w:val="none" w:sz="0" w:space="0" w:color="auto"/>
          <w:lang w:val="es-ES_tradnl"/>
        </w:rPr>
        <w:t>den</w:t>
      </w:r>
      <w:r w:rsidRPr="00DC278B">
        <w:rPr>
          <w:rFonts w:ascii="Cambria" w:eastAsia="Times New Roman" w:hAnsi="Cambria"/>
          <w:sz w:val="20"/>
          <w:szCs w:val="20"/>
          <w:bdr w:val="none" w:sz="0" w:space="0" w:color="auto"/>
          <w:lang w:val="es-ES_tradnl"/>
        </w:rPr>
        <w:t>as</w:t>
      </w:r>
      <w:proofErr w:type="spellEnd"/>
      <w:r w:rsidRPr="00DC278B">
        <w:rPr>
          <w:rFonts w:ascii="Cambria" w:eastAsia="Times New Roman" w:hAnsi="Cambria"/>
          <w:sz w:val="20"/>
          <w:szCs w:val="20"/>
          <w:bdr w:val="none" w:sz="0" w:space="0" w:color="auto"/>
          <w:lang w:val="es-ES_tradnl"/>
        </w:rPr>
        <w:t>, Vivanco, Espejo Gómez y Reyes Navarrete” desde el 1˚ de julio de 1991 hasta el día de su muerte, el 29 de mayo de 2006, la mad</w:t>
      </w:r>
      <w:r w:rsidR="00720893" w:rsidRPr="00DC278B">
        <w:rPr>
          <w:rFonts w:ascii="Cambria" w:eastAsia="Times New Roman" w:hAnsi="Cambria"/>
          <w:sz w:val="20"/>
          <w:szCs w:val="20"/>
          <w:bdr w:val="none" w:sz="0" w:space="0" w:color="auto"/>
          <w:lang w:val="es-ES_tradnl"/>
        </w:rPr>
        <w:t xml:space="preserve">re de Mario Melo, Ilia María </w:t>
      </w:r>
      <w:proofErr w:type="spellStart"/>
      <w:r w:rsidR="00720893" w:rsidRPr="00DC278B">
        <w:rPr>
          <w:rFonts w:ascii="Cambria" w:eastAsia="Times New Roman" w:hAnsi="Cambria"/>
          <w:sz w:val="20"/>
          <w:szCs w:val="20"/>
          <w:bdr w:val="none" w:sz="0" w:space="0" w:color="auto"/>
          <w:lang w:val="es-ES_tradnl"/>
        </w:rPr>
        <w:t>Pr</w:t>
      </w:r>
      <w:r w:rsidR="00EC75CD" w:rsidRPr="00DC278B">
        <w:rPr>
          <w:rFonts w:ascii="Cambria" w:eastAsia="Times New Roman" w:hAnsi="Cambria"/>
          <w:sz w:val="20"/>
          <w:szCs w:val="20"/>
          <w:bdr w:val="none" w:sz="0" w:space="0" w:color="auto"/>
          <w:lang w:val="es-ES_tradnl"/>
        </w:rPr>
        <w:t>a</w:t>
      </w:r>
      <w:r w:rsidRPr="00DC278B">
        <w:rPr>
          <w:rFonts w:ascii="Cambria" w:eastAsia="Times New Roman" w:hAnsi="Cambria"/>
          <w:sz w:val="20"/>
          <w:szCs w:val="20"/>
          <w:bdr w:val="none" w:sz="0" w:space="0" w:color="auto"/>
          <w:lang w:val="es-ES_tradnl"/>
        </w:rPr>
        <w:t>denas</w:t>
      </w:r>
      <w:proofErr w:type="spellEnd"/>
      <w:r w:rsidRPr="00DC278B">
        <w:rPr>
          <w:rFonts w:ascii="Cambria" w:eastAsia="Times New Roman" w:hAnsi="Cambria"/>
          <w:sz w:val="20"/>
          <w:szCs w:val="20"/>
          <w:bdr w:val="none" w:sz="0" w:space="0" w:color="auto"/>
          <w:lang w:val="es-ES_tradnl"/>
        </w:rPr>
        <w:t xml:space="preserve"> Pérez, recibió una bonificación compensatoria, ascendiente al 40% mensual correspondiente a la de </w:t>
      </w:r>
      <w:r w:rsidR="00D30856">
        <w:rPr>
          <w:rFonts w:ascii="Cambria" w:eastAsia="Times New Roman" w:hAnsi="Cambria"/>
          <w:sz w:val="20"/>
          <w:szCs w:val="20"/>
          <w:bdr w:val="none" w:sz="0" w:space="0" w:color="auto"/>
          <w:lang w:val="es-ES_tradnl"/>
        </w:rPr>
        <w:t xml:space="preserve">más de un beneficiario. </w:t>
      </w:r>
      <w:r w:rsidR="008563A3" w:rsidRPr="00DC278B">
        <w:rPr>
          <w:rFonts w:ascii="Cambria" w:eastAsia="Times New Roman" w:hAnsi="Cambria"/>
          <w:sz w:val="20"/>
          <w:szCs w:val="20"/>
          <w:bdr w:val="none" w:sz="0" w:space="0" w:color="auto"/>
          <w:lang w:val="es-ES_tradnl"/>
        </w:rPr>
        <w:t>Indica</w:t>
      </w:r>
      <w:r w:rsidRPr="00DC278B">
        <w:rPr>
          <w:rFonts w:ascii="Cambria" w:eastAsia="Times New Roman" w:hAnsi="Cambria"/>
          <w:sz w:val="20"/>
          <w:szCs w:val="20"/>
          <w:bdr w:val="none" w:sz="0" w:space="0" w:color="auto"/>
          <w:lang w:val="es-ES_tradnl"/>
        </w:rPr>
        <w:t xml:space="preserve"> que el padre de Mario Melo, Mario Melo Acuña, percibe pensión de reparación desde el 1˚ de agosto de 2006; con </w:t>
      </w:r>
      <w:r w:rsidR="008563A3" w:rsidRPr="00DC278B">
        <w:rPr>
          <w:rFonts w:ascii="Cambria" w:eastAsia="Times New Roman" w:hAnsi="Cambria"/>
          <w:sz w:val="20"/>
          <w:szCs w:val="20"/>
          <w:bdr w:val="none" w:sz="0" w:space="0" w:color="auto"/>
          <w:lang w:val="es-ES_tradnl"/>
        </w:rPr>
        <w:t xml:space="preserve">monto de beneficiario único de </w:t>
      </w:r>
      <w:r w:rsidRPr="00DC278B">
        <w:rPr>
          <w:rFonts w:ascii="Cambria" w:eastAsia="Times New Roman" w:hAnsi="Cambria"/>
          <w:sz w:val="20"/>
          <w:szCs w:val="20"/>
          <w:bdr w:val="none" w:sz="0" w:space="0" w:color="auto"/>
          <w:lang w:val="es-ES_tradnl"/>
        </w:rPr>
        <w:t xml:space="preserve">360.674 Pesos chilenos. </w:t>
      </w:r>
    </w:p>
    <w:p w:rsidR="005F74FD" w:rsidRPr="00DC278B" w:rsidRDefault="005F74FD" w:rsidP="00DC278B">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sz w:val="20"/>
          <w:szCs w:val="20"/>
          <w:bdr w:val="none" w:sz="0" w:space="0" w:color="auto"/>
          <w:lang w:val="es-ES_tradnl"/>
        </w:rPr>
      </w:pPr>
    </w:p>
    <w:p w:rsidR="005F74FD" w:rsidRPr="00DC278B" w:rsidRDefault="005F74FD"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r w:rsidRPr="00DC278B">
        <w:rPr>
          <w:rFonts w:ascii="Cambria" w:eastAsia="Times New Roman" w:hAnsi="Cambria"/>
          <w:sz w:val="20"/>
          <w:szCs w:val="20"/>
          <w:bdr w:val="none" w:sz="0" w:space="0" w:color="auto"/>
          <w:lang w:val="es-ES_tradnl"/>
        </w:rPr>
        <w:t>Señala que la hija de Ramón Luis Vivanco, Pamela Adriana Vivanco, percibió pensión desde el 1˚ de julio de 1991 hasta el 31 de diciembre de 1993; y bono de compensación por la suma total diez mi</w:t>
      </w:r>
      <w:r w:rsidR="00F97E62" w:rsidRPr="00DC278B">
        <w:rPr>
          <w:rFonts w:ascii="Cambria" w:eastAsia="Times New Roman" w:hAnsi="Cambria"/>
          <w:sz w:val="20"/>
          <w:szCs w:val="20"/>
          <w:bdr w:val="none" w:sz="0" w:space="0" w:color="auto"/>
          <w:lang w:val="es-ES_tradnl"/>
        </w:rPr>
        <w:t>llones de Pesos c</w:t>
      </w:r>
      <w:r w:rsidRPr="00DC278B">
        <w:rPr>
          <w:rFonts w:ascii="Cambria" w:eastAsia="Times New Roman" w:hAnsi="Cambria"/>
          <w:sz w:val="20"/>
          <w:szCs w:val="20"/>
          <w:bdr w:val="none" w:sz="0" w:space="0" w:color="auto"/>
          <w:lang w:val="es-ES_tradnl"/>
        </w:rPr>
        <w:t>hilenos; de conformidad a lo señalado por ley.</w:t>
      </w:r>
    </w:p>
    <w:p w:rsidR="005F74FD" w:rsidRPr="00DC278B" w:rsidRDefault="005F74FD" w:rsidP="00DC278B">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sz w:val="20"/>
          <w:szCs w:val="20"/>
          <w:bdr w:val="none" w:sz="0" w:space="0" w:color="auto"/>
          <w:lang w:val="es-ES_tradnl"/>
        </w:rPr>
      </w:pPr>
    </w:p>
    <w:p w:rsidR="005F74FD" w:rsidRPr="00DC278B" w:rsidRDefault="005F74FD"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r w:rsidRPr="00DC278B">
        <w:rPr>
          <w:rFonts w:ascii="Cambria" w:eastAsia="Times New Roman" w:hAnsi="Cambria"/>
          <w:sz w:val="20"/>
          <w:szCs w:val="20"/>
          <w:bdr w:val="none" w:sz="0" w:space="0" w:color="auto"/>
          <w:lang w:val="es-ES_tradnl"/>
        </w:rPr>
        <w:t>Indica que la madre de Rodolfo Alejandro Espejo Gómez, Alejandrina Gómez, recibió bonificación compensatoria y pensión mensual, desde el 1˚ de julio de 1991,</w:t>
      </w:r>
      <w:r w:rsidR="008563A3" w:rsidRPr="00DC278B">
        <w:rPr>
          <w:rFonts w:ascii="Cambria" w:eastAsia="Times New Roman" w:hAnsi="Cambria"/>
          <w:sz w:val="20"/>
          <w:szCs w:val="20"/>
          <w:bdr w:val="none" w:sz="0" w:space="0" w:color="auto"/>
          <w:lang w:val="es-ES_tradnl"/>
        </w:rPr>
        <w:t xml:space="preserve"> por la suma de </w:t>
      </w:r>
      <w:r w:rsidRPr="00DC278B">
        <w:rPr>
          <w:rFonts w:ascii="Cambria" w:eastAsia="Times New Roman" w:hAnsi="Cambria"/>
          <w:sz w:val="20"/>
          <w:szCs w:val="20"/>
          <w:bdr w:val="none" w:sz="0" w:space="0" w:color="auto"/>
          <w:lang w:val="es-ES_tradnl"/>
        </w:rPr>
        <w:t xml:space="preserve">360.674 Pesos chilenos. </w:t>
      </w:r>
    </w:p>
    <w:p w:rsidR="005F74FD" w:rsidRPr="00DC278B" w:rsidRDefault="005F74FD" w:rsidP="00DC278B">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sz w:val="20"/>
          <w:szCs w:val="20"/>
          <w:bdr w:val="none" w:sz="0" w:space="0" w:color="auto"/>
          <w:lang w:val="es-ES_tradnl"/>
        </w:rPr>
      </w:pPr>
    </w:p>
    <w:p w:rsidR="005F74FD" w:rsidRPr="00DC278B" w:rsidRDefault="00D30856"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r>
        <w:rPr>
          <w:rFonts w:ascii="Cambria" w:eastAsia="Times New Roman" w:hAnsi="Cambria"/>
          <w:sz w:val="20"/>
          <w:szCs w:val="20"/>
          <w:bdr w:val="none" w:sz="0" w:space="0" w:color="auto"/>
          <w:lang w:val="es-ES_tradnl"/>
        </w:rPr>
        <w:t xml:space="preserve">Agrega </w:t>
      </w:r>
      <w:r w:rsidR="009A09E9" w:rsidRPr="00DC278B">
        <w:rPr>
          <w:rFonts w:ascii="Cambria" w:eastAsia="Times New Roman" w:hAnsi="Cambria"/>
          <w:sz w:val="20"/>
          <w:szCs w:val="20"/>
          <w:bdr w:val="none" w:sz="0" w:space="0" w:color="auto"/>
          <w:lang w:val="es-ES_tradnl"/>
        </w:rPr>
        <w:t xml:space="preserve">que </w:t>
      </w:r>
      <w:r w:rsidR="005F74FD" w:rsidRPr="00DC278B">
        <w:rPr>
          <w:rFonts w:ascii="Cambria" w:eastAsia="Times New Roman" w:hAnsi="Cambria"/>
          <w:sz w:val="20"/>
          <w:szCs w:val="20"/>
          <w:bdr w:val="none" w:sz="0" w:space="0" w:color="auto"/>
          <w:lang w:val="es-ES_tradnl"/>
        </w:rPr>
        <w:t>la madre de Sergio Alonso Reyes Navarrete, María Elisa Zepeda Rojas, recibe pensión mensual, desde el 1˚ de julio de 1991, correspond</w:t>
      </w:r>
      <w:r w:rsidR="008563A3" w:rsidRPr="00DC278B">
        <w:rPr>
          <w:rFonts w:ascii="Cambria" w:eastAsia="Times New Roman" w:hAnsi="Cambria"/>
          <w:sz w:val="20"/>
          <w:szCs w:val="20"/>
          <w:bdr w:val="none" w:sz="0" w:space="0" w:color="auto"/>
          <w:lang w:val="es-ES_tradnl"/>
        </w:rPr>
        <w:t xml:space="preserve">iente al 30% de </w:t>
      </w:r>
      <w:r w:rsidR="00F97E62" w:rsidRPr="00DC278B">
        <w:rPr>
          <w:rFonts w:ascii="Cambria" w:eastAsia="Times New Roman" w:hAnsi="Cambria"/>
          <w:sz w:val="20"/>
          <w:szCs w:val="20"/>
          <w:bdr w:val="none" w:sz="0" w:space="0" w:color="auto"/>
          <w:lang w:val="es-ES_tradnl"/>
        </w:rPr>
        <w:t>504.943 Pesos c</w:t>
      </w:r>
      <w:r w:rsidR="005F74FD" w:rsidRPr="00DC278B">
        <w:rPr>
          <w:rFonts w:ascii="Cambria" w:eastAsia="Times New Roman" w:hAnsi="Cambria"/>
          <w:sz w:val="20"/>
          <w:szCs w:val="20"/>
          <w:bdr w:val="none" w:sz="0" w:space="0" w:color="auto"/>
          <w:lang w:val="es-ES_tradnl"/>
        </w:rPr>
        <w:t xml:space="preserve">hilenos; que su cónyuge, Magdalena Mercedes Navarrete </w:t>
      </w:r>
      <w:proofErr w:type="spellStart"/>
      <w:r w:rsidR="005F74FD" w:rsidRPr="00DC278B">
        <w:rPr>
          <w:rFonts w:ascii="Cambria" w:eastAsia="Times New Roman" w:hAnsi="Cambria"/>
          <w:sz w:val="20"/>
          <w:szCs w:val="20"/>
          <w:bdr w:val="none" w:sz="0" w:space="0" w:color="auto"/>
          <w:lang w:val="es-ES_tradnl"/>
        </w:rPr>
        <w:t>Faroldo</w:t>
      </w:r>
      <w:proofErr w:type="spellEnd"/>
      <w:r w:rsidR="005F74FD" w:rsidRPr="00DC278B">
        <w:rPr>
          <w:rFonts w:ascii="Cambria" w:eastAsia="Times New Roman" w:hAnsi="Cambria"/>
          <w:sz w:val="20"/>
          <w:szCs w:val="20"/>
          <w:bdr w:val="none" w:sz="0" w:space="0" w:color="auto"/>
          <w:lang w:val="es-ES_tradnl"/>
        </w:rPr>
        <w:t xml:space="preserve">, recibió bonificación compensatoria y recibe pensión mensual </w:t>
      </w:r>
      <w:r w:rsidR="006565CC" w:rsidRPr="00DC278B">
        <w:rPr>
          <w:rFonts w:ascii="Cambria" w:eastAsia="Times New Roman" w:hAnsi="Cambria"/>
          <w:sz w:val="20"/>
          <w:szCs w:val="20"/>
          <w:bdr w:val="none" w:sz="0" w:space="0" w:color="auto"/>
          <w:lang w:val="es-ES_tradnl"/>
        </w:rPr>
        <w:t xml:space="preserve">que rige </w:t>
      </w:r>
      <w:r w:rsidR="005F74FD" w:rsidRPr="00DC278B">
        <w:rPr>
          <w:rFonts w:ascii="Cambria" w:eastAsia="Times New Roman" w:hAnsi="Cambria"/>
          <w:sz w:val="20"/>
          <w:szCs w:val="20"/>
          <w:bdr w:val="none" w:sz="0" w:space="0" w:color="auto"/>
          <w:lang w:val="es-ES_tradnl"/>
        </w:rPr>
        <w:t>desde el 1˚ de julio de 1991, correspondiente al 40% d</w:t>
      </w:r>
      <w:r w:rsidR="008563A3" w:rsidRPr="00DC278B">
        <w:rPr>
          <w:rFonts w:ascii="Cambria" w:eastAsia="Times New Roman" w:hAnsi="Cambria"/>
          <w:sz w:val="20"/>
          <w:szCs w:val="20"/>
          <w:bdr w:val="none" w:sz="0" w:space="0" w:color="auto"/>
          <w:lang w:val="es-ES_tradnl"/>
        </w:rPr>
        <w:t xml:space="preserve">e </w:t>
      </w:r>
      <w:r w:rsidR="005F74FD" w:rsidRPr="00DC278B">
        <w:rPr>
          <w:rFonts w:ascii="Cambria" w:eastAsia="Times New Roman" w:hAnsi="Cambria"/>
          <w:sz w:val="20"/>
          <w:szCs w:val="20"/>
          <w:bdr w:val="none" w:sz="0" w:space="0" w:color="auto"/>
          <w:lang w:val="es-ES_tradnl"/>
        </w:rPr>
        <w:t xml:space="preserve">504.943 Pesos </w:t>
      </w:r>
      <w:r w:rsidR="00F97E62" w:rsidRPr="00DC278B">
        <w:rPr>
          <w:rFonts w:ascii="Cambria" w:eastAsia="Times New Roman" w:hAnsi="Cambria"/>
          <w:sz w:val="20"/>
          <w:szCs w:val="20"/>
          <w:bdr w:val="none" w:sz="0" w:space="0" w:color="auto"/>
          <w:lang w:val="es-ES_tradnl"/>
        </w:rPr>
        <w:t>c</w:t>
      </w:r>
      <w:r w:rsidR="005F74FD" w:rsidRPr="00DC278B">
        <w:rPr>
          <w:rFonts w:ascii="Cambria" w:eastAsia="Times New Roman" w:hAnsi="Cambria"/>
          <w:sz w:val="20"/>
          <w:szCs w:val="20"/>
          <w:bdr w:val="none" w:sz="0" w:space="0" w:color="auto"/>
          <w:lang w:val="es-ES_tradnl"/>
        </w:rPr>
        <w:t>hilenos y que su hijo tuvo acceso a la pensión y bono de reparación.</w:t>
      </w:r>
    </w:p>
    <w:p w:rsidR="005F74FD" w:rsidRPr="00DC278B" w:rsidRDefault="005F74FD" w:rsidP="00DC278B">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sz w:val="20"/>
          <w:szCs w:val="20"/>
          <w:bdr w:val="none" w:sz="0" w:space="0" w:color="auto"/>
          <w:lang w:val="es-ES_tradnl"/>
        </w:rPr>
      </w:pPr>
    </w:p>
    <w:p w:rsidR="005F74FD" w:rsidRPr="00DC278B" w:rsidRDefault="005F74FD"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r w:rsidRPr="00DC278B">
        <w:rPr>
          <w:rFonts w:ascii="Cambria" w:eastAsia="Times New Roman" w:hAnsi="Cambria"/>
          <w:sz w:val="20"/>
          <w:szCs w:val="20"/>
          <w:bdr w:val="none" w:sz="0" w:space="0" w:color="auto"/>
          <w:lang w:val="es-ES_tradnl"/>
        </w:rPr>
        <w:t xml:space="preserve">Con respecto a las becas educacionales, el Estado afirma que los montos destinados ascienden a un subsidio aproximado de </w:t>
      </w:r>
      <w:r w:rsidR="008563A3" w:rsidRPr="00DC278B">
        <w:rPr>
          <w:rFonts w:ascii="Cambria" w:eastAsia="Times New Roman" w:hAnsi="Cambria"/>
          <w:sz w:val="20"/>
          <w:szCs w:val="20"/>
          <w:bdr w:val="none" w:sz="0" w:space="0" w:color="auto"/>
          <w:lang w:val="es-ES_tradnl"/>
        </w:rPr>
        <w:t xml:space="preserve">US$ </w:t>
      </w:r>
      <w:r w:rsidRPr="00DC278B">
        <w:rPr>
          <w:rFonts w:ascii="Cambria" w:eastAsia="Times New Roman" w:hAnsi="Cambria"/>
          <w:sz w:val="20"/>
          <w:szCs w:val="20"/>
          <w:bdr w:val="none" w:sz="0" w:space="0" w:color="auto"/>
          <w:lang w:val="es-ES_tradnl"/>
        </w:rPr>
        <w:t xml:space="preserve">35 mensuales que se otorgan para </w:t>
      </w:r>
      <w:r w:rsidR="00980930">
        <w:rPr>
          <w:rFonts w:ascii="Cambria" w:eastAsia="Times New Roman" w:hAnsi="Cambria"/>
          <w:sz w:val="20"/>
          <w:szCs w:val="20"/>
          <w:bdr w:val="none" w:sz="0" w:space="0" w:color="auto"/>
          <w:lang w:val="es-ES_tradnl"/>
        </w:rPr>
        <w:t xml:space="preserve">la enseñanza media y superior. </w:t>
      </w:r>
      <w:r w:rsidRPr="00DC278B">
        <w:rPr>
          <w:rFonts w:ascii="Cambria" w:eastAsia="Times New Roman" w:hAnsi="Cambria"/>
          <w:sz w:val="20"/>
          <w:szCs w:val="20"/>
          <w:bdr w:val="none" w:sz="0" w:space="0" w:color="auto"/>
          <w:lang w:val="es-ES_tradnl"/>
        </w:rPr>
        <w:t>Agrega que los hijos de las víctimas aceptados en universidades, institutos profesionales o centros de formación técnica reconocidos por el Estado, tienen derecho a</w:t>
      </w:r>
      <w:r w:rsidR="00D30856">
        <w:rPr>
          <w:rFonts w:ascii="Cambria" w:eastAsia="Times New Roman" w:hAnsi="Cambria"/>
          <w:sz w:val="20"/>
          <w:szCs w:val="20"/>
          <w:bdr w:val="none" w:sz="0" w:space="0" w:color="auto"/>
          <w:lang w:val="es-ES_tradnl"/>
        </w:rPr>
        <w:t xml:space="preserve">l pago de matrícula y arancel. </w:t>
      </w:r>
      <w:r w:rsidRPr="00DC278B">
        <w:rPr>
          <w:rFonts w:ascii="Cambria" w:eastAsia="Times New Roman" w:hAnsi="Cambria"/>
          <w:sz w:val="20"/>
          <w:szCs w:val="20"/>
          <w:bdr w:val="none" w:sz="0" w:space="0" w:color="auto"/>
          <w:lang w:val="es-ES_tradnl"/>
        </w:rPr>
        <w:t>Indica que este beneficio se extiende hasta la edad de 35 años.</w:t>
      </w:r>
    </w:p>
    <w:p w:rsidR="005F74FD" w:rsidRPr="00DC278B" w:rsidRDefault="005F74FD" w:rsidP="00DC278B">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sz w:val="20"/>
          <w:szCs w:val="20"/>
          <w:bdr w:val="none" w:sz="0" w:space="0" w:color="auto"/>
          <w:lang w:val="es-ES_tradnl"/>
        </w:rPr>
      </w:pPr>
    </w:p>
    <w:p w:rsidR="005F74FD" w:rsidRPr="00DC278B" w:rsidRDefault="005F74FD"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r w:rsidRPr="00DC278B">
        <w:rPr>
          <w:rFonts w:ascii="Cambria" w:eastAsia="Times New Roman" w:hAnsi="Cambria"/>
          <w:sz w:val="20"/>
          <w:szCs w:val="20"/>
          <w:bdr w:val="none" w:sz="0" w:space="0" w:color="auto"/>
          <w:lang w:val="es-ES_tradnl"/>
        </w:rPr>
        <w:t>En relación con los beneficios en materia de salud, el Estado señala que de acuerdo con la Ley No 19.123 los familiares de las víctimas tienen derecho a recibir gratuitamente prestaciones médicas públicas en consultorios de atención primaria, hospitales pú</w:t>
      </w:r>
      <w:r w:rsidR="00D30856">
        <w:rPr>
          <w:rFonts w:ascii="Cambria" w:eastAsia="Times New Roman" w:hAnsi="Cambria"/>
          <w:sz w:val="20"/>
          <w:szCs w:val="20"/>
          <w:bdr w:val="none" w:sz="0" w:space="0" w:color="auto"/>
          <w:lang w:val="es-ES_tradnl"/>
        </w:rPr>
        <w:t>blicos y servicios de urgencia.</w:t>
      </w:r>
      <w:r w:rsidRPr="00DC278B">
        <w:rPr>
          <w:rFonts w:ascii="Cambria" w:eastAsia="Times New Roman" w:hAnsi="Cambria"/>
          <w:sz w:val="20"/>
          <w:szCs w:val="20"/>
          <w:bdr w:val="none" w:sz="0" w:space="0" w:color="auto"/>
          <w:lang w:val="es-ES_tradnl"/>
        </w:rPr>
        <w:t xml:space="preserve"> Agrega que se trata de un beneficio gratuito y que la modalidad principal de atención es el PRAIS, programa al que pueden acceder los cónyuges, hijos, padres y hermanos de las víctimas.</w:t>
      </w:r>
    </w:p>
    <w:p w:rsidR="005F74FD" w:rsidRPr="00DC278B" w:rsidRDefault="005F74FD" w:rsidP="00DC278B">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sz w:val="20"/>
          <w:szCs w:val="20"/>
          <w:bdr w:val="none" w:sz="0" w:space="0" w:color="auto"/>
          <w:lang w:val="es-ES_tradnl"/>
        </w:rPr>
      </w:pPr>
    </w:p>
    <w:p w:rsidR="004B316C" w:rsidRPr="00DC278B" w:rsidRDefault="005F74FD"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r w:rsidRPr="00DC278B">
        <w:rPr>
          <w:rFonts w:ascii="Cambria" w:eastAsia="Times New Roman" w:hAnsi="Cambria"/>
          <w:sz w:val="20"/>
          <w:szCs w:val="20"/>
          <w:bdr w:val="none" w:sz="0" w:space="0" w:color="auto"/>
          <w:lang w:val="es-ES_tradnl"/>
        </w:rPr>
        <w:t>En suma, el Estado alega que el sufrimiento psíquico, físico y moral experimentado por las víctimas de las violaciones a los derechos humanos y sus familias, no puede ser remediado desde un punto de vista material, por lo cual considera que la política del Estado debe apuntar a generar una política de reparaciones de carácter integral, que involucre aspectos de memoria, justicia y reparación, otorgando beneficios sociales a los familiares de las víctimas y compens</w:t>
      </w:r>
      <w:r w:rsidR="00D30856">
        <w:rPr>
          <w:rFonts w:ascii="Cambria" w:eastAsia="Times New Roman" w:hAnsi="Cambria"/>
          <w:sz w:val="20"/>
          <w:szCs w:val="20"/>
          <w:bdr w:val="none" w:sz="0" w:space="0" w:color="auto"/>
          <w:lang w:val="es-ES_tradnl"/>
        </w:rPr>
        <w:t xml:space="preserve">aciones económicas para ellas. </w:t>
      </w:r>
      <w:r w:rsidRPr="00DC278B">
        <w:rPr>
          <w:rFonts w:ascii="Cambria" w:eastAsia="Times New Roman" w:hAnsi="Cambria"/>
          <w:sz w:val="20"/>
          <w:szCs w:val="20"/>
          <w:bdr w:val="none" w:sz="0" w:space="0" w:color="auto"/>
          <w:lang w:val="es-ES_tradnl"/>
        </w:rPr>
        <w:t xml:space="preserve">El Estado </w:t>
      </w:r>
      <w:r w:rsidRPr="00DC278B">
        <w:rPr>
          <w:rFonts w:ascii="Cambria" w:eastAsia="Times New Roman" w:hAnsi="Cambria"/>
          <w:sz w:val="20"/>
          <w:szCs w:val="20"/>
          <w:bdr w:val="none" w:sz="0" w:space="0" w:color="auto"/>
          <w:lang w:val="es-ES_tradnl"/>
        </w:rPr>
        <w:lastRenderedPageBreak/>
        <w:t>concluye que cualquier medida que se adopte a favor de las víctimas de prisión política y tortura, debe ser de carácter universal, dado que beneficios especiales y diferenciados, que favorezcan a algunos en detrimento de otros, afectaría la política pública de Chile en materia de reparaciones</w:t>
      </w:r>
      <w:r w:rsidR="004B316C" w:rsidRPr="00DC278B">
        <w:rPr>
          <w:rFonts w:ascii="Cambria" w:eastAsia="Times New Roman" w:hAnsi="Cambria"/>
          <w:sz w:val="20"/>
          <w:szCs w:val="20"/>
          <w:bdr w:val="none" w:sz="0" w:space="0" w:color="auto"/>
          <w:lang w:val="es-ES_tradnl"/>
        </w:rPr>
        <w:t xml:space="preserve">. </w:t>
      </w:r>
      <w:r w:rsidR="00845447" w:rsidRPr="00DC278B">
        <w:rPr>
          <w:rFonts w:ascii="Cambria" w:eastAsia="Times New Roman" w:hAnsi="Cambria"/>
          <w:sz w:val="20"/>
          <w:szCs w:val="20"/>
          <w:bdr w:val="none" w:sz="0" w:space="0" w:color="auto"/>
          <w:lang w:val="es-ES_tradnl"/>
        </w:rPr>
        <w:t>El Estado no se ha pronunciado sobre la aplicación de la prescripción civil</w:t>
      </w:r>
      <w:r w:rsidR="009A09E9" w:rsidRPr="00DC278B">
        <w:rPr>
          <w:rFonts w:ascii="Cambria" w:eastAsia="Times New Roman" w:hAnsi="Cambria"/>
          <w:sz w:val="20"/>
          <w:szCs w:val="20"/>
          <w:bdr w:val="none" w:sz="0" w:space="0" w:color="auto"/>
          <w:lang w:val="es-ES_tradnl"/>
        </w:rPr>
        <w:t xml:space="preserve"> a las acciones judiciales</w:t>
      </w:r>
      <w:r w:rsidR="00D30856">
        <w:rPr>
          <w:rFonts w:ascii="Cambria" w:eastAsia="Times New Roman" w:hAnsi="Cambria"/>
          <w:sz w:val="20"/>
          <w:szCs w:val="20"/>
          <w:bdr w:val="none" w:sz="0" w:space="0" w:color="auto"/>
          <w:lang w:val="es-ES_tradnl"/>
        </w:rPr>
        <w:t xml:space="preserve"> en estos casos. </w:t>
      </w:r>
    </w:p>
    <w:p w:rsidR="004B316C" w:rsidRPr="00DC278B" w:rsidRDefault="004B316C" w:rsidP="00DC278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p>
    <w:p w:rsidR="004B316C" w:rsidRPr="00DC278B" w:rsidRDefault="001302EC" w:rsidP="00DC278B">
      <w:pPr>
        <w:pStyle w:val="Ttulo1"/>
      </w:pPr>
      <w:bookmarkStart w:id="15" w:name="_Toc413397470"/>
      <w:r w:rsidRPr="00DC278B">
        <w:t>HECHOS PROBADOS</w:t>
      </w:r>
      <w:bookmarkEnd w:id="15"/>
    </w:p>
    <w:p w:rsidR="004B316C" w:rsidRPr="00DC278B" w:rsidRDefault="004B316C" w:rsidP="00DC278B">
      <w:pPr>
        <w:pBdr>
          <w:top w:val="none" w:sz="0" w:space="0" w:color="auto"/>
          <w:left w:val="none" w:sz="0" w:space="0" w:color="auto"/>
          <w:bottom w:val="none" w:sz="0" w:space="0" w:color="auto"/>
          <w:right w:val="none" w:sz="0" w:space="0" w:color="auto"/>
          <w:between w:val="none" w:sz="0" w:space="0" w:color="auto"/>
          <w:bar w:val="none" w:sz="0" w:color="auto"/>
        </w:pBdr>
        <w:ind w:left="1440" w:hanging="720"/>
        <w:rPr>
          <w:rFonts w:ascii="Cambria" w:eastAsia="Times New Roman" w:hAnsi="Cambria"/>
          <w:sz w:val="20"/>
          <w:szCs w:val="20"/>
          <w:bdr w:val="none" w:sz="0" w:space="0" w:color="auto"/>
          <w:lang w:val="es-ES_tradnl"/>
        </w:rPr>
      </w:pPr>
    </w:p>
    <w:p w:rsidR="005F74FD" w:rsidRPr="00DC278B" w:rsidRDefault="005F74FD"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cs="Garamond"/>
          <w:sz w:val="20"/>
          <w:szCs w:val="20"/>
          <w:bdr w:val="none" w:sz="0" w:space="0" w:color="auto"/>
          <w:lang w:val="es-ES_tradnl"/>
        </w:rPr>
      </w:pPr>
      <w:r w:rsidRPr="00DC278B">
        <w:rPr>
          <w:rFonts w:ascii="Cambria" w:eastAsia="Times New Roman" w:hAnsi="Cambria" w:cs="Garamond"/>
          <w:sz w:val="20"/>
          <w:szCs w:val="20"/>
          <w:bdr w:val="none" w:sz="0" w:space="0" w:color="auto"/>
          <w:lang w:val="es-ES_tradnl"/>
        </w:rPr>
        <w:t>En su análisis y de conformidad con el artículo 43.1 de su Reglamento, la Comisión basa sus conclusiones en los argumentos y las pruebas presentadas por las partes, en la informaci</w:t>
      </w:r>
      <w:r w:rsidR="002F3F97" w:rsidRPr="00DC278B">
        <w:rPr>
          <w:rFonts w:ascii="Cambria" w:eastAsia="Times New Roman" w:hAnsi="Cambria" w:cs="Garamond"/>
          <w:sz w:val="20"/>
          <w:szCs w:val="20"/>
          <w:bdr w:val="none" w:sz="0" w:space="0" w:color="auto"/>
          <w:lang w:val="es-ES_tradnl"/>
        </w:rPr>
        <w:t>ón recopilada en el curso de la</w:t>
      </w:r>
      <w:r w:rsidRPr="00DC278B">
        <w:rPr>
          <w:rFonts w:ascii="Cambria" w:eastAsia="Times New Roman" w:hAnsi="Cambria" w:cs="Garamond"/>
          <w:sz w:val="20"/>
          <w:szCs w:val="20"/>
          <w:bdr w:val="none" w:sz="0" w:space="0" w:color="auto"/>
          <w:lang w:val="es-ES_tradnl"/>
        </w:rPr>
        <w:t xml:space="preserve"> audiencia </w:t>
      </w:r>
      <w:r w:rsidR="002F3F97" w:rsidRPr="00DC278B">
        <w:rPr>
          <w:rFonts w:ascii="Cambria" w:eastAsia="Times New Roman" w:hAnsi="Cambria" w:cs="Garamond"/>
          <w:sz w:val="20"/>
          <w:szCs w:val="20"/>
          <w:bdr w:val="none" w:sz="0" w:space="0" w:color="auto"/>
          <w:lang w:val="es-ES_tradnl"/>
        </w:rPr>
        <w:t xml:space="preserve">sostenida </w:t>
      </w:r>
      <w:r w:rsidRPr="00DC278B">
        <w:rPr>
          <w:rFonts w:ascii="Cambria" w:eastAsia="Times New Roman" w:hAnsi="Cambria" w:cs="Garamond"/>
          <w:sz w:val="20"/>
          <w:szCs w:val="20"/>
          <w:bdr w:val="none" w:sz="0" w:space="0" w:color="auto"/>
          <w:lang w:val="es-ES_tradnl"/>
        </w:rPr>
        <w:t>ante la</w:t>
      </w:r>
      <w:r w:rsidR="00902F13" w:rsidRPr="00DC278B">
        <w:rPr>
          <w:rFonts w:ascii="Cambria" w:eastAsia="Times New Roman" w:hAnsi="Cambria" w:cs="Garamond"/>
          <w:sz w:val="20"/>
          <w:szCs w:val="20"/>
          <w:bdr w:val="none" w:sz="0" w:space="0" w:color="auto"/>
          <w:lang w:val="es-ES_tradnl"/>
        </w:rPr>
        <w:t xml:space="preserve"> CIDH </w:t>
      </w:r>
      <w:r w:rsidR="002F3F97" w:rsidRPr="00DC278B">
        <w:rPr>
          <w:rFonts w:ascii="Cambria" w:eastAsia="Times New Roman" w:hAnsi="Cambria" w:cs="Garamond"/>
          <w:sz w:val="20"/>
          <w:szCs w:val="20"/>
          <w:bdr w:val="none" w:sz="0" w:space="0" w:color="auto"/>
          <w:lang w:val="es-ES_tradnl"/>
        </w:rPr>
        <w:t>en su 134</w:t>
      </w:r>
      <w:r w:rsidR="00BA0A5E" w:rsidRPr="00DC278B">
        <w:rPr>
          <w:rFonts w:ascii="Cambria" w:eastAsia="Times New Roman" w:hAnsi="Cambria" w:cs="Garamond"/>
          <w:sz w:val="20"/>
          <w:szCs w:val="20"/>
          <w:bdr w:val="none" w:sz="0" w:space="0" w:color="auto"/>
          <w:lang w:val="es-ES_tradnl"/>
        </w:rPr>
        <w:t>˚</w:t>
      </w:r>
      <w:r w:rsidR="002F3F97" w:rsidRPr="00DC278B">
        <w:rPr>
          <w:rFonts w:ascii="Cambria" w:eastAsia="Times New Roman" w:hAnsi="Cambria" w:cs="Garamond"/>
          <w:sz w:val="20"/>
          <w:szCs w:val="20"/>
          <w:bdr w:val="none" w:sz="0" w:space="0" w:color="auto"/>
          <w:lang w:val="es-ES_tradnl"/>
        </w:rPr>
        <w:t xml:space="preserve"> Periodo de Sesiones, </w:t>
      </w:r>
      <w:r w:rsidR="00902F13" w:rsidRPr="00DC278B">
        <w:rPr>
          <w:rFonts w:ascii="Cambria" w:eastAsia="Times New Roman" w:hAnsi="Cambria" w:cs="Garamond"/>
          <w:sz w:val="20"/>
          <w:szCs w:val="20"/>
          <w:bdr w:val="none" w:sz="0" w:space="0" w:color="auto"/>
          <w:lang w:val="es-ES_tradnl"/>
        </w:rPr>
        <w:t>relacionada con este caso</w:t>
      </w:r>
      <w:r w:rsidR="00902F13" w:rsidRPr="00DC278B">
        <w:rPr>
          <w:rFonts w:ascii="Cambria" w:eastAsia="Times New Roman" w:hAnsi="Cambria"/>
          <w:sz w:val="20"/>
          <w:szCs w:val="20"/>
          <w:bdr w:val="none" w:sz="0" w:space="0" w:color="auto"/>
          <w:vertAlign w:val="superscript"/>
        </w:rPr>
        <w:footnoteReference w:id="16"/>
      </w:r>
      <w:r w:rsidRPr="00DC278B">
        <w:rPr>
          <w:rFonts w:ascii="Cambria" w:eastAsia="Times New Roman" w:hAnsi="Cambria" w:cs="Garamond"/>
          <w:sz w:val="20"/>
          <w:szCs w:val="20"/>
          <w:bdr w:val="none" w:sz="0" w:space="0" w:color="auto"/>
          <w:lang w:val="es-ES_tradnl"/>
        </w:rPr>
        <w:t>, y en información que es de conocimiento público</w:t>
      </w:r>
      <w:r w:rsidR="00902F13" w:rsidRPr="00DC278B">
        <w:rPr>
          <w:rFonts w:ascii="Cambria" w:eastAsia="Times New Roman" w:hAnsi="Cambria"/>
          <w:sz w:val="20"/>
          <w:szCs w:val="20"/>
          <w:bdr w:val="none" w:sz="0" w:space="0" w:color="auto"/>
          <w:vertAlign w:val="superscript"/>
        </w:rPr>
        <w:footnoteReference w:id="17"/>
      </w:r>
      <w:r w:rsidR="00D30856">
        <w:rPr>
          <w:rFonts w:ascii="Cambria" w:eastAsia="Times New Roman" w:hAnsi="Cambria" w:cs="Garamond"/>
          <w:sz w:val="20"/>
          <w:szCs w:val="20"/>
          <w:bdr w:val="none" w:sz="0" w:space="0" w:color="auto"/>
          <w:lang w:val="es-ES_tradnl"/>
        </w:rPr>
        <w:t>.</w:t>
      </w:r>
      <w:r w:rsidRPr="00DC278B">
        <w:rPr>
          <w:rFonts w:ascii="Cambria" w:eastAsia="Times New Roman" w:hAnsi="Cambria" w:cs="Garamond"/>
          <w:sz w:val="20"/>
          <w:szCs w:val="20"/>
          <w:bdr w:val="none" w:sz="0" w:space="0" w:color="auto"/>
          <w:lang w:val="es-ES_tradnl"/>
        </w:rPr>
        <w:t xml:space="preserve"> </w:t>
      </w:r>
      <w:r w:rsidR="002F3F97" w:rsidRPr="00DC278B">
        <w:rPr>
          <w:rFonts w:ascii="Cambria" w:eastAsia="Times New Roman" w:hAnsi="Cambria" w:cs="Garamond"/>
          <w:sz w:val="20"/>
          <w:szCs w:val="20"/>
          <w:bdr w:val="none" w:sz="0" w:space="0" w:color="auto"/>
          <w:lang w:val="es-ES_tradnl"/>
        </w:rPr>
        <w:t xml:space="preserve">Asimismo, </w:t>
      </w:r>
      <w:r w:rsidR="00DD410F" w:rsidRPr="00DC278B">
        <w:rPr>
          <w:rFonts w:ascii="Cambria" w:eastAsia="Times New Roman" w:hAnsi="Cambria" w:cs="Garamond"/>
          <w:sz w:val="20"/>
          <w:szCs w:val="20"/>
          <w:bdr w:val="none" w:sz="0" w:space="0" w:color="auto"/>
          <w:lang w:val="es-ES_tradnl"/>
        </w:rPr>
        <w:t xml:space="preserve">la Comisión </w:t>
      </w:r>
      <w:r w:rsidR="002F3F97" w:rsidRPr="00DC278B">
        <w:rPr>
          <w:rFonts w:ascii="Cambria" w:eastAsia="Times New Roman" w:hAnsi="Cambria" w:cs="Garamond"/>
          <w:sz w:val="20"/>
          <w:szCs w:val="20"/>
          <w:bdr w:val="none" w:sz="0" w:space="0" w:color="auto"/>
          <w:lang w:val="es-ES_tradnl"/>
        </w:rPr>
        <w:t xml:space="preserve">tendrá en cuenta los informes </w:t>
      </w:r>
      <w:r w:rsidR="00D373F6" w:rsidRPr="00DC278B">
        <w:rPr>
          <w:rFonts w:ascii="Cambria" w:eastAsia="Times New Roman" w:hAnsi="Cambria" w:cs="Garamond"/>
          <w:sz w:val="20"/>
          <w:szCs w:val="20"/>
          <w:bdr w:val="none" w:sz="0" w:space="0" w:color="auto"/>
          <w:lang w:val="es-ES_tradnl"/>
        </w:rPr>
        <w:t xml:space="preserve">oficiales </w:t>
      </w:r>
      <w:r w:rsidR="002F3F97" w:rsidRPr="00DC278B">
        <w:rPr>
          <w:rFonts w:ascii="Cambria" w:eastAsia="Times New Roman" w:hAnsi="Cambria" w:cs="Garamond"/>
          <w:sz w:val="20"/>
          <w:szCs w:val="20"/>
          <w:bdr w:val="none" w:sz="0" w:space="0" w:color="auto"/>
          <w:lang w:val="es-ES_tradnl"/>
        </w:rPr>
        <w:t xml:space="preserve">de la Comisión </w:t>
      </w:r>
      <w:proofErr w:type="spellStart"/>
      <w:r w:rsidR="002F3F97" w:rsidRPr="00DC278B">
        <w:rPr>
          <w:rFonts w:ascii="Cambria" w:eastAsia="Times New Roman" w:hAnsi="Cambria" w:cs="Garamond"/>
          <w:sz w:val="20"/>
          <w:szCs w:val="20"/>
          <w:bdr w:val="none" w:sz="0" w:space="0" w:color="auto"/>
          <w:lang w:val="es-ES_tradnl"/>
        </w:rPr>
        <w:t>Rettig</w:t>
      </w:r>
      <w:proofErr w:type="spellEnd"/>
      <w:r w:rsidR="002F3F97" w:rsidRPr="00DC278B">
        <w:rPr>
          <w:rFonts w:ascii="Cambria" w:eastAsia="Times New Roman" w:hAnsi="Cambria" w:cs="Garamond"/>
          <w:sz w:val="20"/>
          <w:szCs w:val="20"/>
          <w:bdr w:val="none" w:sz="0" w:space="0" w:color="auto"/>
          <w:lang w:val="es-ES_tradnl"/>
        </w:rPr>
        <w:t xml:space="preserve"> y de la Comisión </w:t>
      </w:r>
      <w:proofErr w:type="spellStart"/>
      <w:r w:rsidR="008A2B89" w:rsidRPr="00DC278B">
        <w:rPr>
          <w:rFonts w:ascii="Cambria" w:eastAsia="Times New Roman" w:hAnsi="Cambria" w:cs="Garamond"/>
          <w:sz w:val="20"/>
          <w:szCs w:val="20"/>
          <w:bdr w:val="none" w:sz="0" w:space="0" w:color="auto"/>
          <w:lang w:val="es-ES_tradnl"/>
        </w:rPr>
        <w:t>Val</w:t>
      </w:r>
      <w:r w:rsidR="002F3F97" w:rsidRPr="00DC278B">
        <w:rPr>
          <w:rFonts w:ascii="Cambria" w:eastAsia="Times New Roman" w:hAnsi="Cambria" w:cs="Garamond"/>
          <w:sz w:val="20"/>
          <w:szCs w:val="20"/>
          <w:bdr w:val="none" w:sz="0" w:space="0" w:color="auto"/>
          <w:lang w:val="es-ES_tradnl"/>
        </w:rPr>
        <w:t>ech</w:t>
      </w:r>
      <w:proofErr w:type="spellEnd"/>
      <w:r w:rsidR="00D373F6" w:rsidRPr="00DC278B">
        <w:rPr>
          <w:rStyle w:val="Refdenotaalpie"/>
          <w:rFonts w:ascii="Cambria" w:eastAsia="Times New Roman" w:hAnsi="Cambria" w:cs="Garamond"/>
          <w:sz w:val="20"/>
          <w:szCs w:val="20"/>
          <w:bdr w:val="none" w:sz="0" w:space="0" w:color="auto"/>
          <w:lang w:val="es-ES_tradnl"/>
        </w:rPr>
        <w:footnoteReference w:id="18"/>
      </w:r>
      <w:r w:rsidR="002F3F97" w:rsidRPr="00DC278B">
        <w:rPr>
          <w:rFonts w:ascii="Cambria" w:eastAsia="Times New Roman" w:hAnsi="Cambria" w:cs="Garamond"/>
          <w:sz w:val="20"/>
          <w:szCs w:val="20"/>
          <w:bdr w:val="none" w:sz="0" w:space="0" w:color="auto"/>
          <w:lang w:val="es-ES_tradnl"/>
        </w:rPr>
        <w:t>.</w:t>
      </w:r>
    </w:p>
    <w:p w:rsidR="005F74FD" w:rsidRPr="00DC278B" w:rsidRDefault="005F74FD" w:rsidP="00DC278B">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cs="Garamond"/>
          <w:sz w:val="20"/>
          <w:szCs w:val="20"/>
          <w:bdr w:val="none" w:sz="0" w:space="0" w:color="auto"/>
          <w:lang w:val="es-ES_tradnl"/>
        </w:rPr>
      </w:pPr>
    </w:p>
    <w:p w:rsidR="004719E3" w:rsidRPr="00DC278B" w:rsidRDefault="00DF01D3"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cs="Garamond"/>
          <w:sz w:val="20"/>
          <w:szCs w:val="20"/>
          <w:bdr w:val="none" w:sz="0" w:space="0" w:color="auto"/>
          <w:lang w:val="es-ES_tradnl"/>
        </w:rPr>
      </w:pPr>
      <w:r w:rsidRPr="00DC278B">
        <w:rPr>
          <w:rFonts w:ascii="Cambria" w:eastAsia="Times New Roman" w:hAnsi="Cambria"/>
          <w:sz w:val="20"/>
          <w:szCs w:val="20"/>
          <w:bdr w:val="none" w:sz="0" w:space="0" w:color="auto"/>
          <w:lang w:val="es-ES_tradnl"/>
        </w:rPr>
        <w:t xml:space="preserve">Cabe resaltar que en sus informes de admisibilidad relativos a los casos bajo análisis, la Comisión, aclaró que el objeto de la denuncia no concierne </w:t>
      </w:r>
      <w:r w:rsidR="00D30856">
        <w:rPr>
          <w:rFonts w:ascii="Cambria" w:eastAsia="Times New Roman" w:hAnsi="Cambria"/>
          <w:sz w:val="20"/>
          <w:szCs w:val="20"/>
          <w:bdr w:val="none" w:sz="0" w:space="0" w:color="auto"/>
          <w:lang w:val="es-ES_tradnl"/>
        </w:rPr>
        <w:t xml:space="preserve">a </w:t>
      </w:r>
      <w:r w:rsidRPr="00DC278B">
        <w:rPr>
          <w:rFonts w:ascii="Cambria" w:eastAsia="Times New Roman" w:hAnsi="Cambria"/>
          <w:sz w:val="20"/>
          <w:szCs w:val="20"/>
          <w:bdr w:val="none" w:sz="0" w:space="0" w:color="auto"/>
          <w:lang w:val="es-ES_tradnl"/>
        </w:rPr>
        <w:t>la investigación penal de los hechos ocurridos durante la dictadura militar sino “la negativa de los tribunales chilenos de conceder una indemnización”</w:t>
      </w:r>
      <w:r w:rsidR="009D3A41" w:rsidRPr="00DC278B">
        <w:rPr>
          <w:rStyle w:val="Refdenotaalpie"/>
          <w:rFonts w:ascii="Cambria" w:eastAsia="Times New Roman" w:hAnsi="Cambria"/>
          <w:sz w:val="20"/>
          <w:szCs w:val="20"/>
          <w:bdr w:val="none" w:sz="0" w:space="0" w:color="auto"/>
          <w:lang w:val="es-ES_tradnl"/>
        </w:rPr>
        <w:footnoteReference w:id="19"/>
      </w:r>
      <w:r w:rsidRPr="00DC278B">
        <w:rPr>
          <w:rFonts w:ascii="Cambria" w:eastAsia="Times New Roman" w:hAnsi="Cambria"/>
          <w:sz w:val="20"/>
          <w:szCs w:val="20"/>
          <w:bdr w:val="none" w:sz="0" w:space="0" w:color="auto"/>
          <w:lang w:val="es-ES_tradnl"/>
        </w:rPr>
        <w:t xml:space="preserve"> a las víctimas en el presente caso, sobre todo después del reconocimiento de l</w:t>
      </w:r>
      <w:r w:rsidR="00E054BE" w:rsidRPr="00DC278B">
        <w:rPr>
          <w:rFonts w:ascii="Cambria" w:eastAsia="Times New Roman" w:hAnsi="Cambria"/>
          <w:sz w:val="20"/>
          <w:szCs w:val="20"/>
          <w:bdr w:val="none" w:sz="0" w:space="0" w:color="auto"/>
          <w:lang w:val="es-ES_tradnl"/>
        </w:rPr>
        <w:t>a responsabilidad estatal por</w:t>
      </w:r>
      <w:r w:rsidRPr="00DC278B">
        <w:rPr>
          <w:rFonts w:ascii="Cambria" w:eastAsia="Times New Roman" w:hAnsi="Cambria"/>
          <w:sz w:val="20"/>
          <w:szCs w:val="20"/>
          <w:bdr w:val="none" w:sz="0" w:space="0" w:color="auto"/>
          <w:lang w:val="es-ES_tradnl"/>
        </w:rPr>
        <w:t xml:space="preserve"> </w:t>
      </w:r>
      <w:r w:rsidR="00466977" w:rsidRPr="00DC278B">
        <w:rPr>
          <w:rFonts w:ascii="Cambria" w:eastAsia="Times New Roman" w:hAnsi="Cambria"/>
          <w:sz w:val="20"/>
          <w:szCs w:val="20"/>
          <w:bdr w:val="none" w:sz="0" w:space="0" w:color="auto"/>
          <w:lang w:val="es-ES_tradnl"/>
        </w:rPr>
        <w:t xml:space="preserve">las </w:t>
      </w:r>
      <w:r w:rsidR="00E054BE" w:rsidRPr="00DC278B">
        <w:rPr>
          <w:rFonts w:ascii="Cambria" w:eastAsia="Times New Roman" w:hAnsi="Cambria"/>
          <w:sz w:val="20"/>
          <w:szCs w:val="20"/>
          <w:bdr w:val="none" w:sz="0" w:space="0" w:color="auto"/>
          <w:lang w:val="es-ES_tradnl"/>
        </w:rPr>
        <w:t xml:space="preserve">graves </w:t>
      </w:r>
      <w:r w:rsidR="00466977" w:rsidRPr="00DC278B">
        <w:rPr>
          <w:rFonts w:ascii="Cambria" w:eastAsia="Times New Roman" w:hAnsi="Cambria"/>
          <w:sz w:val="20"/>
          <w:szCs w:val="20"/>
          <w:bdr w:val="none" w:sz="0" w:space="0" w:color="auto"/>
          <w:lang w:val="es-ES_tradnl"/>
        </w:rPr>
        <w:t xml:space="preserve">violaciones </w:t>
      </w:r>
      <w:r w:rsidR="0068001B" w:rsidRPr="00DC278B">
        <w:rPr>
          <w:rFonts w:ascii="Cambria" w:eastAsia="Times New Roman" w:hAnsi="Cambria"/>
          <w:sz w:val="20"/>
          <w:szCs w:val="20"/>
          <w:bdr w:val="none" w:sz="0" w:space="0" w:color="auto"/>
          <w:lang w:val="es-ES_tradnl"/>
        </w:rPr>
        <w:t xml:space="preserve">de los derechos humanos </w:t>
      </w:r>
      <w:r w:rsidRPr="00DC278B">
        <w:rPr>
          <w:rFonts w:ascii="Cambria" w:eastAsia="Times New Roman" w:hAnsi="Cambria"/>
          <w:sz w:val="20"/>
          <w:szCs w:val="20"/>
          <w:bdr w:val="none" w:sz="0" w:space="0" w:color="auto"/>
          <w:lang w:val="es-ES_tradnl"/>
        </w:rPr>
        <w:t xml:space="preserve">de sus familiares en el </w:t>
      </w:r>
      <w:r w:rsidR="00D30856">
        <w:rPr>
          <w:rFonts w:ascii="Cambria" w:eastAsia="Times New Roman" w:hAnsi="Cambria"/>
          <w:sz w:val="20"/>
          <w:szCs w:val="20"/>
          <w:bdr w:val="none" w:sz="0" w:space="0" w:color="auto"/>
          <w:lang w:val="es-ES_tradnl"/>
        </w:rPr>
        <w:t xml:space="preserve">Informe de la Comisión </w:t>
      </w:r>
      <w:proofErr w:type="spellStart"/>
      <w:r w:rsidR="00D30856">
        <w:rPr>
          <w:rFonts w:ascii="Cambria" w:eastAsia="Times New Roman" w:hAnsi="Cambria"/>
          <w:sz w:val="20"/>
          <w:szCs w:val="20"/>
          <w:bdr w:val="none" w:sz="0" w:space="0" w:color="auto"/>
          <w:lang w:val="es-ES_tradnl"/>
        </w:rPr>
        <w:t>Rettig</w:t>
      </w:r>
      <w:proofErr w:type="spellEnd"/>
      <w:r w:rsidR="00D30856">
        <w:rPr>
          <w:rFonts w:ascii="Cambria" w:eastAsia="Times New Roman" w:hAnsi="Cambria"/>
          <w:sz w:val="20"/>
          <w:szCs w:val="20"/>
          <w:bdr w:val="none" w:sz="0" w:space="0" w:color="auto"/>
          <w:lang w:val="es-ES_tradnl"/>
        </w:rPr>
        <w:t xml:space="preserve">. </w:t>
      </w:r>
      <w:r w:rsidR="00CE547B" w:rsidRPr="00DC278B">
        <w:rPr>
          <w:rFonts w:ascii="Cambria" w:eastAsia="Times New Roman" w:hAnsi="Cambria"/>
          <w:sz w:val="20"/>
          <w:szCs w:val="20"/>
          <w:bdr w:val="none" w:sz="0" w:space="0" w:color="auto"/>
          <w:lang w:val="es-ES_tradnl"/>
        </w:rPr>
        <w:t xml:space="preserve">Asimismo, la Comisión consideró que en el caso de autos </w:t>
      </w:r>
      <w:r w:rsidR="00BF03D8" w:rsidRPr="00DC278B">
        <w:rPr>
          <w:rFonts w:ascii="Cambria" w:eastAsia="Times New Roman" w:hAnsi="Cambria"/>
          <w:sz w:val="20"/>
          <w:szCs w:val="20"/>
          <w:bdr w:val="none" w:sz="0" w:space="0" w:color="auto"/>
          <w:lang w:val="es-ES_tradnl"/>
        </w:rPr>
        <w:t>“</w:t>
      </w:r>
      <w:r w:rsidR="00CE547B" w:rsidRPr="00DC278B">
        <w:rPr>
          <w:rFonts w:ascii="Cambria" w:eastAsia="Times New Roman" w:hAnsi="Cambria"/>
          <w:sz w:val="20"/>
          <w:szCs w:val="20"/>
          <w:bdr w:val="none" w:sz="0" w:space="0" w:color="auto"/>
          <w:lang w:val="es-ES_tradnl"/>
        </w:rPr>
        <w:t>las alegaciones sólo se refieren a las sentencias adoptadas por el poder judicial de Chile entre 1999 y 2003”</w:t>
      </w:r>
      <w:r w:rsidR="000832CE" w:rsidRPr="00DC278B">
        <w:rPr>
          <w:rStyle w:val="Refdenotaalpie"/>
          <w:rFonts w:ascii="Cambria" w:eastAsia="Times New Roman" w:hAnsi="Cambria"/>
          <w:sz w:val="20"/>
          <w:szCs w:val="20"/>
          <w:bdr w:val="none" w:sz="0" w:space="0" w:color="auto"/>
          <w:lang w:val="es-ES_tradnl"/>
        </w:rPr>
        <w:footnoteReference w:id="20"/>
      </w:r>
      <w:r w:rsidR="00D30856">
        <w:rPr>
          <w:rFonts w:ascii="Cambria" w:eastAsia="Times New Roman" w:hAnsi="Cambria"/>
          <w:sz w:val="20"/>
          <w:szCs w:val="20"/>
          <w:bdr w:val="none" w:sz="0" w:space="0" w:color="auto"/>
          <w:lang w:val="es-ES_tradnl"/>
        </w:rPr>
        <w:t xml:space="preserve">. </w:t>
      </w:r>
      <w:r w:rsidRPr="00DC278B">
        <w:rPr>
          <w:rFonts w:ascii="Cambria" w:eastAsia="Times New Roman" w:hAnsi="Cambria"/>
          <w:sz w:val="20"/>
          <w:szCs w:val="20"/>
          <w:bdr w:val="none" w:sz="0" w:space="0" w:color="auto"/>
          <w:lang w:val="es-ES_tradnl"/>
        </w:rPr>
        <w:t xml:space="preserve">Por lo tanto, los hechos que a continuación se detallan </w:t>
      </w:r>
      <w:r w:rsidR="00E21F0D" w:rsidRPr="00DC278B">
        <w:rPr>
          <w:rFonts w:ascii="Cambria" w:eastAsia="Times New Roman" w:hAnsi="Cambria"/>
          <w:sz w:val="20"/>
          <w:szCs w:val="20"/>
          <w:bdr w:val="none" w:sz="0" w:space="0" w:color="auto"/>
          <w:lang w:val="es-ES_tradnl"/>
        </w:rPr>
        <w:t>giran</w:t>
      </w:r>
      <w:r w:rsidRPr="00DC278B">
        <w:rPr>
          <w:rFonts w:ascii="Cambria" w:eastAsia="Times New Roman" w:hAnsi="Cambria"/>
          <w:sz w:val="20"/>
          <w:szCs w:val="20"/>
          <w:bdr w:val="none" w:sz="0" w:space="0" w:color="auto"/>
          <w:lang w:val="es-ES_tradnl"/>
        </w:rPr>
        <w:t xml:space="preserve"> únicamente </w:t>
      </w:r>
      <w:r w:rsidR="00E21F0D" w:rsidRPr="00DC278B">
        <w:rPr>
          <w:rFonts w:ascii="Cambria" w:eastAsia="Times New Roman" w:hAnsi="Cambria"/>
          <w:sz w:val="20"/>
          <w:szCs w:val="20"/>
          <w:bdr w:val="none" w:sz="0" w:space="0" w:color="auto"/>
          <w:lang w:val="es-ES_tradnl"/>
        </w:rPr>
        <w:t xml:space="preserve">en torno a los </w:t>
      </w:r>
      <w:r w:rsidR="002E11D8" w:rsidRPr="00DC278B">
        <w:rPr>
          <w:rFonts w:ascii="Cambria" w:eastAsia="Times New Roman" w:hAnsi="Cambria" w:cs="Garamond"/>
          <w:sz w:val="20"/>
          <w:szCs w:val="20"/>
          <w:bdr w:val="none" w:sz="0" w:space="0" w:color="auto"/>
          <w:lang w:val="es-ES_tradnl"/>
        </w:rPr>
        <w:t>procesos j</w:t>
      </w:r>
      <w:r w:rsidR="00E21F0D" w:rsidRPr="00DC278B">
        <w:rPr>
          <w:rFonts w:ascii="Cambria" w:eastAsia="Times New Roman" w:hAnsi="Cambria" w:cs="Garamond"/>
          <w:sz w:val="20"/>
          <w:szCs w:val="20"/>
          <w:bdr w:val="none" w:sz="0" w:space="0" w:color="auto"/>
          <w:lang w:val="es-ES_tradnl"/>
        </w:rPr>
        <w:t xml:space="preserve">udiciales iniciados a fin </w:t>
      </w:r>
      <w:r w:rsidR="00E611C5" w:rsidRPr="00DC278B">
        <w:rPr>
          <w:rFonts w:ascii="Cambria" w:eastAsia="Times New Roman" w:hAnsi="Cambria" w:cs="Garamond"/>
          <w:sz w:val="20"/>
          <w:szCs w:val="20"/>
          <w:bdr w:val="none" w:sz="0" w:space="0" w:color="auto"/>
          <w:lang w:val="es-ES_tradnl"/>
        </w:rPr>
        <w:t xml:space="preserve">de obtener </w:t>
      </w:r>
      <w:r w:rsidR="00E21F0D" w:rsidRPr="00DC278B">
        <w:rPr>
          <w:rFonts w:ascii="Cambria" w:eastAsia="Times New Roman" w:hAnsi="Cambria" w:cs="Garamond"/>
          <w:sz w:val="20"/>
          <w:szCs w:val="20"/>
          <w:bdr w:val="none" w:sz="0" w:space="0" w:color="auto"/>
          <w:lang w:val="es-ES_tradnl"/>
        </w:rPr>
        <w:t>reparaciones</w:t>
      </w:r>
      <w:r w:rsidRPr="00DC278B">
        <w:rPr>
          <w:rFonts w:ascii="Cambria" w:eastAsia="Times New Roman" w:hAnsi="Cambria" w:cs="Garamond"/>
          <w:sz w:val="20"/>
          <w:szCs w:val="20"/>
          <w:bdr w:val="none" w:sz="0" w:space="0" w:color="auto"/>
          <w:lang w:val="es-ES_tradnl"/>
        </w:rPr>
        <w:t xml:space="preserve"> por </w:t>
      </w:r>
      <w:r w:rsidR="007518E6" w:rsidRPr="00DC278B">
        <w:rPr>
          <w:rFonts w:ascii="Cambria" w:eastAsia="Times New Roman" w:hAnsi="Cambria" w:cs="Garamond"/>
          <w:sz w:val="20"/>
          <w:szCs w:val="20"/>
          <w:bdr w:val="none" w:sz="0" w:space="0" w:color="auto"/>
          <w:lang w:val="es-ES_tradnl"/>
        </w:rPr>
        <w:t xml:space="preserve">parte de </w:t>
      </w:r>
      <w:r w:rsidRPr="00DC278B">
        <w:rPr>
          <w:rFonts w:ascii="Cambria" w:eastAsia="Times New Roman" w:hAnsi="Cambria" w:cs="Garamond"/>
          <w:sz w:val="20"/>
          <w:szCs w:val="20"/>
          <w:bdr w:val="none" w:sz="0" w:space="0" w:color="auto"/>
          <w:lang w:val="es-ES_tradnl"/>
        </w:rPr>
        <w:t xml:space="preserve">las </w:t>
      </w:r>
      <w:r w:rsidR="00654110" w:rsidRPr="00DC278B">
        <w:rPr>
          <w:rFonts w:ascii="Cambria" w:eastAsia="Times New Roman" w:hAnsi="Cambria" w:cs="Garamond"/>
          <w:sz w:val="20"/>
          <w:szCs w:val="20"/>
          <w:bdr w:val="none" w:sz="0" w:space="0" w:color="auto"/>
          <w:lang w:val="es-ES_tradnl"/>
        </w:rPr>
        <w:t xml:space="preserve">presuntas </w:t>
      </w:r>
      <w:r w:rsidRPr="00DC278B">
        <w:rPr>
          <w:rFonts w:ascii="Cambria" w:eastAsia="Times New Roman" w:hAnsi="Cambria" w:cs="Garamond"/>
          <w:sz w:val="20"/>
          <w:szCs w:val="20"/>
          <w:bdr w:val="none" w:sz="0" w:space="0" w:color="auto"/>
          <w:lang w:val="es-ES_tradnl"/>
        </w:rPr>
        <w:t>víctimas en</w:t>
      </w:r>
      <w:r w:rsidR="00E611C5" w:rsidRPr="00DC278B">
        <w:rPr>
          <w:rFonts w:ascii="Cambria" w:eastAsia="Times New Roman" w:hAnsi="Cambria" w:cs="Garamond"/>
          <w:sz w:val="20"/>
          <w:szCs w:val="20"/>
          <w:bdr w:val="none" w:sz="0" w:space="0" w:color="auto"/>
          <w:lang w:val="es-ES_tradnl"/>
        </w:rPr>
        <w:t xml:space="preserve"> este</w:t>
      </w:r>
      <w:r w:rsidRPr="00DC278B">
        <w:rPr>
          <w:rFonts w:ascii="Cambria" w:eastAsia="Times New Roman" w:hAnsi="Cambria" w:cs="Garamond"/>
          <w:sz w:val="20"/>
          <w:szCs w:val="20"/>
          <w:bdr w:val="none" w:sz="0" w:space="0" w:color="auto"/>
          <w:lang w:val="es-ES_tradnl"/>
        </w:rPr>
        <w:t xml:space="preserve"> caso</w:t>
      </w:r>
      <w:r w:rsidR="007518E6" w:rsidRPr="00DC278B">
        <w:rPr>
          <w:rFonts w:ascii="Cambria" w:eastAsia="Times New Roman" w:hAnsi="Cambria" w:cs="Garamond"/>
          <w:sz w:val="20"/>
          <w:szCs w:val="20"/>
          <w:bdr w:val="none" w:sz="0" w:space="0" w:color="auto"/>
          <w:lang w:val="es-ES_tradnl"/>
        </w:rPr>
        <w:t xml:space="preserve"> </w:t>
      </w:r>
      <w:r w:rsidR="000E7DBD" w:rsidRPr="00DC278B">
        <w:rPr>
          <w:rFonts w:ascii="Cambria" w:eastAsia="Times New Roman" w:hAnsi="Cambria" w:cs="Garamond"/>
          <w:sz w:val="20"/>
          <w:szCs w:val="20"/>
          <w:bdr w:val="none" w:sz="0" w:space="0" w:color="auto"/>
          <w:lang w:val="es-ES_tradnl"/>
        </w:rPr>
        <w:t xml:space="preserve">y las respuestas </w:t>
      </w:r>
      <w:r w:rsidR="007518E6" w:rsidRPr="00DC278B">
        <w:rPr>
          <w:rFonts w:ascii="Cambria" w:eastAsia="Times New Roman" w:hAnsi="Cambria" w:cs="Garamond"/>
          <w:sz w:val="20"/>
          <w:szCs w:val="20"/>
          <w:bdr w:val="none" w:sz="0" w:space="0" w:color="auto"/>
          <w:lang w:val="es-ES_tradnl"/>
        </w:rPr>
        <w:t>obtenidas</w:t>
      </w:r>
      <w:r w:rsidRPr="00DC278B">
        <w:rPr>
          <w:rFonts w:ascii="Cambria" w:eastAsia="Times New Roman" w:hAnsi="Cambria" w:cs="Garamond"/>
          <w:sz w:val="20"/>
          <w:szCs w:val="20"/>
          <w:bdr w:val="none" w:sz="0" w:space="0" w:color="auto"/>
          <w:lang w:val="es-ES_tradnl"/>
        </w:rPr>
        <w:t>.</w:t>
      </w:r>
    </w:p>
    <w:p w:rsidR="00E24E60" w:rsidRPr="00DC278B" w:rsidRDefault="00E24E60" w:rsidP="00DC278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cs="Garamond"/>
          <w:sz w:val="20"/>
          <w:szCs w:val="20"/>
          <w:bdr w:val="none" w:sz="0" w:space="0" w:color="auto"/>
          <w:lang w:val="es-ES_tradnl"/>
        </w:rPr>
      </w:pPr>
    </w:p>
    <w:p w:rsidR="004719E3" w:rsidRPr="00DC278B" w:rsidRDefault="00E24E60" w:rsidP="00DC278B">
      <w:pPr>
        <w:pStyle w:val="Ttulo2"/>
      </w:pPr>
      <w:bookmarkStart w:id="16" w:name="_Toc413397471"/>
      <w:r w:rsidRPr="00DC278B">
        <w:t>A.</w:t>
      </w:r>
      <w:r w:rsidRPr="00DC278B">
        <w:tab/>
      </w:r>
      <w:r w:rsidR="00D202AC" w:rsidRPr="00DC278B">
        <w:t>Régimen</w:t>
      </w:r>
      <w:r w:rsidR="006565CC" w:rsidRPr="00DC278B">
        <w:t xml:space="preserve"> de reparaciones</w:t>
      </w:r>
      <w:r w:rsidR="00E21F0D" w:rsidRPr="00DC278B">
        <w:t xml:space="preserve"> del Estado c</w:t>
      </w:r>
      <w:r w:rsidR="004719E3" w:rsidRPr="00DC278B">
        <w:t>hileno</w:t>
      </w:r>
      <w:bookmarkEnd w:id="16"/>
    </w:p>
    <w:p w:rsidR="004719E3" w:rsidRPr="00DC278B" w:rsidRDefault="004719E3" w:rsidP="00DC278B">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cs="Garamond"/>
          <w:sz w:val="20"/>
          <w:szCs w:val="20"/>
          <w:bdr w:val="none" w:sz="0" w:space="0" w:color="auto"/>
          <w:lang w:val="es-ES_tradnl"/>
        </w:rPr>
      </w:pPr>
    </w:p>
    <w:p w:rsidR="004719E3" w:rsidRPr="00DC278B" w:rsidRDefault="00D202AC"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cs="Garamond"/>
          <w:sz w:val="20"/>
          <w:szCs w:val="20"/>
          <w:bdr w:val="none" w:sz="0" w:space="0" w:color="auto"/>
          <w:lang w:val="es-ES_tradnl"/>
        </w:rPr>
      </w:pPr>
      <w:r w:rsidRPr="00DC278B">
        <w:rPr>
          <w:rFonts w:ascii="Cambria" w:eastAsia="Times New Roman" w:hAnsi="Cambria" w:cs="Garamond"/>
          <w:sz w:val="20"/>
          <w:szCs w:val="20"/>
          <w:bdr w:val="none" w:sz="0" w:space="0" w:color="auto"/>
          <w:lang w:val="es-ES_tradnl"/>
        </w:rPr>
        <w:t>Luego de finalizada la dictadura m</w:t>
      </w:r>
      <w:r w:rsidR="004719E3" w:rsidRPr="00DC278B">
        <w:rPr>
          <w:rFonts w:ascii="Cambria" w:eastAsia="Times New Roman" w:hAnsi="Cambria" w:cs="Garamond"/>
          <w:sz w:val="20"/>
          <w:szCs w:val="20"/>
          <w:bdr w:val="none" w:sz="0" w:space="0" w:color="auto"/>
          <w:lang w:val="es-ES_tradnl"/>
        </w:rPr>
        <w:t xml:space="preserve">ilitar, el 25 de abril de 1990, el Presidente </w:t>
      </w:r>
      <w:r w:rsidRPr="00DC278B">
        <w:rPr>
          <w:rFonts w:ascii="Cambria" w:eastAsia="Times New Roman" w:hAnsi="Cambria" w:cs="Garamond"/>
          <w:sz w:val="20"/>
          <w:szCs w:val="20"/>
          <w:bdr w:val="none" w:sz="0" w:space="0" w:color="auto"/>
          <w:lang w:val="es-ES_tradnl"/>
        </w:rPr>
        <w:t>Patricio Aylwin Azocar, dictó</w:t>
      </w:r>
      <w:r w:rsidR="004719E3" w:rsidRPr="00DC278B">
        <w:rPr>
          <w:rFonts w:ascii="Cambria" w:eastAsia="Times New Roman" w:hAnsi="Cambria" w:cs="Garamond"/>
          <w:sz w:val="20"/>
          <w:szCs w:val="20"/>
          <w:bdr w:val="none" w:sz="0" w:space="0" w:color="auto"/>
          <w:lang w:val="es-ES_tradnl"/>
        </w:rPr>
        <w:t xml:space="preserve"> el Decreto Supremo </w:t>
      </w:r>
      <w:r w:rsidR="00A16B1B" w:rsidRPr="00DC278B">
        <w:rPr>
          <w:rFonts w:ascii="Cambria" w:eastAsia="Times New Roman" w:hAnsi="Cambria" w:cs="Garamond"/>
          <w:sz w:val="20"/>
          <w:szCs w:val="20"/>
          <w:bdr w:val="none" w:sz="0" w:space="0" w:color="auto"/>
          <w:lang w:val="es-ES_tradnl"/>
        </w:rPr>
        <w:t xml:space="preserve">(D.S.) </w:t>
      </w:r>
      <w:r w:rsidR="004719E3" w:rsidRPr="00DC278B">
        <w:rPr>
          <w:rFonts w:ascii="Cambria" w:eastAsia="Times New Roman" w:hAnsi="Cambria" w:cs="Garamond"/>
          <w:sz w:val="20"/>
          <w:szCs w:val="20"/>
          <w:bdr w:val="none" w:sz="0" w:space="0" w:color="auto"/>
          <w:lang w:val="es-ES_tradnl"/>
        </w:rPr>
        <w:t xml:space="preserve">No. 355 que creó la Comisión </w:t>
      </w:r>
      <w:proofErr w:type="spellStart"/>
      <w:r w:rsidRPr="00DC278B">
        <w:rPr>
          <w:rFonts w:ascii="Cambria" w:eastAsia="Times New Roman" w:hAnsi="Cambria" w:cs="Garamond"/>
          <w:sz w:val="20"/>
          <w:szCs w:val="20"/>
          <w:bdr w:val="none" w:sz="0" w:space="0" w:color="auto"/>
          <w:lang w:val="es-ES_tradnl"/>
        </w:rPr>
        <w:t>Rettig</w:t>
      </w:r>
      <w:proofErr w:type="spellEnd"/>
      <w:r w:rsidRPr="00DC278B">
        <w:rPr>
          <w:rFonts w:ascii="Cambria" w:eastAsia="Times New Roman" w:hAnsi="Cambria" w:cs="Garamond"/>
          <w:sz w:val="20"/>
          <w:szCs w:val="20"/>
          <w:bdr w:val="none" w:sz="0" w:space="0" w:color="auto"/>
          <w:lang w:val="es-ES_tradnl"/>
        </w:rPr>
        <w:t xml:space="preserve"> </w:t>
      </w:r>
      <w:r w:rsidR="004719E3" w:rsidRPr="00DC278B">
        <w:rPr>
          <w:rFonts w:ascii="Cambria" w:eastAsia="Times New Roman" w:hAnsi="Cambria" w:cs="Garamond"/>
          <w:sz w:val="20"/>
          <w:szCs w:val="20"/>
          <w:bdr w:val="none" w:sz="0" w:space="0" w:color="auto"/>
          <w:lang w:val="es-ES_tradnl"/>
        </w:rPr>
        <w:t>con base en que “la conciencia moral de la Nación requiere el esclarecimiento de la verdad sobre las graves violaciones a los derechos humanos cometidas en el país entre el 11 de septiembre de 1973 y el 11 de marzo de 1990”</w:t>
      </w:r>
      <w:r w:rsidR="004719E3" w:rsidRPr="00DC278B">
        <w:rPr>
          <w:rFonts w:ascii="Cambria" w:eastAsia="Times New Roman" w:hAnsi="Cambria"/>
          <w:sz w:val="20"/>
          <w:szCs w:val="20"/>
          <w:bdr w:val="none" w:sz="0" w:space="0" w:color="auto"/>
          <w:vertAlign w:val="superscript"/>
          <w:lang w:val="es-ES_tradnl"/>
        </w:rPr>
        <w:footnoteReference w:id="21"/>
      </w:r>
      <w:r w:rsidR="004719E3" w:rsidRPr="00DC278B">
        <w:rPr>
          <w:rFonts w:ascii="Cambria" w:eastAsia="Times New Roman" w:hAnsi="Cambria" w:cs="Garamond"/>
          <w:sz w:val="20"/>
          <w:szCs w:val="20"/>
          <w:bdr w:val="none" w:sz="0" w:space="0" w:color="auto"/>
          <w:lang w:val="es-ES_tradnl"/>
        </w:rPr>
        <w:t xml:space="preserve">. La </w:t>
      </w:r>
      <w:r w:rsidRPr="00DC278B">
        <w:rPr>
          <w:rFonts w:ascii="Cambria" w:eastAsia="Times New Roman" w:hAnsi="Cambria" w:cs="Garamond"/>
          <w:sz w:val="20"/>
          <w:szCs w:val="20"/>
          <w:bdr w:val="none" w:sz="0" w:space="0" w:color="auto"/>
          <w:lang w:val="es-ES_tradnl"/>
        </w:rPr>
        <w:t>f</w:t>
      </w:r>
      <w:r w:rsidR="004719E3" w:rsidRPr="00DC278B">
        <w:rPr>
          <w:rFonts w:ascii="Cambria" w:eastAsia="Times New Roman" w:hAnsi="Cambria" w:cs="Garamond"/>
          <w:sz w:val="20"/>
          <w:szCs w:val="20"/>
          <w:bdr w:val="none" w:sz="0" w:space="0" w:color="auto"/>
          <w:lang w:val="es-ES_tradnl"/>
        </w:rPr>
        <w:t>inalidad de dicha Comisión era la de: “a) Establecer un cuadro lo más completo posible sobre los graves hechos referidos, sus antecedentes y circunstancias; b) Reunir antecedentes que permitan individualizar a sus víctimas y establecer su suerte o paradero; c) Recomendar medidas de reparación y reivindicación que crea de justicia; y d) Recomendar las medidas legales y administrativas que a su juicio deben adoptarse para impedir o prevenir la comisión de los hechos a que este artículo se refiere”</w:t>
      </w:r>
      <w:r w:rsidR="004719E3" w:rsidRPr="00DC278B">
        <w:rPr>
          <w:rFonts w:ascii="Cambria" w:eastAsia="Times New Roman" w:hAnsi="Cambria"/>
          <w:sz w:val="20"/>
          <w:szCs w:val="20"/>
          <w:bdr w:val="none" w:sz="0" w:space="0" w:color="auto"/>
          <w:vertAlign w:val="superscript"/>
          <w:lang w:val="es-ES_tradnl"/>
        </w:rPr>
        <w:footnoteReference w:id="22"/>
      </w:r>
      <w:r w:rsidR="004719E3" w:rsidRPr="00DC278B">
        <w:rPr>
          <w:rFonts w:ascii="Cambria" w:eastAsia="Times New Roman" w:hAnsi="Cambria" w:cs="Garamond"/>
          <w:sz w:val="20"/>
          <w:szCs w:val="20"/>
          <w:bdr w:val="none" w:sz="0" w:space="0" w:color="auto"/>
          <w:lang w:val="es-ES_tradnl"/>
        </w:rPr>
        <w:t>.</w:t>
      </w:r>
    </w:p>
    <w:p w:rsidR="004719E3" w:rsidRPr="00DC278B" w:rsidRDefault="004719E3" w:rsidP="00DC278B">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cs="Garamond"/>
          <w:sz w:val="20"/>
          <w:szCs w:val="20"/>
          <w:bdr w:val="none" w:sz="0" w:space="0" w:color="auto"/>
          <w:lang w:val="es-ES_tradnl"/>
        </w:rPr>
      </w:pPr>
    </w:p>
    <w:p w:rsidR="004719E3" w:rsidRPr="00DC278B" w:rsidRDefault="00D202AC"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cs="Garamond"/>
          <w:sz w:val="20"/>
          <w:szCs w:val="20"/>
          <w:bdr w:val="none" w:sz="0" w:space="0" w:color="auto"/>
          <w:lang w:val="es-ES_tradnl"/>
        </w:rPr>
      </w:pPr>
      <w:r w:rsidRPr="00DC278B">
        <w:rPr>
          <w:rFonts w:ascii="Cambria" w:eastAsia="Times New Roman" w:hAnsi="Cambria" w:cs="Garamond"/>
          <w:sz w:val="20"/>
          <w:szCs w:val="20"/>
          <w:bdr w:val="none" w:sz="0" w:space="0" w:color="auto"/>
          <w:lang w:val="es-ES_tradnl"/>
        </w:rPr>
        <w:lastRenderedPageBreak/>
        <w:t>En e</w:t>
      </w:r>
      <w:r w:rsidR="004719E3" w:rsidRPr="00DC278B">
        <w:rPr>
          <w:rFonts w:ascii="Cambria" w:eastAsia="Times New Roman" w:hAnsi="Cambria" w:cs="Garamond"/>
          <w:sz w:val="20"/>
          <w:szCs w:val="20"/>
          <w:bdr w:val="none" w:sz="0" w:space="0" w:color="auto"/>
          <w:lang w:val="es-ES_tradnl"/>
        </w:rPr>
        <w:t xml:space="preserve">l </w:t>
      </w:r>
      <w:r w:rsidR="00A16B1B" w:rsidRPr="00DC278B">
        <w:rPr>
          <w:rFonts w:ascii="Cambria" w:eastAsia="Times New Roman" w:hAnsi="Cambria" w:cs="Garamond"/>
          <w:sz w:val="20"/>
          <w:szCs w:val="20"/>
          <w:bdr w:val="none" w:sz="0" w:space="0" w:color="auto"/>
          <w:lang w:val="es-ES_tradnl"/>
        </w:rPr>
        <w:t xml:space="preserve">D.S. </w:t>
      </w:r>
      <w:r w:rsidR="004719E3" w:rsidRPr="00DC278B">
        <w:rPr>
          <w:rFonts w:ascii="Cambria" w:eastAsia="Times New Roman" w:hAnsi="Cambria" w:cs="Garamond"/>
          <w:sz w:val="20"/>
          <w:szCs w:val="20"/>
          <w:bdr w:val="none" w:sz="0" w:space="0" w:color="auto"/>
          <w:lang w:val="es-ES_tradnl"/>
        </w:rPr>
        <w:t xml:space="preserve">No. 355 </w:t>
      </w:r>
      <w:r w:rsidRPr="00DC278B">
        <w:rPr>
          <w:rFonts w:ascii="Cambria" w:eastAsia="Times New Roman" w:hAnsi="Cambria" w:cs="Garamond"/>
          <w:sz w:val="20"/>
          <w:szCs w:val="20"/>
          <w:bdr w:val="none" w:sz="0" w:space="0" w:color="auto"/>
          <w:lang w:val="es-ES_tradnl"/>
        </w:rPr>
        <w:t xml:space="preserve">se </w:t>
      </w:r>
      <w:r w:rsidR="004719E3" w:rsidRPr="00DC278B">
        <w:rPr>
          <w:rFonts w:ascii="Cambria" w:eastAsia="Times New Roman" w:hAnsi="Cambria" w:cs="Garamond"/>
          <w:sz w:val="20"/>
          <w:szCs w:val="20"/>
          <w:bdr w:val="none" w:sz="0" w:space="0" w:color="auto"/>
          <w:lang w:val="es-ES_tradnl"/>
        </w:rPr>
        <w:t>entendió por grave violaciones</w:t>
      </w:r>
      <w:r w:rsidR="004719E3" w:rsidRPr="00DC278B">
        <w:rPr>
          <w:rFonts w:ascii="Cambria" w:eastAsia="Times New Roman" w:hAnsi="Cambria" w:cs="Garamond"/>
          <w:sz w:val="20"/>
          <w:szCs w:val="20"/>
          <w:bdr w:val="none" w:sz="0" w:space="0" w:color="auto"/>
          <w:vertAlign w:val="superscript"/>
          <w:lang w:val="es-ES_tradnl"/>
        </w:rPr>
        <w:footnoteReference w:id="23"/>
      </w:r>
      <w:r w:rsidR="004719E3" w:rsidRPr="00DC278B">
        <w:rPr>
          <w:rFonts w:ascii="Cambria" w:eastAsia="Times New Roman" w:hAnsi="Cambria" w:cs="Garamond"/>
          <w:sz w:val="20"/>
          <w:szCs w:val="20"/>
          <w:bdr w:val="none" w:sz="0" w:space="0" w:color="auto"/>
          <w:lang w:val="es-ES_tradnl"/>
        </w:rPr>
        <w:t xml:space="preserve"> “las situaciones de detenidos desaparecidos, ejecutados y torturados con resultado de muerte, en que aparezca comprometida la responsabilidad moral del Estado por actos de sus agentes o de personas a su servicio, como asimismo los secuestros y los atentados contra la vida de personas cometidos por particulares bajo pretextos políticos”</w:t>
      </w:r>
      <w:r w:rsidR="004719E3" w:rsidRPr="00DC278B">
        <w:rPr>
          <w:rFonts w:ascii="Cambria" w:eastAsia="Times New Roman" w:hAnsi="Cambria" w:cs="Garamond"/>
          <w:sz w:val="20"/>
          <w:szCs w:val="20"/>
          <w:bdr w:val="none" w:sz="0" w:space="0" w:color="auto"/>
          <w:vertAlign w:val="superscript"/>
          <w:lang w:val="es-ES_tradnl"/>
        </w:rPr>
        <w:footnoteReference w:id="24"/>
      </w:r>
      <w:r w:rsidR="004719E3" w:rsidRPr="00DC278B">
        <w:rPr>
          <w:rFonts w:ascii="Cambria" w:eastAsia="Times New Roman" w:hAnsi="Cambria" w:cs="Garamond"/>
          <w:sz w:val="20"/>
          <w:szCs w:val="20"/>
          <w:bdr w:val="none" w:sz="0" w:space="0" w:color="auto"/>
          <w:lang w:val="es-ES_tradnl"/>
        </w:rPr>
        <w:t>.</w:t>
      </w:r>
    </w:p>
    <w:p w:rsidR="00F12E5C" w:rsidRPr="00DC278B" w:rsidRDefault="00F12E5C" w:rsidP="00DC278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cs="Garamond"/>
          <w:sz w:val="20"/>
          <w:szCs w:val="20"/>
          <w:bdr w:val="none" w:sz="0" w:space="0" w:color="auto"/>
          <w:lang w:val="es-ES_tradnl"/>
        </w:rPr>
      </w:pPr>
    </w:p>
    <w:p w:rsidR="004719E3" w:rsidRPr="00DC278B" w:rsidRDefault="004719E3"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cs="Garamond"/>
          <w:sz w:val="20"/>
          <w:szCs w:val="20"/>
          <w:bdr w:val="none" w:sz="0" w:space="0" w:color="auto"/>
          <w:lang w:val="es-ES_tradnl"/>
        </w:rPr>
      </w:pPr>
      <w:r w:rsidRPr="00DC278B">
        <w:rPr>
          <w:rFonts w:ascii="Cambria" w:eastAsia="Times New Roman" w:hAnsi="Cambria" w:cs="Garamond"/>
          <w:sz w:val="20"/>
          <w:szCs w:val="20"/>
          <w:bdr w:val="none" w:sz="0" w:space="0" w:color="auto"/>
          <w:lang w:val="es-ES_tradnl"/>
        </w:rPr>
        <w:t>Concluida su</w:t>
      </w:r>
      <w:r w:rsidR="00D202AC" w:rsidRPr="00DC278B">
        <w:rPr>
          <w:rFonts w:ascii="Cambria" w:eastAsia="Times New Roman" w:hAnsi="Cambria" w:cs="Garamond"/>
          <w:sz w:val="20"/>
          <w:szCs w:val="20"/>
          <w:bdr w:val="none" w:sz="0" w:space="0" w:color="auto"/>
          <w:lang w:val="es-ES_tradnl"/>
        </w:rPr>
        <w:t xml:space="preserve"> misión</w:t>
      </w:r>
      <w:r w:rsidR="00BE1783" w:rsidRPr="00DC278B">
        <w:rPr>
          <w:rFonts w:ascii="Cambria" w:eastAsia="Times New Roman" w:hAnsi="Cambria" w:cs="Garamond"/>
          <w:sz w:val="20"/>
          <w:szCs w:val="20"/>
          <w:bdr w:val="none" w:sz="0" w:space="0" w:color="auto"/>
          <w:lang w:val="es-ES_tradnl"/>
        </w:rPr>
        <w:t>,</w:t>
      </w:r>
      <w:r w:rsidR="00D202AC" w:rsidRPr="00DC278B">
        <w:rPr>
          <w:rFonts w:ascii="Cambria" w:eastAsia="Times New Roman" w:hAnsi="Cambria" w:cs="Garamond"/>
          <w:sz w:val="20"/>
          <w:szCs w:val="20"/>
          <w:bdr w:val="none" w:sz="0" w:space="0" w:color="auto"/>
          <w:lang w:val="es-ES_tradnl"/>
        </w:rPr>
        <w:t xml:space="preserve"> la Comisión </w:t>
      </w:r>
      <w:proofErr w:type="spellStart"/>
      <w:r w:rsidR="00D202AC" w:rsidRPr="00DC278B">
        <w:rPr>
          <w:rFonts w:ascii="Cambria" w:eastAsia="Times New Roman" w:hAnsi="Cambria" w:cs="Garamond"/>
          <w:sz w:val="20"/>
          <w:szCs w:val="20"/>
          <w:bdr w:val="none" w:sz="0" w:space="0" w:color="auto"/>
          <w:lang w:val="es-ES_tradnl"/>
        </w:rPr>
        <w:t>Rettig</w:t>
      </w:r>
      <w:proofErr w:type="spellEnd"/>
      <w:r w:rsidRPr="00DC278B">
        <w:rPr>
          <w:rFonts w:ascii="Cambria" w:eastAsia="Times New Roman" w:hAnsi="Cambria" w:cs="Garamond"/>
          <w:sz w:val="20"/>
          <w:szCs w:val="20"/>
          <w:bdr w:val="none" w:sz="0" w:space="0" w:color="auto"/>
          <w:lang w:val="es-ES_tradnl"/>
        </w:rPr>
        <w:t xml:space="preserve"> emitió </w:t>
      </w:r>
      <w:r w:rsidR="00D202AC" w:rsidRPr="00DC278B">
        <w:rPr>
          <w:rFonts w:ascii="Cambria" w:eastAsia="Times New Roman" w:hAnsi="Cambria" w:cs="Garamond"/>
          <w:sz w:val="20"/>
          <w:szCs w:val="20"/>
          <w:bdr w:val="none" w:sz="0" w:space="0" w:color="auto"/>
          <w:lang w:val="es-ES_tradnl"/>
        </w:rPr>
        <w:t xml:space="preserve">su </w:t>
      </w:r>
      <w:r w:rsidRPr="00DC278B">
        <w:rPr>
          <w:rFonts w:ascii="Cambria" w:eastAsia="Times New Roman" w:hAnsi="Cambria" w:cs="Garamond"/>
          <w:sz w:val="20"/>
          <w:szCs w:val="20"/>
          <w:bdr w:val="none" w:sz="0" w:space="0" w:color="auto"/>
          <w:lang w:val="es-ES_tradnl"/>
        </w:rPr>
        <w:t>informe aprobado por unanimidad</w:t>
      </w:r>
      <w:r w:rsidR="00D202AC" w:rsidRPr="00DC278B">
        <w:rPr>
          <w:rFonts w:ascii="Cambria" w:eastAsia="Times New Roman" w:hAnsi="Cambria" w:cs="Garamond"/>
          <w:sz w:val="20"/>
          <w:szCs w:val="20"/>
          <w:bdr w:val="none" w:sz="0" w:space="0" w:color="auto"/>
          <w:lang w:val="es-ES_tradnl"/>
        </w:rPr>
        <w:t>; el cual fue entregado al P</w:t>
      </w:r>
      <w:r w:rsidRPr="00DC278B">
        <w:rPr>
          <w:rFonts w:ascii="Cambria" w:eastAsia="Times New Roman" w:hAnsi="Cambria" w:cs="Garamond"/>
          <w:sz w:val="20"/>
          <w:szCs w:val="20"/>
          <w:bdr w:val="none" w:sz="0" w:space="0" w:color="auto"/>
          <w:lang w:val="es-ES_tradnl"/>
        </w:rPr>
        <w:t>residente Aylwin el 8 de febrero de 1991</w:t>
      </w:r>
      <w:r w:rsidRPr="00DC278B">
        <w:rPr>
          <w:rFonts w:ascii="Cambria" w:eastAsia="Times New Roman" w:hAnsi="Cambria" w:cs="Garamond"/>
          <w:sz w:val="20"/>
          <w:szCs w:val="20"/>
          <w:bdr w:val="none" w:sz="0" w:space="0" w:color="auto"/>
          <w:vertAlign w:val="superscript"/>
          <w:lang w:val="es-ES_tradnl"/>
        </w:rPr>
        <w:footnoteReference w:id="25"/>
      </w:r>
      <w:r w:rsidR="00D202AC" w:rsidRPr="00DC278B">
        <w:rPr>
          <w:rFonts w:ascii="Cambria" w:eastAsia="Times New Roman" w:hAnsi="Cambria" w:cs="Garamond"/>
          <w:sz w:val="20"/>
          <w:szCs w:val="20"/>
          <w:bdr w:val="none" w:sz="0" w:space="0" w:color="auto"/>
          <w:lang w:val="es-ES_tradnl"/>
        </w:rPr>
        <w:t>;</w:t>
      </w:r>
      <w:r w:rsidRPr="00DC278B">
        <w:rPr>
          <w:rFonts w:ascii="Cambria" w:eastAsia="Times New Roman" w:hAnsi="Cambria" w:cs="Garamond"/>
          <w:sz w:val="20"/>
          <w:szCs w:val="20"/>
          <w:bdr w:val="none" w:sz="0" w:space="0" w:color="auto"/>
          <w:lang w:val="es-ES_tradnl"/>
        </w:rPr>
        <w:t xml:space="preserve"> quien a su vez lo dio a conocer el 4 de marzo de 1991</w:t>
      </w:r>
      <w:r w:rsidR="008F2478" w:rsidRPr="00DC278B">
        <w:rPr>
          <w:rFonts w:ascii="Cambria" w:eastAsia="Times New Roman" w:hAnsi="Cambria" w:cs="Garamond"/>
          <w:sz w:val="20"/>
          <w:szCs w:val="20"/>
          <w:bdr w:val="none" w:sz="0" w:space="0" w:color="auto"/>
          <w:lang w:val="es-ES_tradnl"/>
        </w:rPr>
        <w:t xml:space="preserve"> </w:t>
      </w:r>
      <w:r w:rsidRPr="00DC278B">
        <w:rPr>
          <w:rFonts w:ascii="Cambria" w:eastAsia="Times New Roman" w:hAnsi="Cambria" w:cs="Garamond"/>
          <w:sz w:val="20"/>
          <w:szCs w:val="20"/>
          <w:bdr w:val="none" w:sz="0" w:space="0" w:color="auto"/>
          <w:lang w:val="es-ES_tradnl"/>
        </w:rPr>
        <w:t xml:space="preserve">y ofreció perdón a las víctimas de tales violaciones.  </w:t>
      </w:r>
      <w:r w:rsidR="0083613A" w:rsidRPr="00DC278B">
        <w:rPr>
          <w:rFonts w:ascii="Cambria" w:eastAsia="Times New Roman" w:hAnsi="Cambria" w:cs="Garamond"/>
          <w:sz w:val="20"/>
          <w:szCs w:val="20"/>
          <w:bdr w:val="none" w:sz="0" w:space="0" w:color="auto"/>
          <w:lang w:val="es-ES_tradnl"/>
        </w:rPr>
        <w:t>Al respecto, el Presidente expresó</w:t>
      </w:r>
    </w:p>
    <w:p w:rsidR="00F12E5C" w:rsidRPr="00DC278B" w:rsidRDefault="00F12E5C" w:rsidP="00DC278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cs="Garamond"/>
          <w:sz w:val="20"/>
          <w:szCs w:val="20"/>
          <w:bdr w:val="none" w:sz="0" w:space="0" w:color="auto"/>
          <w:lang w:val="es-ES_tradnl"/>
        </w:rPr>
      </w:pPr>
    </w:p>
    <w:p w:rsidR="004378F2" w:rsidRPr="00DC278B" w:rsidRDefault="004378F2" w:rsidP="00DC278B">
      <w:pPr>
        <w:pStyle w:val="MediumGrid1-Accent21"/>
        <w:pBdr>
          <w:top w:val="none" w:sz="0" w:space="0" w:color="auto"/>
          <w:left w:val="none" w:sz="0" w:space="0" w:color="auto"/>
          <w:bottom w:val="none" w:sz="0" w:space="0" w:color="auto"/>
          <w:right w:val="none" w:sz="0" w:space="0" w:color="auto"/>
          <w:between w:val="none" w:sz="0" w:space="0" w:color="auto"/>
          <w:bar w:val="none" w:sz="0" w:color="auto"/>
        </w:pBdr>
        <w:ind w:right="720"/>
        <w:jc w:val="both"/>
        <w:rPr>
          <w:color w:val="auto"/>
          <w:sz w:val="20"/>
          <w:szCs w:val="20"/>
          <w:lang w:val="es-ES"/>
        </w:rPr>
      </w:pPr>
      <w:r w:rsidRPr="00DC278B">
        <w:rPr>
          <w:color w:val="auto"/>
          <w:sz w:val="20"/>
          <w:szCs w:val="20"/>
          <w:lang w:val="es-ES"/>
        </w:rPr>
        <w:t>Como Presidente de República, me atrevo a asumir la representación de la nación entera para, en su nombre, pedir perdón a los familiares de las víctimas [...] [reivindicando] pública y solemnemente la dignidad personal de las víctimas, en cuanto hayan sido denigradas por acusaciones de delitos que nunca les fueron probados y de los cuales nunca tuvieron oportunidad ni medios adecuados para defenderse</w:t>
      </w:r>
      <w:r w:rsidR="00585FFF" w:rsidRPr="00DC278B">
        <w:rPr>
          <w:rFonts w:eastAsia="Times New Roman"/>
          <w:color w:val="auto"/>
          <w:sz w:val="20"/>
          <w:szCs w:val="20"/>
          <w:bdr w:val="none" w:sz="0" w:space="0" w:color="auto"/>
          <w:vertAlign w:val="superscript"/>
          <w:lang w:val="es-ES_tradnl"/>
        </w:rPr>
        <w:footnoteReference w:id="26"/>
      </w:r>
      <w:r w:rsidRPr="00DC278B">
        <w:rPr>
          <w:color w:val="auto"/>
          <w:sz w:val="20"/>
          <w:szCs w:val="20"/>
          <w:lang w:val="es-ES"/>
        </w:rPr>
        <w:t>.</w:t>
      </w:r>
    </w:p>
    <w:p w:rsidR="00E24E60" w:rsidRPr="00DC278B" w:rsidRDefault="00E24E60" w:rsidP="00DC278B">
      <w:pPr>
        <w:pStyle w:val="MediumGrid1-Accent21"/>
        <w:pBdr>
          <w:top w:val="none" w:sz="0" w:space="0" w:color="auto"/>
          <w:left w:val="none" w:sz="0" w:space="0" w:color="auto"/>
          <w:bottom w:val="none" w:sz="0" w:space="0" w:color="auto"/>
          <w:right w:val="none" w:sz="0" w:space="0" w:color="auto"/>
          <w:between w:val="none" w:sz="0" w:space="0" w:color="auto"/>
          <w:bar w:val="none" w:sz="0" w:color="auto"/>
        </w:pBdr>
        <w:ind w:right="720"/>
        <w:jc w:val="both"/>
        <w:rPr>
          <w:rFonts w:eastAsia="Times New Roman"/>
          <w:color w:val="auto"/>
          <w:sz w:val="20"/>
          <w:szCs w:val="20"/>
          <w:bdr w:val="none" w:sz="0" w:space="0" w:color="auto"/>
          <w:lang w:val="es-ES_tradnl"/>
        </w:rPr>
      </w:pPr>
    </w:p>
    <w:p w:rsidR="00A16B1B" w:rsidRPr="00DC278B" w:rsidRDefault="00A16B1B"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cs="Garamond"/>
          <w:sz w:val="20"/>
          <w:szCs w:val="20"/>
          <w:bdr w:val="none" w:sz="0" w:space="0" w:color="auto"/>
          <w:lang w:val="es-ES_tradnl"/>
        </w:rPr>
      </w:pPr>
      <w:r w:rsidRPr="00DC278B">
        <w:rPr>
          <w:rFonts w:ascii="Cambria" w:eastAsia="Times New Roman" w:hAnsi="Cambria" w:cs="Garamond"/>
          <w:sz w:val="20"/>
          <w:szCs w:val="20"/>
          <w:bdr w:val="none" w:sz="0" w:space="0" w:color="auto"/>
          <w:lang w:val="es-ES_tradnl"/>
        </w:rPr>
        <w:t>E</w:t>
      </w:r>
      <w:r w:rsidR="00D202AC" w:rsidRPr="00DC278B">
        <w:rPr>
          <w:rFonts w:ascii="Cambria" w:eastAsia="Times New Roman" w:hAnsi="Cambria" w:cs="Garamond"/>
          <w:sz w:val="20"/>
          <w:szCs w:val="20"/>
          <w:bdr w:val="none" w:sz="0" w:space="0" w:color="auto"/>
          <w:lang w:val="es-ES_tradnl"/>
        </w:rPr>
        <w:t xml:space="preserve">sta Comisión </w:t>
      </w:r>
      <w:r w:rsidR="007E5009" w:rsidRPr="00DC278B">
        <w:rPr>
          <w:rFonts w:ascii="Cambria" w:eastAsia="Times New Roman" w:hAnsi="Cambria" w:cs="Garamond"/>
          <w:sz w:val="20"/>
          <w:szCs w:val="20"/>
          <w:bdr w:val="none" w:sz="0" w:space="0" w:color="auto"/>
          <w:lang w:val="es-ES_tradnl"/>
        </w:rPr>
        <w:t>propuso sugerencias</w:t>
      </w:r>
      <w:r w:rsidR="004719E3" w:rsidRPr="00DC278B">
        <w:rPr>
          <w:rFonts w:ascii="Cambria" w:eastAsia="Times New Roman" w:hAnsi="Cambria" w:cs="Garamond"/>
          <w:sz w:val="20"/>
          <w:szCs w:val="20"/>
          <w:bdr w:val="none" w:sz="0" w:space="0" w:color="auto"/>
          <w:lang w:val="es-ES_tradnl"/>
        </w:rPr>
        <w:t xml:space="preserve"> de reivindicación y reparación simbólica</w:t>
      </w:r>
      <w:r w:rsidR="004719E3" w:rsidRPr="00DC278B">
        <w:rPr>
          <w:rFonts w:ascii="Cambria" w:eastAsia="Times New Roman" w:hAnsi="Cambria" w:cs="Garamond"/>
          <w:sz w:val="20"/>
          <w:szCs w:val="20"/>
          <w:bdr w:val="none" w:sz="0" w:space="0" w:color="auto"/>
          <w:vertAlign w:val="superscript"/>
          <w:lang w:val="es-ES_tradnl"/>
        </w:rPr>
        <w:footnoteReference w:id="27"/>
      </w:r>
      <w:r w:rsidR="00BE1783" w:rsidRPr="00DC278B">
        <w:rPr>
          <w:rFonts w:ascii="Cambria" w:eastAsia="Times New Roman" w:hAnsi="Cambria" w:cs="Garamond"/>
          <w:sz w:val="20"/>
          <w:szCs w:val="20"/>
          <w:bdr w:val="none" w:sz="0" w:space="0" w:color="auto"/>
          <w:lang w:val="es-ES_tradnl"/>
        </w:rPr>
        <w:t>;</w:t>
      </w:r>
      <w:r w:rsidR="004719E3" w:rsidRPr="00DC278B">
        <w:rPr>
          <w:rFonts w:ascii="Cambria" w:eastAsia="Times New Roman" w:hAnsi="Cambria" w:cs="Garamond"/>
          <w:sz w:val="20"/>
          <w:szCs w:val="20"/>
          <w:bdr w:val="none" w:sz="0" w:space="0" w:color="auto"/>
          <w:lang w:val="es-ES_tradnl"/>
        </w:rPr>
        <w:t xml:space="preserve"> de </w:t>
      </w:r>
      <w:r w:rsidR="00D202AC" w:rsidRPr="00DC278B">
        <w:rPr>
          <w:rFonts w:ascii="Cambria" w:eastAsia="Times New Roman" w:hAnsi="Cambria" w:cs="Garamond"/>
          <w:sz w:val="20"/>
          <w:szCs w:val="20"/>
          <w:bdr w:val="none" w:sz="0" w:space="0" w:color="auto"/>
          <w:lang w:val="es-ES_tradnl"/>
        </w:rPr>
        <w:t>carácter legal y administrativo</w:t>
      </w:r>
      <w:r w:rsidR="004719E3" w:rsidRPr="00DC278B">
        <w:rPr>
          <w:rFonts w:ascii="Cambria" w:eastAsia="Times New Roman" w:hAnsi="Cambria" w:cs="Garamond"/>
          <w:sz w:val="20"/>
          <w:szCs w:val="20"/>
          <w:bdr w:val="none" w:sz="0" w:space="0" w:color="auto"/>
          <w:vertAlign w:val="superscript"/>
          <w:lang w:val="es-ES_tradnl"/>
        </w:rPr>
        <w:footnoteReference w:id="28"/>
      </w:r>
      <w:r w:rsidR="00D202AC" w:rsidRPr="00DC278B">
        <w:rPr>
          <w:rFonts w:ascii="Cambria" w:eastAsia="Times New Roman" w:hAnsi="Cambria" w:cs="Garamond"/>
          <w:sz w:val="20"/>
          <w:szCs w:val="20"/>
          <w:bdr w:val="none" w:sz="0" w:space="0" w:color="auto"/>
          <w:lang w:val="es-ES_tradnl"/>
        </w:rPr>
        <w:t xml:space="preserve">; </w:t>
      </w:r>
      <w:r w:rsidR="004719E3" w:rsidRPr="00DC278B">
        <w:rPr>
          <w:rFonts w:ascii="Cambria" w:eastAsia="Times New Roman" w:hAnsi="Cambria" w:cs="Garamond"/>
          <w:sz w:val="20"/>
          <w:szCs w:val="20"/>
          <w:bdr w:val="none" w:sz="0" w:space="0" w:color="auto"/>
          <w:lang w:val="es-ES_tradnl"/>
        </w:rPr>
        <w:t>y relativas al bienestar social</w:t>
      </w:r>
      <w:r w:rsidR="004719E3" w:rsidRPr="00DC278B">
        <w:rPr>
          <w:rFonts w:ascii="Cambria" w:eastAsia="Times New Roman" w:hAnsi="Cambria" w:cs="Garamond"/>
          <w:sz w:val="20"/>
          <w:szCs w:val="20"/>
          <w:bdr w:val="none" w:sz="0" w:space="0" w:color="auto"/>
          <w:vertAlign w:val="superscript"/>
          <w:lang w:val="es-ES_tradnl"/>
        </w:rPr>
        <w:footnoteReference w:id="29"/>
      </w:r>
      <w:r w:rsidR="004719E3" w:rsidRPr="00DC278B">
        <w:rPr>
          <w:rFonts w:ascii="Cambria" w:eastAsia="Times New Roman" w:hAnsi="Cambria" w:cs="Garamond"/>
          <w:sz w:val="20"/>
          <w:szCs w:val="20"/>
          <w:bdr w:val="none" w:sz="0" w:space="0" w:color="auto"/>
          <w:lang w:val="es-ES_tradnl"/>
        </w:rPr>
        <w:t>.</w:t>
      </w:r>
      <w:r w:rsidRPr="00DC278B">
        <w:rPr>
          <w:rFonts w:ascii="Cambria" w:eastAsia="Times New Roman" w:hAnsi="Cambria" w:cs="Garamond"/>
          <w:sz w:val="20"/>
          <w:szCs w:val="20"/>
          <w:bdr w:val="none" w:sz="0" w:space="0" w:color="auto"/>
          <w:lang w:val="es-ES_tradnl"/>
        </w:rPr>
        <w:t xml:space="preserve"> </w:t>
      </w:r>
      <w:r w:rsidR="00587C05" w:rsidRPr="00DC278B">
        <w:rPr>
          <w:rFonts w:ascii="Cambria" w:eastAsia="Times New Roman" w:hAnsi="Cambria" w:cs="Garamond"/>
          <w:sz w:val="20"/>
          <w:szCs w:val="20"/>
          <w:bdr w:val="none" w:sz="0" w:space="0" w:color="auto"/>
          <w:lang w:val="es-ES_tradnl"/>
        </w:rPr>
        <w:t>El 8 de febrero de 1992</w:t>
      </w:r>
      <w:r w:rsidR="009A1B4C" w:rsidRPr="00DC278B">
        <w:rPr>
          <w:rFonts w:ascii="Cambria" w:eastAsia="Times New Roman" w:hAnsi="Cambria" w:cs="Garamond"/>
          <w:sz w:val="20"/>
          <w:szCs w:val="20"/>
          <w:bdr w:val="none" w:sz="0" w:space="0" w:color="auto"/>
          <w:lang w:val="es-ES_tradnl"/>
        </w:rPr>
        <w:t>,</w:t>
      </w:r>
      <w:r w:rsidR="00587C05" w:rsidRPr="00DC278B">
        <w:rPr>
          <w:rFonts w:ascii="Cambria" w:eastAsia="Times New Roman" w:hAnsi="Cambria" w:cs="Garamond"/>
          <w:sz w:val="20"/>
          <w:szCs w:val="20"/>
          <w:bdr w:val="none" w:sz="0" w:space="0" w:color="auto"/>
          <w:lang w:val="es-ES_tradnl"/>
        </w:rPr>
        <w:t xml:space="preserve"> </w:t>
      </w:r>
      <w:r w:rsidR="009A1B4C" w:rsidRPr="00DC278B">
        <w:rPr>
          <w:rFonts w:ascii="Cambria" w:eastAsia="Times New Roman" w:hAnsi="Cambria" w:cs="Garamond"/>
          <w:sz w:val="20"/>
          <w:szCs w:val="20"/>
          <w:bdr w:val="none" w:sz="0" w:space="0" w:color="auto"/>
          <w:lang w:val="es-ES_tradnl"/>
        </w:rPr>
        <w:t xml:space="preserve">mediante la Ley No. 19.123, </w:t>
      </w:r>
      <w:r w:rsidR="00AF0DA1" w:rsidRPr="00DC278B">
        <w:rPr>
          <w:rFonts w:ascii="Cambria" w:eastAsia="Times New Roman" w:hAnsi="Cambria" w:cs="Garamond"/>
          <w:sz w:val="20"/>
          <w:szCs w:val="20"/>
          <w:bdr w:val="none" w:sz="0" w:space="0" w:color="auto"/>
          <w:lang w:val="es-ES_tradnl"/>
        </w:rPr>
        <w:t>se</w:t>
      </w:r>
      <w:r w:rsidR="00DF1B4B" w:rsidRPr="00DC278B">
        <w:rPr>
          <w:rFonts w:ascii="Cambria" w:eastAsia="Times New Roman" w:hAnsi="Cambria" w:cs="Garamond"/>
          <w:sz w:val="20"/>
          <w:szCs w:val="20"/>
          <w:bdr w:val="none" w:sz="0" w:space="0" w:color="auto"/>
          <w:lang w:val="es-ES_tradnl"/>
        </w:rPr>
        <w:t xml:space="preserve"> creó</w:t>
      </w:r>
      <w:r w:rsidR="004719E3" w:rsidRPr="00DC278B">
        <w:rPr>
          <w:rFonts w:ascii="Cambria" w:eastAsia="Times New Roman" w:hAnsi="Cambria" w:cs="Garamond"/>
          <w:sz w:val="20"/>
          <w:szCs w:val="20"/>
          <w:bdr w:val="none" w:sz="0" w:space="0" w:color="auto"/>
          <w:lang w:val="es-ES_tradnl"/>
        </w:rPr>
        <w:t xml:space="preserve"> la</w:t>
      </w:r>
      <w:r w:rsidR="00DF1B4B" w:rsidRPr="00DC278B">
        <w:rPr>
          <w:rFonts w:ascii="Cambria" w:eastAsia="Times New Roman" w:hAnsi="Cambria" w:cs="Garamond"/>
          <w:sz w:val="20"/>
          <w:szCs w:val="20"/>
          <w:bdr w:val="none" w:sz="0" w:space="0" w:color="auto"/>
          <w:lang w:val="es-ES_tradnl"/>
        </w:rPr>
        <w:t xml:space="preserve"> CNRR</w:t>
      </w:r>
      <w:r w:rsidR="00587C05" w:rsidRPr="00DC278B">
        <w:rPr>
          <w:rFonts w:ascii="Cambria" w:eastAsia="Times New Roman" w:hAnsi="Cambria" w:cs="Garamond"/>
          <w:sz w:val="20"/>
          <w:szCs w:val="20"/>
          <w:bdr w:val="none" w:sz="0" w:space="0" w:color="auto"/>
          <w:lang w:val="es-ES_tradnl"/>
        </w:rPr>
        <w:t xml:space="preserve"> </w:t>
      </w:r>
      <w:r w:rsidR="009A1B4C" w:rsidRPr="00DC278B">
        <w:rPr>
          <w:rFonts w:ascii="Cambria" w:eastAsia="Times New Roman" w:hAnsi="Cambria" w:cs="Garamond"/>
          <w:sz w:val="20"/>
          <w:szCs w:val="20"/>
          <w:bdr w:val="none" w:sz="0" w:space="0" w:color="auto"/>
          <w:lang w:val="es-ES_tradnl"/>
        </w:rPr>
        <w:t xml:space="preserve">cuyo </w:t>
      </w:r>
      <w:r w:rsidR="00DF1B4B" w:rsidRPr="00DC278B">
        <w:rPr>
          <w:rFonts w:ascii="Cambria" w:eastAsia="Times New Roman" w:hAnsi="Cambria" w:cs="Garamond"/>
          <w:sz w:val="20"/>
          <w:szCs w:val="20"/>
          <w:bdr w:val="none" w:sz="0" w:space="0" w:color="auto"/>
          <w:lang w:val="es-ES_tradnl"/>
        </w:rPr>
        <w:t xml:space="preserve">objeto </w:t>
      </w:r>
      <w:r w:rsidR="004719E3" w:rsidRPr="00DC278B">
        <w:rPr>
          <w:rFonts w:ascii="Cambria" w:eastAsia="Times New Roman" w:hAnsi="Cambria" w:cs="Garamond"/>
          <w:sz w:val="20"/>
          <w:szCs w:val="20"/>
          <w:bdr w:val="none" w:sz="0" w:space="0" w:color="auto"/>
          <w:lang w:val="es-ES_tradnl"/>
        </w:rPr>
        <w:t>era “la coordinación, ejecución y promoción de las acciones necesarias para el cumplimiento de las recomendaciones contenidas en el Informe de la Comisión Nacional de Verdad y Reconciliación”</w:t>
      </w:r>
      <w:r w:rsidR="004719E3" w:rsidRPr="00DC278B">
        <w:rPr>
          <w:rFonts w:ascii="Cambria" w:eastAsia="Times New Roman" w:hAnsi="Cambria" w:cs="Garamond"/>
          <w:sz w:val="20"/>
          <w:szCs w:val="20"/>
          <w:bdr w:val="none" w:sz="0" w:space="0" w:color="auto"/>
          <w:vertAlign w:val="superscript"/>
          <w:lang w:val="es-ES_tradnl"/>
        </w:rPr>
        <w:footnoteReference w:id="30"/>
      </w:r>
      <w:r w:rsidR="004719E3" w:rsidRPr="00DC278B">
        <w:rPr>
          <w:rFonts w:ascii="Cambria" w:eastAsia="Times New Roman" w:hAnsi="Cambria" w:cs="Garamond"/>
          <w:sz w:val="20"/>
          <w:szCs w:val="20"/>
          <w:bdr w:val="none" w:sz="0" w:space="0" w:color="auto"/>
          <w:lang w:val="es-ES_tradnl"/>
        </w:rPr>
        <w:t xml:space="preserve">. </w:t>
      </w:r>
      <w:r w:rsidR="002A0C80" w:rsidRPr="00DC278B">
        <w:rPr>
          <w:rFonts w:ascii="Cambria" w:eastAsia="Times New Roman" w:hAnsi="Cambria" w:cs="Garamond"/>
          <w:sz w:val="20"/>
          <w:szCs w:val="20"/>
          <w:bdr w:val="none" w:sz="0" w:space="0" w:color="auto"/>
          <w:lang w:val="es-ES_tradnl"/>
        </w:rPr>
        <w:t xml:space="preserve">Asimismo, </w:t>
      </w:r>
      <w:r w:rsidRPr="00DC278B">
        <w:rPr>
          <w:rFonts w:ascii="Cambria" w:eastAsia="Times New Roman" w:hAnsi="Cambria" w:cs="Garamond"/>
          <w:sz w:val="20"/>
          <w:szCs w:val="20"/>
          <w:bdr w:val="none" w:sz="0" w:space="0" w:color="auto"/>
          <w:lang w:val="es-ES_tradnl"/>
        </w:rPr>
        <w:t xml:space="preserve">esta ley establece </w:t>
      </w:r>
      <w:r w:rsidR="002A0C80" w:rsidRPr="00DC278B">
        <w:rPr>
          <w:rFonts w:ascii="Cambria" w:eastAsia="Times New Roman" w:hAnsi="Cambria" w:cs="Garamond"/>
          <w:sz w:val="20"/>
          <w:szCs w:val="20"/>
          <w:bdr w:val="none" w:sz="0" w:space="0" w:color="auto"/>
          <w:lang w:val="es-ES_tradnl"/>
        </w:rPr>
        <w:t xml:space="preserve">que </w:t>
      </w:r>
      <w:r w:rsidR="00BE1783" w:rsidRPr="00DC278B">
        <w:rPr>
          <w:rFonts w:ascii="Cambria" w:eastAsia="Times New Roman" w:hAnsi="Cambria" w:cs="Garamond"/>
          <w:sz w:val="20"/>
          <w:szCs w:val="20"/>
          <w:bdr w:val="none" w:sz="0" w:space="0" w:color="auto"/>
          <w:lang w:val="es-ES_tradnl"/>
        </w:rPr>
        <w:t xml:space="preserve">a </w:t>
      </w:r>
      <w:r w:rsidRPr="00DC278B">
        <w:rPr>
          <w:rFonts w:ascii="Cambria" w:eastAsia="Times New Roman" w:hAnsi="Cambria" w:cs="Garamond"/>
          <w:sz w:val="20"/>
          <w:szCs w:val="20"/>
          <w:bdr w:val="none" w:sz="0" w:space="0" w:color="auto"/>
          <w:lang w:val="es-ES_tradnl"/>
        </w:rPr>
        <w:t xml:space="preserve">la CNRR, </w:t>
      </w:r>
      <w:r w:rsidR="002A0C80" w:rsidRPr="00DC278B">
        <w:rPr>
          <w:rFonts w:ascii="Cambria" w:eastAsia="Times New Roman" w:hAnsi="Cambria" w:cs="Garamond"/>
          <w:sz w:val="20"/>
          <w:szCs w:val="20"/>
          <w:bdr w:val="none" w:sz="0" w:space="0" w:color="auto"/>
          <w:lang w:val="es-ES_tradnl"/>
        </w:rPr>
        <w:t>le corresponderá, entre otras funciones, p</w:t>
      </w:r>
      <w:r w:rsidRPr="00DC278B">
        <w:rPr>
          <w:rFonts w:ascii="Cambria" w:eastAsia="Times New Roman" w:hAnsi="Cambria" w:cs="Garamond"/>
          <w:sz w:val="20"/>
          <w:szCs w:val="20"/>
          <w:bdr w:val="none" w:sz="0" w:space="0" w:color="auto"/>
          <w:lang w:val="es-ES_tradnl"/>
        </w:rPr>
        <w:t xml:space="preserve">romover la reparación del daño moral de las víctimas y otorgar asistencia social y legal que requieran los familiares de éstas para acceder a los beneficios contemplados en </w:t>
      </w:r>
      <w:r w:rsidR="00BE1783" w:rsidRPr="00DC278B">
        <w:rPr>
          <w:rFonts w:ascii="Cambria" w:eastAsia="Times New Roman" w:hAnsi="Cambria" w:cs="Garamond"/>
          <w:sz w:val="20"/>
          <w:szCs w:val="20"/>
          <w:bdr w:val="none" w:sz="0" w:space="0" w:color="auto"/>
          <w:lang w:val="es-ES_tradnl"/>
        </w:rPr>
        <w:t>l</w:t>
      </w:r>
      <w:r w:rsidRPr="00DC278B">
        <w:rPr>
          <w:rFonts w:ascii="Cambria" w:eastAsia="Times New Roman" w:hAnsi="Cambria" w:cs="Garamond"/>
          <w:sz w:val="20"/>
          <w:szCs w:val="20"/>
          <w:bdr w:val="none" w:sz="0" w:space="0" w:color="auto"/>
          <w:lang w:val="es-ES_tradnl"/>
        </w:rPr>
        <w:t>a ley</w:t>
      </w:r>
      <w:r w:rsidR="002A0C80" w:rsidRPr="00DC278B">
        <w:rPr>
          <w:rFonts w:ascii="Cambria" w:eastAsia="Times New Roman" w:hAnsi="Cambria" w:cs="Garamond"/>
          <w:sz w:val="20"/>
          <w:szCs w:val="20"/>
          <w:bdr w:val="none" w:sz="0" w:space="0" w:color="auto"/>
          <w:vertAlign w:val="superscript"/>
          <w:lang w:val="es-ES_tradnl"/>
        </w:rPr>
        <w:footnoteReference w:id="31"/>
      </w:r>
      <w:r w:rsidRPr="00DC278B">
        <w:rPr>
          <w:rFonts w:ascii="Cambria" w:eastAsia="Times New Roman" w:hAnsi="Cambria" w:cs="Garamond"/>
          <w:sz w:val="20"/>
          <w:szCs w:val="20"/>
          <w:bdr w:val="none" w:sz="0" w:space="0" w:color="auto"/>
          <w:lang w:val="es-ES_tradnl"/>
        </w:rPr>
        <w:t>.</w:t>
      </w:r>
      <w:r w:rsidR="00D30856">
        <w:rPr>
          <w:rFonts w:ascii="Cambria" w:eastAsia="Times New Roman" w:hAnsi="Cambria" w:cs="Garamond"/>
          <w:sz w:val="20"/>
          <w:szCs w:val="20"/>
          <w:bdr w:val="none" w:sz="0" w:space="0" w:color="auto"/>
          <w:lang w:val="es-ES_tradnl"/>
        </w:rPr>
        <w:t xml:space="preserve"> </w:t>
      </w:r>
    </w:p>
    <w:p w:rsidR="008F1F8A" w:rsidRPr="00DC278B" w:rsidRDefault="008F1F8A" w:rsidP="00DC278B">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cs="Garamond"/>
          <w:sz w:val="20"/>
          <w:szCs w:val="20"/>
          <w:bdr w:val="none" w:sz="0" w:space="0" w:color="auto"/>
          <w:lang w:val="es-ES_tradnl"/>
        </w:rPr>
      </w:pPr>
    </w:p>
    <w:p w:rsidR="002A0C80" w:rsidRPr="00DC278B" w:rsidRDefault="002A0C80"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cs="Garamond"/>
          <w:sz w:val="20"/>
          <w:szCs w:val="20"/>
          <w:bdr w:val="none" w:sz="0" w:space="0" w:color="auto"/>
          <w:lang w:val="es-ES_tradnl"/>
        </w:rPr>
      </w:pPr>
      <w:r w:rsidRPr="00DC278B">
        <w:rPr>
          <w:rFonts w:ascii="Cambria" w:eastAsia="Times New Roman" w:hAnsi="Cambria" w:cs="Garamond"/>
          <w:sz w:val="20"/>
          <w:szCs w:val="20"/>
          <w:bdr w:val="none" w:sz="0" w:space="0" w:color="auto"/>
          <w:lang w:val="es-ES_tradnl"/>
        </w:rPr>
        <w:t>A tal efecto, se estableció una pensión mensual en beneficio de los familiares de las víctimas de violaciones a los derechos humanos o de la violencia política</w:t>
      </w:r>
      <w:r w:rsidRPr="00DC278B">
        <w:rPr>
          <w:rFonts w:ascii="Cambria" w:eastAsia="Times New Roman" w:hAnsi="Cambria" w:cs="Garamond"/>
          <w:sz w:val="20"/>
          <w:szCs w:val="20"/>
          <w:bdr w:val="none" w:sz="0" w:space="0" w:color="auto"/>
          <w:vertAlign w:val="superscript"/>
          <w:lang w:val="es-ES_tradnl"/>
        </w:rPr>
        <w:footnoteReference w:id="32"/>
      </w:r>
      <w:r w:rsidRPr="00DC278B">
        <w:rPr>
          <w:rFonts w:ascii="Cambria" w:eastAsia="Times New Roman" w:hAnsi="Cambria" w:cs="Garamond"/>
          <w:sz w:val="20"/>
          <w:szCs w:val="20"/>
          <w:bdr w:val="none" w:sz="0" w:space="0" w:color="auto"/>
          <w:lang w:val="es-ES_tradnl"/>
        </w:rPr>
        <w:t>, se les otorgó el derecho a recibir gratuitamente ciertos beneficios médicos</w:t>
      </w:r>
      <w:r w:rsidRPr="00DC278B">
        <w:rPr>
          <w:rFonts w:ascii="Cambria" w:eastAsia="Times New Roman" w:hAnsi="Cambria" w:cs="Garamond"/>
          <w:sz w:val="20"/>
          <w:szCs w:val="20"/>
          <w:bdr w:val="none" w:sz="0" w:space="0" w:color="auto"/>
          <w:vertAlign w:val="superscript"/>
          <w:lang w:val="es-ES_tradnl"/>
        </w:rPr>
        <w:footnoteReference w:id="33"/>
      </w:r>
      <w:r w:rsidRPr="00DC278B">
        <w:rPr>
          <w:rFonts w:ascii="Cambria" w:eastAsia="Times New Roman" w:hAnsi="Cambria" w:cs="Garamond"/>
          <w:sz w:val="20"/>
          <w:szCs w:val="20"/>
          <w:bdr w:val="none" w:sz="0" w:space="0" w:color="auto"/>
          <w:lang w:val="es-ES_tradnl"/>
        </w:rPr>
        <w:t xml:space="preserve"> y beneficios educacionales</w:t>
      </w:r>
      <w:r w:rsidRPr="00DC278B">
        <w:rPr>
          <w:rFonts w:ascii="Cambria" w:eastAsia="Times New Roman" w:hAnsi="Cambria" w:cs="Garamond"/>
          <w:sz w:val="20"/>
          <w:szCs w:val="20"/>
          <w:bdr w:val="none" w:sz="0" w:space="0" w:color="auto"/>
          <w:vertAlign w:val="superscript"/>
          <w:lang w:val="es-ES_tradnl"/>
        </w:rPr>
        <w:footnoteReference w:id="34"/>
      </w:r>
      <w:r w:rsidRPr="00DC278B">
        <w:rPr>
          <w:rFonts w:ascii="Cambria" w:eastAsia="Times New Roman" w:hAnsi="Cambria" w:cs="Garamond"/>
          <w:sz w:val="20"/>
          <w:szCs w:val="20"/>
          <w:bdr w:val="none" w:sz="0" w:space="0" w:color="auto"/>
          <w:lang w:val="es-ES_tradnl"/>
        </w:rPr>
        <w:t>, y se eximió a los hijos de las víctimas de realizar el servicio militar obligatorio, si así lo solicitaren</w:t>
      </w:r>
      <w:r w:rsidRPr="00DC278B">
        <w:rPr>
          <w:rFonts w:ascii="Cambria" w:eastAsia="Times New Roman" w:hAnsi="Cambria" w:cs="Garamond"/>
          <w:sz w:val="20"/>
          <w:szCs w:val="20"/>
          <w:bdr w:val="none" w:sz="0" w:space="0" w:color="auto"/>
          <w:vertAlign w:val="superscript"/>
          <w:lang w:val="es-ES_tradnl"/>
        </w:rPr>
        <w:footnoteReference w:id="35"/>
      </w:r>
      <w:r w:rsidRPr="00DC278B">
        <w:rPr>
          <w:rFonts w:ascii="Cambria" w:eastAsia="Times New Roman" w:hAnsi="Cambria" w:cs="Garamond"/>
          <w:sz w:val="20"/>
          <w:szCs w:val="20"/>
          <w:bdr w:val="none" w:sz="0" w:space="0" w:color="auto"/>
          <w:lang w:val="es-ES_tradnl"/>
        </w:rPr>
        <w:t>.</w:t>
      </w:r>
      <w:r w:rsidR="00D30856">
        <w:rPr>
          <w:rFonts w:ascii="Cambria" w:eastAsia="Times New Roman" w:hAnsi="Cambria" w:cs="Garamond"/>
          <w:sz w:val="20"/>
          <w:szCs w:val="20"/>
          <w:bdr w:val="none" w:sz="0" w:space="0" w:color="auto"/>
          <w:lang w:val="es-ES_tradnl"/>
        </w:rPr>
        <w:t xml:space="preserve"> </w:t>
      </w:r>
      <w:r w:rsidR="00BF03D8" w:rsidRPr="00DC278B">
        <w:rPr>
          <w:rFonts w:ascii="Cambria" w:eastAsia="Times New Roman" w:hAnsi="Cambria" w:cs="Garamond"/>
          <w:sz w:val="20"/>
          <w:szCs w:val="20"/>
          <w:bdr w:val="none" w:sz="0" w:space="0" w:color="auto"/>
          <w:lang w:val="es-ES_tradnl"/>
        </w:rPr>
        <w:t>Cabe señalar además que su artículo 24 de la citada ley establece que la pensión de reparación será compatible con cualquiera otra de cualquier carácter de que goce o pudiere corresponder al respectivo beneficiario.</w:t>
      </w:r>
    </w:p>
    <w:p w:rsidR="008F1F8A" w:rsidRPr="00DC278B" w:rsidRDefault="008F1F8A" w:rsidP="00DC278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cs="Garamond"/>
          <w:sz w:val="20"/>
          <w:szCs w:val="20"/>
          <w:bdr w:val="none" w:sz="0" w:space="0" w:color="auto"/>
          <w:lang w:val="es-ES_tradnl"/>
        </w:rPr>
      </w:pPr>
    </w:p>
    <w:p w:rsidR="004719E3" w:rsidRPr="00DC278B" w:rsidRDefault="00A411BD"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r w:rsidRPr="00DC278B">
        <w:rPr>
          <w:rFonts w:ascii="Cambria" w:eastAsia="Times New Roman" w:hAnsi="Cambria"/>
          <w:sz w:val="20"/>
          <w:szCs w:val="20"/>
          <w:bdr w:val="none" w:sz="0" w:space="0" w:color="auto"/>
          <w:lang w:val="es-ES_tradnl"/>
        </w:rPr>
        <w:t>Por otro lado, e</w:t>
      </w:r>
      <w:r w:rsidR="004719E3" w:rsidRPr="00DC278B">
        <w:rPr>
          <w:rFonts w:ascii="Cambria" w:eastAsia="Times New Roman" w:hAnsi="Cambria"/>
          <w:sz w:val="20"/>
          <w:szCs w:val="20"/>
          <w:bdr w:val="none" w:sz="0" w:space="0" w:color="auto"/>
          <w:lang w:val="es-ES_tradnl"/>
        </w:rPr>
        <w:t xml:space="preserve">l 11 de noviembre de 2003 </w:t>
      </w:r>
      <w:r w:rsidR="003A6220" w:rsidRPr="00DC278B">
        <w:rPr>
          <w:rFonts w:ascii="Cambria" w:eastAsia="Times New Roman" w:hAnsi="Cambria"/>
          <w:sz w:val="20"/>
          <w:szCs w:val="20"/>
          <w:bdr w:val="none" w:sz="0" w:space="0" w:color="auto"/>
          <w:lang w:val="es-ES_tradnl"/>
        </w:rPr>
        <w:t xml:space="preserve">el Gobierno </w:t>
      </w:r>
      <w:r w:rsidR="00AF0DA1" w:rsidRPr="00DC278B">
        <w:rPr>
          <w:rFonts w:ascii="Cambria" w:eastAsia="Times New Roman" w:hAnsi="Cambria"/>
          <w:sz w:val="20"/>
          <w:szCs w:val="20"/>
          <w:bdr w:val="none" w:sz="0" w:space="0" w:color="auto"/>
          <w:lang w:val="es-ES_tradnl"/>
        </w:rPr>
        <w:t>creó</w:t>
      </w:r>
      <w:r w:rsidR="004719E3" w:rsidRPr="00DC278B">
        <w:rPr>
          <w:rFonts w:ascii="Cambria" w:eastAsia="Times New Roman" w:hAnsi="Cambria"/>
          <w:sz w:val="20"/>
          <w:szCs w:val="20"/>
          <w:bdr w:val="none" w:sz="0" w:space="0" w:color="auto"/>
          <w:lang w:val="es-ES_tradnl"/>
        </w:rPr>
        <w:t xml:space="preserve"> la Comisión </w:t>
      </w:r>
      <w:proofErr w:type="spellStart"/>
      <w:r w:rsidR="008A2B89" w:rsidRPr="00DC278B">
        <w:rPr>
          <w:rFonts w:ascii="Cambria" w:eastAsia="Times New Roman" w:hAnsi="Cambria"/>
          <w:sz w:val="20"/>
          <w:szCs w:val="20"/>
          <w:bdr w:val="none" w:sz="0" w:space="0" w:color="auto"/>
          <w:lang w:val="es-ES_tradnl"/>
        </w:rPr>
        <w:t>Val</w:t>
      </w:r>
      <w:r w:rsidR="003A6220" w:rsidRPr="00DC278B">
        <w:rPr>
          <w:rFonts w:ascii="Cambria" w:eastAsia="Times New Roman" w:hAnsi="Cambria"/>
          <w:sz w:val="20"/>
          <w:szCs w:val="20"/>
          <w:bdr w:val="none" w:sz="0" w:space="0" w:color="auto"/>
          <w:lang w:val="es-ES_tradnl"/>
        </w:rPr>
        <w:t>ech</w:t>
      </w:r>
      <w:proofErr w:type="spellEnd"/>
      <w:r w:rsidR="004719E3" w:rsidRPr="00DC278B">
        <w:rPr>
          <w:rFonts w:ascii="Cambria" w:eastAsia="Times New Roman" w:hAnsi="Cambria"/>
          <w:sz w:val="20"/>
          <w:szCs w:val="20"/>
          <w:bdr w:val="none" w:sz="0" w:space="0" w:color="auto"/>
          <w:lang w:val="es-ES_tradnl"/>
        </w:rPr>
        <w:t xml:space="preserve">, </w:t>
      </w:r>
      <w:r w:rsidR="002E67C3" w:rsidRPr="00DC278B">
        <w:rPr>
          <w:rFonts w:ascii="Cambria" w:eastAsia="Times New Roman" w:hAnsi="Cambria"/>
          <w:sz w:val="20"/>
          <w:szCs w:val="20"/>
          <w:bdr w:val="none" w:sz="0" w:space="0" w:color="auto"/>
          <w:lang w:val="es-ES_tradnl"/>
        </w:rPr>
        <w:t>mediante D.S.</w:t>
      </w:r>
      <w:r w:rsidR="003A6220" w:rsidRPr="00DC278B">
        <w:rPr>
          <w:rFonts w:ascii="Cambria" w:eastAsia="Times New Roman" w:hAnsi="Cambria"/>
          <w:sz w:val="20"/>
          <w:szCs w:val="20"/>
          <w:bdr w:val="none" w:sz="0" w:space="0" w:color="auto"/>
          <w:lang w:val="es-ES_tradnl"/>
        </w:rPr>
        <w:t xml:space="preserve"> No. 1.040, </w:t>
      </w:r>
      <w:r w:rsidR="004719E3" w:rsidRPr="00DC278B">
        <w:rPr>
          <w:rFonts w:ascii="Cambria" w:eastAsia="Times New Roman" w:hAnsi="Cambria"/>
          <w:sz w:val="20"/>
          <w:szCs w:val="20"/>
          <w:bdr w:val="none" w:sz="0" w:space="0" w:color="auto"/>
          <w:lang w:val="es-ES_tradnl"/>
        </w:rPr>
        <w:t xml:space="preserve">cuyo fin era </w:t>
      </w:r>
      <w:r w:rsidR="00CB6A15" w:rsidRPr="00DC278B">
        <w:rPr>
          <w:rFonts w:ascii="Cambria" w:eastAsia="Times New Roman" w:hAnsi="Cambria"/>
          <w:sz w:val="20"/>
          <w:szCs w:val="20"/>
          <w:bdr w:val="none" w:sz="0" w:space="0" w:color="auto"/>
          <w:lang w:val="es-ES_tradnl"/>
        </w:rPr>
        <w:t>determinar quiénes</w:t>
      </w:r>
      <w:r w:rsidR="004719E3" w:rsidRPr="00DC278B">
        <w:rPr>
          <w:rFonts w:ascii="Cambria" w:eastAsia="Times New Roman" w:hAnsi="Cambria"/>
          <w:sz w:val="20"/>
          <w:szCs w:val="20"/>
          <w:bdr w:val="none" w:sz="0" w:space="0" w:color="auto"/>
          <w:lang w:val="es-ES_tradnl"/>
        </w:rPr>
        <w:t xml:space="preserve"> fueron las personas que</w:t>
      </w:r>
      <w:r w:rsidR="00AF0DA1" w:rsidRPr="00DC278B">
        <w:rPr>
          <w:rFonts w:ascii="Cambria" w:eastAsia="Times New Roman" w:hAnsi="Cambria"/>
          <w:sz w:val="20"/>
          <w:szCs w:val="20"/>
          <w:bdr w:val="none" w:sz="0" w:space="0" w:color="auto"/>
          <w:lang w:val="es-ES_tradnl"/>
        </w:rPr>
        <w:t xml:space="preserve"> sufrieron privación de libertad</w:t>
      </w:r>
      <w:r w:rsidR="004719E3" w:rsidRPr="00DC278B">
        <w:rPr>
          <w:rFonts w:ascii="Cambria" w:eastAsia="Times New Roman" w:hAnsi="Cambria"/>
          <w:sz w:val="20"/>
          <w:szCs w:val="20"/>
          <w:bdr w:val="none" w:sz="0" w:space="0" w:color="auto"/>
          <w:lang w:val="es-ES_tradnl"/>
        </w:rPr>
        <w:t xml:space="preserve"> y tortura</w:t>
      </w:r>
      <w:r w:rsidR="003A6220" w:rsidRPr="00DC278B">
        <w:rPr>
          <w:rFonts w:ascii="Cambria" w:eastAsia="Times New Roman" w:hAnsi="Cambria"/>
          <w:sz w:val="20"/>
          <w:szCs w:val="20"/>
          <w:bdr w:val="none" w:sz="0" w:space="0" w:color="auto"/>
          <w:lang w:val="es-ES_tradnl"/>
        </w:rPr>
        <w:t>,</w:t>
      </w:r>
      <w:r w:rsidR="004719E3" w:rsidRPr="00DC278B">
        <w:rPr>
          <w:rFonts w:ascii="Cambria" w:eastAsia="Times New Roman" w:hAnsi="Cambria"/>
          <w:sz w:val="20"/>
          <w:szCs w:val="20"/>
          <w:bdr w:val="none" w:sz="0" w:space="0" w:color="auto"/>
          <w:lang w:val="es-ES_tradnl"/>
        </w:rPr>
        <w:t xml:space="preserve"> por razones</w:t>
      </w:r>
      <w:r w:rsidR="003A6220" w:rsidRPr="00DC278B">
        <w:rPr>
          <w:rFonts w:ascii="Cambria" w:eastAsia="Times New Roman" w:hAnsi="Cambria"/>
          <w:sz w:val="20"/>
          <w:szCs w:val="20"/>
          <w:bdr w:val="none" w:sz="0" w:space="0" w:color="auto"/>
          <w:lang w:val="es-ES_tradnl"/>
        </w:rPr>
        <w:t xml:space="preserve"> políticas</w:t>
      </w:r>
      <w:r w:rsidR="00AF0DA1" w:rsidRPr="00DC278B">
        <w:rPr>
          <w:rFonts w:ascii="Cambria" w:eastAsia="Times New Roman" w:hAnsi="Cambria"/>
          <w:sz w:val="20"/>
          <w:szCs w:val="20"/>
          <w:bdr w:val="none" w:sz="0" w:space="0" w:color="auto"/>
          <w:lang w:val="es-ES_tradnl"/>
        </w:rPr>
        <w:t>,</w:t>
      </w:r>
      <w:r w:rsidR="003A6220" w:rsidRPr="00DC278B">
        <w:rPr>
          <w:rFonts w:ascii="Cambria" w:eastAsia="Times New Roman" w:hAnsi="Cambria"/>
          <w:sz w:val="20"/>
          <w:szCs w:val="20"/>
          <w:bdr w:val="none" w:sz="0" w:space="0" w:color="auto"/>
          <w:lang w:val="es-ES_tradnl"/>
        </w:rPr>
        <w:t xml:space="preserve"> en el periodo de la d</w:t>
      </w:r>
      <w:r w:rsidR="004719E3" w:rsidRPr="00DC278B">
        <w:rPr>
          <w:rFonts w:ascii="Cambria" w:eastAsia="Times New Roman" w:hAnsi="Cambria"/>
          <w:sz w:val="20"/>
          <w:szCs w:val="20"/>
          <w:bdr w:val="none" w:sz="0" w:space="0" w:color="auto"/>
          <w:lang w:val="es-ES_tradnl"/>
        </w:rPr>
        <w:t>ictadura militar</w:t>
      </w:r>
      <w:r w:rsidR="00FA5957" w:rsidRPr="00DC278B">
        <w:rPr>
          <w:rFonts w:ascii="Cambria" w:eastAsia="Times New Roman" w:hAnsi="Cambria"/>
          <w:sz w:val="20"/>
          <w:szCs w:val="20"/>
          <w:bdr w:val="none" w:sz="0" w:space="0" w:color="auto"/>
          <w:lang w:val="es-ES_tradnl"/>
        </w:rPr>
        <w:t xml:space="preserve"> y proponer medidas de reparación</w:t>
      </w:r>
      <w:r w:rsidR="0025035A" w:rsidRPr="00DC278B">
        <w:rPr>
          <w:rFonts w:ascii="Cambria" w:eastAsia="Times New Roman" w:hAnsi="Cambria"/>
          <w:sz w:val="20"/>
          <w:szCs w:val="20"/>
          <w:bdr w:val="none" w:sz="0" w:space="0" w:color="auto"/>
          <w:lang w:val="es-ES_tradnl"/>
        </w:rPr>
        <w:t>,</w:t>
      </w:r>
      <w:r w:rsidR="00FA5957" w:rsidRPr="00DC278B">
        <w:rPr>
          <w:rFonts w:ascii="Cambria" w:eastAsia="Times New Roman" w:hAnsi="Cambria"/>
          <w:sz w:val="20"/>
          <w:szCs w:val="20"/>
          <w:bdr w:val="none" w:sz="0" w:space="0" w:color="auto"/>
          <w:lang w:val="es-ES_tradnl"/>
        </w:rPr>
        <w:t xml:space="preserve"> </w:t>
      </w:r>
      <w:r w:rsidR="00FA5957" w:rsidRPr="00DC278B">
        <w:rPr>
          <w:rFonts w:ascii="Cambria" w:eastAsia="Times New Roman" w:hAnsi="Cambria"/>
          <w:sz w:val="20"/>
          <w:szCs w:val="20"/>
          <w:bdr w:val="none" w:sz="0" w:space="0" w:color="auto"/>
          <w:lang w:val="es-ES_tradnl"/>
        </w:rPr>
        <w:lastRenderedPageBreak/>
        <w:t>austeras y simbólicas para las víctimas</w:t>
      </w:r>
      <w:r w:rsidR="004719E3" w:rsidRPr="00DC278B">
        <w:rPr>
          <w:rFonts w:ascii="Cambria" w:eastAsia="Times New Roman" w:hAnsi="Cambria"/>
          <w:sz w:val="20"/>
          <w:szCs w:val="20"/>
          <w:bdr w:val="none" w:sz="0" w:space="0" w:color="auto"/>
          <w:vertAlign w:val="superscript"/>
          <w:lang w:val="es-ES_tradnl"/>
        </w:rPr>
        <w:footnoteReference w:id="36"/>
      </w:r>
      <w:r w:rsidR="004719E3" w:rsidRPr="00DC278B">
        <w:rPr>
          <w:rFonts w:ascii="Cambria" w:eastAsia="Times New Roman" w:hAnsi="Cambria"/>
          <w:sz w:val="20"/>
          <w:szCs w:val="20"/>
          <w:bdr w:val="none" w:sz="0" w:space="0" w:color="auto"/>
          <w:lang w:val="es-ES_tradnl"/>
        </w:rPr>
        <w:t>. Asimismo, la Comisión</w:t>
      </w:r>
      <w:r w:rsidR="008A2B89" w:rsidRPr="00DC278B">
        <w:rPr>
          <w:rFonts w:ascii="Cambria" w:eastAsia="Times New Roman" w:hAnsi="Cambria"/>
          <w:sz w:val="20"/>
          <w:szCs w:val="20"/>
          <w:bdr w:val="none" w:sz="0" w:space="0" w:color="auto"/>
          <w:lang w:val="es-ES_tradnl"/>
        </w:rPr>
        <w:t xml:space="preserve"> </w:t>
      </w:r>
      <w:proofErr w:type="spellStart"/>
      <w:r w:rsidR="008A2B89" w:rsidRPr="00DC278B">
        <w:rPr>
          <w:rFonts w:ascii="Cambria" w:eastAsia="Times New Roman" w:hAnsi="Cambria"/>
          <w:sz w:val="20"/>
          <w:szCs w:val="20"/>
          <w:bdr w:val="none" w:sz="0" w:space="0" w:color="auto"/>
          <w:lang w:val="es-ES_tradnl"/>
        </w:rPr>
        <w:t>Val</w:t>
      </w:r>
      <w:r w:rsidR="003A6220" w:rsidRPr="00DC278B">
        <w:rPr>
          <w:rFonts w:ascii="Cambria" w:eastAsia="Times New Roman" w:hAnsi="Cambria"/>
          <w:sz w:val="20"/>
          <w:szCs w:val="20"/>
          <w:bdr w:val="none" w:sz="0" w:space="0" w:color="auto"/>
          <w:lang w:val="es-ES_tradnl"/>
        </w:rPr>
        <w:t>ech</w:t>
      </w:r>
      <w:proofErr w:type="spellEnd"/>
      <w:r w:rsidR="003A6220" w:rsidRPr="00DC278B">
        <w:rPr>
          <w:rFonts w:ascii="Cambria" w:eastAsia="Times New Roman" w:hAnsi="Cambria"/>
          <w:sz w:val="20"/>
          <w:szCs w:val="20"/>
          <w:bdr w:val="none" w:sz="0" w:space="0" w:color="auto"/>
          <w:lang w:val="es-ES_tradnl"/>
        </w:rPr>
        <w:t>,</w:t>
      </w:r>
      <w:r w:rsidR="008F2478" w:rsidRPr="00DC278B">
        <w:rPr>
          <w:rFonts w:ascii="Cambria" w:eastAsia="Times New Roman" w:hAnsi="Cambria"/>
          <w:sz w:val="20"/>
          <w:szCs w:val="20"/>
          <w:bdr w:val="none" w:sz="0" w:space="0" w:color="auto"/>
          <w:lang w:val="es-ES_tradnl"/>
        </w:rPr>
        <w:t xml:space="preserve"> emitió un</w:t>
      </w:r>
      <w:r w:rsidR="004719E3" w:rsidRPr="00DC278B">
        <w:rPr>
          <w:rFonts w:ascii="Cambria" w:eastAsia="Times New Roman" w:hAnsi="Cambria"/>
          <w:sz w:val="20"/>
          <w:szCs w:val="20"/>
          <w:bdr w:val="none" w:sz="0" w:space="0" w:color="auto"/>
          <w:lang w:val="es-ES_tradnl"/>
        </w:rPr>
        <w:t xml:space="preserve"> informe final</w:t>
      </w:r>
      <w:r w:rsidR="003A6220" w:rsidRPr="00DC278B">
        <w:rPr>
          <w:rFonts w:ascii="Cambria" w:eastAsia="Times New Roman" w:hAnsi="Cambria"/>
          <w:sz w:val="20"/>
          <w:szCs w:val="20"/>
          <w:bdr w:val="none" w:sz="0" w:space="0" w:color="auto"/>
          <w:lang w:val="es-ES_tradnl"/>
        </w:rPr>
        <w:t>,</w:t>
      </w:r>
      <w:r w:rsidR="004719E3" w:rsidRPr="00DC278B">
        <w:rPr>
          <w:rFonts w:ascii="Cambria" w:eastAsia="Times New Roman" w:hAnsi="Cambria"/>
          <w:sz w:val="20"/>
          <w:szCs w:val="20"/>
          <w:bdr w:val="none" w:sz="0" w:space="0" w:color="auto"/>
          <w:lang w:val="es-ES_tradnl"/>
        </w:rPr>
        <w:t xml:space="preserve"> </w:t>
      </w:r>
      <w:r w:rsidR="008A2B89" w:rsidRPr="00DC278B">
        <w:rPr>
          <w:rFonts w:ascii="Cambria" w:eastAsia="Times New Roman" w:hAnsi="Cambria"/>
          <w:sz w:val="20"/>
          <w:szCs w:val="20"/>
          <w:bdr w:val="none" w:sz="0" w:space="0" w:color="auto"/>
          <w:lang w:val="es-ES_tradnl"/>
        </w:rPr>
        <w:t>publi</w:t>
      </w:r>
      <w:r w:rsidR="00FA5957" w:rsidRPr="00DC278B">
        <w:rPr>
          <w:rFonts w:ascii="Cambria" w:eastAsia="Times New Roman" w:hAnsi="Cambria"/>
          <w:sz w:val="20"/>
          <w:szCs w:val="20"/>
          <w:bdr w:val="none" w:sz="0" w:space="0" w:color="auto"/>
          <w:lang w:val="es-ES_tradnl"/>
        </w:rPr>
        <w:t>cado el 29 de noviembre de 2004</w:t>
      </w:r>
      <w:r w:rsidR="004719E3" w:rsidRPr="00DC278B">
        <w:rPr>
          <w:rFonts w:ascii="Cambria" w:eastAsia="Times New Roman" w:hAnsi="Cambria"/>
          <w:sz w:val="20"/>
          <w:szCs w:val="20"/>
          <w:bdr w:val="none" w:sz="0" w:space="0" w:color="auto"/>
          <w:vertAlign w:val="superscript"/>
          <w:lang w:val="es-ES_tradnl"/>
        </w:rPr>
        <w:footnoteReference w:id="37"/>
      </w:r>
      <w:r w:rsidR="004719E3" w:rsidRPr="00DC278B">
        <w:rPr>
          <w:rFonts w:ascii="Cambria" w:eastAsia="Times New Roman" w:hAnsi="Cambria"/>
          <w:sz w:val="20"/>
          <w:szCs w:val="20"/>
          <w:bdr w:val="none" w:sz="0" w:space="0" w:color="auto"/>
          <w:lang w:val="es-ES_tradnl"/>
        </w:rPr>
        <w:t>.</w:t>
      </w:r>
    </w:p>
    <w:p w:rsidR="00DE09A5" w:rsidRPr="00DC278B" w:rsidRDefault="00DE09A5" w:rsidP="00DC278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p>
    <w:p w:rsidR="007D33BB" w:rsidRPr="00DC278B" w:rsidRDefault="004719E3"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r w:rsidRPr="00DC278B">
        <w:rPr>
          <w:rFonts w:ascii="Cambria" w:eastAsia="Times New Roman" w:hAnsi="Cambria"/>
          <w:sz w:val="20"/>
          <w:szCs w:val="20"/>
          <w:bdr w:val="none" w:sz="0" w:space="0" w:color="auto"/>
          <w:lang w:val="es-ES_tradnl"/>
        </w:rPr>
        <w:t>El 29 de octubre de 2004 se promulgó la Ley No. 19.980 que modificó la Ley No. 19.123, ampliando y estableciendo nuevos beneficios a favor de los familiares de las v</w:t>
      </w:r>
      <w:r w:rsidR="00F05752" w:rsidRPr="00DC278B">
        <w:rPr>
          <w:rFonts w:ascii="Cambria" w:eastAsia="Times New Roman" w:hAnsi="Cambria"/>
          <w:sz w:val="20"/>
          <w:szCs w:val="20"/>
          <w:bdr w:val="none" w:sz="0" w:space="0" w:color="auto"/>
          <w:lang w:val="es-ES_tradnl"/>
        </w:rPr>
        <w:t>íctimas, entre los que destacan:</w:t>
      </w:r>
      <w:r w:rsidRPr="00DC278B">
        <w:rPr>
          <w:rFonts w:ascii="Cambria" w:eastAsia="Times New Roman" w:hAnsi="Cambria"/>
          <w:sz w:val="20"/>
          <w:szCs w:val="20"/>
          <w:bdr w:val="none" w:sz="0" w:space="0" w:color="auto"/>
          <w:lang w:val="es-ES_tradnl"/>
        </w:rPr>
        <w:t xml:space="preserve"> el incremento del 50 por ciento del monto de la pensión de reparación mensual, </w:t>
      </w:r>
      <w:r w:rsidR="002D18B6" w:rsidRPr="00DC278B">
        <w:rPr>
          <w:rFonts w:ascii="Cambria" w:eastAsia="Times New Roman" w:hAnsi="Cambria"/>
          <w:sz w:val="20"/>
          <w:szCs w:val="20"/>
          <w:bdr w:val="none" w:sz="0" w:space="0" w:color="auto"/>
          <w:lang w:val="es-ES_tradnl"/>
        </w:rPr>
        <w:t>la concesión de un bono de reparación</w:t>
      </w:r>
      <w:r w:rsidR="002D18B6" w:rsidRPr="00DC278B">
        <w:rPr>
          <w:rStyle w:val="Refdenotaalpie"/>
          <w:rFonts w:ascii="Cambria" w:eastAsia="Times New Roman" w:hAnsi="Cambria"/>
          <w:sz w:val="20"/>
          <w:szCs w:val="20"/>
          <w:bdr w:val="none" w:sz="0" w:space="0" w:color="auto"/>
          <w:lang w:val="es-ES_tradnl"/>
        </w:rPr>
        <w:footnoteReference w:id="38"/>
      </w:r>
      <w:r w:rsidR="002D18B6" w:rsidRPr="00DC278B">
        <w:rPr>
          <w:rFonts w:ascii="Cambria" w:eastAsia="Times New Roman" w:hAnsi="Cambria"/>
          <w:sz w:val="20"/>
          <w:szCs w:val="20"/>
          <w:bdr w:val="none" w:sz="0" w:space="0" w:color="auto"/>
          <w:lang w:val="es-ES_tradnl"/>
        </w:rPr>
        <w:t xml:space="preserve">, </w:t>
      </w:r>
      <w:r w:rsidRPr="00DC278B">
        <w:rPr>
          <w:rFonts w:ascii="Cambria" w:eastAsia="Times New Roman" w:hAnsi="Cambria"/>
          <w:sz w:val="20"/>
          <w:szCs w:val="20"/>
          <w:bdr w:val="none" w:sz="0" w:space="0" w:color="auto"/>
          <w:lang w:val="es-ES_tradnl"/>
        </w:rPr>
        <w:t>la concesión al Presidente de la República de la facultad para otorgar un máximo de 200 pensiones de gracia y la ampliación de los beneficios en salud</w:t>
      </w:r>
      <w:r w:rsidRPr="00DC278B">
        <w:rPr>
          <w:rFonts w:ascii="Cambria" w:eastAsia="Times New Roman" w:hAnsi="Cambria"/>
          <w:sz w:val="20"/>
          <w:szCs w:val="20"/>
          <w:bdr w:val="none" w:sz="0" w:space="0" w:color="auto"/>
          <w:vertAlign w:val="superscript"/>
          <w:lang w:val="es-ES_tradnl"/>
        </w:rPr>
        <w:footnoteReference w:id="39"/>
      </w:r>
      <w:r w:rsidRPr="00DC278B">
        <w:rPr>
          <w:rFonts w:ascii="Cambria" w:eastAsia="Times New Roman" w:hAnsi="Cambria"/>
          <w:sz w:val="20"/>
          <w:szCs w:val="20"/>
          <w:bdr w:val="none" w:sz="0" w:space="0" w:color="auto"/>
          <w:lang w:val="es-ES_tradnl"/>
        </w:rPr>
        <w:t xml:space="preserve">. </w:t>
      </w:r>
    </w:p>
    <w:p w:rsidR="00DE09A5" w:rsidRPr="00DC278B" w:rsidRDefault="00DE09A5" w:rsidP="00DC278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p>
    <w:p w:rsidR="004719E3" w:rsidRPr="00DC278B" w:rsidRDefault="004719E3"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r w:rsidRPr="00DC278B">
        <w:rPr>
          <w:rFonts w:ascii="Cambria" w:eastAsia="Times New Roman" w:hAnsi="Cambria"/>
          <w:sz w:val="20"/>
          <w:szCs w:val="20"/>
          <w:bdr w:val="none" w:sz="0" w:space="0" w:color="auto"/>
          <w:lang w:val="es-ES_tradnl"/>
        </w:rPr>
        <w:t>Además de las citadas medidas d</w:t>
      </w:r>
      <w:r w:rsidR="003A6220" w:rsidRPr="00DC278B">
        <w:rPr>
          <w:rFonts w:ascii="Cambria" w:eastAsia="Times New Roman" w:hAnsi="Cambria"/>
          <w:sz w:val="20"/>
          <w:szCs w:val="20"/>
          <w:bdr w:val="none" w:sz="0" w:space="0" w:color="auto"/>
          <w:lang w:val="es-ES_tradnl"/>
        </w:rPr>
        <w:t xml:space="preserve">e reparación el Estado </w:t>
      </w:r>
      <w:r w:rsidR="00F84D44" w:rsidRPr="00DC278B">
        <w:rPr>
          <w:rFonts w:ascii="Cambria" w:eastAsia="Times New Roman" w:hAnsi="Cambria"/>
          <w:sz w:val="20"/>
          <w:szCs w:val="20"/>
          <w:bdr w:val="none" w:sz="0" w:space="0" w:color="auto"/>
          <w:lang w:val="es-ES_tradnl"/>
        </w:rPr>
        <w:t>creó e implementó</w:t>
      </w:r>
      <w:r w:rsidR="003A6220" w:rsidRPr="00DC278B">
        <w:rPr>
          <w:rFonts w:ascii="Cambria" w:eastAsia="Times New Roman" w:hAnsi="Cambria"/>
          <w:sz w:val="20"/>
          <w:szCs w:val="20"/>
          <w:bdr w:val="none" w:sz="0" w:space="0" w:color="auto"/>
          <w:lang w:val="es-ES_tradnl"/>
        </w:rPr>
        <w:t xml:space="preserve">: </w:t>
      </w:r>
      <w:r w:rsidRPr="00DC278B">
        <w:rPr>
          <w:rFonts w:ascii="Cambria" w:eastAsia="Times New Roman" w:hAnsi="Cambria"/>
          <w:sz w:val="20"/>
          <w:szCs w:val="20"/>
          <w:bdr w:val="none" w:sz="0" w:space="0" w:color="auto"/>
          <w:lang w:val="es-ES_tradnl"/>
        </w:rPr>
        <w:t xml:space="preserve">i) </w:t>
      </w:r>
      <w:r w:rsidR="003A6220" w:rsidRPr="00DC278B">
        <w:rPr>
          <w:rFonts w:ascii="Cambria" w:eastAsia="Times New Roman" w:hAnsi="Cambria"/>
          <w:sz w:val="20"/>
          <w:szCs w:val="20"/>
          <w:bdr w:val="none" w:sz="0" w:space="0" w:color="auto"/>
          <w:lang w:val="es-ES_tradnl"/>
        </w:rPr>
        <w:t xml:space="preserve">el Programa </w:t>
      </w:r>
      <w:r w:rsidRPr="00DC278B">
        <w:rPr>
          <w:rFonts w:ascii="Cambria" w:eastAsia="Times New Roman" w:hAnsi="Cambria"/>
          <w:sz w:val="20"/>
          <w:szCs w:val="20"/>
          <w:bdr w:val="none" w:sz="0" w:space="0" w:color="auto"/>
          <w:lang w:val="es-ES_tradnl"/>
        </w:rPr>
        <w:t>de Apoyo a los Presos Políticos que al 11 de marzo de 1990 se encontraban privad</w:t>
      </w:r>
      <w:r w:rsidR="003A6220" w:rsidRPr="00DC278B">
        <w:rPr>
          <w:rFonts w:ascii="Cambria" w:eastAsia="Times New Roman" w:hAnsi="Cambria"/>
          <w:sz w:val="20"/>
          <w:szCs w:val="20"/>
          <w:bdr w:val="none" w:sz="0" w:space="0" w:color="auto"/>
          <w:lang w:val="es-ES_tradnl"/>
        </w:rPr>
        <w:t>os de la libertad; ii) el PRAIS</w:t>
      </w:r>
      <w:r w:rsidRPr="00DC278B">
        <w:rPr>
          <w:rFonts w:ascii="Cambria" w:eastAsia="Times New Roman" w:hAnsi="Cambria"/>
          <w:sz w:val="20"/>
          <w:szCs w:val="20"/>
          <w:bdr w:val="none" w:sz="0" w:space="0" w:color="auto"/>
          <w:lang w:val="es-ES_tradnl"/>
        </w:rPr>
        <w:t xml:space="preserve">; iii) </w:t>
      </w:r>
      <w:r w:rsidR="003A6220" w:rsidRPr="00DC278B">
        <w:rPr>
          <w:rFonts w:ascii="Cambria" w:eastAsia="Times New Roman" w:hAnsi="Cambria"/>
          <w:sz w:val="20"/>
          <w:szCs w:val="20"/>
          <w:bdr w:val="none" w:sz="0" w:space="0" w:color="auto"/>
          <w:lang w:val="es-ES_tradnl"/>
        </w:rPr>
        <w:t xml:space="preserve">el Programa </w:t>
      </w:r>
      <w:r w:rsidRPr="00DC278B">
        <w:rPr>
          <w:rFonts w:ascii="Cambria" w:eastAsia="Times New Roman" w:hAnsi="Cambria"/>
          <w:sz w:val="20"/>
          <w:szCs w:val="20"/>
          <w:bdr w:val="none" w:sz="0" w:space="0" w:color="auto"/>
          <w:lang w:val="es-ES_tradnl"/>
        </w:rPr>
        <w:t xml:space="preserve">de Derechos Humanos del Ministerio del Interior; iv) mejoras tecnológicas al Servicio Médico Legal; v) la Oficina Nacional del Retorno; vi) el Programa para Exonerados Políticos; vii) la restitución o indemnización por bienes confiscados y adquiridos por </w:t>
      </w:r>
      <w:r w:rsidR="00F84D44" w:rsidRPr="00DC278B">
        <w:rPr>
          <w:rFonts w:ascii="Cambria" w:eastAsia="Times New Roman" w:hAnsi="Cambria"/>
          <w:sz w:val="20"/>
          <w:szCs w:val="20"/>
          <w:bdr w:val="none" w:sz="0" w:space="0" w:color="auto"/>
          <w:lang w:val="es-ES_tradnl"/>
        </w:rPr>
        <w:t xml:space="preserve">el Estado; viii) </w:t>
      </w:r>
      <w:r w:rsidRPr="00DC278B">
        <w:rPr>
          <w:rFonts w:ascii="Cambria" w:eastAsia="Times New Roman" w:hAnsi="Cambria"/>
          <w:sz w:val="20"/>
          <w:szCs w:val="20"/>
          <w:bdr w:val="none" w:sz="0" w:space="0" w:color="auto"/>
          <w:lang w:val="es-ES_tradnl"/>
        </w:rPr>
        <w:t>la Mesa de Diálogo sobre Derechos Humanos, y ix) la iniciativa presidencial “No hay mañana sin ayer” del Presidente Ricardo La</w:t>
      </w:r>
      <w:r w:rsidR="00B26FB4" w:rsidRPr="00DC278B">
        <w:rPr>
          <w:rFonts w:ascii="Cambria" w:eastAsia="Times New Roman" w:hAnsi="Cambria"/>
          <w:sz w:val="20"/>
          <w:szCs w:val="20"/>
          <w:bdr w:val="none" w:sz="0" w:space="0" w:color="auto"/>
          <w:lang w:val="es-ES_tradnl"/>
        </w:rPr>
        <w:t>gos</w:t>
      </w:r>
      <w:r w:rsidRPr="00DC278B">
        <w:rPr>
          <w:rFonts w:ascii="Cambria" w:eastAsia="Times New Roman" w:hAnsi="Cambria"/>
          <w:sz w:val="20"/>
          <w:szCs w:val="20"/>
          <w:bdr w:val="none" w:sz="0" w:space="0" w:color="auto"/>
          <w:vertAlign w:val="superscript"/>
          <w:lang w:val="es-ES_tradnl"/>
        </w:rPr>
        <w:footnoteReference w:id="40"/>
      </w:r>
      <w:r w:rsidR="00B26FB4" w:rsidRPr="00DC278B">
        <w:rPr>
          <w:rFonts w:ascii="Cambria" w:eastAsia="Times New Roman" w:hAnsi="Cambria"/>
          <w:sz w:val="20"/>
          <w:szCs w:val="20"/>
          <w:bdr w:val="none" w:sz="0" w:space="0" w:color="auto"/>
          <w:lang w:val="es-ES_tradnl"/>
        </w:rPr>
        <w:t>.</w:t>
      </w:r>
    </w:p>
    <w:p w:rsidR="000E7F36" w:rsidRPr="00DC278B" w:rsidRDefault="000E7F36" w:rsidP="00DC278B">
      <w:pPr>
        <w:rPr>
          <w:rFonts w:ascii="Cambria" w:eastAsia="Times New Roman" w:hAnsi="Cambria"/>
          <w:b/>
          <w:sz w:val="20"/>
          <w:szCs w:val="20"/>
          <w:bdr w:val="none" w:sz="0" w:space="0" w:color="auto"/>
          <w:lang w:val="es-ES_tradnl"/>
        </w:rPr>
      </w:pPr>
    </w:p>
    <w:p w:rsidR="002E11D8" w:rsidRPr="00DC278B" w:rsidRDefault="00E24E60" w:rsidP="00DC278B">
      <w:pPr>
        <w:pStyle w:val="Ttulo2"/>
      </w:pPr>
      <w:bookmarkStart w:id="17" w:name="_Toc413397472"/>
      <w:r w:rsidRPr="00DC278B">
        <w:t>B.</w:t>
      </w:r>
      <w:r w:rsidRPr="00DC278B">
        <w:tab/>
      </w:r>
      <w:r w:rsidR="00C72736" w:rsidRPr="00DC278B">
        <w:t>Normativa del Código Civil relevante</w:t>
      </w:r>
      <w:bookmarkEnd w:id="17"/>
    </w:p>
    <w:p w:rsidR="000B60D1" w:rsidRPr="00DC278B" w:rsidRDefault="000B60D1" w:rsidP="00DC278B">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sz w:val="20"/>
          <w:szCs w:val="20"/>
          <w:bdr w:val="none" w:sz="0" w:space="0" w:color="auto"/>
          <w:lang w:val="es-ES_tradnl"/>
        </w:rPr>
      </w:pPr>
    </w:p>
    <w:p w:rsidR="00D974F6" w:rsidRPr="00DC278B" w:rsidRDefault="00495F35"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r w:rsidRPr="00DC278B">
        <w:rPr>
          <w:rFonts w:ascii="Cambria" w:eastAsia="Times New Roman" w:hAnsi="Cambria"/>
          <w:sz w:val="20"/>
          <w:szCs w:val="20"/>
          <w:bdr w:val="none" w:sz="0" w:space="0" w:color="auto"/>
          <w:lang w:val="es-ES_tradnl"/>
        </w:rPr>
        <w:t>El Código Civil de Chile</w:t>
      </w:r>
      <w:r w:rsidR="00B90EC1" w:rsidRPr="00DC278B">
        <w:rPr>
          <w:rFonts w:ascii="Cambria" w:eastAsia="Times New Roman" w:hAnsi="Cambria"/>
          <w:sz w:val="20"/>
          <w:szCs w:val="20"/>
          <w:bdr w:val="none" w:sz="0" w:space="0" w:color="auto"/>
          <w:lang w:val="es-ES_tradnl"/>
        </w:rPr>
        <w:t xml:space="preserve">, </w:t>
      </w:r>
      <w:r w:rsidR="00D974F6" w:rsidRPr="00DC278B">
        <w:rPr>
          <w:rFonts w:ascii="Cambria" w:eastAsia="Times New Roman" w:hAnsi="Cambria"/>
          <w:sz w:val="20"/>
          <w:szCs w:val="20"/>
          <w:bdr w:val="none" w:sz="0" w:space="0" w:color="auto"/>
          <w:lang w:val="es-ES_tradnl"/>
        </w:rPr>
        <w:t>en su Libro Cuarto De las Obligaciones en General y de los Contratos, Título XXXV De los Delitos y Cuasi Delitos, artículo 2332 establece que “[l]as acciones que concede este título por daño o dolo, prescriben en cuatro años contados desde la perpetración del acto”</w:t>
      </w:r>
      <w:r w:rsidR="00E054BE" w:rsidRPr="00DC278B">
        <w:rPr>
          <w:rStyle w:val="Refdenotaalpie"/>
          <w:rFonts w:ascii="Cambria" w:eastAsia="Times New Roman" w:hAnsi="Cambria"/>
          <w:sz w:val="20"/>
          <w:szCs w:val="20"/>
          <w:bdr w:val="none" w:sz="0" w:space="0" w:color="auto"/>
          <w:lang w:val="es-ES_tradnl"/>
        </w:rPr>
        <w:footnoteReference w:id="41"/>
      </w:r>
      <w:r w:rsidR="00D974F6" w:rsidRPr="00DC278B">
        <w:rPr>
          <w:rFonts w:ascii="Cambria" w:eastAsia="Times New Roman" w:hAnsi="Cambria"/>
          <w:sz w:val="20"/>
          <w:szCs w:val="20"/>
          <w:bdr w:val="none" w:sz="0" w:space="0" w:color="auto"/>
          <w:lang w:val="es-ES_tradnl"/>
        </w:rPr>
        <w:t>.</w:t>
      </w:r>
    </w:p>
    <w:p w:rsidR="00DE09A5" w:rsidRPr="00DC278B" w:rsidRDefault="00DE09A5" w:rsidP="00DC278B">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sz w:val="20"/>
          <w:szCs w:val="20"/>
          <w:bdr w:val="none" w:sz="0" w:space="0" w:color="auto"/>
          <w:lang w:val="es-ES_tradnl"/>
        </w:rPr>
      </w:pPr>
    </w:p>
    <w:p w:rsidR="00B732CC" w:rsidRPr="00DC278B" w:rsidRDefault="00D974F6"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r w:rsidRPr="00DC278B">
        <w:rPr>
          <w:rFonts w:ascii="Cambria" w:eastAsia="Times New Roman" w:hAnsi="Cambria"/>
          <w:sz w:val="20"/>
          <w:szCs w:val="20"/>
          <w:bdr w:val="none" w:sz="0" w:space="0" w:color="auto"/>
          <w:lang w:val="es-ES_tradnl"/>
        </w:rPr>
        <w:t xml:space="preserve">Asimismo, </w:t>
      </w:r>
      <w:r w:rsidR="00C9176B" w:rsidRPr="00DC278B">
        <w:rPr>
          <w:rFonts w:ascii="Cambria" w:eastAsia="Times New Roman" w:hAnsi="Cambria"/>
          <w:sz w:val="20"/>
          <w:szCs w:val="20"/>
          <w:bdr w:val="none" w:sz="0" w:space="0" w:color="auto"/>
          <w:lang w:val="es-ES_tradnl"/>
        </w:rPr>
        <w:t xml:space="preserve">en su </w:t>
      </w:r>
      <w:r w:rsidR="00495F35" w:rsidRPr="00DC278B">
        <w:rPr>
          <w:rFonts w:ascii="Cambria" w:eastAsia="Times New Roman" w:hAnsi="Cambria"/>
          <w:sz w:val="20"/>
          <w:szCs w:val="20"/>
          <w:bdr w:val="none" w:sz="0" w:space="0" w:color="auto"/>
          <w:lang w:val="es-ES_tradnl"/>
        </w:rPr>
        <w:t>T</w:t>
      </w:r>
      <w:r w:rsidR="00B732CC" w:rsidRPr="00DC278B">
        <w:rPr>
          <w:rFonts w:ascii="Cambria" w:eastAsia="Times New Roman" w:hAnsi="Cambria"/>
          <w:sz w:val="20"/>
          <w:szCs w:val="20"/>
          <w:bdr w:val="none" w:sz="0" w:space="0" w:color="auto"/>
          <w:lang w:val="es-ES_tradnl"/>
        </w:rPr>
        <w:t>ítulo XLII</w:t>
      </w:r>
      <w:r w:rsidR="00495F35" w:rsidRPr="00DC278B">
        <w:rPr>
          <w:rFonts w:ascii="Cambria" w:eastAsia="Times New Roman" w:hAnsi="Cambria"/>
          <w:sz w:val="20"/>
          <w:szCs w:val="20"/>
          <w:bdr w:val="none" w:sz="0" w:space="0" w:color="auto"/>
          <w:lang w:val="es-ES_tradnl"/>
        </w:rPr>
        <w:t xml:space="preserve"> “De la Prescripción”, artículo</w:t>
      </w:r>
      <w:r w:rsidR="00B732CC" w:rsidRPr="00DC278B">
        <w:rPr>
          <w:rFonts w:ascii="Cambria" w:eastAsia="Times New Roman" w:hAnsi="Cambria"/>
          <w:sz w:val="20"/>
          <w:szCs w:val="20"/>
          <w:bdr w:val="none" w:sz="0" w:space="0" w:color="auto"/>
          <w:lang w:val="es-ES_tradnl"/>
        </w:rPr>
        <w:t xml:space="preserve"> 2514</w:t>
      </w:r>
      <w:r w:rsidR="00495F35" w:rsidRPr="00DC278B">
        <w:rPr>
          <w:rFonts w:ascii="Cambria" w:eastAsia="Times New Roman" w:hAnsi="Cambria"/>
          <w:sz w:val="20"/>
          <w:szCs w:val="20"/>
          <w:bdr w:val="none" w:sz="0" w:space="0" w:color="auto"/>
          <w:lang w:val="es-ES_tradnl"/>
        </w:rPr>
        <w:t xml:space="preserve"> establece</w:t>
      </w:r>
      <w:r w:rsidRPr="00DC278B">
        <w:rPr>
          <w:rFonts w:ascii="Cambria" w:eastAsia="Times New Roman" w:hAnsi="Cambria"/>
          <w:sz w:val="20"/>
          <w:szCs w:val="20"/>
          <w:bdr w:val="none" w:sz="0" w:space="0" w:color="auto"/>
          <w:lang w:val="es-ES_tradnl"/>
        </w:rPr>
        <w:t xml:space="preserve"> que “[l]</w:t>
      </w:r>
      <w:r w:rsidR="00B732CC" w:rsidRPr="00DC278B">
        <w:rPr>
          <w:rFonts w:ascii="Cambria" w:eastAsia="Times New Roman" w:hAnsi="Cambria"/>
          <w:sz w:val="20"/>
          <w:szCs w:val="20"/>
          <w:bdr w:val="none" w:sz="0" w:space="0" w:color="auto"/>
          <w:lang w:val="es-ES_tradnl"/>
        </w:rPr>
        <w:t>a prescripción que extingue las acciones y derechos ajenos exige solamente cierto lapso de tiempo, durante el cual no se hayan ejercido dichas acciones. Se cuenta este tiempo desde que la obligación se haya hecho exigible</w:t>
      </w:r>
      <w:r w:rsidRPr="00DC278B">
        <w:rPr>
          <w:rFonts w:ascii="Cambria" w:eastAsia="Times New Roman" w:hAnsi="Cambria"/>
          <w:sz w:val="20"/>
          <w:szCs w:val="20"/>
          <w:bdr w:val="none" w:sz="0" w:space="0" w:color="auto"/>
          <w:lang w:val="es-ES_tradnl"/>
        </w:rPr>
        <w:t>”</w:t>
      </w:r>
      <w:r w:rsidR="00B732CC" w:rsidRPr="00DC278B">
        <w:rPr>
          <w:rFonts w:ascii="Cambria" w:eastAsia="Times New Roman" w:hAnsi="Cambria"/>
          <w:sz w:val="20"/>
          <w:szCs w:val="20"/>
          <w:bdr w:val="none" w:sz="0" w:space="0" w:color="auto"/>
          <w:lang w:val="es-ES_tradnl"/>
        </w:rPr>
        <w:t>.</w:t>
      </w:r>
    </w:p>
    <w:p w:rsidR="00DE09A5" w:rsidRPr="00DC278B" w:rsidRDefault="00DE09A5" w:rsidP="00DC278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p>
    <w:p w:rsidR="00E07F44" w:rsidRPr="00DC278B" w:rsidRDefault="00C9176B"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r w:rsidRPr="00DC278B">
        <w:rPr>
          <w:rFonts w:ascii="Cambria" w:eastAsia="Times New Roman" w:hAnsi="Cambria"/>
          <w:sz w:val="20"/>
          <w:szCs w:val="20"/>
          <w:bdr w:val="none" w:sz="0" w:space="0" w:color="auto"/>
          <w:lang w:val="es-ES_tradnl"/>
        </w:rPr>
        <w:t>E</w:t>
      </w:r>
      <w:r w:rsidR="00495F35" w:rsidRPr="00DC278B">
        <w:rPr>
          <w:rFonts w:ascii="Cambria" w:eastAsia="Times New Roman" w:hAnsi="Cambria"/>
          <w:sz w:val="20"/>
          <w:szCs w:val="20"/>
          <w:bdr w:val="none" w:sz="0" w:space="0" w:color="auto"/>
          <w:lang w:val="es-ES_tradnl"/>
        </w:rPr>
        <w:t xml:space="preserve">n su </w:t>
      </w:r>
      <w:r w:rsidR="00C72736" w:rsidRPr="00DC278B">
        <w:rPr>
          <w:rFonts w:ascii="Cambria" w:eastAsia="Times New Roman" w:hAnsi="Cambria"/>
          <w:sz w:val="20"/>
          <w:szCs w:val="20"/>
          <w:bdr w:val="none" w:sz="0" w:space="0" w:color="auto"/>
          <w:lang w:val="es-ES_tradnl"/>
        </w:rPr>
        <w:t xml:space="preserve">artículo 2515 </w:t>
      </w:r>
      <w:r w:rsidRPr="00DC278B">
        <w:rPr>
          <w:rFonts w:ascii="Cambria" w:eastAsia="Times New Roman" w:hAnsi="Cambria"/>
          <w:sz w:val="20"/>
          <w:szCs w:val="20"/>
          <w:bdr w:val="none" w:sz="0" w:space="0" w:color="auto"/>
          <w:lang w:val="es-ES_tradnl"/>
        </w:rPr>
        <w:t>complementa</w:t>
      </w:r>
      <w:r w:rsidR="00C72736" w:rsidRPr="00DC278B">
        <w:rPr>
          <w:rFonts w:ascii="Cambria" w:eastAsia="Times New Roman" w:hAnsi="Cambria"/>
          <w:sz w:val="20"/>
          <w:szCs w:val="20"/>
          <w:bdr w:val="none" w:sz="0" w:space="0" w:color="auto"/>
          <w:lang w:val="es-ES_tradnl"/>
        </w:rPr>
        <w:t xml:space="preserve"> </w:t>
      </w:r>
      <w:r w:rsidR="00D974F6" w:rsidRPr="00DC278B">
        <w:rPr>
          <w:rFonts w:ascii="Cambria" w:eastAsia="Times New Roman" w:hAnsi="Cambria"/>
          <w:sz w:val="20"/>
          <w:szCs w:val="20"/>
          <w:bdr w:val="none" w:sz="0" w:space="0" w:color="auto"/>
          <w:lang w:val="es-ES_tradnl"/>
        </w:rPr>
        <w:t>que “[e]</w:t>
      </w:r>
      <w:proofErr w:type="spellStart"/>
      <w:r w:rsidR="00B732CC" w:rsidRPr="00DC278B">
        <w:rPr>
          <w:rFonts w:ascii="Cambria" w:eastAsia="Times New Roman" w:hAnsi="Cambria"/>
          <w:sz w:val="20"/>
          <w:szCs w:val="20"/>
          <w:bdr w:val="none" w:sz="0" w:space="0" w:color="auto"/>
          <w:lang w:val="es-ES_tradnl"/>
        </w:rPr>
        <w:t>ste</w:t>
      </w:r>
      <w:proofErr w:type="spellEnd"/>
      <w:r w:rsidR="00B732CC" w:rsidRPr="00DC278B">
        <w:rPr>
          <w:rFonts w:ascii="Cambria" w:eastAsia="Times New Roman" w:hAnsi="Cambria"/>
          <w:sz w:val="20"/>
          <w:szCs w:val="20"/>
          <w:bdr w:val="none" w:sz="0" w:space="0" w:color="auto"/>
          <w:lang w:val="es-ES_tradnl"/>
        </w:rPr>
        <w:t xml:space="preserve"> tiempo es en general de tres años para las acciones ejecutivas y de cinco para las ordinarias. La acción ejecutiva se convierte en ordinaria por el lapso de tres años, y convertida en ordinaria durará solamente otros dos</w:t>
      </w:r>
      <w:r w:rsidR="00D974F6" w:rsidRPr="00DC278B">
        <w:rPr>
          <w:rFonts w:ascii="Cambria" w:eastAsia="Times New Roman" w:hAnsi="Cambria"/>
          <w:sz w:val="20"/>
          <w:szCs w:val="20"/>
          <w:bdr w:val="none" w:sz="0" w:space="0" w:color="auto"/>
          <w:lang w:val="es-ES_tradnl"/>
        </w:rPr>
        <w:t>”</w:t>
      </w:r>
      <w:r w:rsidR="00B732CC" w:rsidRPr="00DC278B">
        <w:rPr>
          <w:rFonts w:ascii="Cambria" w:eastAsia="Times New Roman" w:hAnsi="Cambria"/>
          <w:sz w:val="20"/>
          <w:szCs w:val="20"/>
          <w:bdr w:val="none" w:sz="0" w:space="0" w:color="auto"/>
          <w:lang w:val="es-ES_tradnl"/>
        </w:rPr>
        <w:t>.</w:t>
      </w:r>
    </w:p>
    <w:p w:rsidR="00E07F44" w:rsidRPr="00DC278B" w:rsidRDefault="00E07F44" w:rsidP="00DC278B">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sz w:val="20"/>
          <w:szCs w:val="20"/>
          <w:bdr w:val="none" w:sz="0" w:space="0" w:color="auto"/>
          <w:lang w:val="es-ES_tradnl"/>
        </w:rPr>
      </w:pPr>
    </w:p>
    <w:p w:rsidR="002E11D8" w:rsidRPr="00DC278B" w:rsidRDefault="00E24E60" w:rsidP="00DC278B">
      <w:pPr>
        <w:pStyle w:val="Ttulo2"/>
      </w:pPr>
      <w:bookmarkStart w:id="18" w:name="_Toc413397473"/>
      <w:r w:rsidRPr="00DC278B">
        <w:t>C.</w:t>
      </w:r>
      <w:r w:rsidRPr="00DC278B">
        <w:tab/>
      </w:r>
      <w:r w:rsidR="005E63E4" w:rsidRPr="00DC278B">
        <w:t xml:space="preserve">Situación de </w:t>
      </w:r>
      <w:r w:rsidR="007301C7" w:rsidRPr="00DC278B">
        <w:t xml:space="preserve">María </w:t>
      </w:r>
      <w:r w:rsidR="00E07F44" w:rsidRPr="00DC278B">
        <w:t>Órdenes</w:t>
      </w:r>
      <w:r w:rsidR="007301C7" w:rsidRPr="00DC278B">
        <w:t xml:space="preserve"> </w:t>
      </w:r>
      <w:r w:rsidR="008902F5" w:rsidRPr="00DC278B">
        <w:t xml:space="preserve">e hijos </w:t>
      </w:r>
      <w:r w:rsidR="007301C7" w:rsidRPr="00DC278B">
        <w:t xml:space="preserve">y </w:t>
      </w:r>
      <w:r w:rsidR="005E63E4" w:rsidRPr="00DC278B">
        <w:t>su causa</w:t>
      </w:r>
      <w:r w:rsidR="007301C7" w:rsidRPr="00DC278B">
        <w:t xml:space="preserve"> </w:t>
      </w:r>
      <w:r w:rsidR="002E11D8" w:rsidRPr="00DC278B">
        <w:t>con</w:t>
      </w:r>
      <w:r w:rsidR="00CB7019" w:rsidRPr="00DC278B">
        <w:t>tra</w:t>
      </w:r>
      <w:r w:rsidR="002E11D8" w:rsidRPr="00DC278B">
        <w:t xml:space="preserve"> </w:t>
      </w:r>
      <w:r w:rsidR="00F640C5" w:rsidRPr="00DC278B">
        <w:t xml:space="preserve">el </w:t>
      </w:r>
      <w:r w:rsidR="002E11D8" w:rsidRPr="00DC278B">
        <w:t>Fisco de Chile</w:t>
      </w:r>
      <w:bookmarkEnd w:id="18"/>
    </w:p>
    <w:p w:rsidR="005A46A2" w:rsidRPr="00DC278B" w:rsidRDefault="005A46A2" w:rsidP="00DC278B">
      <w:pPr>
        <w:rPr>
          <w:rFonts w:ascii="Cambria" w:hAnsi="Cambria"/>
          <w:sz w:val="20"/>
          <w:szCs w:val="20"/>
          <w:lang w:val="es-ES_tradnl"/>
        </w:rPr>
      </w:pPr>
    </w:p>
    <w:p w:rsidR="00FA4293" w:rsidRPr="00DC278B" w:rsidRDefault="00EE1F51"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r w:rsidRPr="00DC278B">
        <w:rPr>
          <w:rFonts w:ascii="Cambria" w:eastAsia="Times New Roman" w:hAnsi="Cambria"/>
          <w:sz w:val="20"/>
          <w:szCs w:val="20"/>
          <w:bdr w:val="none" w:sz="0" w:space="0" w:color="auto"/>
          <w:lang w:val="es-ES_tradnl"/>
        </w:rPr>
        <w:t>Según</w:t>
      </w:r>
      <w:r w:rsidR="00316517" w:rsidRPr="00DC278B">
        <w:rPr>
          <w:rFonts w:ascii="Cambria" w:eastAsia="Times New Roman" w:hAnsi="Cambria"/>
          <w:sz w:val="20"/>
          <w:szCs w:val="20"/>
          <w:bdr w:val="none" w:sz="0" w:space="0" w:color="auto"/>
          <w:lang w:val="es-ES_tradnl"/>
        </w:rPr>
        <w:t xml:space="preserve"> el Informe </w:t>
      </w:r>
      <w:r w:rsidR="00793CB7" w:rsidRPr="00DC278B">
        <w:rPr>
          <w:rFonts w:ascii="Cambria" w:eastAsia="Times New Roman" w:hAnsi="Cambria"/>
          <w:sz w:val="20"/>
          <w:szCs w:val="20"/>
          <w:bdr w:val="none" w:sz="0" w:space="0" w:color="auto"/>
          <w:lang w:val="es-ES_tradnl"/>
        </w:rPr>
        <w:t xml:space="preserve">de la Comisión </w:t>
      </w:r>
      <w:proofErr w:type="spellStart"/>
      <w:r w:rsidR="00316517" w:rsidRPr="00DC278B">
        <w:rPr>
          <w:rFonts w:ascii="Cambria" w:eastAsia="Times New Roman" w:hAnsi="Cambria"/>
          <w:sz w:val="20"/>
          <w:szCs w:val="20"/>
          <w:bdr w:val="none" w:sz="0" w:space="0" w:color="auto"/>
          <w:lang w:val="es-ES_tradnl"/>
        </w:rPr>
        <w:t>Rettig</w:t>
      </w:r>
      <w:proofErr w:type="spellEnd"/>
      <w:r w:rsidR="00C13281" w:rsidRPr="00DC278B">
        <w:rPr>
          <w:rFonts w:ascii="Cambria" w:eastAsia="Times New Roman" w:hAnsi="Cambria"/>
          <w:sz w:val="20"/>
          <w:szCs w:val="20"/>
          <w:bdr w:val="none" w:sz="0" w:space="0" w:color="auto"/>
          <w:lang w:val="es-ES_tradnl"/>
        </w:rPr>
        <w:t>,</w:t>
      </w:r>
      <w:r w:rsidR="00316517" w:rsidRPr="00DC278B">
        <w:rPr>
          <w:rFonts w:ascii="Cambria" w:eastAsia="Times New Roman" w:hAnsi="Cambria"/>
          <w:sz w:val="20"/>
          <w:szCs w:val="20"/>
          <w:bdr w:val="none" w:sz="0" w:space="0" w:color="auto"/>
          <w:lang w:val="es-ES_tradnl"/>
        </w:rPr>
        <w:t xml:space="preserve"> e</w:t>
      </w:r>
      <w:r w:rsidR="005A46A2" w:rsidRPr="00DC278B">
        <w:rPr>
          <w:rFonts w:ascii="Cambria" w:eastAsia="Times New Roman" w:hAnsi="Cambria"/>
          <w:sz w:val="20"/>
          <w:szCs w:val="20"/>
          <w:bdr w:val="none" w:sz="0" w:space="0" w:color="auto"/>
          <w:lang w:val="es-ES_tradnl"/>
        </w:rPr>
        <w:t>l 17 de septiembre de</w:t>
      </w:r>
      <w:r w:rsidR="00C13281" w:rsidRPr="00DC278B">
        <w:rPr>
          <w:rFonts w:ascii="Cambria" w:eastAsia="Times New Roman" w:hAnsi="Cambria"/>
          <w:sz w:val="20"/>
          <w:szCs w:val="20"/>
          <w:bdr w:val="none" w:sz="0" w:space="0" w:color="auto"/>
          <w:lang w:val="es-ES_tradnl"/>
        </w:rPr>
        <w:t xml:space="preserve"> 1973, Augusto </w:t>
      </w:r>
      <w:proofErr w:type="spellStart"/>
      <w:r w:rsidR="00C13281" w:rsidRPr="00DC278B">
        <w:rPr>
          <w:rFonts w:ascii="Cambria" w:eastAsia="Times New Roman" w:hAnsi="Cambria"/>
          <w:sz w:val="20"/>
          <w:szCs w:val="20"/>
          <w:bdr w:val="none" w:sz="0" w:space="0" w:color="auto"/>
          <w:lang w:val="es-ES_tradnl"/>
        </w:rPr>
        <w:t>Alcayaga</w:t>
      </w:r>
      <w:proofErr w:type="spellEnd"/>
      <w:r w:rsidR="005A46A2" w:rsidRPr="00DC278B">
        <w:rPr>
          <w:rFonts w:ascii="Cambria" w:eastAsia="Times New Roman" w:hAnsi="Cambria"/>
          <w:sz w:val="20"/>
          <w:szCs w:val="20"/>
          <w:bdr w:val="none" w:sz="0" w:space="0" w:color="auto"/>
          <w:lang w:val="es-ES_tradnl"/>
        </w:rPr>
        <w:t xml:space="preserve">, </w:t>
      </w:r>
      <w:r w:rsidR="00C433C4" w:rsidRPr="00DC278B">
        <w:rPr>
          <w:rFonts w:ascii="Cambria" w:eastAsia="Times New Roman" w:hAnsi="Cambria"/>
          <w:sz w:val="20"/>
          <w:szCs w:val="20"/>
          <w:bdr w:val="none" w:sz="0" w:space="0" w:color="auto"/>
          <w:lang w:val="es-ES_tradnl"/>
        </w:rPr>
        <w:t xml:space="preserve">militante del partido radical, </w:t>
      </w:r>
      <w:r w:rsidR="005A46A2" w:rsidRPr="00DC278B">
        <w:rPr>
          <w:rFonts w:ascii="Cambria" w:eastAsia="Times New Roman" w:hAnsi="Cambria"/>
          <w:sz w:val="20"/>
          <w:szCs w:val="20"/>
          <w:bdr w:val="none" w:sz="0" w:space="0" w:color="auto"/>
          <w:lang w:val="es-ES_tradnl"/>
        </w:rPr>
        <w:t xml:space="preserve">presidente del Sindicato de Trabajadores de la Empresa </w:t>
      </w:r>
      <w:proofErr w:type="spellStart"/>
      <w:r w:rsidR="005A46A2" w:rsidRPr="00DC278B">
        <w:rPr>
          <w:rFonts w:ascii="Cambria" w:eastAsia="Times New Roman" w:hAnsi="Cambria"/>
          <w:sz w:val="20"/>
          <w:szCs w:val="20"/>
          <w:bdr w:val="none" w:sz="0" w:space="0" w:color="auto"/>
          <w:lang w:val="es-ES_tradnl"/>
        </w:rPr>
        <w:t>Elecmetal</w:t>
      </w:r>
      <w:proofErr w:type="spellEnd"/>
      <w:r w:rsidR="005A46A2" w:rsidRPr="00DC278B">
        <w:rPr>
          <w:rFonts w:ascii="Cambria" w:eastAsia="Times New Roman" w:hAnsi="Cambria"/>
          <w:sz w:val="20"/>
          <w:szCs w:val="20"/>
          <w:bdr w:val="none" w:sz="0" w:space="0" w:color="auto"/>
          <w:lang w:val="es-ES_tradnl"/>
        </w:rPr>
        <w:t>,</w:t>
      </w:r>
      <w:r w:rsidR="00C433C4" w:rsidRPr="00DC278B">
        <w:rPr>
          <w:rFonts w:ascii="Cambria" w:eastAsia="Times New Roman" w:hAnsi="Cambria"/>
          <w:sz w:val="20"/>
          <w:szCs w:val="20"/>
          <w:bdr w:val="none" w:sz="0" w:space="0" w:color="auto"/>
          <w:lang w:val="es-ES_tradnl"/>
        </w:rPr>
        <w:t xml:space="preserve"> fue detenido al interior de la empresa por un contingente de carabineros y militares, fue ejecutado por agentes del Estado</w:t>
      </w:r>
      <w:r w:rsidR="00C13281" w:rsidRPr="00DC278B">
        <w:rPr>
          <w:rFonts w:ascii="Cambria" w:eastAsia="Times New Roman" w:hAnsi="Cambria"/>
          <w:sz w:val="20"/>
          <w:szCs w:val="20"/>
          <w:bdr w:val="none" w:sz="0" w:space="0" w:color="auto"/>
          <w:lang w:val="es-ES_tradnl"/>
        </w:rPr>
        <w:t>,</w:t>
      </w:r>
      <w:r w:rsidR="00C433C4" w:rsidRPr="00DC278B">
        <w:rPr>
          <w:rFonts w:ascii="Cambria" w:eastAsia="Times New Roman" w:hAnsi="Cambria"/>
          <w:sz w:val="20"/>
          <w:szCs w:val="20"/>
          <w:bdr w:val="none" w:sz="0" w:space="0" w:color="auto"/>
          <w:lang w:val="es-ES_tradnl"/>
        </w:rPr>
        <w:t xml:space="preserve"> el 18 de septiembre del mismo año y su cuerpo fue encontrado en la vía pública</w:t>
      </w:r>
      <w:r w:rsidR="00C13281" w:rsidRPr="00DC278B">
        <w:rPr>
          <w:rFonts w:ascii="Cambria" w:eastAsia="Times New Roman" w:hAnsi="Cambria"/>
          <w:sz w:val="20"/>
          <w:szCs w:val="20"/>
          <w:bdr w:val="none" w:sz="0" w:space="0" w:color="auto"/>
          <w:lang w:val="es-ES_tradnl"/>
        </w:rPr>
        <w:t xml:space="preserve"> con heridas de bala</w:t>
      </w:r>
      <w:r w:rsidR="005A46A2" w:rsidRPr="00DC278B">
        <w:rPr>
          <w:rFonts w:ascii="Cambria" w:eastAsia="Calibri" w:hAnsi="Cambria"/>
          <w:sz w:val="20"/>
          <w:szCs w:val="20"/>
          <w:bdr w:val="none" w:sz="0" w:space="0" w:color="auto"/>
          <w:vertAlign w:val="superscript"/>
          <w:lang w:val="es-CO"/>
        </w:rPr>
        <w:footnoteReference w:id="42"/>
      </w:r>
      <w:r w:rsidR="00D30856">
        <w:rPr>
          <w:rFonts w:ascii="Cambria" w:eastAsia="Times New Roman" w:hAnsi="Cambria"/>
          <w:sz w:val="20"/>
          <w:szCs w:val="20"/>
          <w:bdr w:val="none" w:sz="0" w:space="0" w:color="auto"/>
          <w:lang w:val="es-ES_tradnl"/>
        </w:rPr>
        <w:t xml:space="preserve">. </w:t>
      </w:r>
      <w:r w:rsidR="005A545C" w:rsidRPr="00DC278B">
        <w:rPr>
          <w:rFonts w:ascii="Cambria" w:eastAsia="Times New Roman" w:hAnsi="Cambria"/>
          <w:sz w:val="20"/>
          <w:szCs w:val="20"/>
          <w:bdr w:val="none" w:sz="0" w:space="0" w:color="auto"/>
          <w:lang w:val="es-ES_tradnl"/>
        </w:rPr>
        <w:t xml:space="preserve">En </w:t>
      </w:r>
      <w:r w:rsidR="005A545C" w:rsidRPr="00DC278B">
        <w:rPr>
          <w:rFonts w:ascii="Cambria" w:eastAsia="Times New Roman" w:hAnsi="Cambria"/>
          <w:sz w:val="20"/>
          <w:szCs w:val="20"/>
          <w:bdr w:val="none" w:sz="0" w:space="0" w:color="auto"/>
          <w:lang w:val="es-ES_tradnl"/>
        </w:rPr>
        <w:lastRenderedPageBreak/>
        <w:t>febrero de 1991, l</w:t>
      </w:r>
      <w:r w:rsidR="006F241B" w:rsidRPr="00DC278B">
        <w:rPr>
          <w:rFonts w:ascii="Cambria" w:eastAsia="Times New Roman" w:hAnsi="Cambria"/>
          <w:sz w:val="20"/>
          <w:szCs w:val="20"/>
          <w:bdr w:val="none" w:sz="0" w:space="0" w:color="auto"/>
          <w:lang w:val="es-ES_tradnl"/>
        </w:rPr>
        <w:t xml:space="preserve">a Comisión </w:t>
      </w:r>
      <w:proofErr w:type="spellStart"/>
      <w:r w:rsidR="006F241B" w:rsidRPr="00DC278B">
        <w:rPr>
          <w:rFonts w:ascii="Cambria" w:eastAsia="Times New Roman" w:hAnsi="Cambria"/>
          <w:sz w:val="20"/>
          <w:szCs w:val="20"/>
          <w:bdr w:val="none" w:sz="0" w:space="0" w:color="auto"/>
          <w:lang w:val="es-ES_tradnl"/>
        </w:rPr>
        <w:t>Rettig</w:t>
      </w:r>
      <w:proofErr w:type="spellEnd"/>
      <w:r w:rsidR="006F241B" w:rsidRPr="00DC278B">
        <w:rPr>
          <w:rFonts w:ascii="Cambria" w:eastAsia="Times New Roman" w:hAnsi="Cambria"/>
          <w:sz w:val="20"/>
          <w:szCs w:val="20"/>
          <w:bdr w:val="none" w:sz="0" w:space="0" w:color="auto"/>
          <w:lang w:val="es-ES_tradnl"/>
        </w:rPr>
        <w:t xml:space="preserve"> consider</w:t>
      </w:r>
      <w:r w:rsidR="005A545C" w:rsidRPr="00DC278B">
        <w:rPr>
          <w:rFonts w:ascii="Cambria" w:eastAsia="Times New Roman" w:hAnsi="Cambria"/>
          <w:sz w:val="20"/>
          <w:szCs w:val="20"/>
          <w:bdr w:val="none" w:sz="0" w:space="0" w:color="auto"/>
          <w:lang w:val="es-ES_tradnl"/>
        </w:rPr>
        <w:t>ó que estos</w:t>
      </w:r>
      <w:r w:rsidR="006F241B" w:rsidRPr="00DC278B">
        <w:rPr>
          <w:rFonts w:ascii="Cambria" w:eastAsia="Times New Roman" w:hAnsi="Cambria"/>
          <w:sz w:val="20"/>
          <w:szCs w:val="20"/>
          <w:bdr w:val="none" w:sz="0" w:space="0" w:color="auto"/>
          <w:lang w:val="es-ES_tradnl"/>
        </w:rPr>
        <w:t xml:space="preserve"> hechos constituyen una violación de los derechos fundamentales al margen de todo proceso y justificación</w:t>
      </w:r>
      <w:r w:rsidR="007146D8" w:rsidRPr="00DC278B">
        <w:rPr>
          <w:rFonts w:ascii="Cambria" w:eastAsia="Calibri" w:hAnsi="Cambria"/>
          <w:sz w:val="20"/>
          <w:szCs w:val="20"/>
          <w:bdr w:val="none" w:sz="0" w:space="0" w:color="auto"/>
          <w:vertAlign w:val="superscript"/>
          <w:lang w:val="es-CO"/>
        </w:rPr>
        <w:footnoteReference w:id="43"/>
      </w:r>
      <w:r w:rsidR="002878DF">
        <w:rPr>
          <w:rFonts w:ascii="Cambria" w:eastAsia="Times New Roman" w:hAnsi="Cambria"/>
          <w:sz w:val="20"/>
          <w:szCs w:val="20"/>
          <w:bdr w:val="none" w:sz="0" w:space="0" w:color="auto"/>
          <w:lang w:val="es-ES_tradnl"/>
        </w:rPr>
        <w:t>.</w:t>
      </w:r>
    </w:p>
    <w:p w:rsidR="00DE09A5" w:rsidRPr="00DC278B" w:rsidRDefault="00DE09A5" w:rsidP="00DC278B">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sz w:val="20"/>
          <w:szCs w:val="20"/>
          <w:bdr w:val="none" w:sz="0" w:space="0" w:color="auto"/>
          <w:lang w:val="es-ES_tradnl"/>
        </w:rPr>
      </w:pPr>
    </w:p>
    <w:p w:rsidR="00591D12" w:rsidRPr="00DC278B" w:rsidRDefault="00802E76"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r w:rsidRPr="00DC278B">
        <w:rPr>
          <w:rFonts w:ascii="Cambria" w:eastAsia="Times New Roman" w:hAnsi="Cambria"/>
          <w:sz w:val="20"/>
          <w:szCs w:val="20"/>
          <w:bdr w:val="none" w:sz="0" w:space="0" w:color="auto"/>
          <w:lang w:val="es-ES_tradnl"/>
        </w:rPr>
        <w:t>Mediante la Ley 19.123</w:t>
      </w:r>
      <w:r w:rsidR="009C3BA8" w:rsidRPr="00DC278B">
        <w:rPr>
          <w:rFonts w:ascii="Cambria" w:eastAsia="Times New Roman" w:hAnsi="Cambria"/>
          <w:sz w:val="20"/>
          <w:szCs w:val="20"/>
          <w:bdr w:val="none" w:sz="0" w:space="0" w:color="auto"/>
          <w:lang w:val="es-ES_tradnl"/>
        </w:rPr>
        <w:t xml:space="preserve"> de </w:t>
      </w:r>
      <w:r w:rsidR="00132556" w:rsidRPr="00DC278B">
        <w:rPr>
          <w:rFonts w:ascii="Cambria" w:eastAsia="Times New Roman" w:hAnsi="Cambria"/>
          <w:sz w:val="20"/>
          <w:szCs w:val="20"/>
          <w:bdr w:val="none" w:sz="0" w:space="0" w:color="auto"/>
          <w:lang w:val="es-ES_tradnl"/>
        </w:rPr>
        <w:t>1992</w:t>
      </w:r>
      <w:r w:rsidR="00A34625" w:rsidRPr="00DC278B">
        <w:rPr>
          <w:rFonts w:ascii="Cambria" w:eastAsia="Times New Roman" w:hAnsi="Cambria"/>
          <w:sz w:val="20"/>
          <w:szCs w:val="20"/>
          <w:bdr w:val="none" w:sz="0" w:space="0" w:color="auto"/>
          <w:lang w:val="es-ES_tradnl"/>
        </w:rPr>
        <w:t xml:space="preserve">, </w:t>
      </w:r>
      <w:r w:rsidR="00E07F44" w:rsidRPr="00DC278B">
        <w:rPr>
          <w:rFonts w:ascii="Cambria" w:eastAsia="Times New Roman" w:hAnsi="Cambria"/>
          <w:sz w:val="20"/>
          <w:szCs w:val="20"/>
          <w:bdr w:val="none" w:sz="0" w:space="0" w:color="auto"/>
          <w:lang w:val="es-ES_tradnl"/>
        </w:rPr>
        <w:t>María Ó</w:t>
      </w:r>
      <w:r w:rsidR="0054741E" w:rsidRPr="00DC278B">
        <w:rPr>
          <w:rFonts w:ascii="Cambria" w:eastAsia="Times New Roman" w:hAnsi="Cambria"/>
          <w:sz w:val="20"/>
          <w:szCs w:val="20"/>
          <w:bdr w:val="none" w:sz="0" w:space="0" w:color="auto"/>
          <w:lang w:val="es-ES_tradnl"/>
        </w:rPr>
        <w:t>rdenes</w:t>
      </w:r>
      <w:r w:rsidR="00FA4293" w:rsidRPr="00DC278B">
        <w:rPr>
          <w:rFonts w:ascii="Cambria" w:eastAsia="Times New Roman" w:hAnsi="Cambria"/>
          <w:sz w:val="20"/>
          <w:szCs w:val="20"/>
          <w:bdr w:val="none" w:sz="0" w:space="0" w:color="auto"/>
          <w:lang w:val="es-ES_tradnl"/>
        </w:rPr>
        <w:t>, recibe una pensión mensual</w:t>
      </w:r>
      <w:r w:rsidR="00144E97" w:rsidRPr="00DC278B">
        <w:rPr>
          <w:rFonts w:ascii="Cambria" w:eastAsia="Times New Roman" w:hAnsi="Cambria"/>
          <w:sz w:val="20"/>
          <w:szCs w:val="20"/>
          <w:bdr w:val="none" w:sz="0" w:space="0" w:color="auto"/>
          <w:lang w:val="es-ES_tradnl"/>
        </w:rPr>
        <w:t xml:space="preserve"> de 360.674 Pesos c</w:t>
      </w:r>
      <w:r w:rsidR="0054741E" w:rsidRPr="00DC278B">
        <w:rPr>
          <w:rFonts w:ascii="Cambria" w:eastAsia="Times New Roman" w:hAnsi="Cambria"/>
          <w:sz w:val="20"/>
          <w:szCs w:val="20"/>
          <w:bdr w:val="none" w:sz="0" w:space="0" w:color="auto"/>
          <w:lang w:val="es-ES_tradnl"/>
        </w:rPr>
        <w:t>hilenos</w:t>
      </w:r>
      <w:r w:rsidR="00144E97" w:rsidRPr="00DC278B">
        <w:rPr>
          <w:rFonts w:ascii="Cambria" w:eastAsia="Times New Roman" w:hAnsi="Cambria"/>
          <w:sz w:val="20"/>
          <w:szCs w:val="20"/>
          <w:bdr w:val="none" w:sz="0" w:space="0" w:color="auto"/>
          <w:lang w:val="es-ES_tradnl"/>
        </w:rPr>
        <w:t>, que rige desde el 1˚ de julio de 1991</w:t>
      </w:r>
      <w:r w:rsidR="00136BFD" w:rsidRPr="00DC278B">
        <w:rPr>
          <w:rFonts w:ascii="Cambria" w:eastAsia="Times New Roman" w:hAnsi="Cambria"/>
          <w:sz w:val="20"/>
          <w:szCs w:val="20"/>
          <w:bdr w:val="none" w:sz="0" w:space="0" w:color="auto"/>
          <w:lang w:val="es-ES_tradnl"/>
        </w:rPr>
        <w:t>, (en adelante los montos en Pesos chilenos corresponden al equivalente de US$1 por 550 Pesos chilenos)</w:t>
      </w:r>
      <w:r w:rsidR="00144E97" w:rsidRPr="00DC278B">
        <w:rPr>
          <w:rFonts w:ascii="Cambria" w:eastAsia="Times New Roman" w:hAnsi="Cambria"/>
          <w:sz w:val="20"/>
          <w:szCs w:val="20"/>
          <w:bdr w:val="none" w:sz="0" w:space="0" w:color="auto"/>
          <w:vertAlign w:val="superscript"/>
          <w:lang w:val="es-ES_tradnl"/>
        </w:rPr>
        <w:footnoteReference w:id="44"/>
      </w:r>
      <w:r w:rsidR="00144E97" w:rsidRPr="00DC278B">
        <w:rPr>
          <w:rFonts w:ascii="Cambria" w:eastAsia="Times New Roman" w:hAnsi="Cambria"/>
          <w:sz w:val="20"/>
          <w:szCs w:val="20"/>
          <w:bdr w:val="none" w:sz="0" w:space="0" w:color="auto"/>
          <w:lang w:val="es-ES_tradnl"/>
        </w:rPr>
        <w:t>.</w:t>
      </w:r>
      <w:r w:rsidR="00591D12" w:rsidRPr="00DC278B">
        <w:rPr>
          <w:rFonts w:ascii="Cambria" w:eastAsia="Times New Roman" w:hAnsi="Cambria"/>
          <w:sz w:val="20"/>
          <w:szCs w:val="20"/>
          <w:bdr w:val="none" w:sz="0" w:space="0" w:color="auto"/>
          <w:lang w:val="es-ES_tradnl"/>
        </w:rPr>
        <w:t xml:space="preserve"> </w:t>
      </w:r>
      <w:r w:rsidR="00144E97" w:rsidRPr="00DC278B">
        <w:rPr>
          <w:rFonts w:ascii="Cambria" w:eastAsia="Times New Roman" w:hAnsi="Cambria"/>
          <w:sz w:val="20"/>
          <w:szCs w:val="20"/>
          <w:bdr w:val="none" w:sz="0" w:space="0" w:color="auto"/>
          <w:lang w:val="es-ES_tradnl"/>
        </w:rPr>
        <w:t>C</w:t>
      </w:r>
      <w:r w:rsidR="00591D12" w:rsidRPr="00DC278B">
        <w:rPr>
          <w:rFonts w:ascii="Cambria" w:eastAsia="Times New Roman" w:hAnsi="Cambria"/>
          <w:sz w:val="20"/>
          <w:szCs w:val="20"/>
          <w:bdr w:val="none" w:sz="0" w:space="0" w:color="auto"/>
          <w:lang w:val="es-ES_tradnl"/>
        </w:rPr>
        <w:t>ada uno de sus cinco hijos tuvieron derecho a percibir, el 15% del monto total de la pensión, hasta los 25 años de edad</w:t>
      </w:r>
      <w:r w:rsidR="00591D12" w:rsidRPr="00DC278B">
        <w:rPr>
          <w:rFonts w:ascii="Cambria" w:eastAsia="Times New Roman" w:hAnsi="Cambria"/>
          <w:sz w:val="20"/>
          <w:szCs w:val="20"/>
          <w:bdr w:val="none" w:sz="0" w:space="0" w:color="auto"/>
          <w:vertAlign w:val="superscript"/>
          <w:lang w:val="es-ES_tradnl"/>
        </w:rPr>
        <w:footnoteReference w:id="45"/>
      </w:r>
      <w:r w:rsidR="002878DF">
        <w:rPr>
          <w:rFonts w:ascii="Cambria" w:eastAsia="Times New Roman" w:hAnsi="Cambria"/>
          <w:sz w:val="20"/>
          <w:szCs w:val="20"/>
          <w:bdr w:val="none" w:sz="0" w:space="0" w:color="auto"/>
          <w:lang w:val="es-ES_tradnl"/>
        </w:rPr>
        <w:t>.</w:t>
      </w:r>
    </w:p>
    <w:p w:rsidR="00DE09A5" w:rsidRPr="00DC278B" w:rsidRDefault="00DE09A5" w:rsidP="00DC278B">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sz w:val="20"/>
          <w:szCs w:val="20"/>
          <w:bdr w:val="none" w:sz="0" w:space="0" w:color="auto"/>
          <w:lang w:val="es-ES_tradnl"/>
        </w:rPr>
      </w:pPr>
    </w:p>
    <w:p w:rsidR="006427A2" w:rsidRPr="00DC278B" w:rsidRDefault="006427A2"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r w:rsidRPr="00DC278B">
        <w:rPr>
          <w:rFonts w:ascii="Cambria" w:eastAsia="Times New Roman" w:hAnsi="Cambria"/>
          <w:sz w:val="20"/>
          <w:szCs w:val="20"/>
          <w:bdr w:val="none" w:sz="0" w:space="0" w:color="auto"/>
          <w:lang w:val="es-ES_tradnl"/>
        </w:rPr>
        <w:t>E</w:t>
      </w:r>
      <w:r w:rsidR="00E07F44" w:rsidRPr="00DC278B">
        <w:rPr>
          <w:rFonts w:ascii="Cambria" w:eastAsia="Times New Roman" w:hAnsi="Cambria"/>
          <w:sz w:val="20"/>
          <w:szCs w:val="20"/>
          <w:bdr w:val="none" w:sz="0" w:space="0" w:color="auto"/>
          <w:lang w:val="es-ES_tradnl"/>
        </w:rPr>
        <w:t>n 1997 María Ó</w:t>
      </w:r>
      <w:r w:rsidRPr="00DC278B">
        <w:rPr>
          <w:rFonts w:ascii="Cambria" w:eastAsia="Times New Roman" w:hAnsi="Cambria"/>
          <w:sz w:val="20"/>
          <w:szCs w:val="20"/>
          <w:bdr w:val="none" w:sz="0" w:space="0" w:color="auto"/>
          <w:lang w:val="es-ES_tradnl"/>
        </w:rPr>
        <w:t xml:space="preserve">rdenes presentó una demanda </w:t>
      </w:r>
      <w:r w:rsidR="006F241B" w:rsidRPr="00DC278B">
        <w:rPr>
          <w:rFonts w:ascii="Cambria" w:eastAsia="Times New Roman" w:hAnsi="Cambria"/>
          <w:sz w:val="20"/>
          <w:szCs w:val="20"/>
          <w:bdr w:val="none" w:sz="0" w:space="0" w:color="auto"/>
          <w:lang w:val="es-ES_tradnl"/>
        </w:rPr>
        <w:t xml:space="preserve">civil </w:t>
      </w:r>
      <w:r w:rsidRPr="00DC278B">
        <w:rPr>
          <w:rFonts w:ascii="Cambria" w:eastAsia="Times New Roman" w:hAnsi="Cambria"/>
          <w:sz w:val="20"/>
          <w:szCs w:val="20"/>
          <w:bdr w:val="none" w:sz="0" w:space="0" w:color="auto"/>
          <w:lang w:val="es-ES_tradnl"/>
        </w:rPr>
        <w:t>de indemnización</w:t>
      </w:r>
      <w:r w:rsidR="00D91F0B" w:rsidRPr="00DC278B">
        <w:rPr>
          <w:rFonts w:ascii="Cambria" w:eastAsia="Times New Roman" w:hAnsi="Cambria"/>
          <w:sz w:val="20"/>
          <w:szCs w:val="20"/>
          <w:bdr w:val="none" w:sz="0" w:space="0" w:color="auto"/>
          <w:lang w:val="es-ES_tradnl"/>
        </w:rPr>
        <w:t xml:space="preserve"> de perjuicios</w:t>
      </w:r>
      <w:r w:rsidR="0015623F" w:rsidRPr="00DC278B">
        <w:rPr>
          <w:rFonts w:ascii="Cambria" w:eastAsia="Times New Roman" w:hAnsi="Cambria"/>
          <w:sz w:val="20"/>
          <w:szCs w:val="20"/>
          <w:bdr w:val="none" w:sz="0" w:space="0" w:color="auto"/>
          <w:lang w:val="es-ES_tradnl"/>
        </w:rPr>
        <w:t xml:space="preserve"> ante el Octavo Juzgado Civil, </w:t>
      </w:r>
      <w:r w:rsidRPr="00DC278B">
        <w:rPr>
          <w:rFonts w:ascii="Cambria" w:eastAsia="Times New Roman" w:hAnsi="Cambria"/>
          <w:sz w:val="20"/>
          <w:szCs w:val="20"/>
          <w:bdr w:val="none" w:sz="0" w:space="0" w:color="auto"/>
          <w:lang w:val="es-ES_tradnl"/>
        </w:rPr>
        <w:t xml:space="preserve">por el daño moral ocasionado por los agentes estatales por el secuestro y asesinato de su esposo Augusto </w:t>
      </w:r>
      <w:proofErr w:type="spellStart"/>
      <w:r w:rsidRPr="00DC278B">
        <w:rPr>
          <w:rFonts w:ascii="Cambria" w:eastAsia="Times New Roman" w:hAnsi="Cambria"/>
          <w:sz w:val="20"/>
          <w:szCs w:val="20"/>
          <w:bdr w:val="none" w:sz="0" w:space="0" w:color="auto"/>
          <w:lang w:val="es-ES_tradnl"/>
        </w:rPr>
        <w:t>Alcayaga</w:t>
      </w:r>
      <w:proofErr w:type="spellEnd"/>
      <w:r w:rsidRPr="00DC278B">
        <w:rPr>
          <w:rFonts w:ascii="Cambria" w:eastAsia="Times New Roman" w:hAnsi="Cambria"/>
          <w:sz w:val="20"/>
          <w:szCs w:val="20"/>
          <w:bdr w:val="none" w:sz="0" w:space="0" w:color="auto"/>
          <w:lang w:val="es-ES_tradnl"/>
        </w:rPr>
        <w:t>, así como por la denegación de justicia y falta de información sobre dichos hechos;</w:t>
      </w:r>
      <w:r w:rsidR="00E07F44" w:rsidRPr="00DC278B">
        <w:rPr>
          <w:rFonts w:ascii="Cambria" w:eastAsia="Times New Roman" w:hAnsi="Cambria"/>
          <w:sz w:val="20"/>
          <w:szCs w:val="20"/>
          <w:bdr w:val="none" w:sz="0" w:space="0" w:color="auto"/>
          <w:lang w:val="es-ES_tradnl"/>
        </w:rPr>
        <w:t xml:space="preserve"> dándose inicio al proceso “Ó</w:t>
      </w:r>
      <w:r w:rsidRPr="00DC278B">
        <w:rPr>
          <w:rFonts w:ascii="Cambria" w:eastAsia="Times New Roman" w:hAnsi="Cambria"/>
          <w:sz w:val="20"/>
          <w:szCs w:val="20"/>
          <w:bdr w:val="none" w:sz="0" w:space="0" w:color="auto"/>
          <w:lang w:val="es-ES_tradnl"/>
        </w:rPr>
        <w:t>rdenes María con Fisco de Chile”</w:t>
      </w:r>
      <w:r w:rsidR="00FE1F1B" w:rsidRPr="00DC278B">
        <w:rPr>
          <w:rFonts w:ascii="Cambria" w:eastAsia="Calibri" w:hAnsi="Cambria"/>
          <w:sz w:val="20"/>
          <w:szCs w:val="20"/>
          <w:bdr w:val="none" w:sz="0" w:space="0" w:color="auto"/>
          <w:vertAlign w:val="superscript"/>
          <w:lang w:val="es-CO"/>
        </w:rPr>
        <w:footnoteReference w:id="46"/>
      </w:r>
      <w:r w:rsidR="002878DF">
        <w:rPr>
          <w:rFonts w:ascii="Cambria" w:eastAsia="Times New Roman" w:hAnsi="Cambria"/>
          <w:sz w:val="20"/>
          <w:szCs w:val="20"/>
          <w:bdr w:val="none" w:sz="0" w:space="0" w:color="auto"/>
          <w:lang w:val="es-ES_tradnl"/>
        </w:rPr>
        <w:t>.</w:t>
      </w:r>
    </w:p>
    <w:p w:rsidR="006427A2" w:rsidRPr="00DC278B" w:rsidRDefault="006427A2" w:rsidP="00DC278B">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sz w:val="20"/>
          <w:szCs w:val="20"/>
          <w:bdr w:val="none" w:sz="0" w:space="0" w:color="auto"/>
          <w:lang w:val="es-ES_tradnl"/>
        </w:rPr>
      </w:pPr>
    </w:p>
    <w:p w:rsidR="006427A2" w:rsidRPr="00DC278B" w:rsidRDefault="00E94A36"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r w:rsidRPr="00DC278B">
        <w:rPr>
          <w:rFonts w:ascii="Cambria" w:eastAsia="Times New Roman" w:hAnsi="Cambria"/>
          <w:sz w:val="20"/>
          <w:szCs w:val="20"/>
          <w:bdr w:val="none" w:sz="0" w:space="0" w:color="auto"/>
          <w:lang w:val="es-ES_tradnl"/>
        </w:rPr>
        <w:t>El</w:t>
      </w:r>
      <w:r w:rsidR="004910CC" w:rsidRPr="00DC278B">
        <w:rPr>
          <w:rFonts w:ascii="Cambria" w:eastAsia="Times New Roman" w:hAnsi="Cambria"/>
          <w:sz w:val="20"/>
          <w:szCs w:val="20"/>
          <w:bdr w:val="none" w:sz="0" w:space="0" w:color="auto"/>
          <w:lang w:val="es-ES_tradnl"/>
        </w:rPr>
        <w:t xml:space="preserve"> 28 de enero de 1999 el 8º</w:t>
      </w:r>
      <w:r w:rsidR="006427A2" w:rsidRPr="00DC278B">
        <w:rPr>
          <w:rFonts w:ascii="Cambria" w:eastAsia="Times New Roman" w:hAnsi="Cambria"/>
          <w:sz w:val="20"/>
          <w:szCs w:val="20"/>
          <w:bdr w:val="none" w:sz="0" w:space="0" w:color="auto"/>
          <w:lang w:val="es-ES_tradnl"/>
        </w:rPr>
        <w:t xml:space="preserve"> Juzgado Civil</w:t>
      </w:r>
      <w:r w:rsidR="006D5ED9" w:rsidRPr="00DC278B">
        <w:rPr>
          <w:rFonts w:ascii="Cambria" w:eastAsia="Times New Roman" w:hAnsi="Cambria"/>
          <w:sz w:val="20"/>
          <w:szCs w:val="20"/>
          <w:bdr w:val="none" w:sz="0" w:space="0" w:color="auto"/>
          <w:lang w:val="es-ES_tradnl"/>
        </w:rPr>
        <w:t>,</w:t>
      </w:r>
      <w:r w:rsidR="006427A2" w:rsidRPr="00DC278B">
        <w:rPr>
          <w:rFonts w:ascii="Cambria" w:eastAsia="Times New Roman" w:hAnsi="Cambria"/>
          <w:sz w:val="20"/>
          <w:szCs w:val="20"/>
          <w:bdr w:val="none" w:sz="0" w:space="0" w:color="auto"/>
          <w:lang w:val="es-ES_tradnl"/>
        </w:rPr>
        <w:t xml:space="preserve"> </w:t>
      </w:r>
      <w:r w:rsidR="006D5ED9" w:rsidRPr="00DC278B">
        <w:rPr>
          <w:rFonts w:ascii="Cambria" w:eastAsia="Times New Roman" w:hAnsi="Cambria"/>
          <w:sz w:val="20"/>
          <w:szCs w:val="20"/>
          <w:bdr w:val="none" w:sz="0" w:space="0" w:color="auto"/>
          <w:lang w:val="es-ES_tradnl"/>
        </w:rPr>
        <w:t xml:space="preserve">aunque declaró probado que la ejecución extrajudicial de Augusto </w:t>
      </w:r>
      <w:proofErr w:type="spellStart"/>
      <w:r w:rsidR="006D5ED9" w:rsidRPr="00DC278B">
        <w:rPr>
          <w:rFonts w:ascii="Cambria" w:eastAsia="Times New Roman" w:hAnsi="Cambria"/>
          <w:sz w:val="20"/>
          <w:szCs w:val="20"/>
          <w:bdr w:val="none" w:sz="0" w:space="0" w:color="auto"/>
          <w:lang w:val="es-ES_tradnl"/>
        </w:rPr>
        <w:t>Alcayaga</w:t>
      </w:r>
      <w:proofErr w:type="spellEnd"/>
      <w:r w:rsidR="006D5ED9" w:rsidRPr="00DC278B">
        <w:rPr>
          <w:rFonts w:ascii="Cambria" w:eastAsia="Times New Roman" w:hAnsi="Cambria"/>
          <w:sz w:val="20"/>
          <w:szCs w:val="20"/>
          <w:bdr w:val="none" w:sz="0" w:space="0" w:color="auto"/>
          <w:lang w:val="es-ES_tradnl"/>
        </w:rPr>
        <w:t xml:space="preserve"> fue cometida por agentes del Estado, declaró la prescripción de la acción </w:t>
      </w:r>
      <w:r w:rsidR="00D149F1" w:rsidRPr="00DC278B">
        <w:rPr>
          <w:rFonts w:ascii="Cambria" w:eastAsia="Times New Roman" w:hAnsi="Cambria"/>
          <w:sz w:val="20"/>
          <w:szCs w:val="20"/>
          <w:bdr w:val="none" w:sz="0" w:space="0" w:color="auto"/>
          <w:lang w:val="es-ES_tradnl"/>
        </w:rPr>
        <w:t>al haber sido interpuesta</w:t>
      </w:r>
      <w:r w:rsidR="006D5ED9" w:rsidRPr="00DC278B">
        <w:rPr>
          <w:rFonts w:ascii="Cambria" w:eastAsia="Times New Roman" w:hAnsi="Cambria"/>
          <w:sz w:val="20"/>
          <w:szCs w:val="20"/>
          <w:bdr w:val="none" w:sz="0" w:space="0" w:color="auto"/>
          <w:lang w:val="es-ES_tradnl"/>
        </w:rPr>
        <w:t xml:space="preserve"> después del término de cinco años previsto en el artículo 2</w:t>
      </w:r>
      <w:r w:rsidR="00B94589" w:rsidRPr="00DC278B">
        <w:rPr>
          <w:rFonts w:ascii="Cambria" w:eastAsia="Times New Roman" w:hAnsi="Cambria"/>
          <w:sz w:val="20"/>
          <w:szCs w:val="20"/>
          <w:bdr w:val="none" w:sz="0" w:space="0" w:color="auto"/>
          <w:lang w:val="es-ES_tradnl"/>
        </w:rPr>
        <w:t>.</w:t>
      </w:r>
      <w:r w:rsidR="006D5ED9" w:rsidRPr="00DC278B">
        <w:rPr>
          <w:rFonts w:ascii="Cambria" w:eastAsia="Times New Roman" w:hAnsi="Cambria"/>
          <w:sz w:val="20"/>
          <w:szCs w:val="20"/>
          <w:bdr w:val="none" w:sz="0" w:space="0" w:color="auto"/>
          <w:lang w:val="es-ES_tradnl"/>
        </w:rPr>
        <w:t>515 del Código Civil</w:t>
      </w:r>
      <w:r w:rsidR="006D5ED9" w:rsidRPr="00DC278B">
        <w:rPr>
          <w:rFonts w:ascii="Cambria" w:eastAsia="Times New Roman" w:hAnsi="Cambria"/>
          <w:sz w:val="20"/>
          <w:szCs w:val="20"/>
          <w:bdr w:val="none" w:sz="0" w:space="0" w:color="auto"/>
          <w:vertAlign w:val="superscript"/>
          <w:lang w:val="es-ES_tradnl"/>
        </w:rPr>
        <w:footnoteReference w:id="47"/>
      </w:r>
      <w:r w:rsidR="00D149F1" w:rsidRPr="00DC278B">
        <w:rPr>
          <w:rFonts w:ascii="Cambria" w:eastAsia="Times New Roman" w:hAnsi="Cambria"/>
          <w:sz w:val="20"/>
          <w:szCs w:val="20"/>
          <w:bdr w:val="none" w:sz="0" w:space="0" w:color="auto"/>
          <w:lang w:val="es-ES_tradnl"/>
        </w:rPr>
        <w:t>, contando el término desde el día de la</w:t>
      </w:r>
      <w:r w:rsidR="006D5ED9" w:rsidRPr="00DC278B">
        <w:rPr>
          <w:rFonts w:ascii="Cambria" w:eastAsia="Times New Roman" w:hAnsi="Cambria"/>
          <w:sz w:val="20"/>
          <w:szCs w:val="20"/>
          <w:bdr w:val="none" w:sz="0" w:space="0" w:color="auto"/>
          <w:lang w:val="es-ES_tradnl"/>
        </w:rPr>
        <w:t xml:space="preserve"> muerte </w:t>
      </w:r>
      <w:r w:rsidR="00D149F1" w:rsidRPr="00DC278B">
        <w:rPr>
          <w:rFonts w:ascii="Cambria" w:eastAsia="Times New Roman" w:hAnsi="Cambria"/>
          <w:sz w:val="20"/>
          <w:szCs w:val="20"/>
          <w:bdr w:val="none" w:sz="0" w:space="0" w:color="auto"/>
          <w:lang w:val="es-ES_tradnl"/>
        </w:rPr>
        <w:t>de la víctima en 1973</w:t>
      </w:r>
      <w:r w:rsidR="006D5ED9" w:rsidRPr="00DC278B">
        <w:rPr>
          <w:rFonts w:ascii="Cambria" w:eastAsia="Times New Roman" w:hAnsi="Cambria"/>
          <w:sz w:val="20"/>
          <w:szCs w:val="20"/>
          <w:bdr w:val="none" w:sz="0" w:space="0" w:color="auto"/>
          <w:vertAlign w:val="superscript"/>
          <w:lang w:val="es-ES_tradnl"/>
        </w:rPr>
        <w:footnoteReference w:id="48"/>
      </w:r>
      <w:r w:rsidR="00B90EC1" w:rsidRPr="00DC278B">
        <w:rPr>
          <w:rFonts w:ascii="Cambria" w:eastAsia="Times New Roman" w:hAnsi="Cambria"/>
          <w:sz w:val="20"/>
          <w:szCs w:val="20"/>
          <w:bdr w:val="none" w:sz="0" w:space="0" w:color="auto"/>
          <w:lang w:val="es-ES_tradnl"/>
        </w:rPr>
        <w:t xml:space="preserve"> e incompatibilidad con la Ley 19.123</w:t>
      </w:r>
      <w:r w:rsidR="00B90EC1" w:rsidRPr="00DC278B">
        <w:rPr>
          <w:rFonts w:ascii="Cambria" w:eastAsia="Times New Roman" w:hAnsi="Cambria"/>
          <w:sz w:val="20"/>
          <w:szCs w:val="20"/>
          <w:bdr w:val="none" w:sz="0" w:space="0" w:color="auto"/>
          <w:vertAlign w:val="superscript"/>
          <w:lang w:val="es-ES_tradnl"/>
        </w:rPr>
        <w:footnoteReference w:id="49"/>
      </w:r>
      <w:r w:rsidR="00D30856">
        <w:rPr>
          <w:rFonts w:ascii="Cambria" w:eastAsia="Times New Roman" w:hAnsi="Cambria"/>
          <w:sz w:val="20"/>
          <w:szCs w:val="20"/>
          <w:bdr w:val="none" w:sz="0" w:space="0" w:color="auto"/>
          <w:lang w:val="es-ES_tradnl"/>
        </w:rPr>
        <w:t xml:space="preserve">. </w:t>
      </w:r>
      <w:r w:rsidRPr="00DC278B">
        <w:rPr>
          <w:rFonts w:ascii="Cambria" w:eastAsia="Times New Roman" w:hAnsi="Cambria"/>
          <w:sz w:val="20"/>
          <w:szCs w:val="20"/>
          <w:bdr w:val="none" w:sz="0" w:space="0" w:color="auto"/>
          <w:lang w:val="es-ES_tradnl"/>
        </w:rPr>
        <w:t>El Juzgado consideró que “el hecho del cual deriva la acción indemnizatoria acaeció en determinada fecha del año 1973, desde la cual, hasta la fecha de notificación de la demanda de autos, transcurrió en exceso el plazo de prescripción de cinco años que el tribunal ha estimado aplicable en la especie”</w:t>
      </w:r>
      <w:r w:rsidRPr="00DC278B">
        <w:rPr>
          <w:rFonts w:ascii="Cambria" w:eastAsia="Calibri" w:hAnsi="Cambria"/>
          <w:sz w:val="20"/>
          <w:szCs w:val="20"/>
          <w:bdr w:val="none" w:sz="0" w:space="0" w:color="auto"/>
          <w:vertAlign w:val="superscript"/>
          <w:lang w:val="es-CO"/>
        </w:rPr>
        <w:footnoteReference w:id="50"/>
      </w:r>
      <w:r w:rsidR="00D30856">
        <w:rPr>
          <w:rFonts w:ascii="Cambria" w:eastAsia="Times New Roman" w:hAnsi="Cambria"/>
          <w:sz w:val="20"/>
          <w:szCs w:val="20"/>
          <w:bdr w:val="none" w:sz="0" w:space="0" w:color="auto"/>
          <w:lang w:val="es-ES_tradnl"/>
        </w:rPr>
        <w:t xml:space="preserve">. </w:t>
      </w:r>
      <w:r w:rsidRPr="00DC278B">
        <w:rPr>
          <w:rFonts w:ascii="Cambria" w:eastAsia="Times New Roman" w:hAnsi="Cambria"/>
          <w:sz w:val="20"/>
          <w:szCs w:val="20"/>
          <w:bdr w:val="none" w:sz="0" w:space="0" w:color="auto"/>
          <w:lang w:val="es-ES_tradnl"/>
        </w:rPr>
        <w:t>La demandante presentó recurso de apelación contra dicha sentencia, la cual fue denegada, el 24 d</w:t>
      </w:r>
      <w:r w:rsidR="00B94589" w:rsidRPr="00DC278B">
        <w:rPr>
          <w:rFonts w:ascii="Cambria" w:eastAsia="Times New Roman" w:hAnsi="Cambria"/>
          <w:sz w:val="20"/>
          <w:szCs w:val="20"/>
          <w:bdr w:val="none" w:sz="0" w:space="0" w:color="auto"/>
          <w:lang w:val="es-ES_tradnl"/>
        </w:rPr>
        <w:t>e octubre de 2002, por la 4º</w:t>
      </w:r>
      <w:r w:rsidRPr="00DC278B">
        <w:rPr>
          <w:rFonts w:ascii="Cambria" w:eastAsia="Times New Roman" w:hAnsi="Cambria"/>
          <w:sz w:val="20"/>
          <w:szCs w:val="20"/>
          <w:bdr w:val="none" w:sz="0" w:space="0" w:color="auto"/>
          <w:lang w:val="es-ES_tradnl"/>
        </w:rPr>
        <w:t xml:space="preserve"> Sala de la CAS, confirmando</w:t>
      </w:r>
      <w:r w:rsidR="006D5ED9" w:rsidRPr="00DC278B">
        <w:rPr>
          <w:rFonts w:ascii="Cambria" w:eastAsia="Times New Roman" w:hAnsi="Cambria"/>
          <w:sz w:val="20"/>
          <w:szCs w:val="20"/>
          <w:bdr w:val="none" w:sz="0" w:space="0" w:color="auto"/>
          <w:lang w:val="es-ES_tradnl"/>
        </w:rPr>
        <w:t xml:space="preserve"> la sentencia de primera instancia</w:t>
      </w:r>
      <w:r w:rsidR="006D5ED9" w:rsidRPr="00DC278B">
        <w:rPr>
          <w:rFonts w:ascii="Cambria" w:eastAsia="Times New Roman" w:hAnsi="Cambria"/>
          <w:sz w:val="20"/>
          <w:szCs w:val="20"/>
          <w:bdr w:val="none" w:sz="0" w:space="0" w:color="auto"/>
          <w:vertAlign w:val="superscript"/>
          <w:lang w:val="es-ES_tradnl"/>
        </w:rPr>
        <w:footnoteReference w:id="51"/>
      </w:r>
      <w:r w:rsidR="006D5ED9" w:rsidRPr="00DC278B">
        <w:rPr>
          <w:rFonts w:ascii="Cambria" w:eastAsia="Times New Roman" w:hAnsi="Cambria"/>
          <w:sz w:val="20"/>
          <w:szCs w:val="20"/>
          <w:bdr w:val="none" w:sz="0" w:space="0" w:color="auto"/>
          <w:lang w:val="es-ES_tradnl"/>
        </w:rPr>
        <w:t xml:space="preserve">. </w:t>
      </w:r>
      <w:r w:rsidRPr="00DC278B">
        <w:rPr>
          <w:rFonts w:ascii="Cambria" w:eastAsia="Times New Roman" w:hAnsi="Cambria"/>
          <w:sz w:val="20"/>
          <w:szCs w:val="20"/>
          <w:bdr w:val="none" w:sz="0" w:space="0" w:color="auto"/>
          <w:lang w:val="es-ES_tradnl"/>
        </w:rPr>
        <w:t xml:space="preserve"> </w:t>
      </w:r>
      <w:r w:rsidR="006427A2" w:rsidRPr="00DC278B">
        <w:rPr>
          <w:rFonts w:ascii="Cambria" w:eastAsia="Times New Roman" w:hAnsi="Cambria"/>
          <w:sz w:val="20"/>
          <w:szCs w:val="20"/>
          <w:bdr w:val="none" w:sz="0" w:space="0" w:color="auto"/>
          <w:lang w:val="es-ES_tradnl"/>
        </w:rPr>
        <w:t>Contra dicha decisión, la demandante interpuso un recurso de casación en e</w:t>
      </w:r>
      <w:r w:rsidR="00E07F44" w:rsidRPr="00DC278B">
        <w:rPr>
          <w:rFonts w:ascii="Cambria" w:eastAsia="Times New Roman" w:hAnsi="Cambria"/>
          <w:sz w:val="20"/>
          <w:szCs w:val="20"/>
          <w:bdr w:val="none" w:sz="0" w:space="0" w:color="auto"/>
          <w:lang w:val="es-ES_tradnl"/>
        </w:rPr>
        <w:t>l fondo, el cual fue declarado desierto</w:t>
      </w:r>
      <w:r w:rsidR="006427A2" w:rsidRPr="00DC278B">
        <w:rPr>
          <w:rFonts w:ascii="Cambria" w:eastAsia="Times New Roman" w:hAnsi="Cambria"/>
          <w:sz w:val="20"/>
          <w:szCs w:val="20"/>
          <w:bdr w:val="none" w:sz="0" w:space="0" w:color="auto"/>
          <w:lang w:val="es-ES_tradnl"/>
        </w:rPr>
        <w:t xml:space="preserve"> por la CSJ, el 7 de enero de 2003</w:t>
      </w:r>
      <w:r w:rsidRPr="00DC278B">
        <w:rPr>
          <w:rFonts w:ascii="Cambria" w:eastAsia="Calibri" w:hAnsi="Cambria"/>
          <w:sz w:val="20"/>
          <w:szCs w:val="20"/>
          <w:bdr w:val="none" w:sz="0" w:space="0" w:color="auto"/>
          <w:vertAlign w:val="superscript"/>
          <w:lang w:val="es-MX"/>
        </w:rPr>
        <w:footnoteReference w:id="52"/>
      </w:r>
      <w:r w:rsidR="006427A2" w:rsidRPr="00DC278B">
        <w:rPr>
          <w:rFonts w:ascii="Cambria" w:eastAsia="Times New Roman" w:hAnsi="Cambria"/>
          <w:sz w:val="20"/>
          <w:szCs w:val="20"/>
          <w:bdr w:val="none" w:sz="0" w:space="0" w:color="auto"/>
          <w:lang w:val="es-ES_tradnl"/>
        </w:rPr>
        <w:t>, por lo que el expediente fue devuelto al tribunal de origen, el cual dictó resolución de “cúmplase”, el 17 de marzo de 2003</w:t>
      </w:r>
      <w:r w:rsidR="00FE1F1B" w:rsidRPr="00DC278B">
        <w:rPr>
          <w:rStyle w:val="Refdenotaalpie"/>
          <w:rFonts w:ascii="Cambria" w:eastAsia="Times New Roman" w:hAnsi="Cambria"/>
          <w:sz w:val="20"/>
          <w:szCs w:val="20"/>
          <w:bdr w:val="none" w:sz="0" w:space="0" w:color="auto"/>
          <w:lang w:val="es-ES_tradnl"/>
        </w:rPr>
        <w:footnoteReference w:id="53"/>
      </w:r>
      <w:r w:rsidR="006427A2" w:rsidRPr="00DC278B">
        <w:rPr>
          <w:rFonts w:ascii="Cambria" w:eastAsia="Times New Roman" w:hAnsi="Cambria"/>
          <w:sz w:val="20"/>
          <w:szCs w:val="20"/>
          <w:bdr w:val="none" w:sz="0" w:space="0" w:color="auto"/>
          <w:lang w:val="es-ES_tradnl"/>
        </w:rPr>
        <w:t>.</w:t>
      </w:r>
    </w:p>
    <w:p w:rsidR="00144E97" w:rsidRPr="00DC278B" w:rsidRDefault="00144E97" w:rsidP="00DC278B">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sz w:val="20"/>
          <w:szCs w:val="20"/>
          <w:bdr w:val="none" w:sz="0" w:space="0" w:color="auto"/>
          <w:lang w:val="es-ES_tradnl"/>
        </w:rPr>
      </w:pPr>
    </w:p>
    <w:p w:rsidR="00785691" w:rsidRDefault="009C3BA8"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r w:rsidRPr="00DC278B">
        <w:rPr>
          <w:rFonts w:ascii="Cambria" w:eastAsia="Times New Roman" w:hAnsi="Cambria"/>
          <w:sz w:val="20"/>
          <w:szCs w:val="20"/>
          <w:bdr w:val="none" w:sz="0" w:space="0" w:color="auto"/>
          <w:lang w:val="es-ES_tradnl"/>
        </w:rPr>
        <w:t>Mediante la Ley 19.980 de 2004, e</w:t>
      </w:r>
      <w:r w:rsidR="00591D12" w:rsidRPr="00DC278B">
        <w:rPr>
          <w:rFonts w:ascii="Cambria" w:eastAsia="Times New Roman" w:hAnsi="Cambria"/>
          <w:sz w:val="20"/>
          <w:szCs w:val="20"/>
          <w:bdr w:val="none" w:sz="0" w:space="0" w:color="auto"/>
          <w:lang w:val="es-ES_tradnl"/>
        </w:rPr>
        <w:t xml:space="preserve">n noviembre de 2005 a los hijos </w:t>
      </w:r>
      <w:r w:rsidR="00C62141" w:rsidRPr="00DC278B">
        <w:rPr>
          <w:rFonts w:ascii="Cambria" w:eastAsia="Times New Roman" w:hAnsi="Cambria"/>
          <w:sz w:val="20"/>
          <w:szCs w:val="20"/>
          <w:bdr w:val="none" w:sz="0" w:space="0" w:color="auto"/>
          <w:lang w:val="es-ES_tradnl"/>
        </w:rPr>
        <w:t xml:space="preserve">de Augusto </w:t>
      </w:r>
      <w:proofErr w:type="spellStart"/>
      <w:r w:rsidR="00C62141" w:rsidRPr="00DC278B">
        <w:rPr>
          <w:rFonts w:ascii="Cambria" w:eastAsia="Times New Roman" w:hAnsi="Cambria"/>
          <w:sz w:val="20"/>
          <w:szCs w:val="20"/>
          <w:bdr w:val="none" w:sz="0" w:space="0" w:color="auto"/>
          <w:lang w:val="es-ES_tradnl"/>
        </w:rPr>
        <w:t>Alca</w:t>
      </w:r>
      <w:r w:rsidR="00591D12" w:rsidRPr="00DC278B">
        <w:rPr>
          <w:rFonts w:ascii="Cambria" w:eastAsia="Times New Roman" w:hAnsi="Cambria"/>
          <w:sz w:val="20"/>
          <w:szCs w:val="20"/>
          <w:bdr w:val="none" w:sz="0" w:space="0" w:color="auto"/>
          <w:lang w:val="es-ES_tradnl"/>
        </w:rPr>
        <w:t>y</w:t>
      </w:r>
      <w:r w:rsidR="00C62141" w:rsidRPr="00DC278B">
        <w:rPr>
          <w:rFonts w:ascii="Cambria" w:eastAsia="Times New Roman" w:hAnsi="Cambria"/>
          <w:sz w:val="20"/>
          <w:szCs w:val="20"/>
          <w:bdr w:val="none" w:sz="0" w:space="0" w:color="auto"/>
          <w:lang w:val="es-ES_tradnl"/>
        </w:rPr>
        <w:t>ag</w:t>
      </w:r>
      <w:r w:rsidR="00591D12" w:rsidRPr="00DC278B">
        <w:rPr>
          <w:rFonts w:ascii="Cambria" w:eastAsia="Times New Roman" w:hAnsi="Cambria"/>
          <w:sz w:val="20"/>
          <w:szCs w:val="20"/>
          <w:bdr w:val="none" w:sz="0" w:space="0" w:color="auto"/>
          <w:lang w:val="es-ES_tradnl"/>
        </w:rPr>
        <w:t>a</w:t>
      </w:r>
      <w:proofErr w:type="spellEnd"/>
      <w:r w:rsidR="00591D12" w:rsidRPr="00DC278B">
        <w:rPr>
          <w:rFonts w:ascii="Cambria" w:eastAsia="Times New Roman" w:hAnsi="Cambria"/>
          <w:sz w:val="20"/>
          <w:szCs w:val="20"/>
          <w:bdr w:val="none" w:sz="0" w:space="0" w:color="auto"/>
          <w:lang w:val="es-ES_tradnl"/>
        </w:rPr>
        <w:t>, que por edad no le correspondía pensión, se les otorgó un bono de reparación por única vez de $10.000.000 Pesos c</w:t>
      </w:r>
      <w:r w:rsidR="00B97310" w:rsidRPr="00DC278B">
        <w:rPr>
          <w:rFonts w:ascii="Cambria" w:eastAsia="Times New Roman" w:hAnsi="Cambria"/>
          <w:sz w:val="20"/>
          <w:szCs w:val="20"/>
          <w:bdr w:val="none" w:sz="0" w:space="0" w:color="auto"/>
          <w:lang w:val="es-ES_tradnl"/>
        </w:rPr>
        <w:t>hilenos; y los</w:t>
      </w:r>
      <w:r w:rsidR="00591D12" w:rsidRPr="00DC278B">
        <w:rPr>
          <w:rFonts w:ascii="Cambria" w:eastAsia="Times New Roman" w:hAnsi="Cambria"/>
          <w:sz w:val="20"/>
          <w:szCs w:val="20"/>
          <w:bdr w:val="none" w:sz="0" w:space="0" w:color="auto"/>
          <w:lang w:val="es-ES_tradnl"/>
        </w:rPr>
        <w:t xml:space="preserve"> hijos que por edad recibieron pensiones de reparación, se les otorgó la diferencia entre lo que habían recibido por pensión y el monto de la bonificación única</w:t>
      </w:r>
      <w:r w:rsidR="00B97310" w:rsidRPr="00DC278B">
        <w:rPr>
          <w:rFonts w:ascii="Cambria" w:eastAsia="Times New Roman" w:hAnsi="Cambria"/>
          <w:sz w:val="20"/>
          <w:szCs w:val="20"/>
          <w:bdr w:val="none" w:sz="0" w:space="0" w:color="auto"/>
          <w:vertAlign w:val="superscript"/>
          <w:lang w:val="es-ES_tradnl"/>
        </w:rPr>
        <w:footnoteReference w:id="54"/>
      </w:r>
      <w:r w:rsidR="00591D12" w:rsidRPr="00DC278B">
        <w:rPr>
          <w:rFonts w:ascii="Cambria" w:eastAsia="Times New Roman" w:hAnsi="Cambria"/>
          <w:sz w:val="20"/>
          <w:szCs w:val="20"/>
          <w:bdr w:val="none" w:sz="0" w:space="0" w:color="auto"/>
          <w:lang w:val="es-ES_tradnl"/>
        </w:rPr>
        <w:t>.</w:t>
      </w:r>
    </w:p>
    <w:p w:rsidR="00D50EDB" w:rsidRPr="00DC278B" w:rsidRDefault="00D50EDB" w:rsidP="00D50ED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p>
    <w:p w:rsidR="00BA0A5E" w:rsidRPr="00DC278B" w:rsidRDefault="00E24E60" w:rsidP="00DC278B">
      <w:pPr>
        <w:pStyle w:val="Ttulo2"/>
        <w:ind w:left="1440" w:hanging="720"/>
      </w:pPr>
      <w:bookmarkStart w:id="19" w:name="_Toc413397474"/>
      <w:r w:rsidRPr="00DC278B">
        <w:lastRenderedPageBreak/>
        <w:t>D.</w:t>
      </w:r>
      <w:r w:rsidRPr="00DC278B">
        <w:tab/>
      </w:r>
      <w:r w:rsidR="005E63E4" w:rsidRPr="00DC278B">
        <w:t>Situación de los grupos familiares de Lucía Morales</w:t>
      </w:r>
      <w:r w:rsidR="008C6949" w:rsidRPr="00DC278B">
        <w:t xml:space="preserve"> </w:t>
      </w:r>
      <w:r w:rsidR="007301C7" w:rsidRPr="00DC278B">
        <w:t xml:space="preserve">y </w:t>
      </w:r>
      <w:r w:rsidR="005E63E4" w:rsidRPr="00DC278B">
        <w:t xml:space="preserve">Patricia </w:t>
      </w:r>
      <w:r w:rsidR="00516BD4" w:rsidRPr="00DC278B">
        <w:t>Cortés</w:t>
      </w:r>
      <w:r w:rsidR="005E63E4" w:rsidRPr="00DC278B">
        <w:t xml:space="preserve"> y sus causas</w:t>
      </w:r>
      <w:r w:rsidR="007301C7" w:rsidRPr="00DC278B">
        <w:t xml:space="preserve"> </w:t>
      </w:r>
      <w:r w:rsidR="00665F90" w:rsidRPr="00DC278B">
        <w:t>con</w:t>
      </w:r>
      <w:r w:rsidR="00CB7019" w:rsidRPr="00DC278B">
        <w:t>tra</w:t>
      </w:r>
      <w:r w:rsidR="00F640C5" w:rsidRPr="00DC278B">
        <w:t xml:space="preserve"> el</w:t>
      </w:r>
      <w:r w:rsidR="00665F90" w:rsidRPr="00DC278B">
        <w:t xml:space="preserve"> Fisco de Chile</w:t>
      </w:r>
      <w:bookmarkEnd w:id="19"/>
    </w:p>
    <w:p w:rsidR="004B316C" w:rsidRPr="00DC278B" w:rsidRDefault="004B316C" w:rsidP="00DC278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cs="Garamond"/>
          <w:sz w:val="20"/>
          <w:szCs w:val="20"/>
          <w:bdr w:val="none" w:sz="0" w:space="0" w:color="auto"/>
          <w:lang w:val="es-ES_tradnl"/>
        </w:rPr>
      </w:pPr>
    </w:p>
    <w:p w:rsidR="00ED1A3E" w:rsidRPr="00DC278B" w:rsidRDefault="00793CB7"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lang w:val="es-ES"/>
        </w:rPr>
      </w:pPr>
      <w:r w:rsidRPr="00DC278B">
        <w:rPr>
          <w:rFonts w:ascii="Cambria" w:eastAsia="Times New Roman" w:hAnsi="Cambria"/>
          <w:sz w:val="20"/>
          <w:szCs w:val="20"/>
          <w:lang w:val="es-ES"/>
        </w:rPr>
        <w:t xml:space="preserve">Según el Informe de la Comisión </w:t>
      </w:r>
      <w:proofErr w:type="spellStart"/>
      <w:r w:rsidRPr="00DC278B">
        <w:rPr>
          <w:rFonts w:ascii="Cambria" w:eastAsia="Times New Roman" w:hAnsi="Cambria"/>
          <w:sz w:val="20"/>
          <w:szCs w:val="20"/>
          <w:lang w:val="es-ES"/>
        </w:rPr>
        <w:t>Rettig</w:t>
      </w:r>
      <w:proofErr w:type="spellEnd"/>
      <w:r w:rsidRPr="00DC278B">
        <w:rPr>
          <w:rFonts w:ascii="Cambria" w:eastAsia="Times New Roman" w:hAnsi="Cambria"/>
          <w:sz w:val="20"/>
          <w:szCs w:val="20"/>
          <w:lang w:val="es-ES"/>
        </w:rPr>
        <w:t>, el 17 de septiembre de 1973, Jorge Osorio, militante socialista, y profesor</w:t>
      </w:r>
      <w:r w:rsidR="00385C70" w:rsidRPr="00DC278B">
        <w:rPr>
          <w:rFonts w:ascii="Cambria" w:eastAsia="Times New Roman" w:hAnsi="Cambria"/>
          <w:sz w:val="20"/>
          <w:szCs w:val="20"/>
          <w:lang w:val="es-ES"/>
        </w:rPr>
        <w:t xml:space="preserve"> universitario</w:t>
      </w:r>
      <w:r w:rsidRPr="00DC278B">
        <w:rPr>
          <w:rFonts w:ascii="Cambria" w:eastAsia="Times New Roman" w:hAnsi="Cambria"/>
          <w:sz w:val="20"/>
          <w:szCs w:val="20"/>
          <w:lang w:val="es-ES"/>
        </w:rPr>
        <w:t xml:space="preserve">, fue detenido </w:t>
      </w:r>
      <w:r w:rsidR="00385C70" w:rsidRPr="00DC278B">
        <w:rPr>
          <w:rFonts w:ascii="Cambria" w:eastAsia="Times New Roman" w:hAnsi="Cambria"/>
          <w:sz w:val="20"/>
          <w:szCs w:val="20"/>
          <w:lang w:val="es-ES"/>
        </w:rPr>
        <w:t xml:space="preserve">por funcionarios de Investigaciones en las dependencias de </w:t>
      </w:r>
      <w:proofErr w:type="spellStart"/>
      <w:r w:rsidR="00385C70" w:rsidRPr="00DC278B">
        <w:rPr>
          <w:rFonts w:ascii="Cambria" w:eastAsia="Times New Roman" w:hAnsi="Cambria"/>
          <w:sz w:val="20"/>
          <w:szCs w:val="20"/>
          <w:lang w:val="es-ES"/>
        </w:rPr>
        <w:t>Manesa</w:t>
      </w:r>
      <w:proofErr w:type="spellEnd"/>
      <w:r w:rsidR="00385C70" w:rsidRPr="00DC278B">
        <w:rPr>
          <w:rFonts w:ascii="Cambria" w:eastAsia="Times New Roman" w:hAnsi="Cambria"/>
          <w:sz w:val="20"/>
          <w:szCs w:val="20"/>
          <w:lang w:val="es-ES"/>
        </w:rPr>
        <w:t xml:space="preserve"> y conducido a la </w:t>
      </w:r>
      <w:r w:rsidRPr="00DC278B">
        <w:rPr>
          <w:rFonts w:ascii="Cambria" w:eastAsia="Times New Roman" w:hAnsi="Cambria"/>
          <w:sz w:val="20"/>
          <w:szCs w:val="20"/>
          <w:lang w:val="es-ES"/>
        </w:rPr>
        <w:t>Cárcel de “La Serena”</w:t>
      </w:r>
      <w:r w:rsidR="00385C70" w:rsidRPr="00DC278B">
        <w:rPr>
          <w:rFonts w:ascii="Cambria" w:eastAsia="Times New Roman" w:hAnsi="Cambria"/>
          <w:sz w:val="20"/>
          <w:szCs w:val="20"/>
          <w:vertAlign w:val="superscript"/>
          <w:lang w:val="es-ES"/>
        </w:rPr>
        <w:footnoteReference w:id="55"/>
      </w:r>
      <w:r w:rsidR="00D30856">
        <w:rPr>
          <w:rFonts w:ascii="Cambria" w:eastAsia="Times New Roman" w:hAnsi="Cambria"/>
          <w:sz w:val="20"/>
          <w:szCs w:val="20"/>
          <w:lang w:val="es-ES"/>
        </w:rPr>
        <w:t xml:space="preserve">. </w:t>
      </w:r>
      <w:r w:rsidR="00ED1A3E" w:rsidRPr="00DC278B">
        <w:rPr>
          <w:rFonts w:ascii="Cambria" w:eastAsia="Times New Roman" w:hAnsi="Cambria"/>
          <w:sz w:val="20"/>
          <w:szCs w:val="20"/>
          <w:lang w:val="es-ES"/>
        </w:rPr>
        <w:t>A dicha cárcel también fue trasladado Hipólito Cortés, obrero, funcionario municipal</w:t>
      </w:r>
      <w:r w:rsidR="001D679A" w:rsidRPr="00DC278B">
        <w:rPr>
          <w:rFonts w:ascii="Cambria" w:eastAsia="Times New Roman" w:hAnsi="Cambria"/>
          <w:sz w:val="20"/>
          <w:szCs w:val="20"/>
          <w:lang w:val="es-ES"/>
        </w:rPr>
        <w:t>,</w:t>
      </w:r>
      <w:r w:rsidR="00ED1A3E" w:rsidRPr="00DC278B">
        <w:rPr>
          <w:rFonts w:ascii="Cambria" w:eastAsia="Times New Roman" w:hAnsi="Cambria"/>
          <w:sz w:val="20"/>
          <w:szCs w:val="20"/>
          <w:lang w:val="es-ES"/>
        </w:rPr>
        <w:t xml:space="preserve"> </w:t>
      </w:r>
      <w:r w:rsidR="000D2264" w:rsidRPr="00DC278B">
        <w:rPr>
          <w:rFonts w:ascii="Cambria" w:eastAsia="Times New Roman" w:hAnsi="Cambria"/>
          <w:sz w:val="20"/>
          <w:szCs w:val="20"/>
          <w:lang w:val="es-ES"/>
        </w:rPr>
        <w:t xml:space="preserve">dirigente del Sindicato de la Construcción y militante del Partido Comunista, </w:t>
      </w:r>
      <w:r w:rsidR="00ED1A3E" w:rsidRPr="00DC278B">
        <w:rPr>
          <w:rFonts w:ascii="Cambria" w:eastAsia="Times New Roman" w:hAnsi="Cambria"/>
          <w:sz w:val="20"/>
          <w:szCs w:val="20"/>
          <w:lang w:val="es-ES"/>
        </w:rPr>
        <w:t xml:space="preserve">quien </w:t>
      </w:r>
      <w:r w:rsidR="00C062C0" w:rsidRPr="00DC278B">
        <w:rPr>
          <w:rFonts w:ascii="Cambria" w:eastAsia="Times New Roman" w:hAnsi="Cambria"/>
          <w:sz w:val="20"/>
          <w:szCs w:val="20"/>
          <w:lang w:val="es-ES"/>
        </w:rPr>
        <w:t xml:space="preserve">fue </w:t>
      </w:r>
      <w:r w:rsidR="00ED1A3E" w:rsidRPr="00DC278B">
        <w:rPr>
          <w:rFonts w:ascii="Cambria" w:eastAsia="Times New Roman" w:hAnsi="Cambria"/>
          <w:sz w:val="20"/>
          <w:szCs w:val="20"/>
          <w:lang w:val="es-ES"/>
        </w:rPr>
        <w:t>detenido en s</w:t>
      </w:r>
      <w:r w:rsidR="001D679A" w:rsidRPr="00DC278B">
        <w:rPr>
          <w:rFonts w:ascii="Cambria" w:eastAsia="Times New Roman" w:hAnsi="Cambria"/>
          <w:sz w:val="20"/>
          <w:szCs w:val="20"/>
          <w:lang w:val="es-ES"/>
        </w:rPr>
        <w:t>u lugar de trabajo por C</w:t>
      </w:r>
      <w:r w:rsidR="00ED1A3E" w:rsidRPr="00DC278B">
        <w:rPr>
          <w:rFonts w:ascii="Cambria" w:eastAsia="Times New Roman" w:hAnsi="Cambria"/>
          <w:sz w:val="20"/>
          <w:szCs w:val="20"/>
          <w:lang w:val="es-ES"/>
        </w:rPr>
        <w:t>arabineros de Ovalle</w:t>
      </w:r>
      <w:r w:rsidR="00ED1A3E" w:rsidRPr="00DC278B">
        <w:rPr>
          <w:rFonts w:ascii="Cambria" w:eastAsia="Times New Roman" w:hAnsi="Cambria"/>
          <w:sz w:val="20"/>
          <w:szCs w:val="20"/>
          <w:vertAlign w:val="superscript"/>
          <w:lang w:val="es-ES"/>
        </w:rPr>
        <w:footnoteReference w:id="56"/>
      </w:r>
      <w:r w:rsidR="00ED1A3E" w:rsidRPr="00DC278B">
        <w:rPr>
          <w:rFonts w:ascii="Cambria" w:eastAsia="Times New Roman" w:hAnsi="Cambria"/>
          <w:sz w:val="20"/>
          <w:szCs w:val="20"/>
          <w:lang w:val="es-ES"/>
        </w:rPr>
        <w:t xml:space="preserve">. </w:t>
      </w:r>
      <w:r w:rsidR="001D679A" w:rsidRPr="00DC278B">
        <w:rPr>
          <w:rFonts w:ascii="Cambria" w:eastAsia="Times New Roman" w:hAnsi="Cambria"/>
          <w:sz w:val="20"/>
          <w:szCs w:val="20"/>
          <w:lang w:val="es-ES"/>
        </w:rPr>
        <w:t>Hipólito</w:t>
      </w:r>
      <w:r w:rsidR="00ED1A3E" w:rsidRPr="00DC278B">
        <w:rPr>
          <w:rFonts w:ascii="Cambria" w:eastAsia="Times New Roman" w:hAnsi="Cambria"/>
          <w:sz w:val="20"/>
          <w:szCs w:val="20"/>
          <w:lang w:val="es-ES"/>
        </w:rPr>
        <w:t xml:space="preserve"> Cortés f</w:t>
      </w:r>
      <w:r w:rsidR="001D679A" w:rsidRPr="00DC278B">
        <w:rPr>
          <w:rFonts w:ascii="Cambria" w:eastAsia="Times New Roman" w:hAnsi="Cambria"/>
          <w:sz w:val="20"/>
          <w:szCs w:val="20"/>
          <w:lang w:val="es-ES"/>
        </w:rPr>
        <w:t>ue drogado y golpeado durante su detención</w:t>
      </w:r>
      <w:r w:rsidR="00ED1A3E" w:rsidRPr="00DC278B">
        <w:rPr>
          <w:rFonts w:ascii="Cambria" w:eastAsia="Times New Roman" w:hAnsi="Cambria"/>
          <w:sz w:val="20"/>
          <w:szCs w:val="20"/>
          <w:vertAlign w:val="superscript"/>
          <w:lang w:val="es-ES"/>
        </w:rPr>
        <w:footnoteReference w:id="57"/>
      </w:r>
      <w:r w:rsidR="00ED1A3E" w:rsidRPr="00DC278B">
        <w:rPr>
          <w:rFonts w:ascii="Cambria" w:eastAsia="Times New Roman" w:hAnsi="Cambria"/>
          <w:sz w:val="20"/>
          <w:szCs w:val="20"/>
          <w:lang w:val="es-ES"/>
        </w:rPr>
        <w:t>.</w:t>
      </w:r>
    </w:p>
    <w:p w:rsidR="00ED1A3E" w:rsidRPr="00DC278B" w:rsidRDefault="00ED1A3E" w:rsidP="00DC278B">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sz w:val="20"/>
          <w:szCs w:val="20"/>
          <w:lang w:val="es-ES"/>
        </w:rPr>
      </w:pPr>
    </w:p>
    <w:p w:rsidR="00793CB7" w:rsidRPr="00DC278B" w:rsidRDefault="001A7821"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lang w:val="es-ES"/>
        </w:rPr>
      </w:pPr>
      <w:r w:rsidRPr="00DC278B">
        <w:rPr>
          <w:rFonts w:ascii="Cambria" w:eastAsia="Times New Roman" w:hAnsi="Cambria"/>
          <w:sz w:val="20"/>
          <w:szCs w:val="20"/>
          <w:lang w:val="es-ES"/>
        </w:rPr>
        <w:t>E</w:t>
      </w:r>
      <w:r w:rsidR="00793CB7" w:rsidRPr="00DC278B">
        <w:rPr>
          <w:rFonts w:ascii="Cambria" w:eastAsia="Times New Roman" w:hAnsi="Cambria"/>
          <w:sz w:val="20"/>
          <w:szCs w:val="20"/>
          <w:lang w:val="es-ES"/>
        </w:rPr>
        <w:t xml:space="preserve">l 16 de octubre de 1973, Jorge Osorio </w:t>
      </w:r>
      <w:r w:rsidR="00ED1A3E" w:rsidRPr="00DC278B">
        <w:rPr>
          <w:rFonts w:ascii="Cambria" w:eastAsia="Times New Roman" w:hAnsi="Cambria"/>
          <w:sz w:val="20"/>
          <w:szCs w:val="20"/>
          <w:lang w:val="es-ES"/>
        </w:rPr>
        <w:t xml:space="preserve">e </w:t>
      </w:r>
      <w:r w:rsidR="00C62141" w:rsidRPr="00DC278B">
        <w:rPr>
          <w:rFonts w:ascii="Cambria" w:eastAsia="Times New Roman" w:hAnsi="Cambria"/>
          <w:sz w:val="20"/>
          <w:szCs w:val="20"/>
          <w:lang w:val="es-ES"/>
        </w:rPr>
        <w:t>Hipólito</w:t>
      </w:r>
      <w:r w:rsidR="00341959" w:rsidRPr="00DC278B">
        <w:rPr>
          <w:rFonts w:ascii="Cambria" w:eastAsia="Times New Roman" w:hAnsi="Cambria"/>
          <w:sz w:val="20"/>
          <w:szCs w:val="20"/>
          <w:lang w:val="es-ES"/>
        </w:rPr>
        <w:t xml:space="preserve"> Corté</w:t>
      </w:r>
      <w:r w:rsidR="00ED1A3E" w:rsidRPr="00DC278B">
        <w:rPr>
          <w:rFonts w:ascii="Cambria" w:eastAsia="Times New Roman" w:hAnsi="Cambria"/>
          <w:sz w:val="20"/>
          <w:szCs w:val="20"/>
          <w:lang w:val="es-ES"/>
        </w:rPr>
        <w:t xml:space="preserve">s </w:t>
      </w:r>
      <w:r w:rsidRPr="00DC278B">
        <w:rPr>
          <w:rFonts w:ascii="Cambria" w:eastAsia="Times New Roman" w:hAnsi="Cambria"/>
          <w:sz w:val="20"/>
          <w:szCs w:val="20"/>
          <w:lang w:val="es-ES"/>
        </w:rPr>
        <w:t>fue</w:t>
      </w:r>
      <w:r w:rsidR="00ED1A3E" w:rsidRPr="00DC278B">
        <w:rPr>
          <w:rFonts w:ascii="Cambria" w:eastAsia="Times New Roman" w:hAnsi="Cambria"/>
          <w:sz w:val="20"/>
          <w:szCs w:val="20"/>
          <w:lang w:val="es-ES"/>
        </w:rPr>
        <w:t>ron</w:t>
      </w:r>
      <w:r w:rsidRPr="00DC278B">
        <w:rPr>
          <w:rFonts w:ascii="Cambria" w:eastAsia="Times New Roman" w:hAnsi="Cambria"/>
          <w:sz w:val="20"/>
          <w:szCs w:val="20"/>
          <w:lang w:val="es-ES"/>
        </w:rPr>
        <w:t xml:space="preserve"> </w:t>
      </w:r>
      <w:r w:rsidR="00ED1A3E" w:rsidRPr="00DC278B">
        <w:rPr>
          <w:rFonts w:ascii="Cambria" w:eastAsia="Times New Roman" w:hAnsi="Cambria"/>
          <w:sz w:val="20"/>
          <w:szCs w:val="20"/>
          <w:lang w:val="es-ES"/>
        </w:rPr>
        <w:t>ejecutado</w:t>
      </w:r>
      <w:r w:rsidR="008611BC" w:rsidRPr="00DC278B">
        <w:rPr>
          <w:rFonts w:ascii="Cambria" w:eastAsia="Times New Roman" w:hAnsi="Cambria"/>
          <w:sz w:val="20"/>
          <w:szCs w:val="20"/>
          <w:lang w:val="es-ES"/>
        </w:rPr>
        <w:t>s</w:t>
      </w:r>
      <w:r w:rsidR="00ED1A3E" w:rsidRPr="00DC278B">
        <w:rPr>
          <w:rFonts w:ascii="Cambria" w:eastAsia="Times New Roman" w:hAnsi="Cambria"/>
          <w:sz w:val="20"/>
          <w:szCs w:val="20"/>
          <w:lang w:val="es-ES"/>
        </w:rPr>
        <w:t xml:space="preserve"> junto con otras 13</w:t>
      </w:r>
      <w:r w:rsidR="00793CB7" w:rsidRPr="00DC278B">
        <w:rPr>
          <w:rFonts w:ascii="Cambria" w:eastAsia="Times New Roman" w:hAnsi="Cambria"/>
          <w:sz w:val="20"/>
          <w:szCs w:val="20"/>
          <w:lang w:val="es-ES"/>
        </w:rPr>
        <w:t xml:space="preserve"> personas e</w:t>
      </w:r>
      <w:r w:rsidR="00470193" w:rsidRPr="00DC278B">
        <w:rPr>
          <w:rFonts w:ascii="Cambria" w:eastAsia="Times New Roman" w:hAnsi="Cambria"/>
          <w:sz w:val="20"/>
          <w:szCs w:val="20"/>
          <w:lang w:val="es-ES"/>
        </w:rPr>
        <w:t>n el Regimiento Militar Arica</w:t>
      </w:r>
      <w:r w:rsidR="00793CB7" w:rsidRPr="00DC278B">
        <w:rPr>
          <w:rFonts w:ascii="Cambria" w:eastAsia="Times New Roman" w:hAnsi="Cambria"/>
          <w:sz w:val="20"/>
          <w:szCs w:val="20"/>
          <w:lang w:val="es-ES"/>
        </w:rPr>
        <w:t>, “conforme a lo dispuesto por los Tribunales Militares en tiempo de Guerra”</w:t>
      </w:r>
      <w:r w:rsidR="00470193" w:rsidRPr="00DC278B">
        <w:rPr>
          <w:rStyle w:val="Refdenotaalpie"/>
          <w:rFonts w:ascii="Cambria" w:eastAsia="Times New Roman" w:hAnsi="Cambria"/>
          <w:sz w:val="20"/>
          <w:szCs w:val="20"/>
          <w:lang w:val="es-ES"/>
        </w:rPr>
        <w:footnoteReference w:id="58"/>
      </w:r>
      <w:r w:rsidR="00793CB7" w:rsidRPr="00DC278B">
        <w:rPr>
          <w:rFonts w:ascii="Cambria" w:eastAsia="Times New Roman" w:hAnsi="Cambria"/>
          <w:sz w:val="20"/>
          <w:szCs w:val="20"/>
          <w:lang w:val="es-ES"/>
        </w:rPr>
        <w:t>.</w:t>
      </w:r>
      <w:r w:rsidRPr="00DC278B">
        <w:rPr>
          <w:rFonts w:ascii="Cambria" w:eastAsia="Times New Roman" w:hAnsi="Cambria"/>
          <w:sz w:val="20"/>
          <w:szCs w:val="20"/>
          <w:lang w:val="es-ES"/>
        </w:rPr>
        <w:t xml:space="preserve"> </w:t>
      </w:r>
      <w:r w:rsidR="00ED1A3E" w:rsidRPr="00DC278B">
        <w:rPr>
          <w:rFonts w:ascii="Cambria" w:eastAsia="Times New Roman" w:hAnsi="Cambria"/>
          <w:sz w:val="20"/>
          <w:szCs w:val="20"/>
          <w:lang w:val="es-ES"/>
        </w:rPr>
        <w:t>Estas</w:t>
      </w:r>
      <w:r w:rsidRPr="00DC278B">
        <w:rPr>
          <w:rFonts w:ascii="Cambria" w:eastAsia="Times New Roman" w:hAnsi="Cambria"/>
          <w:sz w:val="20"/>
          <w:szCs w:val="20"/>
          <w:lang w:val="es-ES"/>
        </w:rPr>
        <w:t xml:space="preserve"> ejecuciones fueron</w:t>
      </w:r>
      <w:r w:rsidR="00793CB7" w:rsidRPr="00DC278B">
        <w:rPr>
          <w:rFonts w:ascii="Cambria" w:eastAsia="Times New Roman" w:hAnsi="Cambria"/>
          <w:sz w:val="20"/>
          <w:szCs w:val="20"/>
          <w:lang w:val="es-ES"/>
        </w:rPr>
        <w:t xml:space="preserve"> realizadas por </w:t>
      </w:r>
      <w:r w:rsidRPr="00DC278B">
        <w:rPr>
          <w:rFonts w:ascii="Cambria" w:eastAsia="Times New Roman" w:hAnsi="Cambria"/>
          <w:sz w:val="20"/>
          <w:szCs w:val="20"/>
          <w:lang w:val="es-ES"/>
        </w:rPr>
        <w:t>agentes del Estado</w:t>
      </w:r>
      <w:r w:rsidR="00793CB7" w:rsidRPr="00DC278B">
        <w:rPr>
          <w:rFonts w:ascii="Cambria" w:eastAsia="Times New Roman" w:hAnsi="Cambria"/>
          <w:sz w:val="20"/>
          <w:szCs w:val="20"/>
          <w:lang w:val="es-ES"/>
        </w:rPr>
        <w:t xml:space="preserve"> al margen de todo proceso lega</w:t>
      </w:r>
      <w:r w:rsidR="00675D16" w:rsidRPr="00DC278B">
        <w:rPr>
          <w:rFonts w:ascii="Cambria" w:eastAsia="Times New Roman" w:hAnsi="Cambria"/>
          <w:sz w:val="20"/>
          <w:szCs w:val="20"/>
          <w:lang w:val="es-ES"/>
        </w:rPr>
        <w:t>l</w:t>
      </w:r>
      <w:r w:rsidR="00470193" w:rsidRPr="00DC278B">
        <w:rPr>
          <w:rFonts w:ascii="Cambria" w:eastAsia="Times New Roman" w:hAnsi="Cambria"/>
          <w:sz w:val="20"/>
          <w:szCs w:val="20"/>
          <w:lang w:val="es-ES"/>
        </w:rPr>
        <w:t xml:space="preserve"> </w:t>
      </w:r>
      <w:r w:rsidR="00675D16" w:rsidRPr="00DC278B">
        <w:rPr>
          <w:rFonts w:ascii="Cambria" w:eastAsia="Times New Roman" w:hAnsi="Cambria"/>
          <w:sz w:val="20"/>
          <w:szCs w:val="20"/>
          <w:lang w:val="es-ES"/>
        </w:rPr>
        <w:t>y</w:t>
      </w:r>
      <w:r w:rsidRPr="00DC278B">
        <w:rPr>
          <w:rFonts w:ascii="Cambria" w:eastAsia="Times New Roman" w:hAnsi="Cambria"/>
          <w:sz w:val="20"/>
          <w:szCs w:val="20"/>
          <w:lang w:val="es-ES"/>
        </w:rPr>
        <w:t xml:space="preserve"> los cuerpos fueron </w:t>
      </w:r>
      <w:r w:rsidR="00793CB7" w:rsidRPr="00DC278B">
        <w:rPr>
          <w:rFonts w:ascii="Cambria" w:eastAsia="Times New Roman" w:hAnsi="Cambria"/>
          <w:sz w:val="20"/>
          <w:szCs w:val="20"/>
          <w:lang w:val="es-ES"/>
        </w:rPr>
        <w:t>sepultados</w:t>
      </w:r>
      <w:r w:rsidR="00C34113" w:rsidRPr="00DC278B">
        <w:rPr>
          <w:rFonts w:ascii="Cambria" w:eastAsia="Times New Roman" w:hAnsi="Cambria"/>
          <w:sz w:val="20"/>
          <w:szCs w:val="20"/>
          <w:lang w:val="es-ES"/>
        </w:rPr>
        <w:t xml:space="preserve"> en una fosa común en el cementerio de la Serena</w:t>
      </w:r>
      <w:r w:rsidR="006F5AAE" w:rsidRPr="00DC278B">
        <w:rPr>
          <w:rFonts w:ascii="Cambria" w:eastAsia="Calibri" w:hAnsi="Cambria" w:cs="Arial"/>
          <w:sz w:val="20"/>
          <w:szCs w:val="20"/>
          <w:bdr w:val="none" w:sz="0" w:space="0" w:color="auto"/>
          <w:vertAlign w:val="superscript"/>
          <w:lang w:val="es-MX"/>
        </w:rPr>
        <w:footnoteReference w:id="59"/>
      </w:r>
      <w:r w:rsidR="00793CB7" w:rsidRPr="00DC278B">
        <w:rPr>
          <w:rFonts w:ascii="Cambria" w:eastAsia="Times New Roman" w:hAnsi="Cambria"/>
          <w:sz w:val="20"/>
          <w:szCs w:val="20"/>
          <w:lang w:val="es-ES"/>
        </w:rPr>
        <w:t xml:space="preserve">. </w:t>
      </w:r>
    </w:p>
    <w:p w:rsidR="00304AD9" w:rsidRPr="00DC278B" w:rsidRDefault="00304AD9" w:rsidP="00DC278B">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sz w:val="20"/>
          <w:szCs w:val="20"/>
          <w:lang w:val="es-ES"/>
        </w:rPr>
      </w:pPr>
    </w:p>
    <w:p w:rsidR="00793CB7" w:rsidRPr="00DC278B" w:rsidRDefault="009C3BA8"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r w:rsidRPr="00DC278B">
        <w:rPr>
          <w:rFonts w:ascii="Cambria" w:eastAsia="Times New Roman" w:hAnsi="Cambria"/>
          <w:sz w:val="20"/>
          <w:szCs w:val="20"/>
          <w:bdr w:val="none" w:sz="0" w:space="0" w:color="auto"/>
          <w:lang w:val="es-ES_tradnl"/>
        </w:rPr>
        <w:t xml:space="preserve">Mediante la Ley 19.123 de 1992, </w:t>
      </w:r>
      <w:r w:rsidR="00E4688F" w:rsidRPr="00DC278B">
        <w:rPr>
          <w:rFonts w:ascii="Cambria" w:eastAsia="Times New Roman" w:hAnsi="Cambria"/>
          <w:sz w:val="20"/>
          <w:szCs w:val="20"/>
          <w:bdr w:val="none" w:sz="0" w:space="0" w:color="auto"/>
          <w:lang w:val="es-ES_tradnl"/>
        </w:rPr>
        <w:t>la</w:t>
      </w:r>
      <w:r w:rsidR="00654330" w:rsidRPr="00DC278B">
        <w:rPr>
          <w:rFonts w:ascii="Cambria" w:eastAsia="Times New Roman" w:hAnsi="Cambria"/>
          <w:sz w:val="20"/>
          <w:szCs w:val="20"/>
          <w:bdr w:val="none" w:sz="0" w:space="0" w:color="auto"/>
          <w:lang w:val="es-ES_tradnl"/>
        </w:rPr>
        <w:t xml:space="preserve"> esposa</w:t>
      </w:r>
      <w:r w:rsidR="00304AD9" w:rsidRPr="00DC278B">
        <w:rPr>
          <w:rFonts w:ascii="Cambria" w:eastAsia="Times New Roman" w:hAnsi="Cambria"/>
          <w:sz w:val="20"/>
          <w:szCs w:val="20"/>
          <w:bdr w:val="none" w:sz="0" w:space="0" w:color="auto"/>
          <w:lang w:val="es-ES_tradnl"/>
        </w:rPr>
        <w:t xml:space="preserve"> de Jorge Osorio</w:t>
      </w:r>
      <w:r w:rsidR="00ED1B04" w:rsidRPr="00DC278B">
        <w:rPr>
          <w:rFonts w:ascii="Cambria" w:eastAsia="Times New Roman" w:hAnsi="Cambria"/>
          <w:sz w:val="20"/>
          <w:szCs w:val="20"/>
          <w:bdr w:val="none" w:sz="0" w:space="0" w:color="auto"/>
          <w:lang w:val="es-ES_tradnl"/>
        </w:rPr>
        <w:t>, Lucia Morales</w:t>
      </w:r>
      <w:r w:rsidR="00304AD9" w:rsidRPr="00DC278B">
        <w:rPr>
          <w:rFonts w:ascii="Cambria" w:eastAsia="Times New Roman" w:hAnsi="Cambria"/>
          <w:sz w:val="20"/>
          <w:szCs w:val="20"/>
          <w:bdr w:val="none" w:sz="0" w:space="0" w:color="auto"/>
          <w:lang w:val="es-ES_tradnl"/>
        </w:rPr>
        <w:t>, recibe una pensión mensual</w:t>
      </w:r>
      <w:r w:rsidRPr="00DC278B">
        <w:rPr>
          <w:rFonts w:ascii="Cambria" w:eastAsia="Times New Roman" w:hAnsi="Cambria"/>
          <w:sz w:val="20"/>
          <w:szCs w:val="20"/>
          <w:bdr w:val="none" w:sz="0" w:space="0" w:color="auto"/>
          <w:lang w:val="es-ES_tradnl"/>
        </w:rPr>
        <w:t>, que rige desde julio de 1991</w:t>
      </w:r>
      <w:r w:rsidR="00304AD9" w:rsidRPr="00DC278B">
        <w:rPr>
          <w:rFonts w:ascii="Cambria" w:eastAsia="Times New Roman" w:hAnsi="Cambria"/>
          <w:sz w:val="20"/>
          <w:szCs w:val="20"/>
          <w:bdr w:val="none" w:sz="0" w:space="0" w:color="auto"/>
          <w:vertAlign w:val="superscript"/>
          <w:lang w:val="es-ES"/>
        </w:rPr>
        <w:footnoteReference w:id="60"/>
      </w:r>
      <w:r w:rsidR="000F4860" w:rsidRPr="00DC278B">
        <w:rPr>
          <w:rFonts w:ascii="Cambria" w:eastAsia="Times New Roman" w:hAnsi="Cambria"/>
          <w:sz w:val="20"/>
          <w:szCs w:val="20"/>
          <w:bdr w:val="none" w:sz="0" w:space="0" w:color="auto"/>
          <w:lang w:val="es-ES_tradnl"/>
        </w:rPr>
        <w:t xml:space="preserve"> y </w:t>
      </w:r>
      <w:r w:rsidR="00654330" w:rsidRPr="00DC278B">
        <w:rPr>
          <w:rFonts w:ascii="Cambria" w:eastAsia="Times New Roman" w:hAnsi="Cambria"/>
          <w:sz w:val="20"/>
          <w:szCs w:val="20"/>
          <w:bdr w:val="none" w:sz="0" w:space="0" w:color="auto"/>
          <w:lang w:val="es-ES_tradnl"/>
        </w:rPr>
        <w:t>la esposa</w:t>
      </w:r>
      <w:r w:rsidR="002163E3" w:rsidRPr="00DC278B">
        <w:rPr>
          <w:rFonts w:ascii="Cambria" w:eastAsia="Times New Roman" w:hAnsi="Cambria"/>
          <w:sz w:val="20"/>
          <w:szCs w:val="20"/>
          <w:bdr w:val="none" w:sz="0" w:space="0" w:color="auto"/>
          <w:lang w:val="es-ES_tradnl"/>
        </w:rPr>
        <w:t xml:space="preserve"> de Hipólito Cortés, Alina Barraza, recibe una pensión mensual</w:t>
      </w:r>
      <w:r w:rsidRPr="00DC278B">
        <w:rPr>
          <w:rFonts w:ascii="Cambria" w:eastAsia="Times New Roman" w:hAnsi="Cambria"/>
          <w:sz w:val="20"/>
          <w:szCs w:val="20"/>
          <w:bdr w:val="none" w:sz="0" w:space="0" w:color="auto"/>
          <w:lang w:val="es-ES_tradnl"/>
        </w:rPr>
        <w:t>, que rige desde julio de 1991</w:t>
      </w:r>
      <w:r w:rsidR="002163E3" w:rsidRPr="00DC278B">
        <w:rPr>
          <w:rFonts w:ascii="Cambria" w:eastAsia="Times New Roman" w:hAnsi="Cambria"/>
          <w:sz w:val="20"/>
          <w:szCs w:val="20"/>
          <w:bdr w:val="none" w:sz="0" w:space="0" w:color="auto"/>
          <w:vertAlign w:val="superscript"/>
        </w:rPr>
        <w:footnoteReference w:id="61"/>
      </w:r>
      <w:r w:rsidR="002163E3" w:rsidRPr="00DC278B">
        <w:rPr>
          <w:rFonts w:ascii="Cambria" w:eastAsia="Times New Roman" w:hAnsi="Cambria"/>
          <w:sz w:val="20"/>
          <w:szCs w:val="20"/>
          <w:bdr w:val="none" w:sz="0" w:space="0" w:color="auto"/>
          <w:lang w:val="es-ES_tradnl"/>
        </w:rPr>
        <w:t>.</w:t>
      </w:r>
      <w:r w:rsidR="00D50EDB">
        <w:rPr>
          <w:rFonts w:ascii="Cambria" w:eastAsia="Times New Roman" w:hAnsi="Cambria"/>
          <w:sz w:val="20"/>
          <w:szCs w:val="20"/>
          <w:bdr w:val="none" w:sz="0" w:space="0" w:color="auto"/>
          <w:lang w:val="es-ES_tradnl"/>
        </w:rPr>
        <w:t xml:space="preserve"> </w:t>
      </w:r>
    </w:p>
    <w:p w:rsidR="000F4860" w:rsidRPr="00DC278B" w:rsidRDefault="000F4860" w:rsidP="00DC278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p>
    <w:p w:rsidR="00427BBB" w:rsidRPr="00DC278B" w:rsidRDefault="00427BBB"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lang w:val="es-ES"/>
        </w:rPr>
      </w:pPr>
      <w:r w:rsidRPr="00DC278B">
        <w:rPr>
          <w:rFonts w:ascii="Cambria" w:eastAsia="Times New Roman" w:hAnsi="Cambria"/>
          <w:sz w:val="20"/>
          <w:szCs w:val="20"/>
          <w:bdr w:val="none" w:sz="0" w:space="0" w:color="auto"/>
          <w:lang w:val="es-ES_tradnl"/>
        </w:rPr>
        <w:t xml:space="preserve">En 1997, la esposa y los hijos de Jorge Osorio presentaron una acción civil de </w:t>
      </w:r>
      <w:r w:rsidR="00D91F0B" w:rsidRPr="00DC278B">
        <w:rPr>
          <w:rFonts w:ascii="Cambria" w:eastAsia="Times New Roman" w:hAnsi="Cambria"/>
          <w:sz w:val="20"/>
          <w:szCs w:val="20"/>
          <w:bdr w:val="none" w:sz="0" w:space="0" w:color="auto"/>
          <w:lang w:val="es-ES_tradnl"/>
        </w:rPr>
        <w:t xml:space="preserve">indemnización de </w:t>
      </w:r>
      <w:r w:rsidRPr="00DC278B">
        <w:rPr>
          <w:rFonts w:ascii="Cambria" w:eastAsia="Times New Roman" w:hAnsi="Cambria"/>
          <w:sz w:val="20"/>
          <w:szCs w:val="20"/>
          <w:bdr w:val="none" w:sz="0" w:space="0" w:color="auto"/>
          <w:lang w:val="es-ES_tradnl"/>
        </w:rPr>
        <w:t xml:space="preserve">perjuicios ante el 8º Juzgado Civil, dándose inicio al proceso “Morales Lucía con Fisco de Chile”, Rol 4720-97, por su </w:t>
      </w:r>
      <w:r w:rsidR="00D30856">
        <w:rPr>
          <w:rFonts w:ascii="Cambria" w:eastAsia="Times New Roman" w:hAnsi="Cambria"/>
          <w:sz w:val="20"/>
          <w:szCs w:val="20"/>
          <w:bdr w:val="none" w:sz="0" w:space="0" w:color="auto"/>
          <w:lang w:val="es-ES_tradnl"/>
        </w:rPr>
        <w:t xml:space="preserve">detención y ejecución en 1973. </w:t>
      </w:r>
    </w:p>
    <w:p w:rsidR="00427BBB" w:rsidRPr="00DC278B" w:rsidRDefault="00427BBB" w:rsidP="00DC278B">
      <w:pPr>
        <w:pStyle w:val="MediumGrid1-Accent21"/>
        <w:rPr>
          <w:rFonts w:eastAsia="Times New Roman"/>
          <w:color w:val="auto"/>
          <w:sz w:val="20"/>
          <w:szCs w:val="20"/>
          <w:lang w:val="es-ES"/>
        </w:rPr>
      </w:pPr>
    </w:p>
    <w:p w:rsidR="00BA0A5E" w:rsidRPr="00DC278B" w:rsidRDefault="001A7821"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lang w:val="es-ES"/>
        </w:rPr>
      </w:pPr>
      <w:r w:rsidRPr="00DC278B">
        <w:rPr>
          <w:rFonts w:ascii="Cambria" w:eastAsia="Times New Roman" w:hAnsi="Cambria"/>
          <w:sz w:val="20"/>
          <w:szCs w:val="20"/>
          <w:lang w:val="es-ES"/>
        </w:rPr>
        <w:t>En</w:t>
      </w:r>
      <w:r w:rsidR="00793CB7" w:rsidRPr="00DC278B">
        <w:rPr>
          <w:rFonts w:ascii="Cambria" w:eastAsia="Times New Roman" w:hAnsi="Cambria"/>
          <w:sz w:val="20"/>
          <w:szCs w:val="20"/>
          <w:lang w:val="es-ES"/>
        </w:rPr>
        <w:t xml:space="preserve"> 1998, </w:t>
      </w:r>
      <w:r w:rsidR="00C34113" w:rsidRPr="00DC278B">
        <w:rPr>
          <w:rFonts w:ascii="Cambria" w:eastAsia="Times New Roman" w:hAnsi="Cambria"/>
          <w:sz w:val="20"/>
          <w:szCs w:val="20"/>
          <w:lang w:val="es-ES"/>
        </w:rPr>
        <w:t xml:space="preserve">se </w:t>
      </w:r>
      <w:r w:rsidR="00793CB7" w:rsidRPr="00DC278B">
        <w:rPr>
          <w:rFonts w:ascii="Cambria" w:eastAsia="Times New Roman" w:hAnsi="Cambria"/>
          <w:sz w:val="20"/>
          <w:szCs w:val="20"/>
          <w:lang w:val="es-ES"/>
        </w:rPr>
        <w:t>exhuma</w:t>
      </w:r>
      <w:r w:rsidR="00C34113" w:rsidRPr="00DC278B">
        <w:rPr>
          <w:rFonts w:ascii="Cambria" w:eastAsia="Times New Roman" w:hAnsi="Cambria"/>
          <w:sz w:val="20"/>
          <w:szCs w:val="20"/>
          <w:lang w:val="es-ES"/>
        </w:rPr>
        <w:t>ron</w:t>
      </w:r>
      <w:r w:rsidR="00793CB7" w:rsidRPr="00DC278B">
        <w:rPr>
          <w:rFonts w:ascii="Cambria" w:eastAsia="Times New Roman" w:hAnsi="Cambria"/>
          <w:sz w:val="20"/>
          <w:szCs w:val="20"/>
          <w:lang w:val="es-ES"/>
        </w:rPr>
        <w:t xml:space="preserve"> </w:t>
      </w:r>
      <w:r w:rsidR="00C34113" w:rsidRPr="00DC278B">
        <w:rPr>
          <w:rFonts w:ascii="Cambria" w:eastAsia="Times New Roman" w:hAnsi="Cambria"/>
          <w:sz w:val="20"/>
          <w:szCs w:val="20"/>
          <w:lang w:val="es-ES"/>
        </w:rPr>
        <w:t xml:space="preserve">e identificaron </w:t>
      </w:r>
      <w:r w:rsidR="0093313B" w:rsidRPr="00DC278B">
        <w:rPr>
          <w:rFonts w:ascii="Cambria" w:eastAsia="Times New Roman" w:hAnsi="Cambria"/>
          <w:sz w:val="20"/>
          <w:szCs w:val="20"/>
          <w:lang w:val="es-ES"/>
        </w:rPr>
        <w:t>los</w:t>
      </w:r>
      <w:r w:rsidR="00793CB7" w:rsidRPr="00DC278B">
        <w:rPr>
          <w:rFonts w:ascii="Cambria" w:eastAsia="Times New Roman" w:hAnsi="Cambria"/>
          <w:sz w:val="20"/>
          <w:szCs w:val="20"/>
          <w:lang w:val="es-ES"/>
        </w:rPr>
        <w:t xml:space="preserve"> restos</w:t>
      </w:r>
      <w:r w:rsidR="0093313B" w:rsidRPr="00DC278B">
        <w:rPr>
          <w:rFonts w:ascii="Cambria" w:eastAsia="Times New Roman" w:hAnsi="Cambria"/>
          <w:sz w:val="20"/>
          <w:szCs w:val="20"/>
          <w:lang w:val="es-ES"/>
        </w:rPr>
        <w:t xml:space="preserve"> de ambas víctimas</w:t>
      </w:r>
      <w:r w:rsidR="00793CB7" w:rsidRPr="00DC278B">
        <w:rPr>
          <w:rFonts w:ascii="Cambria" w:eastAsia="Times New Roman" w:hAnsi="Cambria"/>
          <w:sz w:val="20"/>
          <w:szCs w:val="20"/>
          <w:lang w:val="es-ES"/>
        </w:rPr>
        <w:t>, los cuales permitieron establecer también que había</w:t>
      </w:r>
      <w:r w:rsidR="00ED1A3E" w:rsidRPr="00DC278B">
        <w:rPr>
          <w:rFonts w:ascii="Cambria" w:eastAsia="Times New Roman" w:hAnsi="Cambria"/>
          <w:sz w:val="20"/>
          <w:szCs w:val="20"/>
          <w:lang w:val="es-ES"/>
        </w:rPr>
        <w:t>n</w:t>
      </w:r>
      <w:r w:rsidR="00793CB7" w:rsidRPr="00DC278B">
        <w:rPr>
          <w:rFonts w:ascii="Cambria" w:eastAsia="Times New Roman" w:hAnsi="Cambria"/>
          <w:sz w:val="20"/>
          <w:szCs w:val="20"/>
          <w:lang w:val="es-ES"/>
        </w:rPr>
        <w:t xml:space="preserve"> sido </w:t>
      </w:r>
      <w:r w:rsidRPr="00DC278B">
        <w:rPr>
          <w:rFonts w:ascii="Cambria" w:eastAsia="Times New Roman" w:hAnsi="Cambria"/>
          <w:sz w:val="20"/>
          <w:szCs w:val="20"/>
          <w:lang w:val="es-ES"/>
        </w:rPr>
        <w:t>torturado</w:t>
      </w:r>
      <w:r w:rsidR="00ED1A3E" w:rsidRPr="00DC278B">
        <w:rPr>
          <w:rFonts w:ascii="Cambria" w:eastAsia="Times New Roman" w:hAnsi="Cambria"/>
          <w:sz w:val="20"/>
          <w:szCs w:val="20"/>
          <w:lang w:val="es-ES"/>
        </w:rPr>
        <w:t xml:space="preserve">s </w:t>
      </w:r>
      <w:r w:rsidRPr="00DC278B">
        <w:rPr>
          <w:rFonts w:ascii="Cambria" w:eastAsia="Times New Roman" w:hAnsi="Cambria"/>
          <w:sz w:val="20"/>
          <w:szCs w:val="20"/>
          <w:lang w:val="es-ES"/>
        </w:rPr>
        <w:t>antes de ser ejecutado</w:t>
      </w:r>
      <w:r w:rsidR="00ED1A3E" w:rsidRPr="00DC278B">
        <w:rPr>
          <w:rFonts w:ascii="Cambria" w:eastAsia="Times New Roman" w:hAnsi="Cambria"/>
          <w:sz w:val="20"/>
          <w:szCs w:val="20"/>
          <w:lang w:val="es-ES"/>
        </w:rPr>
        <w:t>s</w:t>
      </w:r>
      <w:r w:rsidRPr="00DC278B">
        <w:rPr>
          <w:rFonts w:ascii="Cambria" w:eastAsia="Times New Roman" w:hAnsi="Cambria"/>
          <w:sz w:val="20"/>
          <w:szCs w:val="20"/>
          <w:lang w:val="es-ES"/>
        </w:rPr>
        <w:t xml:space="preserve"> extrajudicialmente</w:t>
      </w:r>
      <w:r w:rsidR="001B397A" w:rsidRPr="00DC278B">
        <w:rPr>
          <w:rFonts w:ascii="Cambria" w:eastAsia="Calibri" w:hAnsi="Cambria"/>
          <w:sz w:val="20"/>
          <w:szCs w:val="20"/>
          <w:bdr w:val="none" w:sz="0" w:space="0" w:color="auto"/>
          <w:vertAlign w:val="superscript"/>
          <w:lang w:val="es-CO"/>
        </w:rPr>
        <w:footnoteReference w:id="62"/>
      </w:r>
      <w:r w:rsidR="00D30856">
        <w:rPr>
          <w:rFonts w:ascii="Cambria" w:eastAsia="Times New Roman" w:hAnsi="Cambria"/>
          <w:sz w:val="20"/>
          <w:szCs w:val="20"/>
          <w:lang w:val="es-ES"/>
        </w:rPr>
        <w:t xml:space="preserve">. </w:t>
      </w:r>
      <w:r w:rsidR="00E63F00" w:rsidRPr="00DC278B">
        <w:rPr>
          <w:rFonts w:ascii="Cambria" w:eastAsia="Times New Roman" w:hAnsi="Cambria"/>
          <w:sz w:val="20"/>
          <w:szCs w:val="20"/>
          <w:lang w:val="es-ES"/>
        </w:rPr>
        <w:t>Estas vícti</w:t>
      </w:r>
      <w:r w:rsidR="00341959" w:rsidRPr="00DC278B">
        <w:rPr>
          <w:rFonts w:ascii="Cambria" w:eastAsia="Times New Roman" w:hAnsi="Cambria"/>
          <w:sz w:val="20"/>
          <w:szCs w:val="20"/>
          <w:lang w:val="es-ES"/>
        </w:rPr>
        <w:t>mas no se encuentran en la nómin</w:t>
      </w:r>
      <w:r w:rsidR="00E63F00" w:rsidRPr="00DC278B">
        <w:rPr>
          <w:rFonts w:ascii="Cambria" w:eastAsia="Times New Roman" w:hAnsi="Cambria"/>
          <w:sz w:val="20"/>
          <w:szCs w:val="20"/>
          <w:lang w:val="es-ES"/>
        </w:rPr>
        <w:t xml:space="preserve">a de personas reconocidas como víctimas de la Comisión </w:t>
      </w:r>
      <w:proofErr w:type="spellStart"/>
      <w:r w:rsidR="00E63F00" w:rsidRPr="00DC278B">
        <w:rPr>
          <w:rFonts w:ascii="Cambria" w:eastAsia="Times New Roman" w:hAnsi="Cambria"/>
          <w:sz w:val="20"/>
          <w:szCs w:val="20"/>
          <w:lang w:val="es-ES"/>
        </w:rPr>
        <w:t>Valech</w:t>
      </w:r>
      <w:proofErr w:type="spellEnd"/>
      <w:r w:rsidR="00DC01D2" w:rsidRPr="00DC278B">
        <w:rPr>
          <w:rStyle w:val="Refdenotaalpie"/>
          <w:rFonts w:ascii="Cambria" w:eastAsia="Times New Roman" w:hAnsi="Cambria"/>
          <w:sz w:val="20"/>
          <w:szCs w:val="20"/>
          <w:lang w:val="es-ES"/>
        </w:rPr>
        <w:footnoteReference w:id="63"/>
      </w:r>
      <w:r w:rsidR="00E63F00" w:rsidRPr="00DC278B">
        <w:rPr>
          <w:rFonts w:ascii="Cambria" w:eastAsia="Times New Roman" w:hAnsi="Cambria"/>
          <w:sz w:val="20"/>
          <w:szCs w:val="20"/>
          <w:lang w:val="es-ES"/>
        </w:rPr>
        <w:t>.</w:t>
      </w:r>
    </w:p>
    <w:p w:rsidR="00B43AE5" w:rsidRPr="00DC278B" w:rsidRDefault="00B43AE5" w:rsidP="00DC278B">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sz w:val="20"/>
          <w:szCs w:val="20"/>
          <w:bdr w:val="none" w:sz="0" w:space="0" w:color="auto"/>
          <w:lang w:val="es-ES_tradnl"/>
        </w:rPr>
      </w:pPr>
    </w:p>
    <w:p w:rsidR="00B43AE5" w:rsidRPr="00DC278B" w:rsidRDefault="00B43AE5"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r w:rsidRPr="00DC278B">
        <w:rPr>
          <w:rFonts w:ascii="Cambria" w:eastAsia="Times New Roman" w:hAnsi="Cambria"/>
          <w:sz w:val="20"/>
          <w:szCs w:val="20"/>
          <w:bdr w:val="none" w:sz="0" w:space="0" w:color="auto"/>
          <w:lang w:val="es-ES_tradnl"/>
        </w:rPr>
        <w:t>El 27 de enero de 1999, el 8º Juzgado Civil negó la reparación solicitada</w:t>
      </w:r>
      <w:r w:rsidR="00654330" w:rsidRPr="00DC278B">
        <w:rPr>
          <w:rFonts w:ascii="Cambria" w:eastAsia="Times New Roman" w:hAnsi="Cambria"/>
          <w:sz w:val="20"/>
          <w:szCs w:val="20"/>
          <w:bdr w:val="none" w:sz="0" w:space="0" w:color="auto"/>
          <w:lang w:val="es-ES_tradnl"/>
        </w:rPr>
        <w:t xml:space="preserve"> en la causa Morales</w:t>
      </w:r>
      <w:r w:rsidRPr="00DC278B">
        <w:rPr>
          <w:rFonts w:ascii="Cambria" w:eastAsia="Times New Roman" w:hAnsi="Cambria"/>
          <w:sz w:val="20"/>
          <w:szCs w:val="20"/>
          <w:bdr w:val="none" w:sz="0" w:space="0" w:color="auto"/>
          <w:lang w:val="es-ES_tradnl"/>
        </w:rPr>
        <w:t>, al considerar que conforme a las normas de derecho civil, la acción indemnizatoria estaba prescrita</w:t>
      </w:r>
      <w:r w:rsidR="00010E7B" w:rsidRPr="00DC278B">
        <w:rPr>
          <w:rFonts w:ascii="Cambria" w:eastAsia="Times New Roman" w:hAnsi="Cambria"/>
          <w:sz w:val="20"/>
          <w:szCs w:val="20"/>
          <w:bdr w:val="none" w:sz="0" w:space="0" w:color="auto"/>
          <w:lang w:val="es-ES_tradnl"/>
        </w:rPr>
        <w:t xml:space="preserve"> y que existía incompatibilidad con la Ley 19.123</w:t>
      </w:r>
      <w:r w:rsidR="00D31674" w:rsidRPr="00DC278B">
        <w:rPr>
          <w:rFonts w:ascii="Cambria" w:eastAsia="Calibri" w:hAnsi="Cambria"/>
          <w:sz w:val="20"/>
          <w:szCs w:val="20"/>
          <w:bdr w:val="none" w:sz="0" w:space="0" w:color="auto"/>
          <w:vertAlign w:val="superscript"/>
          <w:lang w:val="es-MX"/>
        </w:rPr>
        <w:footnoteReference w:id="64"/>
      </w:r>
      <w:r w:rsidR="00D30856">
        <w:rPr>
          <w:rFonts w:ascii="Cambria" w:eastAsia="Times New Roman" w:hAnsi="Cambria"/>
          <w:sz w:val="20"/>
          <w:szCs w:val="20"/>
          <w:bdr w:val="none" w:sz="0" w:space="0" w:color="auto"/>
          <w:lang w:val="es-ES_tradnl"/>
        </w:rPr>
        <w:t xml:space="preserve">. </w:t>
      </w:r>
      <w:r w:rsidRPr="00DC278B">
        <w:rPr>
          <w:rFonts w:ascii="Cambria" w:eastAsia="Times New Roman" w:hAnsi="Cambria"/>
          <w:sz w:val="20"/>
          <w:szCs w:val="20"/>
          <w:bdr w:val="none" w:sz="0" w:space="0" w:color="auto"/>
          <w:lang w:val="es-ES_tradnl"/>
        </w:rPr>
        <w:t>Los demandantes apelaron dicho fallo ante la CAS, la cual confirmó el fallo de primera instancia, 10 de diciembre de 2002</w:t>
      </w:r>
      <w:r w:rsidR="004611CE" w:rsidRPr="00DC278B">
        <w:rPr>
          <w:rFonts w:ascii="Cambria" w:eastAsia="Calibri" w:hAnsi="Cambria"/>
          <w:sz w:val="20"/>
          <w:szCs w:val="20"/>
          <w:bdr w:val="none" w:sz="0" w:space="0" w:color="auto"/>
          <w:vertAlign w:val="superscript"/>
          <w:lang w:val="es-MX"/>
        </w:rPr>
        <w:footnoteReference w:id="65"/>
      </w:r>
      <w:r w:rsidR="00D30856">
        <w:rPr>
          <w:rFonts w:ascii="Cambria" w:eastAsia="Times New Roman" w:hAnsi="Cambria"/>
          <w:sz w:val="20"/>
          <w:szCs w:val="20"/>
          <w:bdr w:val="none" w:sz="0" w:space="0" w:color="auto"/>
          <w:lang w:val="es-ES_tradnl"/>
        </w:rPr>
        <w:t xml:space="preserve">. </w:t>
      </w:r>
      <w:r w:rsidRPr="00DC278B">
        <w:rPr>
          <w:rFonts w:ascii="Cambria" w:eastAsia="Times New Roman" w:hAnsi="Cambria"/>
          <w:sz w:val="20"/>
          <w:szCs w:val="20"/>
          <w:bdr w:val="none" w:sz="0" w:space="0" w:color="auto"/>
          <w:lang w:val="es-ES_tradnl"/>
        </w:rPr>
        <w:t>Contra este fallo, los demandantes interpu</w:t>
      </w:r>
      <w:r w:rsidR="00A133CD" w:rsidRPr="00DC278B">
        <w:rPr>
          <w:rFonts w:ascii="Cambria" w:eastAsia="Times New Roman" w:hAnsi="Cambria"/>
          <w:sz w:val="20"/>
          <w:szCs w:val="20"/>
          <w:bdr w:val="none" w:sz="0" w:space="0" w:color="auto"/>
          <w:lang w:val="es-ES_tradnl"/>
        </w:rPr>
        <w:t>sieron</w:t>
      </w:r>
      <w:r w:rsidRPr="00DC278B">
        <w:rPr>
          <w:rFonts w:ascii="Cambria" w:eastAsia="Times New Roman" w:hAnsi="Cambria"/>
          <w:sz w:val="20"/>
          <w:szCs w:val="20"/>
          <w:bdr w:val="none" w:sz="0" w:space="0" w:color="auto"/>
          <w:lang w:val="es-ES_tradnl"/>
        </w:rPr>
        <w:t xml:space="preserve"> un recurso de casación ante la CSJ</w:t>
      </w:r>
      <w:r w:rsidR="00285F07" w:rsidRPr="00DC278B">
        <w:rPr>
          <w:rFonts w:ascii="Cambria" w:eastAsia="Times New Roman" w:hAnsi="Cambria"/>
          <w:sz w:val="20"/>
          <w:szCs w:val="20"/>
          <w:bdr w:val="none" w:sz="0" w:space="0" w:color="auto"/>
          <w:lang w:val="es-ES_tradnl"/>
        </w:rPr>
        <w:t xml:space="preserve"> el 18 de diciembre de 2002</w:t>
      </w:r>
      <w:r w:rsidRPr="00DC278B">
        <w:rPr>
          <w:rFonts w:ascii="Cambria" w:eastAsia="Times New Roman" w:hAnsi="Cambria"/>
          <w:sz w:val="20"/>
          <w:szCs w:val="20"/>
          <w:bdr w:val="none" w:sz="0" w:space="0" w:color="auto"/>
          <w:lang w:val="es-ES_tradnl"/>
        </w:rPr>
        <w:t xml:space="preserve">, el </w:t>
      </w:r>
      <w:r w:rsidR="00285F07" w:rsidRPr="00DC278B">
        <w:rPr>
          <w:rFonts w:ascii="Cambria" w:eastAsia="Times New Roman" w:hAnsi="Cambria"/>
          <w:sz w:val="20"/>
          <w:szCs w:val="20"/>
          <w:bdr w:val="none" w:sz="0" w:space="0" w:color="auto"/>
          <w:lang w:val="es-ES_tradnl"/>
        </w:rPr>
        <w:t>cual</w:t>
      </w:r>
      <w:r w:rsidRPr="00DC278B">
        <w:rPr>
          <w:rFonts w:ascii="Cambria" w:eastAsia="Times New Roman" w:hAnsi="Cambria"/>
          <w:sz w:val="20"/>
          <w:szCs w:val="20"/>
          <w:bdr w:val="none" w:sz="0" w:space="0" w:color="auto"/>
          <w:lang w:val="es-ES_tradnl"/>
        </w:rPr>
        <w:t xml:space="preserve"> fue declarado desierto el </w:t>
      </w:r>
      <w:r w:rsidRPr="00DC278B">
        <w:rPr>
          <w:rFonts w:ascii="Cambria" w:eastAsia="Times New Roman" w:hAnsi="Cambria"/>
          <w:sz w:val="20"/>
          <w:szCs w:val="20"/>
          <w:bdr w:val="none" w:sz="0" w:space="0" w:color="auto"/>
          <w:lang w:val="es-ES_tradnl"/>
        </w:rPr>
        <w:lastRenderedPageBreak/>
        <w:t>25 de marzo de 2003</w:t>
      </w:r>
      <w:r w:rsidR="00EA5D1F" w:rsidRPr="00DC278B">
        <w:rPr>
          <w:rFonts w:ascii="Cambria" w:eastAsia="Calibri" w:hAnsi="Cambria"/>
          <w:sz w:val="20"/>
          <w:szCs w:val="20"/>
          <w:bdr w:val="none" w:sz="0" w:space="0" w:color="auto"/>
          <w:vertAlign w:val="superscript"/>
          <w:lang w:val="es-MX"/>
        </w:rPr>
        <w:footnoteReference w:id="66"/>
      </w:r>
      <w:r w:rsidRPr="00DC278B">
        <w:rPr>
          <w:rFonts w:ascii="Cambria" w:eastAsia="Times New Roman" w:hAnsi="Cambria"/>
          <w:sz w:val="20"/>
          <w:szCs w:val="20"/>
          <w:bdr w:val="none" w:sz="0" w:space="0" w:color="auto"/>
          <w:lang w:val="es-ES_tradnl"/>
        </w:rPr>
        <w:t>, al no haberse cumplido con el pago de unas fotocopias; por lo que el expediente volvió al tribunal de origen</w:t>
      </w:r>
      <w:r w:rsidR="00A0131C" w:rsidRPr="00DC278B">
        <w:rPr>
          <w:rFonts w:ascii="Cambria" w:eastAsia="Times New Roman" w:hAnsi="Cambria"/>
          <w:sz w:val="20"/>
          <w:szCs w:val="20"/>
          <w:bdr w:val="none" w:sz="0" w:space="0" w:color="auto"/>
          <w:lang w:val="es-ES_tradnl"/>
        </w:rPr>
        <w:t>.</w:t>
      </w:r>
    </w:p>
    <w:p w:rsidR="00654330" w:rsidRPr="00DC278B" w:rsidRDefault="00654330" w:rsidP="00DC278B">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sz w:val="20"/>
          <w:szCs w:val="20"/>
          <w:bdr w:val="none" w:sz="0" w:space="0" w:color="auto"/>
          <w:lang w:val="es-ES_tradnl"/>
        </w:rPr>
      </w:pPr>
    </w:p>
    <w:p w:rsidR="00647F10" w:rsidRPr="00DC278B" w:rsidRDefault="000E5F2D"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r w:rsidRPr="00DC278B">
        <w:rPr>
          <w:rFonts w:ascii="Cambria" w:eastAsia="Times New Roman" w:hAnsi="Cambria"/>
          <w:sz w:val="20"/>
          <w:szCs w:val="20"/>
          <w:bdr w:val="none" w:sz="0" w:space="0" w:color="auto"/>
          <w:lang w:val="es-ES_tradnl"/>
        </w:rPr>
        <w:t>Por otro lado, e</w:t>
      </w:r>
      <w:r w:rsidR="00654330" w:rsidRPr="00DC278B">
        <w:rPr>
          <w:rFonts w:ascii="Cambria" w:eastAsia="Times New Roman" w:hAnsi="Cambria"/>
          <w:sz w:val="20"/>
          <w:szCs w:val="20"/>
          <w:bdr w:val="none" w:sz="0" w:space="0" w:color="auto"/>
          <w:lang w:val="es-ES_tradnl"/>
        </w:rPr>
        <w:t xml:space="preserve">n 1999, </w:t>
      </w:r>
      <w:r w:rsidRPr="00DC278B">
        <w:rPr>
          <w:rFonts w:ascii="Cambria" w:eastAsia="Times New Roman" w:hAnsi="Cambria"/>
          <w:sz w:val="20"/>
          <w:szCs w:val="20"/>
          <w:bdr w:val="none" w:sz="0" w:space="0" w:color="auto"/>
          <w:lang w:val="es-ES_tradnl"/>
        </w:rPr>
        <w:t>la espo</w:t>
      </w:r>
      <w:r w:rsidR="00341959" w:rsidRPr="00DC278B">
        <w:rPr>
          <w:rFonts w:ascii="Cambria" w:eastAsia="Times New Roman" w:hAnsi="Cambria"/>
          <w:sz w:val="20"/>
          <w:szCs w:val="20"/>
          <w:bdr w:val="none" w:sz="0" w:space="0" w:color="auto"/>
          <w:lang w:val="es-ES_tradnl"/>
        </w:rPr>
        <w:t>sa y los hijos de Hipólito Corté</w:t>
      </w:r>
      <w:r w:rsidRPr="00DC278B">
        <w:rPr>
          <w:rFonts w:ascii="Cambria" w:eastAsia="Times New Roman" w:hAnsi="Cambria"/>
          <w:sz w:val="20"/>
          <w:szCs w:val="20"/>
          <w:bdr w:val="none" w:sz="0" w:space="0" w:color="auto"/>
          <w:lang w:val="es-ES_tradnl"/>
        </w:rPr>
        <w:t xml:space="preserve">s </w:t>
      </w:r>
      <w:r w:rsidR="00832E7E" w:rsidRPr="00DC278B">
        <w:rPr>
          <w:rFonts w:ascii="Cambria" w:eastAsia="Times New Roman" w:hAnsi="Cambria"/>
          <w:sz w:val="20"/>
          <w:szCs w:val="20"/>
          <w:bdr w:val="none" w:sz="0" w:space="0" w:color="auto"/>
          <w:lang w:val="es-ES_tradnl"/>
        </w:rPr>
        <w:t>interpusieron ante 2º J</w:t>
      </w:r>
      <w:r w:rsidRPr="00DC278B">
        <w:rPr>
          <w:rFonts w:ascii="Cambria" w:eastAsia="Times New Roman" w:hAnsi="Cambria"/>
          <w:sz w:val="20"/>
          <w:szCs w:val="20"/>
          <w:bdr w:val="none" w:sz="0" w:space="0" w:color="auto"/>
          <w:lang w:val="es-ES_tradnl"/>
        </w:rPr>
        <w:t>uzgado C</w:t>
      </w:r>
      <w:r w:rsidR="00654330" w:rsidRPr="00DC278B">
        <w:rPr>
          <w:rFonts w:ascii="Cambria" w:eastAsia="Times New Roman" w:hAnsi="Cambria"/>
          <w:sz w:val="20"/>
          <w:szCs w:val="20"/>
          <w:bdr w:val="none" w:sz="0" w:space="0" w:color="auto"/>
          <w:lang w:val="es-ES_tradnl"/>
        </w:rPr>
        <w:t xml:space="preserve">ivil de la Serena, una demanda </w:t>
      </w:r>
      <w:r w:rsidR="00D91F0B" w:rsidRPr="00DC278B">
        <w:rPr>
          <w:rFonts w:ascii="Cambria" w:eastAsia="Times New Roman" w:hAnsi="Cambria"/>
          <w:sz w:val="20"/>
          <w:szCs w:val="20"/>
          <w:bdr w:val="none" w:sz="0" w:space="0" w:color="auto"/>
          <w:lang w:val="es-ES_tradnl"/>
        </w:rPr>
        <w:t xml:space="preserve">civil de reparación de perjuicios </w:t>
      </w:r>
      <w:r w:rsidRPr="00DC278B">
        <w:rPr>
          <w:rFonts w:ascii="Cambria" w:eastAsia="Times New Roman" w:hAnsi="Cambria"/>
          <w:sz w:val="20"/>
          <w:szCs w:val="20"/>
          <w:bdr w:val="none" w:sz="0" w:space="0" w:color="auto"/>
          <w:lang w:val="es-ES_tradnl"/>
        </w:rPr>
        <w:t>por su muerte</w:t>
      </w:r>
      <w:r w:rsidR="001C7030" w:rsidRPr="00DC278B">
        <w:rPr>
          <w:rFonts w:ascii="Cambria" w:eastAsia="Times New Roman" w:hAnsi="Cambria"/>
          <w:sz w:val="20"/>
          <w:szCs w:val="20"/>
          <w:bdr w:val="none" w:sz="0" w:space="0" w:color="auto"/>
          <w:lang w:val="es-ES_tradnl"/>
        </w:rPr>
        <w:t xml:space="preserve"> (Rol 1122-99)</w:t>
      </w:r>
      <w:r w:rsidR="00654330" w:rsidRPr="00DC278B">
        <w:rPr>
          <w:rFonts w:ascii="Cambria" w:eastAsia="Times New Roman" w:hAnsi="Cambria"/>
          <w:sz w:val="20"/>
          <w:szCs w:val="20"/>
          <w:bdr w:val="none" w:sz="0" w:space="0" w:color="auto"/>
          <w:vertAlign w:val="superscript"/>
          <w:lang w:val="es-ES_tradnl"/>
        </w:rPr>
        <w:footnoteReference w:id="67"/>
      </w:r>
      <w:r w:rsidR="00D30856">
        <w:rPr>
          <w:rFonts w:ascii="Cambria" w:eastAsia="Times New Roman" w:hAnsi="Cambria"/>
          <w:sz w:val="20"/>
          <w:szCs w:val="20"/>
          <w:bdr w:val="none" w:sz="0" w:space="0" w:color="auto"/>
          <w:lang w:val="es-ES_tradnl"/>
        </w:rPr>
        <w:t>.</w:t>
      </w:r>
      <w:r w:rsidRPr="00DC278B">
        <w:rPr>
          <w:rFonts w:ascii="Cambria" w:eastAsia="Times New Roman" w:hAnsi="Cambria"/>
          <w:sz w:val="20"/>
          <w:szCs w:val="20"/>
          <w:bdr w:val="none" w:sz="0" w:space="0" w:color="auto"/>
          <w:lang w:val="es-ES_tradnl"/>
        </w:rPr>
        <w:t xml:space="preserve"> </w:t>
      </w:r>
      <w:r w:rsidR="00654330" w:rsidRPr="00DC278B">
        <w:rPr>
          <w:rFonts w:ascii="Cambria" w:eastAsia="Times New Roman" w:hAnsi="Cambria"/>
          <w:sz w:val="20"/>
          <w:szCs w:val="20"/>
          <w:bdr w:val="none" w:sz="0" w:space="0" w:color="auto"/>
          <w:lang w:val="es-ES_tradnl"/>
        </w:rPr>
        <w:t xml:space="preserve">El 9 de marzo de 2001, el juez de la causa encontró probada la ejecución extrajudicial alegada y consideró que las pensiones y los bonos de reparación </w:t>
      </w:r>
      <w:r w:rsidR="00647F10" w:rsidRPr="00DC278B">
        <w:rPr>
          <w:rFonts w:ascii="Cambria" w:eastAsia="Times New Roman" w:hAnsi="Cambria"/>
          <w:sz w:val="20"/>
          <w:szCs w:val="20"/>
          <w:bdr w:val="none" w:sz="0" w:space="0" w:color="auto"/>
          <w:lang w:val="es-ES_tradnl"/>
        </w:rPr>
        <w:t xml:space="preserve">otorgados mediante la Ley 19.123 </w:t>
      </w:r>
      <w:r w:rsidR="00654330" w:rsidRPr="00DC278B">
        <w:rPr>
          <w:rFonts w:ascii="Cambria" w:eastAsia="Times New Roman" w:hAnsi="Cambria"/>
          <w:sz w:val="20"/>
          <w:szCs w:val="20"/>
          <w:bdr w:val="none" w:sz="0" w:space="0" w:color="auto"/>
          <w:lang w:val="es-ES_tradnl"/>
        </w:rPr>
        <w:t>no excluían la indemnización de los perjuicios morales</w:t>
      </w:r>
      <w:r w:rsidR="00654330" w:rsidRPr="00DC278B">
        <w:rPr>
          <w:rFonts w:ascii="Cambria" w:eastAsia="Times New Roman" w:hAnsi="Cambria"/>
          <w:sz w:val="20"/>
          <w:szCs w:val="20"/>
          <w:bdr w:val="none" w:sz="0" w:space="0" w:color="auto"/>
          <w:vertAlign w:val="superscript"/>
          <w:lang w:val="es-ES_tradnl"/>
        </w:rPr>
        <w:footnoteReference w:id="68"/>
      </w:r>
      <w:r w:rsidR="00654330" w:rsidRPr="00DC278B">
        <w:rPr>
          <w:rFonts w:ascii="Cambria" w:eastAsia="Times New Roman" w:hAnsi="Cambria"/>
          <w:sz w:val="20"/>
          <w:szCs w:val="20"/>
          <w:bdr w:val="none" w:sz="0" w:space="0" w:color="auto"/>
          <w:lang w:val="es-ES_tradnl"/>
        </w:rPr>
        <w:t xml:space="preserve">. </w:t>
      </w:r>
      <w:r w:rsidR="00647F10" w:rsidRPr="00DC278B">
        <w:rPr>
          <w:rFonts w:ascii="Cambria" w:eastAsia="Times New Roman" w:hAnsi="Cambria"/>
          <w:sz w:val="20"/>
          <w:szCs w:val="20"/>
          <w:bdr w:val="none" w:sz="0" w:space="0" w:color="auto"/>
          <w:lang w:val="es-ES_tradnl"/>
        </w:rPr>
        <w:t xml:space="preserve">Asimismo, dicho juzgado estimó que </w:t>
      </w:r>
    </w:p>
    <w:p w:rsidR="00647F10" w:rsidRPr="00DC278B" w:rsidRDefault="00647F10" w:rsidP="00DC278B">
      <w:pPr>
        <w:pStyle w:val="MediumGrid1-Accent21"/>
        <w:rPr>
          <w:rFonts w:eastAsia="Times New Roman"/>
          <w:color w:val="auto"/>
          <w:sz w:val="20"/>
          <w:szCs w:val="20"/>
          <w:bdr w:val="none" w:sz="0" w:space="0" w:color="auto"/>
          <w:lang w:val="es-ES_tradnl"/>
        </w:rPr>
      </w:pPr>
    </w:p>
    <w:p w:rsidR="00647F10" w:rsidRPr="00DC278B" w:rsidRDefault="00647F10" w:rsidP="00DC278B">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Cambria" w:eastAsia="Times New Roman" w:hAnsi="Cambria"/>
          <w:sz w:val="20"/>
          <w:szCs w:val="20"/>
          <w:bdr w:val="none" w:sz="0" w:space="0" w:color="auto"/>
          <w:lang w:val="es-ES_tradnl"/>
        </w:rPr>
      </w:pPr>
      <w:r w:rsidRPr="00DC278B">
        <w:rPr>
          <w:rFonts w:ascii="Cambria" w:eastAsia="Times New Roman" w:hAnsi="Cambria"/>
          <w:sz w:val="20"/>
          <w:szCs w:val="20"/>
          <w:bdr w:val="none" w:sz="0" w:space="0" w:color="auto"/>
          <w:lang w:val="es-ES_tradnl"/>
        </w:rPr>
        <w:t>Dispone el inciso segundo del artículo 38 de la Constitución Política del Estado, “Cualquier persona que sea lesionada en sus derechos por la Administración del Estado, de sus organismos o de las Municipalidades, podrá reclamar ante los tribunales que determine la ley, sin perjuicio de la responsabilidad que pudiere afectar al funcionario que hubiere causado el daño. Por lo cual, tratándose de responsabilidad extracontractual del Estado, que atendido lo expresado procedentemente, no se encuentra presc</w:t>
      </w:r>
      <w:r w:rsidR="00443644" w:rsidRPr="00DC278B">
        <w:rPr>
          <w:rFonts w:ascii="Cambria" w:eastAsia="Times New Roman" w:hAnsi="Cambria"/>
          <w:sz w:val="20"/>
          <w:szCs w:val="20"/>
          <w:bdr w:val="none" w:sz="0" w:space="0" w:color="auto"/>
          <w:lang w:val="es-ES_tradnl"/>
        </w:rPr>
        <w:t>r</w:t>
      </w:r>
      <w:r w:rsidRPr="00DC278B">
        <w:rPr>
          <w:rFonts w:ascii="Cambria" w:eastAsia="Times New Roman" w:hAnsi="Cambria"/>
          <w:sz w:val="20"/>
          <w:szCs w:val="20"/>
          <w:bdr w:val="none" w:sz="0" w:space="0" w:color="auto"/>
          <w:lang w:val="es-ES_tradnl"/>
        </w:rPr>
        <w:t>ita, deberá determinarse la petición que en tal sentido ha formulado la demandada, estimándose por el contrario, que ella es procedente</w:t>
      </w:r>
      <w:r w:rsidR="003D59E3" w:rsidRPr="00DC278B">
        <w:rPr>
          <w:rFonts w:ascii="Cambria" w:eastAsia="Times New Roman" w:hAnsi="Cambria"/>
          <w:sz w:val="20"/>
          <w:szCs w:val="20"/>
          <w:bdr w:val="none" w:sz="0" w:space="0" w:color="auto"/>
          <w:vertAlign w:val="superscript"/>
          <w:lang w:val="es-ES_tradnl"/>
        </w:rPr>
        <w:footnoteReference w:id="69"/>
      </w:r>
      <w:r w:rsidRPr="00DC278B">
        <w:rPr>
          <w:rFonts w:ascii="Cambria" w:eastAsia="Times New Roman" w:hAnsi="Cambria"/>
          <w:sz w:val="20"/>
          <w:szCs w:val="20"/>
          <w:bdr w:val="none" w:sz="0" w:space="0" w:color="auto"/>
          <w:lang w:val="es-ES_tradnl"/>
        </w:rPr>
        <w:t xml:space="preserve">. </w:t>
      </w:r>
    </w:p>
    <w:p w:rsidR="00647F10" w:rsidRPr="00DC278B" w:rsidRDefault="00647F10" w:rsidP="00DC278B">
      <w:pPr>
        <w:pStyle w:val="MediumGrid1-Accent21"/>
        <w:rPr>
          <w:rFonts w:eastAsia="Times New Roman"/>
          <w:color w:val="auto"/>
          <w:sz w:val="20"/>
          <w:szCs w:val="20"/>
          <w:bdr w:val="none" w:sz="0" w:space="0" w:color="auto"/>
          <w:lang w:val="es-ES_tradnl"/>
        </w:rPr>
      </w:pPr>
    </w:p>
    <w:p w:rsidR="00654330" w:rsidRPr="00DC278B" w:rsidRDefault="00654330"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r w:rsidRPr="00DC278B">
        <w:rPr>
          <w:rFonts w:ascii="Cambria" w:eastAsia="Times New Roman" w:hAnsi="Cambria"/>
          <w:sz w:val="20"/>
          <w:szCs w:val="20"/>
          <w:bdr w:val="none" w:sz="0" w:space="0" w:color="auto"/>
          <w:lang w:val="es-ES_tradnl"/>
        </w:rPr>
        <w:t xml:space="preserve">En consecuencia, </w:t>
      </w:r>
      <w:r w:rsidR="00647F10" w:rsidRPr="00DC278B">
        <w:rPr>
          <w:rFonts w:ascii="Cambria" w:eastAsia="Times New Roman" w:hAnsi="Cambria"/>
          <w:sz w:val="20"/>
          <w:szCs w:val="20"/>
          <w:bdr w:val="none" w:sz="0" w:space="0" w:color="auto"/>
          <w:lang w:val="es-ES_tradnl"/>
        </w:rPr>
        <w:t xml:space="preserve">dicho juzgado </w:t>
      </w:r>
      <w:r w:rsidRPr="00DC278B">
        <w:rPr>
          <w:rFonts w:ascii="Cambria" w:eastAsia="Times New Roman" w:hAnsi="Cambria"/>
          <w:sz w:val="20"/>
          <w:szCs w:val="20"/>
          <w:bdr w:val="none" w:sz="0" w:space="0" w:color="auto"/>
          <w:lang w:val="es-ES_tradnl"/>
        </w:rPr>
        <w:t xml:space="preserve">decidió conceder las pretensiones de la demanda y ordenar la indemnización por daño moral </w:t>
      </w:r>
      <w:r w:rsidR="000E5F2D" w:rsidRPr="00DC278B">
        <w:rPr>
          <w:rFonts w:ascii="Cambria" w:eastAsia="Times New Roman" w:hAnsi="Cambria"/>
          <w:sz w:val="20"/>
          <w:szCs w:val="20"/>
          <w:bdr w:val="none" w:sz="0" w:space="0" w:color="auto"/>
          <w:lang w:val="es-ES_tradnl"/>
        </w:rPr>
        <w:t>de quince millones de P</w:t>
      </w:r>
      <w:r w:rsidRPr="00DC278B">
        <w:rPr>
          <w:rFonts w:ascii="Cambria" w:eastAsia="Times New Roman" w:hAnsi="Cambria"/>
          <w:sz w:val="20"/>
          <w:szCs w:val="20"/>
          <w:bdr w:val="none" w:sz="0" w:space="0" w:color="auto"/>
          <w:lang w:val="es-ES_tradnl"/>
        </w:rPr>
        <w:t xml:space="preserve">esos chilenos para el cónyuge y cada uno de </w:t>
      </w:r>
      <w:r w:rsidR="000E5F2D" w:rsidRPr="00DC278B">
        <w:rPr>
          <w:rFonts w:ascii="Cambria" w:eastAsia="Times New Roman" w:hAnsi="Cambria"/>
          <w:sz w:val="20"/>
          <w:szCs w:val="20"/>
          <w:bdr w:val="none" w:sz="0" w:space="0" w:color="auto"/>
          <w:lang w:val="es-ES_tradnl"/>
        </w:rPr>
        <w:t>sus hijos</w:t>
      </w:r>
      <w:r w:rsidRPr="00DC278B">
        <w:rPr>
          <w:rFonts w:ascii="Cambria" w:eastAsia="Times New Roman" w:hAnsi="Cambria"/>
          <w:sz w:val="20"/>
          <w:szCs w:val="20"/>
          <w:bdr w:val="none" w:sz="0" w:space="0" w:color="auto"/>
          <w:vertAlign w:val="superscript"/>
          <w:lang w:val="es-ES_tradnl"/>
        </w:rPr>
        <w:footnoteReference w:id="70"/>
      </w:r>
      <w:r w:rsidRPr="00DC278B">
        <w:rPr>
          <w:rFonts w:ascii="Cambria" w:eastAsia="Times New Roman" w:hAnsi="Cambria"/>
          <w:sz w:val="20"/>
          <w:szCs w:val="20"/>
          <w:bdr w:val="none" w:sz="0" w:space="0" w:color="auto"/>
          <w:lang w:val="es-ES_tradnl"/>
        </w:rPr>
        <w:t>. Asimismo, ordenó descontar de esta suma las cantidades otorgadas por bonos de compensación y pensiones</w:t>
      </w:r>
      <w:r w:rsidRPr="00DC278B">
        <w:rPr>
          <w:rFonts w:ascii="Cambria" w:eastAsia="Times New Roman" w:hAnsi="Cambria"/>
          <w:sz w:val="20"/>
          <w:szCs w:val="20"/>
          <w:bdr w:val="none" w:sz="0" w:space="0" w:color="auto"/>
          <w:vertAlign w:val="superscript"/>
          <w:lang w:val="es-ES_tradnl"/>
        </w:rPr>
        <w:footnoteReference w:id="71"/>
      </w:r>
      <w:r w:rsidRPr="00DC278B">
        <w:rPr>
          <w:rFonts w:ascii="Cambria" w:eastAsia="Times New Roman" w:hAnsi="Cambria"/>
          <w:sz w:val="20"/>
          <w:szCs w:val="20"/>
          <w:bdr w:val="none" w:sz="0" w:space="0" w:color="auto"/>
          <w:lang w:val="es-ES_tradnl"/>
        </w:rPr>
        <w:t xml:space="preserve">. </w:t>
      </w:r>
    </w:p>
    <w:p w:rsidR="00654330" w:rsidRPr="00DC278B" w:rsidRDefault="00654330" w:rsidP="00DC278B">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sz w:val="20"/>
          <w:szCs w:val="20"/>
          <w:bdr w:val="none" w:sz="0" w:space="0" w:color="auto"/>
          <w:lang w:val="es-ES_tradnl"/>
        </w:rPr>
      </w:pPr>
    </w:p>
    <w:p w:rsidR="003639E7" w:rsidRPr="00DC278B" w:rsidRDefault="00654330"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eastAsia="Calibri" w:hAnsi="Cambria"/>
          <w:sz w:val="20"/>
          <w:szCs w:val="20"/>
          <w:bdr w:val="none" w:sz="0" w:space="0" w:color="auto"/>
          <w:lang w:val="es-MX"/>
        </w:rPr>
      </w:pPr>
      <w:r w:rsidRPr="00DC278B">
        <w:rPr>
          <w:rFonts w:ascii="Cambria" w:eastAsia="Times New Roman" w:hAnsi="Cambria"/>
          <w:sz w:val="20"/>
          <w:szCs w:val="20"/>
          <w:bdr w:val="none" w:sz="0" w:space="0" w:color="auto"/>
          <w:lang w:val="es-ES_tradnl"/>
        </w:rPr>
        <w:t xml:space="preserve">El 9 de abril de 2002, la Corte de Apelaciones de la Serena, al decidir un recurso de apelación interpuesto por el </w:t>
      </w:r>
      <w:r w:rsidR="00573798" w:rsidRPr="00DC278B">
        <w:rPr>
          <w:rFonts w:ascii="Cambria" w:eastAsia="Times New Roman" w:hAnsi="Cambria"/>
          <w:sz w:val="20"/>
          <w:szCs w:val="20"/>
          <w:bdr w:val="none" w:sz="0" w:space="0" w:color="auto"/>
          <w:lang w:val="es-ES_tradnl"/>
        </w:rPr>
        <w:t>F</w:t>
      </w:r>
      <w:r w:rsidRPr="00DC278B">
        <w:rPr>
          <w:rFonts w:ascii="Cambria" w:eastAsia="Times New Roman" w:hAnsi="Cambria"/>
          <w:sz w:val="20"/>
          <w:szCs w:val="20"/>
          <w:bdr w:val="none" w:sz="0" w:space="0" w:color="auto"/>
          <w:lang w:val="es-ES_tradnl"/>
        </w:rPr>
        <w:t>isco de Chile, decidió revocar la sentencia de primera</w:t>
      </w:r>
      <w:r w:rsidR="00573798" w:rsidRPr="00DC278B">
        <w:rPr>
          <w:rFonts w:ascii="Cambria" w:eastAsia="Times New Roman" w:hAnsi="Cambria"/>
          <w:sz w:val="20"/>
          <w:szCs w:val="20"/>
          <w:bdr w:val="none" w:sz="0" w:space="0" w:color="auto"/>
          <w:lang w:val="es-ES_tradnl"/>
        </w:rPr>
        <w:t xml:space="preserve"> instancia</w:t>
      </w:r>
      <w:r w:rsidRPr="00DC278B">
        <w:rPr>
          <w:rFonts w:ascii="Cambria" w:eastAsia="Times New Roman" w:hAnsi="Cambria"/>
          <w:sz w:val="20"/>
          <w:szCs w:val="20"/>
          <w:bdr w:val="none" w:sz="0" w:space="0" w:color="auto"/>
          <w:lang w:val="es-ES_tradnl"/>
        </w:rPr>
        <w:t>, por considerar que el plazo de prescripción de cinco a</w:t>
      </w:r>
      <w:r w:rsidR="00573798" w:rsidRPr="00DC278B">
        <w:rPr>
          <w:rFonts w:ascii="Cambria" w:eastAsia="Times New Roman" w:hAnsi="Cambria"/>
          <w:sz w:val="20"/>
          <w:szCs w:val="20"/>
          <w:bdr w:val="none" w:sz="0" w:space="0" w:color="auto"/>
          <w:lang w:val="es-ES_tradnl"/>
        </w:rPr>
        <w:t>ños se encontraba vencido dado que</w:t>
      </w:r>
      <w:r w:rsidRPr="00DC278B">
        <w:rPr>
          <w:rFonts w:ascii="Cambria" w:eastAsia="Times New Roman" w:hAnsi="Cambria"/>
          <w:sz w:val="20"/>
          <w:szCs w:val="20"/>
          <w:bdr w:val="none" w:sz="0" w:space="0" w:color="auto"/>
          <w:lang w:val="es-ES_tradnl"/>
        </w:rPr>
        <w:t xml:space="preserve"> los hechos ocurrieron en 1973</w:t>
      </w:r>
      <w:r w:rsidR="00E07283" w:rsidRPr="00DC278B">
        <w:rPr>
          <w:rFonts w:ascii="Cambria" w:eastAsia="Times New Roman" w:hAnsi="Cambria"/>
          <w:sz w:val="20"/>
          <w:szCs w:val="20"/>
          <w:bdr w:val="none" w:sz="0" w:space="0" w:color="auto"/>
          <w:lang w:val="es-ES_tradnl"/>
        </w:rPr>
        <w:t xml:space="preserve"> acogiendo los argumentos del Fisco sobre la prescripción de la acción y a la incompatibilidad de la indemnización demanda por aplicación de la ley 19.123</w:t>
      </w:r>
      <w:r w:rsidR="00E07283" w:rsidRPr="00DC278B">
        <w:rPr>
          <w:rFonts w:ascii="Cambria" w:eastAsia="Calibri" w:hAnsi="Cambria"/>
          <w:sz w:val="20"/>
          <w:szCs w:val="20"/>
          <w:bdr w:val="none" w:sz="0" w:space="0" w:color="auto"/>
          <w:vertAlign w:val="superscript"/>
          <w:lang w:val="es-CO"/>
        </w:rPr>
        <w:footnoteReference w:id="72"/>
      </w:r>
      <w:r w:rsidRPr="00DC278B">
        <w:rPr>
          <w:rFonts w:ascii="Cambria" w:eastAsia="Times New Roman" w:hAnsi="Cambria"/>
          <w:sz w:val="20"/>
          <w:szCs w:val="20"/>
          <w:bdr w:val="none" w:sz="0" w:space="0" w:color="auto"/>
          <w:lang w:val="es-ES_tradnl"/>
        </w:rPr>
        <w:t xml:space="preserve">. </w:t>
      </w:r>
      <w:r w:rsidR="000E5F2D" w:rsidRPr="00DC278B">
        <w:rPr>
          <w:rFonts w:ascii="Cambria" w:eastAsia="Times New Roman" w:hAnsi="Cambria"/>
          <w:sz w:val="20"/>
          <w:szCs w:val="20"/>
          <w:bdr w:val="none" w:sz="0" w:space="0" w:color="auto"/>
          <w:lang w:val="es-ES_tradnl"/>
        </w:rPr>
        <w:t xml:space="preserve"> </w:t>
      </w:r>
    </w:p>
    <w:p w:rsidR="003639E7" w:rsidRPr="00DC278B" w:rsidRDefault="003639E7" w:rsidP="00DC278B">
      <w:pPr>
        <w:pStyle w:val="MediumGrid1-Accent21"/>
        <w:rPr>
          <w:rFonts w:eastAsia="Times New Roman"/>
          <w:color w:val="auto"/>
          <w:sz w:val="20"/>
          <w:szCs w:val="20"/>
          <w:bdr w:val="none" w:sz="0" w:space="0" w:color="auto"/>
          <w:lang w:val="es-ES_tradnl"/>
        </w:rPr>
      </w:pPr>
    </w:p>
    <w:p w:rsidR="00654330" w:rsidRPr="00DC278B" w:rsidRDefault="00573798"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eastAsia="Calibri" w:hAnsi="Cambria"/>
          <w:sz w:val="20"/>
          <w:szCs w:val="20"/>
          <w:bdr w:val="none" w:sz="0" w:space="0" w:color="auto"/>
          <w:lang w:val="es-MX"/>
        </w:rPr>
      </w:pPr>
      <w:r w:rsidRPr="00DC278B">
        <w:rPr>
          <w:rFonts w:ascii="Cambria" w:eastAsia="Times New Roman" w:hAnsi="Cambria"/>
          <w:sz w:val="20"/>
          <w:szCs w:val="20"/>
          <w:bdr w:val="none" w:sz="0" w:space="0" w:color="auto"/>
          <w:lang w:val="es-ES_tradnl"/>
        </w:rPr>
        <w:t xml:space="preserve">El 7 </w:t>
      </w:r>
      <w:r w:rsidR="00654330" w:rsidRPr="00DC278B">
        <w:rPr>
          <w:rFonts w:ascii="Cambria" w:eastAsia="Times New Roman" w:hAnsi="Cambria"/>
          <w:sz w:val="20"/>
          <w:szCs w:val="20"/>
          <w:bdr w:val="none" w:sz="0" w:space="0" w:color="auto"/>
          <w:lang w:val="es-ES_tradnl"/>
        </w:rPr>
        <w:t xml:space="preserve">de mayo de 2003, la </w:t>
      </w:r>
      <w:r w:rsidRPr="00DC278B">
        <w:rPr>
          <w:rFonts w:ascii="Cambria" w:eastAsia="Times New Roman" w:hAnsi="Cambria"/>
          <w:sz w:val="20"/>
          <w:szCs w:val="20"/>
          <w:bdr w:val="none" w:sz="0" w:space="0" w:color="auto"/>
          <w:lang w:val="es-ES_tradnl"/>
        </w:rPr>
        <w:t xml:space="preserve">CSJ </w:t>
      </w:r>
      <w:r w:rsidR="00654330" w:rsidRPr="00DC278B">
        <w:rPr>
          <w:rFonts w:ascii="Cambria" w:eastAsia="Times New Roman" w:hAnsi="Cambria"/>
          <w:sz w:val="20"/>
          <w:szCs w:val="20"/>
          <w:bdr w:val="none" w:sz="0" w:space="0" w:color="auto"/>
          <w:lang w:val="es-ES_tradnl"/>
        </w:rPr>
        <w:t>rechazó el recurso de casación</w:t>
      </w:r>
      <w:r w:rsidR="00341959" w:rsidRPr="00DC278B">
        <w:rPr>
          <w:rFonts w:ascii="Cambria" w:eastAsia="Times New Roman" w:hAnsi="Cambria"/>
          <w:sz w:val="20"/>
          <w:szCs w:val="20"/>
          <w:bdr w:val="none" w:sz="0" w:space="0" w:color="auto"/>
          <w:lang w:val="es-ES_tradnl"/>
        </w:rPr>
        <w:t xml:space="preserve"> interpuesto por la demandante</w:t>
      </w:r>
      <w:r w:rsidR="000B77D4" w:rsidRPr="00DC278B">
        <w:rPr>
          <w:rFonts w:ascii="Cambria" w:eastAsia="Times New Roman" w:hAnsi="Cambria"/>
          <w:sz w:val="20"/>
          <w:szCs w:val="20"/>
          <w:bdr w:val="none" w:sz="0" w:space="0" w:color="auto"/>
          <w:lang w:val="es-ES_tradnl"/>
        </w:rPr>
        <w:t xml:space="preserve"> y la solicitud de anulación de la sentencia</w:t>
      </w:r>
      <w:r w:rsidR="00654330" w:rsidRPr="00DC278B">
        <w:rPr>
          <w:rFonts w:ascii="Cambria" w:eastAsia="Times New Roman" w:hAnsi="Cambria"/>
          <w:sz w:val="20"/>
          <w:szCs w:val="20"/>
          <w:bdr w:val="none" w:sz="0" w:space="0" w:color="auto"/>
          <w:lang w:val="es-ES_tradnl"/>
        </w:rPr>
        <w:t xml:space="preserve">, </w:t>
      </w:r>
      <w:r w:rsidRPr="00DC278B">
        <w:rPr>
          <w:rFonts w:ascii="Cambria" w:eastAsia="Times New Roman" w:hAnsi="Cambria"/>
          <w:sz w:val="20"/>
          <w:szCs w:val="20"/>
          <w:bdr w:val="none" w:sz="0" w:space="0" w:color="auto"/>
          <w:lang w:val="es-ES_tradnl"/>
        </w:rPr>
        <w:t>al</w:t>
      </w:r>
      <w:r w:rsidR="000B77D4" w:rsidRPr="00DC278B">
        <w:rPr>
          <w:rFonts w:ascii="Cambria" w:eastAsia="Times New Roman" w:hAnsi="Cambria"/>
          <w:sz w:val="20"/>
          <w:szCs w:val="20"/>
          <w:bdr w:val="none" w:sz="0" w:space="0" w:color="auto"/>
          <w:lang w:val="es-ES_tradnl"/>
        </w:rPr>
        <w:t xml:space="preserve"> considerar que la </w:t>
      </w:r>
      <w:r w:rsidR="00654330" w:rsidRPr="00DC278B">
        <w:rPr>
          <w:rFonts w:ascii="Cambria" w:eastAsia="Times New Roman" w:hAnsi="Cambria"/>
          <w:sz w:val="20"/>
          <w:szCs w:val="20"/>
          <w:bdr w:val="none" w:sz="0" w:space="0" w:color="auto"/>
          <w:lang w:val="es-ES_tradnl"/>
        </w:rPr>
        <w:t>acción se interpuso después del vencimiento del plazo de prescripción de cuatro años previsto en el art. 2.332</w:t>
      </w:r>
      <w:r w:rsidR="00B65FAC" w:rsidRPr="00DC278B">
        <w:rPr>
          <w:rFonts w:ascii="Cambria" w:eastAsia="Times New Roman" w:hAnsi="Cambria"/>
          <w:sz w:val="20"/>
          <w:szCs w:val="20"/>
          <w:bdr w:val="none" w:sz="0" w:space="0" w:color="auto"/>
          <w:vertAlign w:val="superscript"/>
          <w:lang w:val="es-ES_tradnl"/>
        </w:rPr>
        <w:footnoteReference w:id="73"/>
      </w:r>
      <w:r w:rsidR="00654330" w:rsidRPr="00DC278B">
        <w:rPr>
          <w:rFonts w:ascii="Cambria" w:eastAsia="Times New Roman" w:hAnsi="Cambria"/>
          <w:sz w:val="20"/>
          <w:szCs w:val="20"/>
          <w:bdr w:val="none" w:sz="0" w:space="0" w:color="auto"/>
          <w:lang w:val="es-ES_tradnl"/>
        </w:rPr>
        <w:t xml:space="preserve"> del Código Civil</w:t>
      </w:r>
      <w:r w:rsidR="00C91F1F" w:rsidRPr="00DC278B">
        <w:rPr>
          <w:rFonts w:ascii="Cambria" w:eastAsia="Calibri" w:hAnsi="Cambria"/>
          <w:sz w:val="20"/>
          <w:szCs w:val="20"/>
          <w:bdr w:val="none" w:sz="0" w:space="0" w:color="auto"/>
          <w:vertAlign w:val="superscript"/>
          <w:lang w:val="es-CO"/>
        </w:rPr>
        <w:footnoteReference w:id="74"/>
      </w:r>
      <w:r w:rsidR="00C91F1F" w:rsidRPr="00DC278B">
        <w:rPr>
          <w:rFonts w:ascii="Cambria" w:eastAsia="Times New Roman" w:hAnsi="Cambria"/>
          <w:sz w:val="20"/>
          <w:szCs w:val="20"/>
          <w:bdr w:val="none" w:sz="0" w:space="0" w:color="auto"/>
          <w:lang w:val="es-CO"/>
        </w:rPr>
        <w:t>.</w:t>
      </w:r>
      <w:r w:rsidR="00D30856">
        <w:rPr>
          <w:rFonts w:ascii="Cambria" w:eastAsia="Times New Roman" w:hAnsi="Cambria"/>
          <w:sz w:val="20"/>
          <w:szCs w:val="20"/>
          <w:bdr w:val="none" w:sz="0" w:space="0" w:color="auto"/>
          <w:lang w:val="es-CO"/>
        </w:rPr>
        <w:t xml:space="preserve"> </w:t>
      </w:r>
      <w:r w:rsidR="000B77D4" w:rsidRPr="00DC278B">
        <w:rPr>
          <w:rFonts w:ascii="Cambria" w:eastAsia="Times New Roman" w:hAnsi="Cambria"/>
          <w:sz w:val="20"/>
          <w:szCs w:val="20"/>
          <w:bdr w:val="none" w:sz="0" w:space="0" w:color="auto"/>
          <w:lang w:val="es-CO"/>
        </w:rPr>
        <w:t>Ante la solicitud de anulación</w:t>
      </w:r>
      <w:r w:rsidR="000B77D4" w:rsidRPr="00DC278B">
        <w:rPr>
          <w:rFonts w:ascii="Cambria" w:eastAsia="Times New Roman" w:hAnsi="Cambria"/>
          <w:sz w:val="20"/>
          <w:szCs w:val="20"/>
          <w:bdr w:val="none" w:sz="0" w:space="0" w:color="auto"/>
          <w:lang w:val="es-ES_tradnl"/>
        </w:rPr>
        <w:t xml:space="preserve">, </w:t>
      </w:r>
      <w:r w:rsidR="003639E7" w:rsidRPr="00DC278B">
        <w:rPr>
          <w:rFonts w:ascii="Cambria" w:eastAsia="Times New Roman" w:hAnsi="Cambria"/>
          <w:sz w:val="20"/>
          <w:szCs w:val="20"/>
          <w:bdr w:val="none" w:sz="0" w:space="0" w:color="auto"/>
          <w:lang w:val="es-ES_tradnl"/>
        </w:rPr>
        <w:t>la CSJ</w:t>
      </w:r>
      <w:r w:rsidR="000B77D4" w:rsidRPr="00DC278B">
        <w:rPr>
          <w:rFonts w:ascii="Cambria" w:eastAsia="Times New Roman" w:hAnsi="Cambria"/>
          <w:sz w:val="20"/>
          <w:szCs w:val="20"/>
          <w:bdr w:val="none" w:sz="0" w:space="0" w:color="auto"/>
          <w:lang w:val="es-ES_tradnl"/>
        </w:rPr>
        <w:t xml:space="preserve"> consideró que la sentencia </w:t>
      </w:r>
      <w:r w:rsidR="003639E7" w:rsidRPr="00DC278B">
        <w:rPr>
          <w:rFonts w:ascii="Cambria" w:eastAsia="Times New Roman" w:hAnsi="Cambria"/>
          <w:sz w:val="20"/>
          <w:szCs w:val="20"/>
          <w:bdr w:val="none" w:sz="0" w:space="0" w:color="auto"/>
          <w:lang w:val="es-ES_tradnl"/>
        </w:rPr>
        <w:t xml:space="preserve">casada </w:t>
      </w:r>
      <w:r w:rsidR="000B77D4" w:rsidRPr="00DC278B">
        <w:rPr>
          <w:rFonts w:ascii="Cambria" w:eastAsia="Times New Roman" w:hAnsi="Cambria"/>
          <w:sz w:val="20"/>
          <w:szCs w:val="20"/>
          <w:bdr w:val="none" w:sz="0" w:space="0" w:color="auto"/>
          <w:lang w:val="es-ES_tradnl"/>
        </w:rPr>
        <w:t>no incurría en error alguno, pues como ya se había dicho, los artículos 130 y 131 del Convenio de Ginebra relativo al tratamiento de los prisioneros de guerra</w:t>
      </w:r>
      <w:r w:rsidR="003639E7" w:rsidRPr="00DC278B">
        <w:rPr>
          <w:rFonts w:ascii="Cambria" w:eastAsia="Times New Roman" w:hAnsi="Cambria"/>
          <w:sz w:val="20"/>
          <w:szCs w:val="20"/>
          <w:bdr w:val="none" w:sz="0" w:space="0" w:color="auto"/>
          <w:lang w:val="es-ES_tradnl"/>
        </w:rPr>
        <w:t>,</w:t>
      </w:r>
      <w:r w:rsidR="000B77D4" w:rsidRPr="00DC278B">
        <w:rPr>
          <w:rFonts w:ascii="Cambria" w:eastAsia="Times New Roman" w:hAnsi="Cambria"/>
          <w:sz w:val="20"/>
          <w:szCs w:val="20"/>
          <w:bdr w:val="none" w:sz="0" w:space="0" w:color="auto"/>
          <w:lang w:val="es-ES_tradnl"/>
        </w:rPr>
        <w:t xml:space="preserve"> aducidos por los familiares de la víctima</w:t>
      </w:r>
      <w:r w:rsidR="003639E7" w:rsidRPr="00DC278B">
        <w:rPr>
          <w:rFonts w:ascii="Cambria" w:eastAsia="Times New Roman" w:hAnsi="Cambria"/>
          <w:sz w:val="20"/>
          <w:szCs w:val="20"/>
          <w:bdr w:val="none" w:sz="0" w:space="0" w:color="auto"/>
          <w:lang w:val="es-ES_tradnl"/>
        </w:rPr>
        <w:t>,</w:t>
      </w:r>
      <w:r w:rsidR="000B77D4" w:rsidRPr="00DC278B">
        <w:rPr>
          <w:rFonts w:ascii="Cambria" w:eastAsia="Times New Roman" w:hAnsi="Cambria"/>
          <w:sz w:val="20"/>
          <w:szCs w:val="20"/>
          <w:bdr w:val="none" w:sz="0" w:space="0" w:color="auto"/>
          <w:lang w:val="es-ES_tradnl"/>
        </w:rPr>
        <w:t xml:space="preserve"> como sustento normativo que consagra la imprescriptibilidad de los crímenes de g</w:t>
      </w:r>
      <w:r w:rsidR="003639E7" w:rsidRPr="00DC278B">
        <w:rPr>
          <w:rFonts w:ascii="Cambria" w:eastAsia="Times New Roman" w:hAnsi="Cambria"/>
          <w:sz w:val="20"/>
          <w:szCs w:val="20"/>
          <w:bdr w:val="none" w:sz="0" w:space="0" w:color="auto"/>
          <w:lang w:val="es-ES_tradnl"/>
        </w:rPr>
        <w:t>uerra;</w:t>
      </w:r>
      <w:r w:rsidR="000B77D4" w:rsidRPr="00DC278B">
        <w:rPr>
          <w:rFonts w:ascii="Cambria" w:eastAsia="Times New Roman" w:hAnsi="Cambria"/>
          <w:sz w:val="20"/>
          <w:szCs w:val="20"/>
          <w:bdr w:val="none" w:sz="0" w:space="0" w:color="auto"/>
          <w:lang w:val="es-ES_tradnl"/>
        </w:rPr>
        <w:t xml:space="preserve"> no son normas que expresen la imprescriptibilidad para acciones de naturaleza patrimonial o </w:t>
      </w:r>
      <w:r w:rsidR="000B77D4" w:rsidRPr="00DC278B">
        <w:rPr>
          <w:rFonts w:ascii="Cambria" w:eastAsia="Times New Roman" w:hAnsi="Cambria"/>
          <w:sz w:val="20"/>
          <w:szCs w:val="20"/>
          <w:bdr w:val="none" w:sz="0" w:space="0" w:color="auto"/>
          <w:lang w:val="es-ES_tradnl"/>
        </w:rPr>
        <w:lastRenderedPageBreak/>
        <w:t>pecuniaria</w:t>
      </w:r>
      <w:r w:rsidR="003639E7" w:rsidRPr="00DC278B">
        <w:rPr>
          <w:rFonts w:ascii="Cambria" w:eastAsia="Times New Roman" w:hAnsi="Cambria"/>
          <w:sz w:val="20"/>
          <w:szCs w:val="20"/>
          <w:bdr w:val="none" w:sz="0" w:space="0" w:color="auto"/>
          <w:lang w:val="es-ES_tradnl"/>
        </w:rPr>
        <w:t xml:space="preserve">. </w:t>
      </w:r>
      <w:r w:rsidR="000B77D4" w:rsidRPr="00DC278B">
        <w:rPr>
          <w:rFonts w:ascii="Cambria" w:eastAsia="Times New Roman" w:hAnsi="Cambria"/>
          <w:sz w:val="20"/>
          <w:szCs w:val="20"/>
          <w:bdr w:val="none" w:sz="0" w:space="0" w:color="auto"/>
          <w:lang w:val="es-ES_tradnl"/>
        </w:rPr>
        <w:t xml:space="preserve"> </w:t>
      </w:r>
      <w:r w:rsidR="00341959" w:rsidRPr="00DC278B">
        <w:rPr>
          <w:rFonts w:ascii="Cambria" w:eastAsia="Times New Roman" w:hAnsi="Cambria"/>
          <w:sz w:val="20"/>
          <w:szCs w:val="20"/>
          <w:bdr w:val="none" w:sz="0" w:space="0" w:color="auto"/>
          <w:lang w:val="es-ES_tradnl"/>
        </w:rPr>
        <w:t>La CSJ consideró que d</w:t>
      </w:r>
      <w:r w:rsidR="003639E7" w:rsidRPr="00DC278B">
        <w:rPr>
          <w:rFonts w:ascii="Cambria" w:eastAsia="Times New Roman" w:hAnsi="Cambria"/>
          <w:sz w:val="20"/>
          <w:szCs w:val="20"/>
          <w:bdr w:val="none" w:sz="0" w:space="0" w:color="auto"/>
          <w:lang w:val="es-ES_tradnl"/>
        </w:rPr>
        <w:t xml:space="preserve">e este modo, </w:t>
      </w:r>
      <w:r w:rsidR="000B77D4" w:rsidRPr="00DC278B">
        <w:rPr>
          <w:rFonts w:ascii="Cambria" w:eastAsia="Times New Roman" w:hAnsi="Cambria"/>
          <w:sz w:val="20"/>
          <w:szCs w:val="20"/>
          <w:bdr w:val="none" w:sz="0" w:space="0" w:color="auto"/>
          <w:lang w:val="es-ES_tradnl"/>
        </w:rPr>
        <w:t>no existía impedimento en el ordenamiento ju</w:t>
      </w:r>
      <w:r w:rsidR="001F2493" w:rsidRPr="00DC278B">
        <w:rPr>
          <w:rFonts w:ascii="Cambria" w:eastAsia="Times New Roman" w:hAnsi="Cambria"/>
          <w:sz w:val="20"/>
          <w:szCs w:val="20"/>
          <w:bdr w:val="none" w:sz="0" w:space="0" w:color="auto"/>
          <w:lang w:val="es-ES_tradnl"/>
        </w:rPr>
        <w:t>rídico de Chile para que operase</w:t>
      </w:r>
      <w:r w:rsidR="000B77D4" w:rsidRPr="00DC278B">
        <w:rPr>
          <w:rFonts w:ascii="Cambria" w:eastAsia="Times New Roman" w:hAnsi="Cambria"/>
          <w:sz w:val="20"/>
          <w:szCs w:val="20"/>
          <w:bdr w:val="none" w:sz="0" w:space="0" w:color="auto"/>
          <w:lang w:val="es-ES_tradnl"/>
        </w:rPr>
        <w:t xml:space="preserve"> la prescripción de la</w:t>
      </w:r>
      <w:r w:rsidR="003639E7" w:rsidRPr="00DC278B">
        <w:rPr>
          <w:rFonts w:ascii="Cambria" w:eastAsia="Times New Roman" w:hAnsi="Cambria"/>
          <w:sz w:val="20"/>
          <w:szCs w:val="20"/>
          <w:bdr w:val="none" w:sz="0" w:space="0" w:color="auto"/>
          <w:lang w:val="es-ES_tradnl"/>
        </w:rPr>
        <w:t>s</w:t>
      </w:r>
      <w:r w:rsidR="000B77D4" w:rsidRPr="00DC278B">
        <w:rPr>
          <w:rFonts w:ascii="Cambria" w:eastAsia="Times New Roman" w:hAnsi="Cambria"/>
          <w:sz w:val="20"/>
          <w:szCs w:val="20"/>
          <w:bdr w:val="none" w:sz="0" w:space="0" w:color="auto"/>
          <w:lang w:val="es-ES_tradnl"/>
        </w:rPr>
        <w:t xml:space="preserve"> acciones conducentes a hacer efectiva la responsabilidad </w:t>
      </w:r>
      <w:r w:rsidR="003639E7" w:rsidRPr="00DC278B">
        <w:rPr>
          <w:rFonts w:ascii="Cambria" w:eastAsia="Times New Roman" w:hAnsi="Cambria"/>
          <w:sz w:val="20"/>
          <w:szCs w:val="20"/>
          <w:bdr w:val="none" w:sz="0" w:space="0" w:color="auto"/>
          <w:lang w:val="es-ES_tradnl"/>
        </w:rPr>
        <w:t xml:space="preserve">del Fisco de reparar daños sobre </w:t>
      </w:r>
      <w:r w:rsidR="000B77D4" w:rsidRPr="00DC278B">
        <w:rPr>
          <w:rFonts w:ascii="Cambria" w:eastAsia="Times New Roman" w:hAnsi="Cambria"/>
          <w:sz w:val="20"/>
          <w:szCs w:val="20"/>
          <w:bdr w:val="none" w:sz="0" w:space="0" w:color="auto"/>
          <w:lang w:val="es-ES_tradnl"/>
        </w:rPr>
        <w:t>una responsabilidad distinta a la penal</w:t>
      </w:r>
      <w:r w:rsidR="000B77D4" w:rsidRPr="00DC278B">
        <w:rPr>
          <w:rFonts w:ascii="Cambria" w:eastAsia="Calibri" w:hAnsi="Cambria"/>
          <w:sz w:val="20"/>
          <w:szCs w:val="20"/>
          <w:bdr w:val="none" w:sz="0" w:space="0" w:color="auto"/>
          <w:vertAlign w:val="superscript"/>
          <w:lang w:val="es-CO"/>
        </w:rPr>
        <w:footnoteReference w:id="75"/>
      </w:r>
      <w:r w:rsidR="000B77D4" w:rsidRPr="00DC278B">
        <w:rPr>
          <w:rFonts w:ascii="Cambria" w:eastAsia="Calibri" w:hAnsi="Cambria"/>
          <w:sz w:val="20"/>
          <w:szCs w:val="20"/>
          <w:bdr w:val="none" w:sz="0" w:space="0" w:color="auto"/>
          <w:lang w:val="es-CO"/>
        </w:rPr>
        <w:t>.</w:t>
      </w:r>
    </w:p>
    <w:p w:rsidR="00DC1A2E" w:rsidRPr="00DC278B" w:rsidRDefault="00DC1A2E" w:rsidP="00DC278B">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sz w:val="20"/>
          <w:szCs w:val="20"/>
          <w:bdr w:val="none" w:sz="0" w:space="0" w:color="auto"/>
          <w:lang w:val="es-ES_tradnl"/>
        </w:rPr>
      </w:pPr>
    </w:p>
    <w:p w:rsidR="00DC1A2E" w:rsidRPr="00DC278B" w:rsidRDefault="00DC1A2E"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eastAsia="Times New Roman" w:hAnsi="Cambria"/>
          <w:sz w:val="20"/>
          <w:szCs w:val="20"/>
          <w:bdr w:val="none" w:sz="0" w:space="0" w:color="auto"/>
          <w:lang w:val="es-ES_tradnl"/>
        </w:rPr>
      </w:pPr>
      <w:r w:rsidRPr="00DC278B">
        <w:rPr>
          <w:rFonts w:ascii="Cambria" w:eastAsia="Times New Roman" w:hAnsi="Cambria"/>
          <w:sz w:val="20"/>
          <w:szCs w:val="20"/>
          <w:bdr w:val="none" w:sz="0" w:space="0" w:color="auto"/>
          <w:lang w:val="es-ES_tradnl"/>
        </w:rPr>
        <w:t>La CSJ consideró que la idea de aplicar las reglas de prescripción extintiva de la acción indemnizatoria que contiene el Código Civil, a las acciones en que se persigue la responsabilidad extracontractual del Estado “no repugna a la naturaleza especial que ella posee, si se considera que ellas inciden en el ámbito patrimonial de esa responsabilidad”</w:t>
      </w:r>
      <w:r w:rsidR="00A0131C" w:rsidRPr="00DC278B">
        <w:rPr>
          <w:rFonts w:ascii="Cambria" w:eastAsia="Calibri" w:hAnsi="Cambria"/>
          <w:sz w:val="20"/>
          <w:szCs w:val="20"/>
          <w:bdr w:val="none" w:sz="0" w:space="0" w:color="auto"/>
          <w:vertAlign w:val="superscript"/>
          <w:lang w:val="es-CO"/>
        </w:rPr>
        <w:footnoteReference w:id="76"/>
      </w:r>
      <w:r w:rsidRPr="00DC278B">
        <w:rPr>
          <w:rFonts w:ascii="Cambria" w:eastAsia="Times New Roman" w:hAnsi="Cambria"/>
          <w:sz w:val="20"/>
          <w:szCs w:val="20"/>
          <w:bdr w:val="none" w:sz="0" w:space="0" w:color="auto"/>
          <w:lang w:val="es-ES_tradnl"/>
        </w:rPr>
        <w:t xml:space="preserve"> y que en ausencia de normas positivas que las hagan imprescriptibles, corresponde estarse a las reglas del Derecho Común, que se refieren específicamente a la materia, entre la que se encuentran el artículo 2.332 del Código Civil, que versa directamente sobre ella</w:t>
      </w:r>
      <w:r w:rsidRPr="00DC278B">
        <w:rPr>
          <w:rFonts w:ascii="Cambria" w:eastAsia="Times New Roman" w:hAnsi="Cambria"/>
          <w:sz w:val="20"/>
          <w:szCs w:val="20"/>
          <w:bdr w:val="none" w:sz="0" w:space="0" w:color="auto"/>
          <w:vertAlign w:val="superscript"/>
          <w:lang w:val="es-ES_tradnl"/>
        </w:rPr>
        <w:footnoteReference w:id="77"/>
      </w:r>
      <w:r w:rsidRPr="00DC278B">
        <w:rPr>
          <w:rFonts w:ascii="Cambria" w:eastAsia="Times New Roman" w:hAnsi="Cambria"/>
          <w:sz w:val="20"/>
          <w:szCs w:val="20"/>
          <w:bdr w:val="none" w:sz="0" w:space="0" w:color="auto"/>
          <w:lang w:val="es-ES_tradnl"/>
        </w:rPr>
        <w:t>.</w:t>
      </w:r>
    </w:p>
    <w:p w:rsidR="000F4860" w:rsidRPr="00DC278B" w:rsidRDefault="000F4860" w:rsidP="00DC278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p>
    <w:p w:rsidR="000F4860" w:rsidRPr="00DC278B" w:rsidRDefault="0010210A"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lang w:val="es-ES"/>
        </w:rPr>
      </w:pPr>
      <w:r w:rsidRPr="00DC278B">
        <w:rPr>
          <w:rFonts w:ascii="Cambria" w:eastAsia="Times New Roman" w:hAnsi="Cambria"/>
          <w:sz w:val="20"/>
          <w:szCs w:val="20"/>
          <w:bdr w:val="none" w:sz="0" w:space="0" w:color="auto"/>
          <w:lang w:val="es-ES_tradnl"/>
        </w:rPr>
        <w:t>Mediante la Ley 19.980 de 2004, l</w:t>
      </w:r>
      <w:r w:rsidR="000F4860" w:rsidRPr="00DC278B">
        <w:rPr>
          <w:rFonts w:ascii="Cambria" w:eastAsia="Times New Roman" w:hAnsi="Cambria"/>
          <w:sz w:val="20"/>
          <w:szCs w:val="20"/>
          <w:bdr w:val="none" w:sz="0" w:space="0" w:color="auto"/>
          <w:lang w:val="es-ES_tradnl"/>
        </w:rPr>
        <w:t xml:space="preserve">os cuatro hijos de </w:t>
      </w:r>
      <w:r w:rsidR="00544007" w:rsidRPr="00DC278B">
        <w:rPr>
          <w:rFonts w:ascii="Cambria" w:eastAsia="Times New Roman" w:hAnsi="Cambria"/>
          <w:sz w:val="20"/>
          <w:szCs w:val="20"/>
          <w:bdr w:val="none" w:sz="0" w:space="0" w:color="auto"/>
          <w:lang w:val="es-ES_tradnl"/>
        </w:rPr>
        <w:t xml:space="preserve">la víctima </w:t>
      </w:r>
      <w:r w:rsidR="000F4860" w:rsidRPr="00DC278B">
        <w:rPr>
          <w:rFonts w:ascii="Cambria" w:eastAsia="Times New Roman" w:hAnsi="Cambria"/>
          <w:sz w:val="20"/>
          <w:szCs w:val="20"/>
          <w:bdr w:val="none" w:sz="0" w:space="0" w:color="auto"/>
          <w:lang w:val="es-ES_tradnl"/>
        </w:rPr>
        <w:t>recibieron bonos de reparación: Carolina Andrea Osorio Morales (7.700.317 de Pesos chilenos</w:t>
      </w:r>
      <w:r w:rsidR="00544007" w:rsidRPr="00DC278B">
        <w:rPr>
          <w:rFonts w:ascii="Cambria" w:eastAsia="Times New Roman" w:hAnsi="Cambria"/>
          <w:sz w:val="20"/>
          <w:szCs w:val="20"/>
          <w:bdr w:val="none" w:sz="0" w:space="0" w:color="auto"/>
          <w:lang w:val="es-ES_tradnl"/>
        </w:rPr>
        <w:t>)</w:t>
      </w:r>
      <w:r w:rsidR="000F4860" w:rsidRPr="00DC278B">
        <w:rPr>
          <w:rFonts w:ascii="Cambria" w:eastAsia="Times New Roman" w:hAnsi="Cambria"/>
          <w:sz w:val="20"/>
          <w:szCs w:val="20"/>
          <w:bdr w:val="none" w:sz="0" w:space="0" w:color="auto"/>
          <w:lang w:val="es-ES_tradnl"/>
        </w:rPr>
        <w:t>, Jorge Osorio Morales (6.163.383 de P</w:t>
      </w:r>
      <w:r w:rsidR="00544007" w:rsidRPr="00DC278B">
        <w:rPr>
          <w:rFonts w:ascii="Cambria" w:eastAsia="Times New Roman" w:hAnsi="Cambria"/>
          <w:sz w:val="20"/>
          <w:szCs w:val="20"/>
          <w:bdr w:val="none" w:sz="0" w:space="0" w:color="auto"/>
          <w:lang w:val="es-ES_tradnl"/>
        </w:rPr>
        <w:t>esos chilenos</w:t>
      </w:r>
      <w:r w:rsidR="000F4860" w:rsidRPr="00DC278B">
        <w:rPr>
          <w:rFonts w:ascii="Cambria" w:eastAsia="Times New Roman" w:hAnsi="Cambria"/>
          <w:sz w:val="20"/>
          <w:szCs w:val="20"/>
          <w:bdr w:val="none" w:sz="0" w:space="0" w:color="auto"/>
          <w:lang w:val="es-ES_tradnl"/>
        </w:rPr>
        <w:t>), Lucía Osorio Morales (10.000.000 de P</w:t>
      </w:r>
      <w:r w:rsidR="00544007" w:rsidRPr="00DC278B">
        <w:rPr>
          <w:rFonts w:ascii="Cambria" w:eastAsia="Times New Roman" w:hAnsi="Cambria"/>
          <w:sz w:val="20"/>
          <w:szCs w:val="20"/>
          <w:bdr w:val="none" w:sz="0" w:space="0" w:color="auto"/>
          <w:lang w:val="es-ES_tradnl"/>
        </w:rPr>
        <w:t>esos chilenos</w:t>
      </w:r>
      <w:r w:rsidR="000F4860" w:rsidRPr="00DC278B">
        <w:rPr>
          <w:rFonts w:ascii="Cambria" w:eastAsia="Times New Roman" w:hAnsi="Cambria"/>
          <w:sz w:val="20"/>
          <w:szCs w:val="20"/>
          <w:bdr w:val="none" w:sz="0" w:space="0" w:color="auto"/>
          <w:lang w:val="es-ES_tradnl"/>
        </w:rPr>
        <w:t>) y María Teresa Osorio Morales (10.000.000 de P</w:t>
      </w:r>
      <w:r w:rsidR="00544007" w:rsidRPr="00DC278B">
        <w:rPr>
          <w:rFonts w:ascii="Cambria" w:eastAsia="Times New Roman" w:hAnsi="Cambria"/>
          <w:sz w:val="20"/>
          <w:szCs w:val="20"/>
          <w:bdr w:val="none" w:sz="0" w:space="0" w:color="auto"/>
          <w:lang w:val="es-ES_tradnl"/>
        </w:rPr>
        <w:t>esos chilenos</w:t>
      </w:r>
      <w:r w:rsidR="000F4860" w:rsidRPr="00DC278B">
        <w:rPr>
          <w:rFonts w:ascii="Cambria" w:eastAsia="Times New Roman" w:hAnsi="Cambria"/>
          <w:sz w:val="20"/>
          <w:szCs w:val="20"/>
          <w:bdr w:val="none" w:sz="0" w:space="0" w:color="auto"/>
          <w:lang w:val="es-ES_tradnl"/>
        </w:rPr>
        <w:t>)</w:t>
      </w:r>
      <w:r w:rsidR="000F4860" w:rsidRPr="00DC278B">
        <w:rPr>
          <w:rFonts w:ascii="Cambria" w:eastAsia="Times New Roman" w:hAnsi="Cambria"/>
          <w:sz w:val="20"/>
          <w:szCs w:val="20"/>
          <w:bdr w:val="none" w:sz="0" w:space="0" w:color="auto"/>
          <w:vertAlign w:val="superscript"/>
          <w:lang w:val="es-ES_tradnl"/>
        </w:rPr>
        <w:footnoteReference w:id="78"/>
      </w:r>
      <w:r w:rsidR="000F4860" w:rsidRPr="00DC278B">
        <w:rPr>
          <w:rFonts w:ascii="Cambria" w:eastAsia="Times New Roman" w:hAnsi="Cambria"/>
          <w:sz w:val="20"/>
          <w:szCs w:val="20"/>
          <w:bdr w:val="none" w:sz="0" w:space="0" w:color="auto"/>
          <w:lang w:val="es-ES_tradnl"/>
        </w:rPr>
        <w:t>.</w:t>
      </w:r>
    </w:p>
    <w:p w:rsidR="000F4860" w:rsidRPr="00DC278B" w:rsidRDefault="000F4860" w:rsidP="00DC278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lang w:val="es-ES"/>
        </w:rPr>
      </w:pPr>
    </w:p>
    <w:p w:rsidR="000F4860" w:rsidRPr="00DC278B" w:rsidRDefault="0010210A"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r w:rsidRPr="00DC278B">
        <w:rPr>
          <w:rFonts w:ascii="Cambria" w:eastAsia="Times New Roman" w:hAnsi="Cambria"/>
          <w:sz w:val="20"/>
          <w:szCs w:val="20"/>
          <w:bdr w:val="none" w:sz="0" w:space="0" w:color="auto"/>
          <w:lang w:val="es-ES"/>
        </w:rPr>
        <w:t>Asimismo</w:t>
      </w:r>
      <w:r w:rsidRPr="00DC278B">
        <w:rPr>
          <w:rFonts w:ascii="Cambria" w:eastAsia="Times New Roman" w:hAnsi="Cambria"/>
          <w:sz w:val="20"/>
          <w:szCs w:val="20"/>
          <w:bdr w:val="none" w:sz="0" w:space="0" w:color="auto"/>
          <w:lang w:val="es-ES_tradnl"/>
        </w:rPr>
        <w:t>,</w:t>
      </w:r>
      <w:r w:rsidR="000F4860" w:rsidRPr="00DC278B">
        <w:rPr>
          <w:rFonts w:ascii="Cambria" w:eastAsia="Times New Roman" w:hAnsi="Cambria"/>
          <w:sz w:val="20"/>
          <w:szCs w:val="20"/>
          <w:bdr w:val="none" w:sz="0" w:space="0" w:color="auto"/>
          <w:lang w:val="es-ES_tradnl"/>
        </w:rPr>
        <w:t xml:space="preserve"> los siete hijos de Hipólito </w:t>
      </w:r>
      <w:r w:rsidR="00516BD4" w:rsidRPr="00DC278B">
        <w:rPr>
          <w:rFonts w:ascii="Cambria" w:eastAsia="Times New Roman" w:hAnsi="Cambria"/>
          <w:sz w:val="20"/>
          <w:szCs w:val="20"/>
          <w:bdr w:val="none" w:sz="0" w:space="0" w:color="auto"/>
          <w:lang w:val="es-ES_tradnl"/>
        </w:rPr>
        <w:t>Cortés</w:t>
      </w:r>
      <w:r w:rsidR="000F4860" w:rsidRPr="00DC278B">
        <w:rPr>
          <w:rFonts w:ascii="Cambria" w:eastAsia="Times New Roman" w:hAnsi="Cambria"/>
          <w:sz w:val="20"/>
          <w:szCs w:val="20"/>
          <w:bdr w:val="none" w:sz="0" w:space="0" w:color="auto"/>
          <w:lang w:val="es-ES_tradnl"/>
        </w:rPr>
        <w:t xml:space="preserve"> recibieron bonos de reparación: Marcia Alejandra Cortés Barraza (10.000.000 Pesos chilenos) Nora Isabel Cortés Ba</w:t>
      </w:r>
      <w:r w:rsidR="00544007" w:rsidRPr="00DC278B">
        <w:rPr>
          <w:rFonts w:ascii="Cambria" w:eastAsia="Times New Roman" w:hAnsi="Cambria"/>
          <w:sz w:val="20"/>
          <w:szCs w:val="20"/>
          <w:bdr w:val="none" w:sz="0" w:space="0" w:color="auto"/>
          <w:lang w:val="es-ES_tradnl"/>
        </w:rPr>
        <w:t>rraza (8.230.371 pesos chilenos</w:t>
      </w:r>
      <w:r w:rsidR="000F4860" w:rsidRPr="00DC278B">
        <w:rPr>
          <w:rFonts w:ascii="Cambria" w:eastAsia="Times New Roman" w:hAnsi="Cambria"/>
          <w:sz w:val="20"/>
          <w:szCs w:val="20"/>
          <w:bdr w:val="none" w:sz="0" w:space="0" w:color="auto"/>
          <w:lang w:val="es-ES_tradnl"/>
        </w:rPr>
        <w:t>), Hernán Alejandro Cortés Ba</w:t>
      </w:r>
      <w:r w:rsidR="00544007" w:rsidRPr="00DC278B">
        <w:rPr>
          <w:rFonts w:ascii="Cambria" w:eastAsia="Times New Roman" w:hAnsi="Cambria"/>
          <w:sz w:val="20"/>
          <w:szCs w:val="20"/>
          <w:bdr w:val="none" w:sz="0" w:space="0" w:color="auto"/>
          <w:lang w:val="es-ES_tradnl"/>
        </w:rPr>
        <w:t>rraza (9.207.049 Pesos chilenos</w:t>
      </w:r>
      <w:r w:rsidR="000F4860" w:rsidRPr="00DC278B">
        <w:rPr>
          <w:rFonts w:ascii="Cambria" w:eastAsia="Times New Roman" w:hAnsi="Cambria"/>
          <w:sz w:val="20"/>
          <w:szCs w:val="20"/>
          <w:bdr w:val="none" w:sz="0" w:space="0" w:color="auto"/>
          <w:lang w:val="es-ES_tradnl"/>
        </w:rPr>
        <w:t>), Eduardo Patricio Cortés Barraza (10.000.0</w:t>
      </w:r>
      <w:r w:rsidR="00544007" w:rsidRPr="00DC278B">
        <w:rPr>
          <w:rFonts w:ascii="Cambria" w:eastAsia="Times New Roman" w:hAnsi="Cambria"/>
          <w:sz w:val="20"/>
          <w:szCs w:val="20"/>
          <w:bdr w:val="none" w:sz="0" w:space="0" w:color="auto"/>
          <w:lang w:val="es-ES_tradnl"/>
        </w:rPr>
        <w:t>00 Pesos chilenos</w:t>
      </w:r>
      <w:r w:rsidR="000F4860" w:rsidRPr="00DC278B">
        <w:rPr>
          <w:rFonts w:ascii="Cambria" w:eastAsia="Times New Roman" w:hAnsi="Cambria"/>
          <w:sz w:val="20"/>
          <w:szCs w:val="20"/>
          <w:bdr w:val="none" w:sz="0" w:space="0" w:color="auto"/>
          <w:lang w:val="es-ES_tradnl"/>
        </w:rPr>
        <w:t>), Miriam del Rosario Cortés Bar</w:t>
      </w:r>
      <w:r w:rsidR="00544007" w:rsidRPr="00DC278B">
        <w:rPr>
          <w:rFonts w:ascii="Cambria" w:eastAsia="Times New Roman" w:hAnsi="Cambria"/>
          <w:sz w:val="20"/>
          <w:szCs w:val="20"/>
          <w:bdr w:val="none" w:sz="0" w:space="0" w:color="auto"/>
          <w:lang w:val="es-ES_tradnl"/>
        </w:rPr>
        <w:t>raza (10.000.000 Pesos chilenos</w:t>
      </w:r>
      <w:r w:rsidR="000F4860" w:rsidRPr="00DC278B">
        <w:rPr>
          <w:rFonts w:ascii="Cambria" w:eastAsia="Times New Roman" w:hAnsi="Cambria"/>
          <w:sz w:val="20"/>
          <w:szCs w:val="20"/>
          <w:bdr w:val="none" w:sz="0" w:space="0" w:color="auto"/>
          <w:lang w:val="es-ES_tradnl"/>
        </w:rPr>
        <w:t>), Patricio Cortés Barraza (10.000.000 P</w:t>
      </w:r>
      <w:r w:rsidR="00544007" w:rsidRPr="00DC278B">
        <w:rPr>
          <w:rFonts w:ascii="Cambria" w:eastAsia="Times New Roman" w:hAnsi="Cambria"/>
          <w:sz w:val="20"/>
          <w:szCs w:val="20"/>
          <w:bdr w:val="none" w:sz="0" w:space="0" w:color="auto"/>
          <w:lang w:val="es-ES_tradnl"/>
        </w:rPr>
        <w:t>esos chilenos</w:t>
      </w:r>
      <w:r w:rsidR="000F4860" w:rsidRPr="00DC278B">
        <w:rPr>
          <w:rFonts w:ascii="Cambria" w:eastAsia="Times New Roman" w:hAnsi="Cambria"/>
          <w:sz w:val="20"/>
          <w:szCs w:val="20"/>
          <w:bdr w:val="none" w:sz="0" w:space="0" w:color="auto"/>
          <w:lang w:val="es-ES_tradnl"/>
        </w:rPr>
        <w:t>) y Jorge Cortés Barraza (10.000.000 Peso</w:t>
      </w:r>
      <w:r w:rsidR="00544007" w:rsidRPr="00DC278B">
        <w:rPr>
          <w:rFonts w:ascii="Cambria" w:eastAsia="Times New Roman" w:hAnsi="Cambria"/>
          <w:sz w:val="20"/>
          <w:szCs w:val="20"/>
          <w:bdr w:val="none" w:sz="0" w:space="0" w:color="auto"/>
          <w:lang w:val="es-ES_tradnl"/>
        </w:rPr>
        <w:t>s chilenos</w:t>
      </w:r>
      <w:r w:rsidR="000F4860" w:rsidRPr="00DC278B">
        <w:rPr>
          <w:rFonts w:ascii="Cambria" w:eastAsia="Times New Roman" w:hAnsi="Cambria"/>
          <w:sz w:val="20"/>
          <w:szCs w:val="20"/>
          <w:bdr w:val="none" w:sz="0" w:space="0" w:color="auto"/>
          <w:lang w:val="es-ES_tradnl"/>
        </w:rPr>
        <w:t>)</w:t>
      </w:r>
      <w:r w:rsidR="000F4860" w:rsidRPr="00DC278B">
        <w:rPr>
          <w:rFonts w:ascii="Cambria" w:eastAsia="Times New Roman" w:hAnsi="Cambria"/>
          <w:sz w:val="20"/>
          <w:szCs w:val="20"/>
          <w:bdr w:val="none" w:sz="0" w:space="0" w:color="auto"/>
          <w:vertAlign w:val="superscript"/>
          <w:lang w:val="es-ES_tradnl"/>
        </w:rPr>
        <w:footnoteReference w:id="79"/>
      </w:r>
      <w:r w:rsidR="000F4860" w:rsidRPr="00DC278B">
        <w:rPr>
          <w:rFonts w:ascii="Cambria" w:eastAsia="Times New Roman" w:hAnsi="Cambria"/>
          <w:sz w:val="20"/>
          <w:szCs w:val="20"/>
          <w:bdr w:val="none" w:sz="0" w:space="0" w:color="auto"/>
          <w:lang w:val="es-ES_tradnl"/>
        </w:rPr>
        <w:t>.</w:t>
      </w:r>
    </w:p>
    <w:p w:rsidR="00550FA9" w:rsidRPr="00DC278B" w:rsidRDefault="00550FA9" w:rsidP="00DC278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p>
    <w:p w:rsidR="00550FA9" w:rsidRPr="00DC278B" w:rsidRDefault="000E7F36" w:rsidP="00DC278B">
      <w:pPr>
        <w:pStyle w:val="Ttulo2"/>
      </w:pPr>
      <w:bookmarkStart w:id="20" w:name="_Toc413397475"/>
      <w:r w:rsidRPr="00DC278B">
        <w:t>E.</w:t>
      </w:r>
      <w:r w:rsidRPr="00DC278B">
        <w:tab/>
      </w:r>
      <w:r w:rsidR="00550FA9" w:rsidRPr="00DC278B">
        <w:t>Situación de Pamela Vivanco y su causa contra el Fisco de Chile</w:t>
      </w:r>
      <w:bookmarkEnd w:id="20"/>
    </w:p>
    <w:p w:rsidR="00550FA9" w:rsidRPr="00DC278B" w:rsidRDefault="00550FA9" w:rsidP="00DC278B">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sz w:val="20"/>
          <w:szCs w:val="20"/>
          <w:bdr w:val="none" w:sz="0" w:space="0" w:color="auto"/>
          <w:lang w:val="es-ES_tradnl"/>
        </w:rPr>
      </w:pPr>
    </w:p>
    <w:p w:rsidR="00550FA9" w:rsidRPr="00DC278B" w:rsidRDefault="00550FA9"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r w:rsidRPr="00DC278B">
        <w:rPr>
          <w:rFonts w:ascii="Cambria" w:eastAsia="Times New Roman" w:hAnsi="Cambria"/>
          <w:sz w:val="20"/>
          <w:szCs w:val="20"/>
          <w:lang w:val="es-ES"/>
        </w:rPr>
        <w:t xml:space="preserve">Según el Informe de la Comisión </w:t>
      </w:r>
      <w:proofErr w:type="spellStart"/>
      <w:r w:rsidRPr="00DC278B">
        <w:rPr>
          <w:rFonts w:ascii="Cambria" w:eastAsia="Times New Roman" w:hAnsi="Cambria"/>
          <w:sz w:val="20"/>
          <w:szCs w:val="20"/>
          <w:lang w:val="es-ES"/>
        </w:rPr>
        <w:t>Rettig</w:t>
      </w:r>
      <w:proofErr w:type="spellEnd"/>
      <w:r w:rsidRPr="00DC278B">
        <w:rPr>
          <w:rFonts w:ascii="Cambria" w:eastAsia="Times New Roman" w:hAnsi="Cambria"/>
          <w:sz w:val="20"/>
          <w:szCs w:val="20"/>
          <w:lang w:val="es-ES"/>
        </w:rPr>
        <w:t>, e</w:t>
      </w:r>
      <w:r w:rsidRPr="00DC278B">
        <w:rPr>
          <w:rFonts w:ascii="Cambria" w:eastAsia="Times New Roman" w:hAnsi="Cambria"/>
          <w:sz w:val="20"/>
          <w:szCs w:val="20"/>
          <w:bdr w:val="none" w:sz="0" w:space="0" w:color="auto"/>
          <w:lang w:val="es-ES_tradnl"/>
        </w:rPr>
        <w:t>l 28 de septiembre de 1973, Ramón Vivanco, militante del partido comunista y trabajador de la maestranza San Bernardo de Ferrocarriles, fue detenido con diez personas más en un operativo realizado en ese lugar por militares</w:t>
      </w:r>
      <w:r w:rsidRPr="00DC278B">
        <w:rPr>
          <w:rFonts w:ascii="Cambria" w:eastAsia="Times New Roman" w:hAnsi="Cambria"/>
          <w:sz w:val="20"/>
          <w:szCs w:val="20"/>
          <w:bdr w:val="none" w:sz="0" w:space="0" w:color="auto"/>
          <w:vertAlign w:val="superscript"/>
          <w:lang w:val="es-ES_tradnl"/>
        </w:rPr>
        <w:footnoteReference w:id="80"/>
      </w:r>
      <w:r w:rsidRPr="00DC278B">
        <w:rPr>
          <w:rFonts w:ascii="Cambria" w:eastAsia="Times New Roman" w:hAnsi="Cambria"/>
          <w:sz w:val="20"/>
          <w:szCs w:val="20"/>
          <w:bdr w:val="none" w:sz="0" w:space="0" w:color="auto"/>
          <w:lang w:val="es-ES_tradnl"/>
        </w:rPr>
        <w:t xml:space="preserve">.  Los detenidos fueron ejecutados, el 6 de octubre de 1973 por miembros del Ejército en el centro de detención de Cerro </w:t>
      </w:r>
      <w:proofErr w:type="spellStart"/>
      <w:r w:rsidRPr="00DC278B">
        <w:rPr>
          <w:rFonts w:ascii="Cambria" w:eastAsia="Times New Roman" w:hAnsi="Cambria"/>
          <w:sz w:val="20"/>
          <w:szCs w:val="20"/>
          <w:bdr w:val="none" w:sz="0" w:space="0" w:color="auto"/>
          <w:lang w:val="es-ES_tradnl"/>
        </w:rPr>
        <w:t>Chena</w:t>
      </w:r>
      <w:proofErr w:type="spellEnd"/>
      <w:r w:rsidRPr="00DC278B">
        <w:rPr>
          <w:rFonts w:ascii="Cambria" w:eastAsia="Times New Roman" w:hAnsi="Cambria"/>
          <w:sz w:val="20"/>
          <w:szCs w:val="20"/>
          <w:bdr w:val="none" w:sz="0" w:space="0" w:color="auto"/>
          <w:lang w:val="es-ES_tradnl"/>
        </w:rPr>
        <w:t xml:space="preserve"> y sus cuerpos fueron enviados al Instituto de Medicina Legal</w:t>
      </w:r>
      <w:r w:rsidRPr="00DC278B">
        <w:rPr>
          <w:rFonts w:ascii="Cambria" w:eastAsia="Times New Roman" w:hAnsi="Cambria"/>
          <w:sz w:val="20"/>
          <w:szCs w:val="20"/>
          <w:bdr w:val="none" w:sz="0" w:space="0" w:color="auto"/>
          <w:vertAlign w:val="superscript"/>
          <w:lang w:val="es-ES_tradnl"/>
        </w:rPr>
        <w:footnoteReference w:id="81"/>
      </w:r>
      <w:r w:rsidR="00A44474">
        <w:rPr>
          <w:rFonts w:ascii="Cambria" w:eastAsia="Times New Roman" w:hAnsi="Cambria"/>
          <w:sz w:val="20"/>
          <w:szCs w:val="20"/>
          <w:bdr w:val="none" w:sz="0" w:space="0" w:color="auto"/>
          <w:lang w:val="es-ES_tradnl"/>
        </w:rPr>
        <w:t xml:space="preserve">. </w:t>
      </w:r>
      <w:r w:rsidRPr="00DC278B">
        <w:rPr>
          <w:rFonts w:ascii="Cambria" w:eastAsia="Times New Roman" w:hAnsi="Cambria"/>
          <w:sz w:val="20"/>
          <w:szCs w:val="20"/>
          <w:bdr w:val="none" w:sz="0" w:space="0" w:color="auto"/>
          <w:lang w:val="es-ES_tradnl"/>
        </w:rPr>
        <w:t xml:space="preserve">La Comisión </w:t>
      </w:r>
      <w:proofErr w:type="spellStart"/>
      <w:r w:rsidRPr="00DC278B">
        <w:rPr>
          <w:rFonts w:ascii="Cambria" w:eastAsia="Times New Roman" w:hAnsi="Cambria"/>
          <w:sz w:val="20"/>
          <w:szCs w:val="20"/>
          <w:bdr w:val="none" w:sz="0" w:space="0" w:color="auto"/>
          <w:lang w:val="es-ES_tradnl"/>
        </w:rPr>
        <w:t>Rettig</w:t>
      </w:r>
      <w:proofErr w:type="spellEnd"/>
      <w:r w:rsidRPr="00DC278B">
        <w:rPr>
          <w:rFonts w:ascii="Cambria" w:eastAsia="Times New Roman" w:hAnsi="Cambria"/>
          <w:sz w:val="20"/>
          <w:szCs w:val="20"/>
          <w:bdr w:val="none" w:sz="0" w:space="0" w:color="auto"/>
          <w:lang w:val="es-ES_tradnl"/>
        </w:rPr>
        <w:t xml:space="preserve"> se formó convicción de que la muerte de la víctima constituyó violación de los derechos humanos y que fue ejecutada al margen de todo proceso por agentes del Estado</w:t>
      </w:r>
      <w:r w:rsidRPr="00DC278B">
        <w:rPr>
          <w:rFonts w:ascii="Cambria" w:eastAsia="Times New Roman" w:hAnsi="Cambria"/>
          <w:sz w:val="20"/>
          <w:szCs w:val="20"/>
          <w:bdr w:val="none" w:sz="0" w:space="0" w:color="auto"/>
          <w:vertAlign w:val="superscript"/>
          <w:lang w:val="es-ES_tradnl"/>
        </w:rPr>
        <w:footnoteReference w:id="82"/>
      </w:r>
      <w:r w:rsidRPr="00DC278B">
        <w:rPr>
          <w:rFonts w:ascii="Cambria" w:eastAsia="Times New Roman" w:hAnsi="Cambria"/>
          <w:sz w:val="20"/>
          <w:szCs w:val="20"/>
          <w:bdr w:val="none" w:sz="0" w:space="0" w:color="auto"/>
          <w:lang w:val="es-ES_tradnl"/>
        </w:rPr>
        <w:t>.</w:t>
      </w:r>
    </w:p>
    <w:p w:rsidR="00550FA9" w:rsidRPr="00DC278B" w:rsidRDefault="00550FA9" w:rsidP="00DC278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p>
    <w:p w:rsidR="00550FA9" w:rsidRPr="00DC278B" w:rsidRDefault="00550FA9"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r w:rsidRPr="00DC278B">
        <w:rPr>
          <w:rFonts w:ascii="Cambria" w:eastAsia="Times New Roman" w:hAnsi="Cambria"/>
          <w:sz w:val="20"/>
          <w:szCs w:val="20"/>
          <w:bdr w:val="none" w:sz="0" w:space="0" w:color="auto"/>
          <w:lang w:val="es-ES_tradnl"/>
        </w:rPr>
        <w:t>Mediante la Ley 19.123 de 1992, la hija de la víctima, Pamela Vivanco, recibió una bonificación compensatoria y su pensión rigió desde el 1˚ de julio de 1991 hasta el 31 de diciembre de 1993, fecha límite por edad</w:t>
      </w:r>
      <w:r w:rsidRPr="00DC278B">
        <w:rPr>
          <w:rFonts w:ascii="Cambria" w:eastAsia="Times New Roman" w:hAnsi="Cambria"/>
          <w:sz w:val="20"/>
          <w:szCs w:val="20"/>
          <w:bdr w:val="none" w:sz="0" w:space="0" w:color="auto"/>
          <w:vertAlign w:val="superscript"/>
          <w:lang w:val="es-ES_tradnl"/>
        </w:rPr>
        <w:footnoteReference w:id="83"/>
      </w:r>
      <w:r w:rsidR="00A44474">
        <w:rPr>
          <w:rFonts w:ascii="Cambria" w:eastAsia="Times New Roman" w:hAnsi="Cambria"/>
          <w:sz w:val="20"/>
          <w:szCs w:val="20"/>
          <w:bdr w:val="none" w:sz="0" w:space="0" w:color="auto"/>
          <w:lang w:val="es-ES_tradnl"/>
        </w:rPr>
        <w:t xml:space="preserve">. </w:t>
      </w:r>
    </w:p>
    <w:p w:rsidR="00550FA9" w:rsidRPr="00DC278B" w:rsidRDefault="00550FA9" w:rsidP="00DC278B">
      <w:pPr>
        <w:pStyle w:val="MediumGrid1-Accent21"/>
        <w:rPr>
          <w:rFonts w:eastAsia="Times New Roman"/>
          <w:color w:val="auto"/>
          <w:sz w:val="20"/>
          <w:szCs w:val="20"/>
          <w:bdr w:val="none" w:sz="0" w:space="0" w:color="auto"/>
          <w:lang w:val="es-ES_tradnl"/>
        </w:rPr>
      </w:pPr>
    </w:p>
    <w:p w:rsidR="00550FA9" w:rsidRPr="00DC278B" w:rsidRDefault="00550FA9"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r w:rsidRPr="00DC278B">
        <w:rPr>
          <w:rFonts w:ascii="Cambria" w:eastAsia="Times New Roman" w:hAnsi="Cambria"/>
          <w:sz w:val="20"/>
          <w:szCs w:val="20"/>
          <w:bdr w:val="none" w:sz="0" w:space="0" w:color="auto"/>
          <w:lang w:val="es-ES_tradnl"/>
        </w:rPr>
        <w:t xml:space="preserve">El 30 de agosto de 2000, Pamela Vivanco, interpuso demanda </w:t>
      </w:r>
      <w:r w:rsidR="00D91F0B" w:rsidRPr="00DC278B">
        <w:rPr>
          <w:rFonts w:ascii="Cambria" w:eastAsia="Times New Roman" w:hAnsi="Cambria"/>
          <w:sz w:val="20"/>
          <w:szCs w:val="20"/>
          <w:bdr w:val="none" w:sz="0" w:space="0" w:color="auto"/>
          <w:lang w:val="es-ES_tradnl"/>
        </w:rPr>
        <w:t xml:space="preserve">civil de indemnización de perjuicios </w:t>
      </w:r>
      <w:r w:rsidRPr="00DC278B">
        <w:rPr>
          <w:rFonts w:ascii="Cambria" w:eastAsia="Times New Roman" w:hAnsi="Cambria"/>
          <w:sz w:val="20"/>
          <w:szCs w:val="20"/>
          <w:bdr w:val="none" w:sz="0" w:space="0" w:color="auto"/>
          <w:lang w:val="es-ES_tradnl"/>
        </w:rPr>
        <w:t>contra el Fisco de Chile, ante el 16º Juzgado</w:t>
      </w:r>
      <w:r w:rsidR="00D91F0B" w:rsidRPr="00DC278B">
        <w:rPr>
          <w:rFonts w:ascii="Cambria" w:eastAsia="Times New Roman" w:hAnsi="Cambria"/>
          <w:sz w:val="20"/>
          <w:szCs w:val="20"/>
          <w:bdr w:val="none" w:sz="0" w:space="0" w:color="auto"/>
          <w:lang w:val="es-ES_tradnl"/>
        </w:rPr>
        <w:t xml:space="preserve"> Civil, por el </w:t>
      </w:r>
      <w:r w:rsidRPr="00DC278B">
        <w:rPr>
          <w:rFonts w:ascii="Cambria" w:eastAsia="Times New Roman" w:hAnsi="Cambria"/>
          <w:sz w:val="20"/>
          <w:szCs w:val="20"/>
          <w:bdr w:val="none" w:sz="0" w:space="0" w:color="auto"/>
          <w:lang w:val="es-ES_tradnl"/>
        </w:rPr>
        <w:t>daño moral causado por la muerte de su padre</w:t>
      </w:r>
      <w:r w:rsidRPr="00DC278B">
        <w:rPr>
          <w:rFonts w:ascii="Cambria" w:eastAsia="Times New Roman" w:hAnsi="Cambria"/>
          <w:sz w:val="20"/>
          <w:szCs w:val="20"/>
          <w:bdr w:val="none" w:sz="0" w:space="0" w:color="auto"/>
          <w:vertAlign w:val="superscript"/>
          <w:lang w:val="es-ES_tradnl"/>
        </w:rPr>
        <w:footnoteReference w:id="84"/>
      </w:r>
      <w:r w:rsidR="00A44474">
        <w:rPr>
          <w:rFonts w:ascii="Cambria" w:eastAsia="Times New Roman" w:hAnsi="Cambria"/>
          <w:sz w:val="20"/>
          <w:szCs w:val="20"/>
          <w:bdr w:val="none" w:sz="0" w:space="0" w:color="auto"/>
          <w:lang w:val="es-ES_tradnl"/>
        </w:rPr>
        <w:t xml:space="preserve">. </w:t>
      </w:r>
      <w:r w:rsidRPr="00DC278B">
        <w:rPr>
          <w:rFonts w:ascii="Cambria" w:eastAsia="Times New Roman" w:hAnsi="Cambria"/>
          <w:sz w:val="20"/>
          <w:szCs w:val="20"/>
          <w:bdr w:val="none" w:sz="0" w:space="0" w:color="auto"/>
          <w:lang w:val="es-ES_tradnl"/>
        </w:rPr>
        <w:t xml:space="preserve">El 4 de octubre de 2002, el juzgado negó las pretensiones de la demanda en aplicación del término de </w:t>
      </w:r>
      <w:r w:rsidRPr="00DC278B">
        <w:rPr>
          <w:rFonts w:ascii="Cambria" w:eastAsia="Times New Roman" w:hAnsi="Cambria"/>
          <w:sz w:val="20"/>
          <w:szCs w:val="20"/>
          <w:bdr w:val="none" w:sz="0" w:space="0" w:color="auto"/>
          <w:lang w:val="es-ES_tradnl"/>
        </w:rPr>
        <w:lastRenderedPageBreak/>
        <w:t>prescripción de cinco años de la acción ordinaria previsto en los artículos 2.514</w:t>
      </w:r>
      <w:r w:rsidRPr="00DC278B">
        <w:rPr>
          <w:rFonts w:ascii="Cambria" w:eastAsia="Times New Roman" w:hAnsi="Cambria"/>
          <w:sz w:val="20"/>
          <w:szCs w:val="20"/>
          <w:bdr w:val="none" w:sz="0" w:space="0" w:color="auto"/>
          <w:vertAlign w:val="superscript"/>
          <w:lang w:val="es-ES_tradnl"/>
        </w:rPr>
        <w:footnoteReference w:id="85"/>
      </w:r>
      <w:r w:rsidRPr="00DC278B">
        <w:rPr>
          <w:rFonts w:ascii="Cambria" w:eastAsia="Times New Roman" w:hAnsi="Cambria"/>
          <w:sz w:val="20"/>
          <w:szCs w:val="20"/>
          <w:bdr w:val="none" w:sz="0" w:space="0" w:color="auto"/>
          <w:lang w:val="es-ES_tradnl"/>
        </w:rPr>
        <w:t xml:space="preserve"> y 2.515</w:t>
      </w:r>
      <w:r w:rsidRPr="00DC278B">
        <w:rPr>
          <w:rFonts w:ascii="Cambria" w:eastAsia="Times New Roman" w:hAnsi="Cambria"/>
          <w:sz w:val="20"/>
          <w:szCs w:val="20"/>
          <w:bdr w:val="none" w:sz="0" w:space="0" w:color="auto"/>
          <w:vertAlign w:val="superscript"/>
          <w:lang w:val="es-ES_tradnl"/>
        </w:rPr>
        <w:footnoteReference w:id="86"/>
      </w:r>
      <w:r w:rsidRPr="00DC278B">
        <w:rPr>
          <w:rFonts w:ascii="Cambria" w:eastAsia="Times New Roman" w:hAnsi="Cambria"/>
          <w:sz w:val="20"/>
          <w:szCs w:val="20"/>
          <w:bdr w:val="none" w:sz="0" w:space="0" w:color="auto"/>
          <w:lang w:val="es-ES_tradnl"/>
        </w:rPr>
        <w:t xml:space="preserve"> del Código Civil</w:t>
      </w:r>
      <w:r w:rsidRPr="00DC278B">
        <w:rPr>
          <w:rFonts w:ascii="Cambria" w:eastAsia="Times New Roman" w:hAnsi="Cambria"/>
          <w:sz w:val="20"/>
          <w:szCs w:val="20"/>
          <w:bdr w:val="none" w:sz="0" w:space="0" w:color="auto"/>
          <w:vertAlign w:val="superscript"/>
          <w:lang w:val="es-ES_tradnl"/>
        </w:rPr>
        <w:footnoteReference w:id="87"/>
      </w:r>
      <w:r w:rsidRPr="00DC278B">
        <w:rPr>
          <w:rFonts w:ascii="Cambria" w:eastAsia="Times New Roman" w:hAnsi="Cambria"/>
          <w:sz w:val="20"/>
          <w:szCs w:val="20"/>
          <w:bdr w:val="none" w:sz="0" w:space="0" w:color="auto"/>
          <w:lang w:val="es-ES_tradnl"/>
        </w:rPr>
        <w:t xml:space="preserve">.  El juez consideró que la acción fue interpuesta más de cinco años después de que la acción se hizo exigible, el 4 de marzo de 1991; fecha en la que se publicó el Informe de la Comisión </w:t>
      </w:r>
      <w:proofErr w:type="spellStart"/>
      <w:r w:rsidRPr="00DC278B">
        <w:rPr>
          <w:rFonts w:ascii="Cambria" w:eastAsia="Times New Roman" w:hAnsi="Cambria"/>
          <w:sz w:val="20"/>
          <w:szCs w:val="20"/>
          <w:bdr w:val="none" w:sz="0" w:space="0" w:color="auto"/>
          <w:lang w:val="es-ES_tradnl"/>
        </w:rPr>
        <w:t>Rettig</w:t>
      </w:r>
      <w:proofErr w:type="spellEnd"/>
      <w:r w:rsidRPr="00DC278B">
        <w:rPr>
          <w:rFonts w:ascii="Cambria" w:eastAsia="Times New Roman" w:hAnsi="Cambria"/>
          <w:sz w:val="20"/>
          <w:szCs w:val="20"/>
          <w:bdr w:val="none" w:sz="0" w:space="0" w:color="auto"/>
          <w:vertAlign w:val="superscript"/>
          <w:lang w:val="es-ES_tradnl"/>
        </w:rPr>
        <w:footnoteReference w:id="88"/>
      </w:r>
      <w:r w:rsidRPr="00DC278B">
        <w:rPr>
          <w:rFonts w:ascii="Cambria" w:eastAsia="Times New Roman" w:hAnsi="Cambria"/>
          <w:sz w:val="20"/>
          <w:szCs w:val="20"/>
          <w:bdr w:val="none" w:sz="0" w:space="0" w:color="auto"/>
          <w:lang w:val="es-ES_tradnl"/>
        </w:rPr>
        <w:t>.  El 22 de enero de 2003, Pamela Vivanco, interpuso un recurso de apelación contra dicha sentencia ante la CAS, la cual declaró desierto el recurso, el 6 de mayo de 2003, porque el apelante no compareció</w:t>
      </w:r>
      <w:r w:rsidRPr="00DC278B">
        <w:rPr>
          <w:rFonts w:ascii="Cambria" w:eastAsia="Times New Roman" w:hAnsi="Cambria"/>
          <w:sz w:val="20"/>
          <w:szCs w:val="20"/>
          <w:bdr w:val="none" w:sz="0" w:space="0" w:color="auto"/>
          <w:vertAlign w:val="superscript"/>
          <w:lang w:val="es-ES_tradnl"/>
        </w:rPr>
        <w:footnoteReference w:id="89"/>
      </w:r>
      <w:r w:rsidRPr="00DC278B">
        <w:rPr>
          <w:rFonts w:ascii="Cambria" w:eastAsia="Times New Roman" w:hAnsi="Cambria"/>
          <w:sz w:val="20"/>
          <w:szCs w:val="20"/>
          <w:bdr w:val="none" w:sz="0" w:space="0" w:color="auto"/>
          <w:lang w:val="es-ES_tradnl"/>
        </w:rPr>
        <w:t>.</w:t>
      </w:r>
    </w:p>
    <w:p w:rsidR="00550FA9" w:rsidRPr="00DC278B" w:rsidRDefault="00550FA9" w:rsidP="00DC278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p>
    <w:p w:rsidR="00550FA9" w:rsidRPr="00DC278B" w:rsidRDefault="00550FA9"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r w:rsidRPr="00DC278B">
        <w:rPr>
          <w:rFonts w:ascii="Cambria" w:eastAsia="Times New Roman" w:hAnsi="Cambria"/>
          <w:sz w:val="20"/>
          <w:szCs w:val="20"/>
          <w:bdr w:val="none" w:sz="0" w:space="0" w:color="auto"/>
          <w:lang w:val="es-ES_tradnl"/>
        </w:rPr>
        <w:t>Mediante la Ley 19.980 de 2004, la hija de la víctima percibió un bono de reparación consistente en la diferencia de lo recibido por concepto de pensión y el monto de este bono que tenía el valor de 10.000.000 Pesos chilenos</w:t>
      </w:r>
      <w:r w:rsidRPr="00DC278B">
        <w:rPr>
          <w:rFonts w:ascii="Cambria" w:eastAsia="Times New Roman" w:hAnsi="Cambria"/>
          <w:sz w:val="20"/>
          <w:szCs w:val="20"/>
          <w:bdr w:val="none" w:sz="0" w:space="0" w:color="auto"/>
          <w:vertAlign w:val="superscript"/>
          <w:lang w:val="es-ES_tradnl"/>
        </w:rPr>
        <w:footnoteReference w:id="90"/>
      </w:r>
      <w:r w:rsidRPr="00DC278B">
        <w:rPr>
          <w:rFonts w:ascii="Cambria" w:eastAsia="Times New Roman" w:hAnsi="Cambria"/>
          <w:sz w:val="20"/>
          <w:szCs w:val="20"/>
          <w:bdr w:val="none" w:sz="0" w:space="0" w:color="auto"/>
          <w:lang w:val="es-ES_tradnl"/>
        </w:rPr>
        <w:t>.</w:t>
      </w:r>
    </w:p>
    <w:p w:rsidR="00367BDC" w:rsidRPr="00DC278B" w:rsidRDefault="00367BDC" w:rsidP="00DC278B">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sz w:val="20"/>
          <w:szCs w:val="20"/>
          <w:bdr w:val="none" w:sz="0" w:space="0" w:color="auto"/>
          <w:lang w:val="es-ES_tradnl"/>
        </w:rPr>
      </w:pPr>
    </w:p>
    <w:p w:rsidR="00F45942" w:rsidRPr="00DC278B" w:rsidRDefault="000E7F36" w:rsidP="00DC278B">
      <w:pPr>
        <w:pStyle w:val="Ttulo2"/>
      </w:pPr>
      <w:bookmarkStart w:id="21" w:name="_Toc413397476"/>
      <w:r w:rsidRPr="00DC278B">
        <w:t>F.</w:t>
      </w:r>
      <w:r w:rsidRPr="00DC278B">
        <w:tab/>
      </w:r>
      <w:r w:rsidR="005E63E4" w:rsidRPr="00DC278B">
        <w:t>Situación del g</w:t>
      </w:r>
      <w:r w:rsidR="00E5125E" w:rsidRPr="00DC278B">
        <w:t>r</w:t>
      </w:r>
      <w:r w:rsidR="005E63E4" w:rsidRPr="00DC278B">
        <w:t>upo familiar de Carlos Melo y su causa</w:t>
      </w:r>
      <w:r w:rsidR="00F45942" w:rsidRPr="00DC278B">
        <w:t xml:space="preserve"> con</w:t>
      </w:r>
      <w:r w:rsidR="00CB7019" w:rsidRPr="00DC278B">
        <w:t>tra</w:t>
      </w:r>
      <w:r w:rsidR="00F45942" w:rsidRPr="00DC278B">
        <w:t xml:space="preserve"> </w:t>
      </w:r>
      <w:r w:rsidR="00F640C5" w:rsidRPr="00DC278B">
        <w:t xml:space="preserve">el </w:t>
      </w:r>
      <w:r w:rsidR="00F45942" w:rsidRPr="00DC278B">
        <w:t>Fisco de Chile</w:t>
      </w:r>
      <w:bookmarkEnd w:id="21"/>
    </w:p>
    <w:p w:rsidR="00F45942" w:rsidRPr="00DC278B" w:rsidRDefault="00F45942" w:rsidP="00DC278B">
      <w:pPr>
        <w:autoSpaceDE w:val="0"/>
        <w:autoSpaceDN w:val="0"/>
        <w:adjustRightInd w:val="0"/>
        <w:ind w:firstLine="720"/>
        <w:rPr>
          <w:rFonts w:ascii="Cambria" w:hAnsi="Cambria"/>
          <w:sz w:val="20"/>
          <w:szCs w:val="20"/>
          <w:lang w:val="es-ES"/>
        </w:rPr>
      </w:pPr>
    </w:p>
    <w:p w:rsidR="00F45942" w:rsidRPr="00DC278B" w:rsidRDefault="002F485D"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r w:rsidRPr="00DC278B">
        <w:rPr>
          <w:rFonts w:ascii="Cambria" w:eastAsia="Times New Roman" w:hAnsi="Cambria"/>
          <w:sz w:val="20"/>
          <w:szCs w:val="20"/>
          <w:lang w:val="es-ES"/>
        </w:rPr>
        <w:t xml:space="preserve">Según el Informe de la Comisión </w:t>
      </w:r>
      <w:proofErr w:type="spellStart"/>
      <w:r w:rsidRPr="00DC278B">
        <w:rPr>
          <w:rFonts w:ascii="Cambria" w:eastAsia="Times New Roman" w:hAnsi="Cambria"/>
          <w:sz w:val="20"/>
          <w:szCs w:val="20"/>
          <w:lang w:val="es-ES"/>
        </w:rPr>
        <w:t>Rettig</w:t>
      </w:r>
      <w:proofErr w:type="spellEnd"/>
      <w:r w:rsidRPr="00DC278B">
        <w:rPr>
          <w:rFonts w:ascii="Cambria" w:eastAsia="Times New Roman" w:hAnsi="Cambria"/>
          <w:sz w:val="20"/>
          <w:szCs w:val="20"/>
          <w:lang w:val="es-ES"/>
        </w:rPr>
        <w:t>, e</w:t>
      </w:r>
      <w:r w:rsidR="00F45942" w:rsidRPr="00DC278B">
        <w:rPr>
          <w:rFonts w:ascii="Cambria" w:eastAsia="Times New Roman" w:hAnsi="Cambria"/>
          <w:sz w:val="20"/>
          <w:szCs w:val="20"/>
          <w:bdr w:val="none" w:sz="0" w:space="0" w:color="auto"/>
          <w:lang w:val="es-ES_tradnl"/>
        </w:rPr>
        <w:t xml:space="preserve">l 29 de septiembre de 1973, Mario Ramiro Melo </w:t>
      </w:r>
      <w:proofErr w:type="spellStart"/>
      <w:r w:rsidR="00F45942" w:rsidRPr="00DC278B">
        <w:rPr>
          <w:rFonts w:ascii="Cambria" w:eastAsia="Times New Roman" w:hAnsi="Cambria"/>
          <w:sz w:val="20"/>
          <w:szCs w:val="20"/>
          <w:bdr w:val="none" w:sz="0" w:space="0" w:color="auto"/>
          <w:lang w:val="es-ES_tradnl"/>
        </w:rPr>
        <w:t>Pr</w:t>
      </w:r>
      <w:r w:rsidR="00EC75CD" w:rsidRPr="00DC278B">
        <w:rPr>
          <w:rFonts w:ascii="Cambria" w:eastAsia="Times New Roman" w:hAnsi="Cambria"/>
          <w:sz w:val="20"/>
          <w:szCs w:val="20"/>
          <w:bdr w:val="none" w:sz="0" w:space="0" w:color="auto"/>
          <w:lang w:val="es-ES_tradnl"/>
        </w:rPr>
        <w:t>a</w:t>
      </w:r>
      <w:r w:rsidR="00F45942" w:rsidRPr="00DC278B">
        <w:rPr>
          <w:rFonts w:ascii="Cambria" w:eastAsia="Times New Roman" w:hAnsi="Cambria"/>
          <w:sz w:val="20"/>
          <w:szCs w:val="20"/>
          <w:bdr w:val="none" w:sz="0" w:space="0" w:color="auto"/>
          <w:lang w:val="es-ES_tradnl"/>
        </w:rPr>
        <w:t>denas</w:t>
      </w:r>
      <w:proofErr w:type="spellEnd"/>
      <w:r w:rsidR="00F45942" w:rsidRPr="00DC278B">
        <w:rPr>
          <w:rFonts w:ascii="Cambria" w:eastAsia="Times New Roman" w:hAnsi="Cambria"/>
          <w:sz w:val="20"/>
          <w:szCs w:val="20"/>
          <w:bdr w:val="none" w:sz="0" w:space="0" w:color="auto"/>
          <w:lang w:val="es-ES_tradnl"/>
        </w:rPr>
        <w:t xml:space="preserve">, oficial </w:t>
      </w:r>
      <w:r w:rsidR="00C25480" w:rsidRPr="00DC278B">
        <w:rPr>
          <w:rFonts w:ascii="Cambria" w:eastAsia="Times New Roman" w:hAnsi="Cambria"/>
          <w:sz w:val="20"/>
          <w:szCs w:val="20"/>
          <w:bdr w:val="none" w:sz="0" w:space="0" w:color="auto"/>
          <w:lang w:val="es-ES_tradnl"/>
        </w:rPr>
        <w:t xml:space="preserve">del Ejército </w:t>
      </w:r>
      <w:r w:rsidR="00F45942" w:rsidRPr="00DC278B">
        <w:rPr>
          <w:rFonts w:ascii="Cambria" w:eastAsia="Times New Roman" w:hAnsi="Cambria"/>
          <w:sz w:val="20"/>
          <w:szCs w:val="20"/>
          <w:bdr w:val="none" w:sz="0" w:space="0" w:color="auto"/>
          <w:lang w:val="es-ES_tradnl"/>
        </w:rPr>
        <w:t>en retiro, secretario privado e integrante del Dispositivo de Seguridad del Presidente Salvador Allende</w:t>
      </w:r>
      <w:r w:rsidR="00C25480" w:rsidRPr="00DC278B">
        <w:rPr>
          <w:rFonts w:ascii="Cambria" w:eastAsia="Times New Roman" w:hAnsi="Cambria"/>
          <w:sz w:val="20"/>
          <w:szCs w:val="20"/>
          <w:bdr w:val="none" w:sz="0" w:space="0" w:color="auto"/>
          <w:lang w:val="es-ES_tradnl"/>
        </w:rPr>
        <w:t xml:space="preserve"> y militante socialista</w:t>
      </w:r>
      <w:r w:rsidR="007A17E4" w:rsidRPr="00DC278B">
        <w:rPr>
          <w:rFonts w:ascii="Cambria" w:eastAsia="Times New Roman" w:hAnsi="Cambria"/>
          <w:sz w:val="20"/>
          <w:szCs w:val="20"/>
          <w:bdr w:val="none" w:sz="0" w:space="0" w:color="auto"/>
          <w:lang w:val="es-ES_tradnl"/>
        </w:rPr>
        <w:t>, f</w:t>
      </w:r>
      <w:r w:rsidRPr="00DC278B">
        <w:rPr>
          <w:rFonts w:ascii="Cambria" w:eastAsia="Times New Roman" w:hAnsi="Cambria"/>
          <w:sz w:val="20"/>
          <w:szCs w:val="20"/>
          <w:bdr w:val="none" w:sz="0" w:space="0" w:color="auto"/>
          <w:lang w:val="es-ES_tradnl"/>
        </w:rPr>
        <w:t xml:space="preserve">ue detenido </w:t>
      </w:r>
      <w:r w:rsidR="00F45942" w:rsidRPr="00DC278B">
        <w:rPr>
          <w:rFonts w:ascii="Cambria" w:eastAsia="Times New Roman" w:hAnsi="Cambria"/>
          <w:sz w:val="20"/>
          <w:szCs w:val="20"/>
          <w:bdr w:val="none" w:sz="0" w:space="0" w:color="auto"/>
          <w:lang w:val="es-ES_tradnl"/>
        </w:rPr>
        <w:t xml:space="preserve">por una patrulla de la </w:t>
      </w:r>
      <w:r w:rsidR="007A17E4" w:rsidRPr="00DC278B">
        <w:rPr>
          <w:rFonts w:ascii="Cambria" w:eastAsia="Times New Roman" w:hAnsi="Cambria"/>
          <w:sz w:val="20"/>
          <w:szCs w:val="20"/>
          <w:bdr w:val="none" w:sz="0" w:space="0" w:color="auto"/>
          <w:lang w:val="es-ES_tradnl"/>
        </w:rPr>
        <w:t>Fuerza Aérea Chilena (FACH),</w:t>
      </w:r>
      <w:r w:rsidRPr="00DC278B">
        <w:rPr>
          <w:rFonts w:ascii="Cambria" w:eastAsia="Times New Roman" w:hAnsi="Cambria"/>
          <w:sz w:val="20"/>
          <w:szCs w:val="20"/>
          <w:bdr w:val="none" w:sz="0" w:space="0" w:color="auto"/>
          <w:lang w:val="es-ES_tradnl"/>
        </w:rPr>
        <w:t xml:space="preserve"> </w:t>
      </w:r>
      <w:r w:rsidR="00F45942" w:rsidRPr="00DC278B">
        <w:rPr>
          <w:rFonts w:ascii="Cambria" w:eastAsia="Times New Roman" w:hAnsi="Cambria"/>
          <w:sz w:val="20"/>
          <w:szCs w:val="20"/>
          <w:bdr w:val="none" w:sz="0" w:space="0" w:color="auto"/>
          <w:lang w:val="es-ES_tradnl"/>
        </w:rPr>
        <w:t>tra</w:t>
      </w:r>
      <w:r w:rsidRPr="00DC278B">
        <w:rPr>
          <w:rFonts w:ascii="Cambria" w:eastAsia="Times New Roman" w:hAnsi="Cambria"/>
          <w:sz w:val="20"/>
          <w:szCs w:val="20"/>
          <w:bdr w:val="none" w:sz="0" w:space="0" w:color="auto"/>
          <w:lang w:val="es-ES_tradnl"/>
        </w:rPr>
        <w:t>slada</w:t>
      </w:r>
      <w:r w:rsidR="001C3B7C" w:rsidRPr="00DC278B">
        <w:rPr>
          <w:rFonts w:ascii="Cambria" w:eastAsia="Times New Roman" w:hAnsi="Cambria"/>
          <w:sz w:val="20"/>
          <w:szCs w:val="20"/>
          <w:bdr w:val="none" w:sz="0" w:space="0" w:color="auto"/>
          <w:lang w:val="es-ES_tradnl"/>
        </w:rPr>
        <w:t>d</w:t>
      </w:r>
      <w:r w:rsidRPr="00DC278B">
        <w:rPr>
          <w:rFonts w:ascii="Cambria" w:eastAsia="Times New Roman" w:hAnsi="Cambria"/>
          <w:sz w:val="20"/>
          <w:szCs w:val="20"/>
          <w:bdr w:val="none" w:sz="0" w:space="0" w:color="auto"/>
          <w:lang w:val="es-ES_tradnl"/>
        </w:rPr>
        <w:t>o</w:t>
      </w:r>
      <w:r w:rsidR="00F45942" w:rsidRPr="00DC278B">
        <w:rPr>
          <w:rFonts w:ascii="Cambria" w:eastAsia="Times New Roman" w:hAnsi="Cambria"/>
          <w:sz w:val="20"/>
          <w:szCs w:val="20"/>
          <w:bdr w:val="none" w:sz="0" w:space="0" w:color="auto"/>
          <w:lang w:val="es-ES_tradnl"/>
        </w:rPr>
        <w:t xml:space="preserve"> al Ministerio de Defensa, y fue visto por última vez en el recinto militar de </w:t>
      </w:r>
      <w:proofErr w:type="spellStart"/>
      <w:r w:rsidR="00F45942" w:rsidRPr="00DC278B">
        <w:rPr>
          <w:rFonts w:ascii="Cambria" w:eastAsia="Times New Roman" w:hAnsi="Cambria"/>
          <w:sz w:val="20"/>
          <w:szCs w:val="20"/>
          <w:bdr w:val="none" w:sz="0" w:space="0" w:color="auto"/>
          <w:lang w:val="es-ES_tradnl"/>
        </w:rPr>
        <w:t>Peldehue</w:t>
      </w:r>
      <w:proofErr w:type="spellEnd"/>
      <w:r w:rsidR="00F45942" w:rsidRPr="00DC278B">
        <w:rPr>
          <w:rFonts w:ascii="Cambria" w:eastAsia="Times New Roman" w:hAnsi="Cambria"/>
          <w:sz w:val="20"/>
          <w:szCs w:val="20"/>
          <w:bdr w:val="none" w:sz="0" w:space="0" w:color="auto"/>
          <w:vertAlign w:val="superscript"/>
          <w:lang w:val="es-ES_tradnl"/>
        </w:rPr>
        <w:footnoteReference w:id="91"/>
      </w:r>
      <w:r w:rsidR="00F45942" w:rsidRPr="00DC278B">
        <w:rPr>
          <w:rFonts w:ascii="Cambria" w:eastAsia="Times New Roman" w:hAnsi="Cambria"/>
          <w:sz w:val="20"/>
          <w:szCs w:val="20"/>
          <w:bdr w:val="none" w:sz="0" w:space="0" w:color="auto"/>
          <w:lang w:val="es-ES_tradnl"/>
        </w:rPr>
        <w:t>.</w:t>
      </w:r>
    </w:p>
    <w:p w:rsidR="00F45942" w:rsidRPr="00DC278B" w:rsidRDefault="00F45942" w:rsidP="00DC278B">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sz w:val="20"/>
          <w:szCs w:val="20"/>
          <w:bdr w:val="none" w:sz="0" w:space="0" w:color="auto"/>
          <w:lang w:val="es-ES_tradnl"/>
        </w:rPr>
      </w:pPr>
    </w:p>
    <w:p w:rsidR="00342457" w:rsidRPr="00DC278B" w:rsidRDefault="00342457"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r w:rsidRPr="00DC278B">
        <w:rPr>
          <w:rFonts w:ascii="Cambria" w:eastAsia="Times New Roman" w:hAnsi="Cambria"/>
          <w:sz w:val="20"/>
          <w:szCs w:val="20"/>
          <w:bdr w:val="none" w:sz="0" w:space="0" w:color="auto"/>
          <w:lang w:val="es-ES_tradnl"/>
        </w:rPr>
        <w:t xml:space="preserve">La Comisión </w:t>
      </w:r>
      <w:proofErr w:type="spellStart"/>
      <w:r w:rsidRPr="00DC278B">
        <w:rPr>
          <w:rFonts w:ascii="Cambria" w:eastAsia="Times New Roman" w:hAnsi="Cambria"/>
          <w:sz w:val="20"/>
          <w:szCs w:val="20"/>
          <w:bdr w:val="none" w:sz="0" w:space="0" w:color="auto"/>
          <w:lang w:val="es-ES_tradnl"/>
        </w:rPr>
        <w:t>Rettig</w:t>
      </w:r>
      <w:proofErr w:type="spellEnd"/>
      <w:r w:rsidRPr="00DC278B">
        <w:rPr>
          <w:rFonts w:ascii="Cambria" w:eastAsia="Times New Roman" w:hAnsi="Cambria"/>
          <w:sz w:val="20"/>
          <w:szCs w:val="20"/>
          <w:bdr w:val="none" w:sz="0" w:space="0" w:color="auto"/>
          <w:lang w:val="es-ES_tradnl"/>
        </w:rPr>
        <w:t xml:space="preserve"> se formó “la convicción que el afectado se encuentra desaparecido por responsabilidad de agentes del Estado, con violación de sus derechos humanos, </w:t>
      </w:r>
      <w:r w:rsidRPr="00DC278B">
        <w:rPr>
          <w:rFonts w:ascii="Cambria" w:eastAsia="Times New Roman" w:hAnsi="Cambria"/>
          <w:sz w:val="20"/>
          <w:szCs w:val="20"/>
          <w:bdr w:val="none" w:sz="0" w:space="0" w:color="auto"/>
          <w:lang w:val="es-ES"/>
        </w:rPr>
        <w:t>[…</w:t>
      </w:r>
      <w:proofErr w:type="gramStart"/>
      <w:r w:rsidRPr="00DC278B">
        <w:rPr>
          <w:rFonts w:ascii="Cambria" w:eastAsia="Times New Roman" w:hAnsi="Cambria"/>
          <w:sz w:val="20"/>
          <w:szCs w:val="20"/>
          <w:bdr w:val="none" w:sz="0" w:space="0" w:color="auto"/>
          <w:lang w:val="es-ES"/>
        </w:rPr>
        <w:t>]</w:t>
      </w:r>
      <w:r w:rsidRPr="00DC278B">
        <w:rPr>
          <w:rFonts w:ascii="Cambria" w:eastAsia="Times New Roman" w:hAnsi="Cambria"/>
          <w:sz w:val="20"/>
          <w:szCs w:val="20"/>
          <w:bdr w:val="none" w:sz="0" w:space="0" w:color="auto"/>
          <w:lang w:val="es-ES_tradnl"/>
        </w:rPr>
        <w:t>el</w:t>
      </w:r>
      <w:proofErr w:type="gramEnd"/>
      <w:r w:rsidRPr="00DC278B">
        <w:rPr>
          <w:rFonts w:ascii="Cambria" w:eastAsia="Times New Roman" w:hAnsi="Cambria"/>
          <w:sz w:val="20"/>
          <w:szCs w:val="20"/>
          <w:bdr w:val="none" w:sz="0" w:space="0" w:color="auto"/>
          <w:lang w:val="es-ES_tradnl"/>
        </w:rPr>
        <w:t xml:space="preserve"> que </w:t>
      </w:r>
      <w:r w:rsidR="00341959" w:rsidRPr="00DC278B">
        <w:rPr>
          <w:rFonts w:ascii="Cambria" w:eastAsia="Times New Roman" w:hAnsi="Cambria"/>
          <w:sz w:val="20"/>
          <w:szCs w:val="20"/>
          <w:bdr w:val="none" w:sz="0" w:space="0" w:color="auto"/>
          <w:lang w:val="es-ES_tradnl"/>
        </w:rPr>
        <w:t>desde esa época no haya noticia</w:t>
      </w:r>
      <w:r w:rsidRPr="00DC278B">
        <w:rPr>
          <w:rFonts w:ascii="Cambria" w:eastAsia="Times New Roman" w:hAnsi="Cambria"/>
          <w:sz w:val="20"/>
          <w:szCs w:val="20"/>
          <w:bdr w:val="none" w:sz="0" w:space="0" w:color="auto"/>
          <w:lang w:val="es-ES_tradnl"/>
        </w:rPr>
        <w:t xml:space="preserve"> alguna sobre su paradero y suerte, no existiendo constancia de su defunción ni de actuaciones que den cuenta de su existencia</w:t>
      </w:r>
      <w:r w:rsidRPr="00DC278B">
        <w:rPr>
          <w:rFonts w:ascii="Cambria" w:eastAsia="Times New Roman" w:hAnsi="Cambria"/>
          <w:sz w:val="20"/>
          <w:szCs w:val="20"/>
          <w:bdr w:val="none" w:sz="0" w:space="0" w:color="auto"/>
          <w:lang w:val="es-ES"/>
        </w:rPr>
        <w:t>”</w:t>
      </w:r>
      <w:r w:rsidRPr="00DC278B">
        <w:rPr>
          <w:rFonts w:ascii="Cambria" w:eastAsia="Times New Roman" w:hAnsi="Cambria"/>
          <w:sz w:val="20"/>
          <w:szCs w:val="20"/>
          <w:bdr w:val="none" w:sz="0" w:space="0" w:color="auto"/>
          <w:vertAlign w:val="superscript"/>
          <w:lang w:val="es-ES_tradnl"/>
        </w:rPr>
        <w:footnoteReference w:id="92"/>
      </w:r>
      <w:r w:rsidRPr="00DC278B">
        <w:rPr>
          <w:rFonts w:ascii="Cambria" w:eastAsia="Times New Roman" w:hAnsi="Cambria"/>
          <w:sz w:val="20"/>
          <w:szCs w:val="20"/>
          <w:bdr w:val="none" w:sz="0" w:space="0" w:color="auto"/>
          <w:lang w:val="es-ES_tradnl"/>
        </w:rPr>
        <w:t>.</w:t>
      </w:r>
    </w:p>
    <w:p w:rsidR="00342457" w:rsidRPr="00DC278B" w:rsidRDefault="00342457" w:rsidP="00DC278B">
      <w:pPr>
        <w:pStyle w:val="MediumGrid1-Accent21"/>
        <w:rPr>
          <w:rFonts w:eastAsia="Times New Roman"/>
          <w:color w:val="auto"/>
          <w:sz w:val="20"/>
          <w:szCs w:val="20"/>
          <w:bdr w:val="none" w:sz="0" w:space="0" w:color="auto"/>
          <w:lang w:val="es-ES_tradnl"/>
        </w:rPr>
      </w:pPr>
    </w:p>
    <w:p w:rsidR="00F45942" w:rsidRPr="00DC278B" w:rsidRDefault="00C3552C"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r w:rsidRPr="00DC278B">
        <w:rPr>
          <w:rFonts w:ascii="Cambria" w:eastAsia="Times New Roman" w:hAnsi="Cambria"/>
          <w:sz w:val="20"/>
          <w:szCs w:val="20"/>
          <w:bdr w:val="none" w:sz="0" w:space="0" w:color="auto"/>
          <w:lang w:val="es-ES_tradnl"/>
        </w:rPr>
        <w:t xml:space="preserve">Mediante la Ley 19.123 de 1992, </w:t>
      </w:r>
      <w:r w:rsidR="001B7CF7" w:rsidRPr="00DC278B">
        <w:rPr>
          <w:rFonts w:ascii="Cambria" w:eastAsia="Times New Roman" w:hAnsi="Cambria"/>
          <w:sz w:val="20"/>
          <w:szCs w:val="20"/>
          <w:bdr w:val="none" w:sz="0" w:space="0" w:color="auto"/>
          <w:lang w:val="es-ES_tradnl"/>
        </w:rPr>
        <w:t>María Ili</w:t>
      </w:r>
      <w:r w:rsidR="00EC75CD" w:rsidRPr="00DC278B">
        <w:rPr>
          <w:rFonts w:ascii="Cambria" w:eastAsia="Times New Roman" w:hAnsi="Cambria"/>
          <w:sz w:val="20"/>
          <w:szCs w:val="20"/>
          <w:bdr w:val="none" w:sz="0" w:space="0" w:color="auto"/>
          <w:lang w:val="es-ES_tradnl"/>
        </w:rPr>
        <w:t xml:space="preserve">a </w:t>
      </w:r>
      <w:proofErr w:type="spellStart"/>
      <w:r w:rsidR="00EC75CD" w:rsidRPr="00DC278B">
        <w:rPr>
          <w:rFonts w:ascii="Cambria" w:eastAsia="Times New Roman" w:hAnsi="Cambria"/>
          <w:sz w:val="20"/>
          <w:szCs w:val="20"/>
          <w:bdr w:val="none" w:sz="0" w:space="0" w:color="auto"/>
          <w:lang w:val="es-ES_tradnl"/>
        </w:rPr>
        <w:t>Pra</w:t>
      </w:r>
      <w:r w:rsidR="00F45942" w:rsidRPr="00DC278B">
        <w:rPr>
          <w:rFonts w:ascii="Cambria" w:eastAsia="Times New Roman" w:hAnsi="Cambria"/>
          <w:sz w:val="20"/>
          <w:szCs w:val="20"/>
          <w:bdr w:val="none" w:sz="0" w:space="0" w:color="auto"/>
          <w:lang w:val="es-ES_tradnl"/>
        </w:rPr>
        <w:t>denas</w:t>
      </w:r>
      <w:proofErr w:type="spellEnd"/>
      <w:r w:rsidR="00F45942" w:rsidRPr="00DC278B">
        <w:rPr>
          <w:rFonts w:ascii="Cambria" w:eastAsia="Times New Roman" w:hAnsi="Cambria"/>
          <w:sz w:val="20"/>
          <w:szCs w:val="20"/>
          <w:bdr w:val="none" w:sz="0" w:space="0" w:color="auto"/>
          <w:lang w:val="es-ES_tradnl"/>
        </w:rPr>
        <w:t xml:space="preserve"> Pérez, </w:t>
      </w:r>
      <w:r w:rsidR="00436FF4" w:rsidRPr="00DC278B">
        <w:rPr>
          <w:rFonts w:ascii="Cambria" w:eastAsia="Times New Roman" w:hAnsi="Cambria"/>
          <w:sz w:val="20"/>
          <w:szCs w:val="20"/>
          <w:bdr w:val="none" w:sz="0" w:space="0" w:color="auto"/>
          <w:lang w:val="es-ES_tradnl"/>
        </w:rPr>
        <w:t>recibió una bonificación compensatoria, ascendiente al 40%</w:t>
      </w:r>
      <w:r w:rsidR="00241871" w:rsidRPr="00DC278B">
        <w:rPr>
          <w:rFonts w:ascii="Cambria" w:eastAsia="Times New Roman" w:hAnsi="Cambria"/>
          <w:sz w:val="20"/>
          <w:szCs w:val="20"/>
          <w:bdr w:val="none" w:sz="0" w:space="0" w:color="auto"/>
          <w:lang w:val="es-ES_tradnl"/>
        </w:rPr>
        <w:t xml:space="preserve"> de </w:t>
      </w:r>
      <w:r w:rsidR="002A6D6E" w:rsidRPr="00DC278B">
        <w:rPr>
          <w:rFonts w:ascii="Cambria" w:eastAsia="Times New Roman" w:hAnsi="Cambria"/>
          <w:sz w:val="20"/>
          <w:szCs w:val="20"/>
          <w:bdr w:val="none" w:sz="0" w:space="0" w:color="auto"/>
          <w:lang w:val="es-ES_tradnl"/>
        </w:rPr>
        <w:t>(50</w:t>
      </w:r>
      <w:r w:rsidR="00EC5871" w:rsidRPr="00DC278B">
        <w:rPr>
          <w:rFonts w:ascii="Cambria" w:eastAsia="Times New Roman" w:hAnsi="Cambria"/>
          <w:sz w:val="20"/>
          <w:szCs w:val="20"/>
          <w:bdr w:val="none" w:sz="0" w:space="0" w:color="auto"/>
          <w:lang w:val="es-ES_tradnl"/>
        </w:rPr>
        <w:t xml:space="preserve">4.943 Pesos chilenos) </w:t>
      </w:r>
      <w:r w:rsidR="00241871" w:rsidRPr="00DC278B">
        <w:rPr>
          <w:rFonts w:ascii="Cambria" w:eastAsia="Times New Roman" w:hAnsi="Cambria"/>
          <w:sz w:val="20"/>
          <w:szCs w:val="20"/>
          <w:bdr w:val="none" w:sz="0" w:space="0" w:color="auto"/>
          <w:lang w:val="es-ES_tradnl"/>
        </w:rPr>
        <w:t>la pensión</w:t>
      </w:r>
      <w:r w:rsidR="00436FF4" w:rsidRPr="00DC278B">
        <w:rPr>
          <w:rFonts w:ascii="Cambria" w:eastAsia="Times New Roman" w:hAnsi="Cambria"/>
          <w:sz w:val="20"/>
          <w:szCs w:val="20"/>
          <w:bdr w:val="none" w:sz="0" w:space="0" w:color="auto"/>
          <w:lang w:val="es-ES_tradnl"/>
        </w:rPr>
        <w:t xml:space="preserve"> mensual c</w:t>
      </w:r>
      <w:r w:rsidR="00241871" w:rsidRPr="00DC278B">
        <w:rPr>
          <w:rFonts w:ascii="Cambria" w:eastAsia="Times New Roman" w:hAnsi="Cambria"/>
          <w:sz w:val="20"/>
          <w:szCs w:val="20"/>
          <w:bdr w:val="none" w:sz="0" w:space="0" w:color="auto"/>
          <w:lang w:val="es-ES_tradnl"/>
        </w:rPr>
        <w:t>uando hay más de</w:t>
      </w:r>
      <w:r w:rsidR="00436FF4" w:rsidRPr="00DC278B">
        <w:rPr>
          <w:rFonts w:ascii="Cambria" w:eastAsia="Times New Roman" w:hAnsi="Cambria"/>
          <w:sz w:val="20"/>
          <w:szCs w:val="20"/>
          <w:bdr w:val="none" w:sz="0" w:space="0" w:color="auto"/>
          <w:lang w:val="es-ES_tradnl"/>
        </w:rPr>
        <w:t xml:space="preserve"> un</w:t>
      </w:r>
      <w:r w:rsidR="00EC5871" w:rsidRPr="00DC278B">
        <w:rPr>
          <w:rFonts w:ascii="Cambria" w:eastAsia="Times New Roman" w:hAnsi="Cambria"/>
          <w:sz w:val="20"/>
          <w:szCs w:val="20"/>
          <w:bdr w:val="none" w:sz="0" w:space="0" w:color="auto"/>
          <w:lang w:val="es-ES_tradnl"/>
        </w:rPr>
        <w:t xml:space="preserve"> beneficiario</w:t>
      </w:r>
      <w:r w:rsidR="00EC5871" w:rsidRPr="00DC278B">
        <w:rPr>
          <w:rFonts w:ascii="Cambria" w:eastAsia="Times New Roman" w:hAnsi="Cambria"/>
          <w:sz w:val="20"/>
          <w:szCs w:val="20"/>
          <w:bdr w:val="none" w:sz="0" w:space="0" w:color="auto"/>
          <w:vertAlign w:val="superscript"/>
          <w:lang w:val="es-ES_tradnl"/>
        </w:rPr>
        <w:footnoteReference w:id="93"/>
      </w:r>
      <w:r w:rsidR="00EC5871" w:rsidRPr="00DC278B">
        <w:rPr>
          <w:rFonts w:ascii="Cambria" w:eastAsia="Times New Roman" w:hAnsi="Cambria"/>
          <w:sz w:val="20"/>
          <w:szCs w:val="20"/>
          <w:bdr w:val="none" w:sz="0" w:space="0" w:color="auto"/>
          <w:lang w:val="es-ES_tradnl"/>
        </w:rPr>
        <w:t>.</w:t>
      </w:r>
      <w:r w:rsidRPr="00DC278B">
        <w:rPr>
          <w:rFonts w:ascii="Cambria" w:eastAsia="Times New Roman" w:hAnsi="Cambria"/>
          <w:sz w:val="20"/>
          <w:szCs w:val="20"/>
          <w:bdr w:val="none" w:sz="0" w:space="0" w:color="auto"/>
          <w:lang w:val="es-ES_tradnl"/>
        </w:rPr>
        <w:t xml:space="preserve"> </w:t>
      </w:r>
      <w:r w:rsidR="00EC5871" w:rsidRPr="00DC278B">
        <w:rPr>
          <w:rFonts w:ascii="Cambria" w:eastAsia="Times New Roman" w:hAnsi="Cambria"/>
          <w:sz w:val="20"/>
          <w:szCs w:val="20"/>
          <w:bdr w:val="none" w:sz="0" w:space="0" w:color="auto"/>
          <w:lang w:val="es-ES_tradnl"/>
        </w:rPr>
        <w:t xml:space="preserve"> S</w:t>
      </w:r>
      <w:r w:rsidR="001B7CF7" w:rsidRPr="00DC278B">
        <w:rPr>
          <w:rFonts w:ascii="Cambria" w:eastAsia="Times New Roman" w:hAnsi="Cambria"/>
          <w:sz w:val="20"/>
          <w:szCs w:val="20"/>
          <w:bdr w:val="none" w:sz="0" w:space="0" w:color="auto"/>
          <w:lang w:val="es-ES_tradnl"/>
        </w:rPr>
        <w:t>u pensión</w:t>
      </w:r>
      <w:r w:rsidR="00015CF2" w:rsidRPr="00DC278B">
        <w:rPr>
          <w:rFonts w:ascii="Cambria" w:eastAsia="Times New Roman" w:hAnsi="Cambria"/>
          <w:sz w:val="20"/>
          <w:szCs w:val="20"/>
          <w:bdr w:val="none" w:sz="0" w:space="0" w:color="auto"/>
          <w:lang w:val="es-ES_tradnl"/>
        </w:rPr>
        <w:t xml:space="preserve"> rigió </w:t>
      </w:r>
      <w:r w:rsidRPr="00DC278B">
        <w:rPr>
          <w:rFonts w:ascii="Cambria" w:eastAsia="Times New Roman" w:hAnsi="Cambria"/>
          <w:sz w:val="20"/>
          <w:szCs w:val="20"/>
          <w:bdr w:val="none" w:sz="0" w:space="0" w:color="auto"/>
          <w:lang w:val="es-ES_tradnl"/>
        </w:rPr>
        <w:t>desde el 1˚ de julio de 1991, hasta su muerte el 29 mayo de 2006</w:t>
      </w:r>
      <w:r w:rsidR="0014020B" w:rsidRPr="00DC278B">
        <w:rPr>
          <w:rFonts w:ascii="Cambria" w:eastAsia="Times New Roman" w:hAnsi="Cambria"/>
          <w:sz w:val="20"/>
          <w:szCs w:val="20"/>
          <w:bdr w:val="none" w:sz="0" w:space="0" w:color="auto"/>
          <w:vertAlign w:val="superscript"/>
          <w:lang w:val="es-ES_tradnl"/>
        </w:rPr>
        <w:footnoteReference w:id="94"/>
      </w:r>
      <w:r w:rsidRPr="00DC278B">
        <w:rPr>
          <w:rFonts w:ascii="Cambria" w:eastAsia="Times New Roman" w:hAnsi="Cambria"/>
          <w:sz w:val="20"/>
          <w:szCs w:val="20"/>
          <w:bdr w:val="none" w:sz="0" w:space="0" w:color="auto"/>
          <w:lang w:val="es-ES_tradnl"/>
        </w:rPr>
        <w:t xml:space="preserve">.  </w:t>
      </w:r>
    </w:p>
    <w:p w:rsidR="00574E64" w:rsidRPr="00DC278B" w:rsidRDefault="00574E64" w:rsidP="00DC278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p>
    <w:p w:rsidR="00F45942" w:rsidRPr="00DC278B" w:rsidRDefault="00F45942"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r w:rsidRPr="00DC278B">
        <w:rPr>
          <w:rFonts w:ascii="Cambria" w:eastAsia="Times New Roman" w:hAnsi="Cambria"/>
          <w:sz w:val="20"/>
          <w:szCs w:val="20"/>
          <w:bdr w:val="none" w:sz="0" w:space="0" w:color="auto"/>
          <w:lang w:val="es-ES_tradnl"/>
        </w:rPr>
        <w:t xml:space="preserve">El </w:t>
      </w:r>
      <w:r w:rsidR="001C3B7C" w:rsidRPr="00DC278B">
        <w:rPr>
          <w:rFonts w:ascii="Cambria" w:eastAsia="Times New Roman" w:hAnsi="Cambria"/>
          <w:sz w:val="20"/>
          <w:szCs w:val="20"/>
          <w:bdr w:val="none" w:sz="0" w:space="0" w:color="auto"/>
          <w:lang w:val="es-ES_tradnl"/>
        </w:rPr>
        <w:t>17 de a</w:t>
      </w:r>
      <w:r w:rsidRPr="00DC278B">
        <w:rPr>
          <w:rFonts w:ascii="Cambria" w:eastAsia="Times New Roman" w:hAnsi="Cambria"/>
          <w:sz w:val="20"/>
          <w:szCs w:val="20"/>
          <w:bdr w:val="none" w:sz="0" w:space="0" w:color="auto"/>
          <w:lang w:val="es-ES_tradnl"/>
        </w:rPr>
        <w:t xml:space="preserve">gosto de 2001, </w:t>
      </w:r>
      <w:r w:rsidR="00137DCE" w:rsidRPr="00DC278B">
        <w:rPr>
          <w:rFonts w:ascii="Cambria" w:eastAsia="Times New Roman" w:hAnsi="Cambria"/>
          <w:sz w:val="20"/>
          <w:szCs w:val="20"/>
          <w:bdr w:val="none" w:sz="0" w:space="0" w:color="auto"/>
          <w:lang w:val="es-ES_tradnl"/>
        </w:rPr>
        <w:t>Carlos</w:t>
      </w:r>
      <w:r w:rsidR="00EC75CD" w:rsidRPr="00DC278B">
        <w:rPr>
          <w:rFonts w:ascii="Cambria" w:eastAsia="Times New Roman" w:hAnsi="Cambria"/>
          <w:sz w:val="20"/>
          <w:szCs w:val="20"/>
          <w:bdr w:val="none" w:sz="0" w:space="0" w:color="auto"/>
          <w:lang w:val="es-ES_tradnl"/>
        </w:rPr>
        <w:t xml:space="preserve"> Melo </w:t>
      </w:r>
      <w:proofErr w:type="spellStart"/>
      <w:r w:rsidR="00EC75CD" w:rsidRPr="00DC278B">
        <w:rPr>
          <w:rFonts w:ascii="Cambria" w:eastAsia="Times New Roman" w:hAnsi="Cambria"/>
          <w:sz w:val="20"/>
          <w:szCs w:val="20"/>
          <w:bdr w:val="none" w:sz="0" w:space="0" w:color="auto"/>
          <w:lang w:val="es-ES_tradnl"/>
        </w:rPr>
        <w:t>Pra</w:t>
      </w:r>
      <w:r w:rsidR="00137DCE" w:rsidRPr="00DC278B">
        <w:rPr>
          <w:rFonts w:ascii="Cambria" w:eastAsia="Times New Roman" w:hAnsi="Cambria"/>
          <w:sz w:val="20"/>
          <w:szCs w:val="20"/>
          <w:bdr w:val="none" w:sz="0" w:space="0" w:color="auto"/>
          <w:lang w:val="es-ES_tradnl"/>
        </w:rPr>
        <w:t>denas</w:t>
      </w:r>
      <w:proofErr w:type="spellEnd"/>
      <w:r w:rsidR="00137DCE" w:rsidRPr="00DC278B">
        <w:rPr>
          <w:rFonts w:ascii="Cambria" w:eastAsia="Times New Roman" w:hAnsi="Cambria"/>
          <w:sz w:val="20"/>
          <w:szCs w:val="20"/>
          <w:bdr w:val="none" w:sz="0" w:space="0" w:color="auto"/>
          <w:lang w:val="es-ES_tradnl"/>
        </w:rPr>
        <w:t xml:space="preserve">, </w:t>
      </w:r>
      <w:r w:rsidRPr="00DC278B">
        <w:rPr>
          <w:rFonts w:ascii="Cambria" w:eastAsia="Times New Roman" w:hAnsi="Cambria"/>
          <w:sz w:val="20"/>
          <w:szCs w:val="20"/>
          <w:bdr w:val="none" w:sz="0" w:space="0" w:color="auto"/>
          <w:lang w:val="es-ES_tradnl"/>
        </w:rPr>
        <w:t xml:space="preserve">Mario Melo Acuña, María Ilia </w:t>
      </w:r>
      <w:proofErr w:type="spellStart"/>
      <w:r w:rsidRPr="00DC278B">
        <w:rPr>
          <w:rFonts w:ascii="Cambria" w:eastAsia="Times New Roman" w:hAnsi="Cambria"/>
          <w:sz w:val="20"/>
          <w:szCs w:val="20"/>
          <w:bdr w:val="none" w:sz="0" w:space="0" w:color="auto"/>
          <w:lang w:val="es-ES_tradnl"/>
        </w:rPr>
        <w:t>Pr</w:t>
      </w:r>
      <w:r w:rsidR="00EC75CD" w:rsidRPr="00DC278B">
        <w:rPr>
          <w:rFonts w:ascii="Cambria" w:eastAsia="Times New Roman" w:hAnsi="Cambria"/>
          <w:sz w:val="20"/>
          <w:szCs w:val="20"/>
          <w:bdr w:val="none" w:sz="0" w:space="0" w:color="auto"/>
          <w:lang w:val="es-ES_tradnl"/>
        </w:rPr>
        <w:t>a</w:t>
      </w:r>
      <w:r w:rsidR="00137DCE" w:rsidRPr="00DC278B">
        <w:rPr>
          <w:rFonts w:ascii="Cambria" w:eastAsia="Times New Roman" w:hAnsi="Cambria"/>
          <w:sz w:val="20"/>
          <w:szCs w:val="20"/>
          <w:bdr w:val="none" w:sz="0" w:space="0" w:color="auto"/>
          <w:lang w:val="es-ES_tradnl"/>
        </w:rPr>
        <w:t>denas</w:t>
      </w:r>
      <w:proofErr w:type="spellEnd"/>
      <w:r w:rsidR="00137DCE" w:rsidRPr="00DC278B">
        <w:rPr>
          <w:rFonts w:ascii="Cambria" w:eastAsia="Times New Roman" w:hAnsi="Cambria"/>
          <w:sz w:val="20"/>
          <w:szCs w:val="20"/>
          <w:bdr w:val="none" w:sz="0" w:space="0" w:color="auto"/>
          <w:lang w:val="es-ES_tradnl"/>
        </w:rPr>
        <w:t xml:space="preserve">, </w:t>
      </w:r>
      <w:r w:rsidRPr="00DC278B">
        <w:rPr>
          <w:rFonts w:ascii="Cambria" w:eastAsia="Times New Roman" w:hAnsi="Cambria"/>
          <w:sz w:val="20"/>
          <w:szCs w:val="20"/>
          <w:bdr w:val="none" w:sz="0" w:space="0" w:color="auto"/>
          <w:lang w:val="es-ES_tradnl"/>
        </w:rPr>
        <w:t xml:space="preserve">hermano </w:t>
      </w:r>
      <w:r w:rsidR="00137DCE" w:rsidRPr="00DC278B">
        <w:rPr>
          <w:rFonts w:ascii="Cambria" w:eastAsia="Times New Roman" w:hAnsi="Cambria"/>
          <w:sz w:val="20"/>
          <w:szCs w:val="20"/>
          <w:bdr w:val="none" w:sz="0" w:space="0" w:color="auto"/>
          <w:lang w:val="es-ES_tradnl"/>
        </w:rPr>
        <w:t>y pa</w:t>
      </w:r>
      <w:r w:rsidR="00015CF2" w:rsidRPr="00DC278B">
        <w:rPr>
          <w:rFonts w:ascii="Cambria" w:eastAsia="Times New Roman" w:hAnsi="Cambria"/>
          <w:sz w:val="20"/>
          <w:szCs w:val="20"/>
          <w:bdr w:val="none" w:sz="0" w:space="0" w:color="auto"/>
          <w:lang w:val="es-ES_tradnl"/>
        </w:rPr>
        <w:t>d</w:t>
      </w:r>
      <w:r w:rsidR="00137DCE" w:rsidRPr="00DC278B">
        <w:rPr>
          <w:rFonts w:ascii="Cambria" w:eastAsia="Times New Roman" w:hAnsi="Cambria"/>
          <w:sz w:val="20"/>
          <w:szCs w:val="20"/>
          <w:bdr w:val="none" w:sz="0" w:space="0" w:color="auto"/>
          <w:lang w:val="es-ES_tradnl"/>
        </w:rPr>
        <w:t xml:space="preserve">res </w:t>
      </w:r>
      <w:r w:rsidR="001C3B7C" w:rsidRPr="00DC278B">
        <w:rPr>
          <w:rFonts w:ascii="Cambria" w:eastAsia="Times New Roman" w:hAnsi="Cambria"/>
          <w:sz w:val="20"/>
          <w:szCs w:val="20"/>
          <w:bdr w:val="none" w:sz="0" w:space="0" w:color="auto"/>
          <w:lang w:val="es-ES_tradnl"/>
        </w:rPr>
        <w:t>de la víctima</w:t>
      </w:r>
      <w:r w:rsidR="004254C0" w:rsidRPr="00DC278B">
        <w:rPr>
          <w:rFonts w:ascii="Cambria" w:eastAsia="Times New Roman" w:hAnsi="Cambria"/>
          <w:sz w:val="20"/>
          <w:szCs w:val="20"/>
          <w:bdr w:val="none" w:sz="0" w:space="0" w:color="auto"/>
          <w:lang w:val="es-ES_tradnl"/>
        </w:rPr>
        <w:t>,</w:t>
      </w:r>
      <w:r w:rsidR="001C3B7C" w:rsidRPr="00DC278B">
        <w:rPr>
          <w:rFonts w:ascii="Cambria" w:eastAsia="Times New Roman" w:hAnsi="Cambria"/>
          <w:sz w:val="20"/>
          <w:szCs w:val="20"/>
          <w:bdr w:val="none" w:sz="0" w:space="0" w:color="auto"/>
          <w:lang w:val="es-ES_tradnl"/>
        </w:rPr>
        <w:t xml:space="preserve"> </w:t>
      </w:r>
      <w:r w:rsidRPr="00DC278B">
        <w:rPr>
          <w:rFonts w:ascii="Cambria" w:eastAsia="Times New Roman" w:hAnsi="Cambria"/>
          <w:sz w:val="20"/>
          <w:szCs w:val="20"/>
          <w:bdr w:val="none" w:sz="0" w:space="0" w:color="auto"/>
          <w:lang w:val="es-ES_tradnl"/>
        </w:rPr>
        <w:t xml:space="preserve">interpusieron una acción </w:t>
      </w:r>
      <w:r w:rsidR="001C3B7C" w:rsidRPr="00DC278B">
        <w:rPr>
          <w:rFonts w:ascii="Cambria" w:eastAsia="Times New Roman" w:hAnsi="Cambria"/>
          <w:sz w:val="20"/>
          <w:szCs w:val="20"/>
          <w:bdr w:val="none" w:sz="0" w:space="0" w:color="auto"/>
          <w:lang w:val="es-ES_tradnl"/>
        </w:rPr>
        <w:t xml:space="preserve">civil </w:t>
      </w:r>
      <w:r w:rsidR="00D91F0B" w:rsidRPr="00DC278B">
        <w:rPr>
          <w:rFonts w:ascii="Cambria" w:eastAsia="Times New Roman" w:hAnsi="Cambria"/>
          <w:sz w:val="20"/>
          <w:szCs w:val="20"/>
          <w:bdr w:val="none" w:sz="0" w:space="0" w:color="auto"/>
          <w:lang w:val="es-ES_tradnl"/>
        </w:rPr>
        <w:t xml:space="preserve">por indemnización de perjuicios </w:t>
      </w:r>
      <w:r w:rsidRPr="00DC278B">
        <w:rPr>
          <w:rFonts w:ascii="Cambria" w:eastAsia="Times New Roman" w:hAnsi="Cambria"/>
          <w:sz w:val="20"/>
          <w:szCs w:val="20"/>
          <w:bdr w:val="none" w:sz="0" w:space="0" w:color="auto"/>
          <w:lang w:val="es-ES_tradnl"/>
        </w:rPr>
        <w:t xml:space="preserve">ante el </w:t>
      </w:r>
      <w:r w:rsidR="001C3B7C" w:rsidRPr="00DC278B">
        <w:rPr>
          <w:rFonts w:ascii="Cambria" w:eastAsia="Times New Roman" w:hAnsi="Cambria"/>
          <w:sz w:val="20"/>
          <w:szCs w:val="20"/>
          <w:bdr w:val="none" w:sz="0" w:space="0" w:color="auto"/>
          <w:lang w:val="es-ES_tradnl"/>
        </w:rPr>
        <w:t xml:space="preserve">8º </w:t>
      </w:r>
      <w:r w:rsidRPr="00DC278B">
        <w:rPr>
          <w:rFonts w:ascii="Cambria" w:eastAsia="Times New Roman" w:hAnsi="Cambria"/>
          <w:sz w:val="20"/>
          <w:szCs w:val="20"/>
          <w:bdr w:val="none" w:sz="0" w:space="0" w:color="auto"/>
          <w:lang w:val="es-ES_tradnl"/>
        </w:rPr>
        <w:t xml:space="preserve">Juzgado </w:t>
      </w:r>
      <w:r w:rsidR="00F62D1E" w:rsidRPr="00DC278B">
        <w:rPr>
          <w:rFonts w:ascii="Cambria" w:eastAsia="Times New Roman" w:hAnsi="Cambria"/>
          <w:sz w:val="20"/>
          <w:szCs w:val="20"/>
          <w:bdr w:val="none" w:sz="0" w:space="0" w:color="auto"/>
          <w:lang w:val="es-ES_tradnl"/>
        </w:rPr>
        <w:t>Civil</w:t>
      </w:r>
      <w:r w:rsidRPr="00DC278B">
        <w:rPr>
          <w:rFonts w:ascii="Cambria" w:eastAsia="Times New Roman" w:hAnsi="Cambria"/>
          <w:sz w:val="20"/>
          <w:szCs w:val="20"/>
          <w:bdr w:val="none" w:sz="0" w:space="0" w:color="auto"/>
          <w:lang w:val="es-ES_tradnl"/>
        </w:rPr>
        <w:t xml:space="preserve"> contra el Estado por </w:t>
      </w:r>
      <w:r w:rsidR="00D91F0B" w:rsidRPr="00DC278B">
        <w:rPr>
          <w:rFonts w:ascii="Cambria" w:eastAsia="Times New Roman" w:hAnsi="Cambria"/>
          <w:sz w:val="20"/>
          <w:szCs w:val="20"/>
          <w:bdr w:val="none" w:sz="0" w:space="0" w:color="auto"/>
          <w:lang w:val="es-ES_tradnl"/>
        </w:rPr>
        <w:t xml:space="preserve">el </w:t>
      </w:r>
      <w:r w:rsidRPr="00DC278B">
        <w:rPr>
          <w:rFonts w:ascii="Cambria" w:eastAsia="Times New Roman" w:hAnsi="Cambria"/>
          <w:sz w:val="20"/>
          <w:szCs w:val="20"/>
          <w:bdr w:val="none" w:sz="0" w:space="0" w:color="auto"/>
          <w:lang w:val="es-ES_tradnl"/>
        </w:rPr>
        <w:t>daño moral</w:t>
      </w:r>
      <w:r w:rsidRPr="00DC278B">
        <w:rPr>
          <w:rFonts w:ascii="Cambria" w:eastAsia="Times New Roman" w:hAnsi="Cambria"/>
          <w:sz w:val="20"/>
          <w:szCs w:val="20"/>
          <w:bdr w:val="none" w:sz="0" w:space="0" w:color="auto"/>
          <w:vertAlign w:val="superscript"/>
          <w:lang w:val="es-ES_tradnl"/>
        </w:rPr>
        <w:footnoteReference w:id="95"/>
      </w:r>
      <w:r w:rsidRPr="00DC278B">
        <w:rPr>
          <w:rFonts w:ascii="Cambria" w:eastAsia="Times New Roman" w:hAnsi="Cambria"/>
          <w:sz w:val="20"/>
          <w:szCs w:val="20"/>
          <w:bdr w:val="none" w:sz="0" w:space="0" w:color="auto"/>
          <w:lang w:val="es-ES_tradnl"/>
        </w:rPr>
        <w:t xml:space="preserve">. </w:t>
      </w:r>
      <w:r w:rsidR="006A5279" w:rsidRPr="00DC278B">
        <w:rPr>
          <w:rFonts w:ascii="Cambria" w:eastAsia="Times New Roman" w:hAnsi="Cambria"/>
          <w:sz w:val="20"/>
          <w:szCs w:val="20"/>
          <w:bdr w:val="none" w:sz="0" w:space="0" w:color="auto"/>
          <w:lang w:val="es-ES_tradnl"/>
        </w:rPr>
        <w:t xml:space="preserve"> </w:t>
      </w:r>
      <w:r w:rsidRPr="00DC278B">
        <w:rPr>
          <w:rFonts w:ascii="Cambria" w:eastAsia="Times New Roman" w:hAnsi="Cambria"/>
          <w:sz w:val="20"/>
          <w:szCs w:val="20"/>
          <w:bdr w:val="none" w:sz="0" w:space="0" w:color="auto"/>
          <w:lang w:val="es-ES_tradnl"/>
        </w:rPr>
        <w:t>El 27 de septiembre de 2002, el juzgado decidió d</w:t>
      </w:r>
      <w:r w:rsidR="001C3B7C" w:rsidRPr="00DC278B">
        <w:rPr>
          <w:rFonts w:ascii="Cambria" w:eastAsia="Times New Roman" w:hAnsi="Cambria"/>
          <w:sz w:val="20"/>
          <w:szCs w:val="20"/>
          <w:bdr w:val="none" w:sz="0" w:space="0" w:color="auto"/>
          <w:lang w:val="es-ES_tradnl"/>
        </w:rPr>
        <w:t>enegar la acción por considerar</w:t>
      </w:r>
      <w:r w:rsidRPr="00DC278B">
        <w:rPr>
          <w:rFonts w:ascii="Cambria" w:eastAsia="Times New Roman" w:hAnsi="Cambria"/>
          <w:sz w:val="20"/>
          <w:szCs w:val="20"/>
          <w:bdr w:val="none" w:sz="0" w:space="0" w:color="auto"/>
          <w:lang w:val="es-ES_tradnl"/>
        </w:rPr>
        <w:t xml:space="preserve"> que no se probaron los hechos alegados y que la acción estaba prescrita</w:t>
      </w:r>
      <w:r w:rsidRPr="00DC278B">
        <w:rPr>
          <w:rFonts w:ascii="Cambria" w:eastAsia="Times New Roman" w:hAnsi="Cambria"/>
          <w:sz w:val="20"/>
          <w:szCs w:val="20"/>
          <w:bdr w:val="none" w:sz="0" w:space="0" w:color="auto"/>
          <w:vertAlign w:val="superscript"/>
          <w:lang w:val="es-ES_tradnl"/>
        </w:rPr>
        <w:footnoteReference w:id="96"/>
      </w:r>
      <w:r w:rsidRPr="00DC278B">
        <w:rPr>
          <w:rFonts w:ascii="Cambria" w:eastAsia="Times New Roman" w:hAnsi="Cambria"/>
          <w:sz w:val="20"/>
          <w:szCs w:val="20"/>
          <w:bdr w:val="none" w:sz="0" w:space="0" w:color="auto"/>
          <w:lang w:val="es-ES_tradnl"/>
        </w:rPr>
        <w:t xml:space="preserve">. </w:t>
      </w:r>
      <w:r w:rsidR="008D4C94" w:rsidRPr="00DC278B">
        <w:rPr>
          <w:rFonts w:ascii="Cambria" w:eastAsia="Times New Roman" w:hAnsi="Cambria"/>
          <w:sz w:val="20"/>
          <w:szCs w:val="20"/>
          <w:bdr w:val="none" w:sz="0" w:space="0" w:color="auto"/>
          <w:lang w:val="es-ES_tradnl"/>
        </w:rPr>
        <w:t xml:space="preserve">Asimismo, </w:t>
      </w:r>
      <w:r w:rsidR="008D4C94" w:rsidRPr="00DC278B">
        <w:rPr>
          <w:rFonts w:ascii="Cambria" w:eastAsia="Times New Roman" w:hAnsi="Cambria"/>
          <w:sz w:val="20"/>
          <w:szCs w:val="20"/>
          <w:bdr w:val="none" w:sz="0" w:space="0" w:color="auto"/>
          <w:lang w:val="es-ES_tradnl"/>
        </w:rPr>
        <w:lastRenderedPageBreak/>
        <w:t>consideró que ya se había indemnizado a los deman</w:t>
      </w:r>
      <w:r w:rsidR="00A44474">
        <w:rPr>
          <w:rFonts w:ascii="Cambria" w:eastAsia="Times New Roman" w:hAnsi="Cambria"/>
          <w:sz w:val="20"/>
          <w:szCs w:val="20"/>
          <w:bdr w:val="none" w:sz="0" w:space="0" w:color="auto"/>
          <w:lang w:val="es-ES_tradnl"/>
        </w:rPr>
        <w:t xml:space="preserve">dantes mediante la Ley 19.123. </w:t>
      </w:r>
      <w:r w:rsidRPr="00DC278B">
        <w:rPr>
          <w:rFonts w:ascii="Cambria" w:eastAsia="Times New Roman" w:hAnsi="Cambria"/>
          <w:sz w:val="20"/>
          <w:szCs w:val="20"/>
          <w:bdr w:val="none" w:sz="0" w:space="0" w:color="auto"/>
          <w:lang w:val="es-ES_tradnl"/>
        </w:rPr>
        <w:t xml:space="preserve">Esta sentencia fue apelada ante la </w:t>
      </w:r>
      <w:r w:rsidR="001C3B7C" w:rsidRPr="00DC278B">
        <w:rPr>
          <w:rFonts w:ascii="Cambria" w:eastAsia="Times New Roman" w:hAnsi="Cambria"/>
          <w:sz w:val="20"/>
          <w:szCs w:val="20"/>
          <w:bdr w:val="none" w:sz="0" w:space="0" w:color="auto"/>
          <w:lang w:val="es-ES_tradnl"/>
        </w:rPr>
        <w:t>CAS</w:t>
      </w:r>
      <w:r w:rsidRPr="00DC278B">
        <w:rPr>
          <w:rFonts w:ascii="Cambria" w:eastAsia="Times New Roman" w:hAnsi="Cambria"/>
          <w:sz w:val="20"/>
          <w:szCs w:val="20"/>
          <w:bdr w:val="none" w:sz="0" w:space="0" w:color="auto"/>
          <w:lang w:val="es-ES_tradnl"/>
        </w:rPr>
        <w:t xml:space="preserve"> y la apelación fue declarada desierta</w:t>
      </w:r>
      <w:r w:rsidR="00980EDD" w:rsidRPr="00DC278B">
        <w:rPr>
          <w:rFonts w:ascii="Cambria" w:eastAsia="Times New Roman" w:hAnsi="Cambria"/>
          <w:sz w:val="20"/>
          <w:szCs w:val="20"/>
          <w:bdr w:val="none" w:sz="0" w:space="0" w:color="auto"/>
          <w:lang w:val="es-ES_tradnl"/>
        </w:rPr>
        <w:t xml:space="preserve"> el 12 de junio de 2003</w:t>
      </w:r>
      <w:r w:rsidR="00464949" w:rsidRPr="00DC278B">
        <w:rPr>
          <w:rStyle w:val="Refdenotaalpie"/>
          <w:rFonts w:ascii="Cambria" w:eastAsia="Times New Roman" w:hAnsi="Cambria"/>
          <w:sz w:val="20"/>
          <w:szCs w:val="20"/>
          <w:bdr w:val="none" w:sz="0" w:space="0" w:color="auto"/>
          <w:lang w:val="es-ES_tradnl"/>
        </w:rPr>
        <w:footnoteReference w:id="97"/>
      </w:r>
      <w:r w:rsidRPr="00DC278B">
        <w:rPr>
          <w:rFonts w:ascii="Cambria" w:eastAsia="Times New Roman" w:hAnsi="Cambria"/>
          <w:sz w:val="20"/>
          <w:szCs w:val="20"/>
          <w:bdr w:val="none" w:sz="0" w:space="0" w:color="auto"/>
          <w:lang w:val="es-ES_tradnl"/>
        </w:rPr>
        <w:t>.</w:t>
      </w:r>
    </w:p>
    <w:p w:rsidR="00F45942" w:rsidRPr="00DC278B" w:rsidRDefault="00F45942" w:rsidP="00DC278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p>
    <w:p w:rsidR="00E24E60" w:rsidRDefault="0014020B" w:rsidP="00825309">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r w:rsidRPr="00DC278B">
        <w:rPr>
          <w:rFonts w:ascii="Cambria" w:eastAsia="Times New Roman" w:hAnsi="Cambria"/>
          <w:sz w:val="20"/>
          <w:szCs w:val="20"/>
          <w:bdr w:val="none" w:sz="0" w:space="0" w:color="auto"/>
          <w:lang w:val="es-ES_tradnl"/>
        </w:rPr>
        <w:t xml:space="preserve">El </w:t>
      </w:r>
      <w:r w:rsidR="00790F8B" w:rsidRPr="00DC278B">
        <w:rPr>
          <w:rFonts w:ascii="Cambria" w:eastAsia="Times New Roman" w:hAnsi="Cambria"/>
          <w:sz w:val="20"/>
          <w:szCs w:val="20"/>
          <w:bdr w:val="none" w:sz="0" w:space="0" w:color="auto"/>
          <w:lang w:val="es-ES_tradnl"/>
        </w:rPr>
        <w:t xml:space="preserve">padre de la víctima, recibe una pensión mensual de reparación </w:t>
      </w:r>
      <w:r w:rsidRPr="00DC278B">
        <w:rPr>
          <w:rFonts w:ascii="Cambria" w:eastAsia="Times New Roman" w:hAnsi="Cambria"/>
          <w:sz w:val="20"/>
          <w:szCs w:val="20"/>
          <w:bdr w:val="none" w:sz="0" w:space="0" w:color="auto"/>
          <w:lang w:val="es-ES_tradnl"/>
        </w:rPr>
        <w:t xml:space="preserve">que rige </w:t>
      </w:r>
      <w:r w:rsidR="00790F8B" w:rsidRPr="00DC278B">
        <w:rPr>
          <w:rFonts w:ascii="Cambria" w:eastAsia="Times New Roman" w:hAnsi="Cambria"/>
          <w:sz w:val="20"/>
          <w:szCs w:val="20"/>
          <w:bdr w:val="none" w:sz="0" w:space="0" w:color="auto"/>
          <w:lang w:val="es-ES_tradnl"/>
        </w:rPr>
        <w:t>desde el 1˚ de agosto de 2006, con monto de beneficiario único de $360.674 Pesos chilenos</w:t>
      </w:r>
      <w:r w:rsidR="00790F8B" w:rsidRPr="00DC278B">
        <w:rPr>
          <w:rFonts w:ascii="Cambria" w:hAnsi="Cambria"/>
          <w:sz w:val="20"/>
          <w:szCs w:val="20"/>
          <w:bdr w:val="none" w:sz="0" w:space="0" w:color="auto"/>
          <w:vertAlign w:val="superscript"/>
          <w:lang w:val="es-ES_tradnl"/>
        </w:rPr>
        <w:footnoteReference w:id="98"/>
      </w:r>
      <w:r w:rsidR="00790F8B" w:rsidRPr="00DC278B">
        <w:rPr>
          <w:rFonts w:ascii="Cambria" w:eastAsia="Times New Roman" w:hAnsi="Cambria"/>
          <w:sz w:val="20"/>
          <w:szCs w:val="20"/>
          <w:bdr w:val="none" w:sz="0" w:space="0" w:color="auto"/>
          <w:lang w:val="es-ES_tradnl"/>
        </w:rPr>
        <w:t>.</w:t>
      </w:r>
      <w:r w:rsidRPr="00DC278B">
        <w:rPr>
          <w:rFonts w:ascii="Cambria" w:eastAsia="Times New Roman" w:hAnsi="Cambria"/>
          <w:sz w:val="20"/>
          <w:szCs w:val="20"/>
          <w:bdr w:val="none" w:sz="0" w:space="0" w:color="auto"/>
          <w:lang w:val="es-ES_tradnl"/>
        </w:rPr>
        <w:t xml:space="preserve"> Las partes no han informado si </w:t>
      </w:r>
      <w:r w:rsidR="003B56B1" w:rsidRPr="00DC278B">
        <w:rPr>
          <w:rFonts w:ascii="Cambria" w:eastAsia="Times New Roman" w:hAnsi="Cambria"/>
          <w:sz w:val="20"/>
          <w:szCs w:val="20"/>
          <w:bdr w:val="none" w:sz="0" w:space="0" w:color="auto"/>
          <w:lang w:val="es-ES_tradnl"/>
        </w:rPr>
        <w:t xml:space="preserve">el hermano de la víctima </w:t>
      </w:r>
      <w:r w:rsidRPr="00DC278B">
        <w:rPr>
          <w:rFonts w:ascii="Cambria" w:eastAsia="Times New Roman" w:hAnsi="Cambria"/>
          <w:sz w:val="20"/>
          <w:szCs w:val="20"/>
          <w:bdr w:val="none" w:sz="0" w:space="0" w:color="auto"/>
          <w:lang w:val="es-ES_tradnl"/>
        </w:rPr>
        <w:t>recibe reparaciones.</w:t>
      </w:r>
    </w:p>
    <w:p w:rsidR="00825309" w:rsidRPr="00825309" w:rsidRDefault="00825309" w:rsidP="0082530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p>
    <w:p w:rsidR="00C047D9" w:rsidRPr="00DC278B" w:rsidRDefault="000E7F36" w:rsidP="00DC278B">
      <w:pPr>
        <w:pStyle w:val="Ttulo2"/>
      </w:pPr>
      <w:bookmarkStart w:id="22" w:name="_Toc413397477"/>
      <w:r w:rsidRPr="00DC278B">
        <w:t>G.</w:t>
      </w:r>
      <w:r w:rsidRPr="00DC278B">
        <w:tab/>
      </w:r>
      <w:r w:rsidR="005E63E4" w:rsidRPr="00DC278B">
        <w:t xml:space="preserve">Situación de </w:t>
      </w:r>
      <w:r w:rsidR="00F10EF7" w:rsidRPr="00DC278B">
        <w:t>Katia Ximena</w:t>
      </w:r>
      <w:r w:rsidR="008902F5" w:rsidRPr="00DC278B">
        <w:t xml:space="preserve"> Espejo y su madre, </w:t>
      </w:r>
      <w:r w:rsidR="00F10EF7" w:rsidRPr="00DC278B">
        <w:t xml:space="preserve">y </w:t>
      </w:r>
      <w:r w:rsidR="005E63E4" w:rsidRPr="00DC278B">
        <w:t xml:space="preserve">su causa </w:t>
      </w:r>
      <w:r w:rsidR="00C047D9" w:rsidRPr="00DC278B">
        <w:t xml:space="preserve">contra </w:t>
      </w:r>
      <w:r w:rsidR="00F640C5" w:rsidRPr="00DC278B">
        <w:t xml:space="preserve">el </w:t>
      </w:r>
      <w:r w:rsidR="00C047D9" w:rsidRPr="00DC278B">
        <w:t>Fisco de Chile</w:t>
      </w:r>
      <w:bookmarkEnd w:id="22"/>
      <w:r w:rsidR="00D12665" w:rsidRPr="00DC278B">
        <w:t xml:space="preserve"> </w:t>
      </w:r>
    </w:p>
    <w:p w:rsidR="00BE2AE0" w:rsidRPr="00DC278B" w:rsidRDefault="00BE2AE0" w:rsidP="00DC278B">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sz w:val="20"/>
          <w:szCs w:val="20"/>
          <w:bdr w:val="none" w:sz="0" w:space="0" w:color="auto"/>
          <w:lang w:val="es-ES_tradnl"/>
        </w:rPr>
      </w:pPr>
    </w:p>
    <w:p w:rsidR="00BE2AE0" w:rsidRPr="00DC278B" w:rsidRDefault="005E66E5"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r w:rsidRPr="00DC278B">
        <w:rPr>
          <w:rFonts w:ascii="Cambria" w:eastAsia="Times New Roman" w:hAnsi="Cambria"/>
          <w:sz w:val="20"/>
          <w:szCs w:val="20"/>
          <w:lang w:val="es-ES"/>
        </w:rPr>
        <w:t xml:space="preserve">Según el Informe de la Comisión </w:t>
      </w:r>
      <w:proofErr w:type="spellStart"/>
      <w:r w:rsidRPr="00DC278B">
        <w:rPr>
          <w:rFonts w:ascii="Cambria" w:eastAsia="Times New Roman" w:hAnsi="Cambria"/>
          <w:sz w:val="20"/>
          <w:szCs w:val="20"/>
          <w:lang w:val="es-ES"/>
        </w:rPr>
        <w:t>Rettig</w:t>
      </w:r>
      <w:proofErr w:type="spellEnd"/>
      <w:r w:rsidRPr="00DC278B">
        <w:rPr>
          <w:rFonts w:ascii="Cambria" w:eastAsia="Times New Roman" w:hAnsi="Cambria"/>
          <w:sz w:val="20"/>
          <w:szCs w:val="20"/>
          <w:lang w:val="es-ES"/>
        </w:rPr>
        <w:t>, e</w:t>
      </w:r>
      <w:r w:rsidRPr="00DC278B">
        <w:rPr>
          <w:rFonts w:ascii="Cambria" w:eastAsia="Times New Roman" w:hAnsi="Cambria"/>
          <w:sz w:val="20"/>
          <w:szCs w:val="20"/>
          <w:bdr w:val="none" w:sz="0" w:space="0" w:color="auto"/>
          <w:lang w:val="es-ES_tradnl"/>
        </w:rPr>
        <w:t>l 15 de agosto de 1</w:t>
      </w:r>
      <w:r w:rsidR="00BE2AE0" w:rsidRPr="00DC278B">
        <w:rPr>
          <w:rFonts w:ascii="Cambria" w:eastAsia="Times New Roman" w:hAnsi="Cambria"/>
          <w:sz w:val="20"/>
          <w:szCs w:val="20"/>
          <w:bdr w:val="none" w:sz="0" w:space="0" w:color="auto"/>
          <w:lang w:val="es-ES_tradnl"/>
        </w:rPr>
        <w:t xml:space="preserve">974 fue detenido en su domicilio en Santiago, Rodolfo </w:t>
      </w:r>
      <w:r w:rsidRPr="00DC278B">
        <w:rPr>
          <w:rFonts w:ascii="Cambria" w:eastAsia="Times New Roman" w:hAnsi="Cambria"/>
          <w:sz w:val="20"/>
          <w:szCs w:val="20"/>
          <w:bdr w:val="none" w:sz="0" w:space="0" w:color="auto"/>
          <w:lang w:val="es-ES_tradnl"/>
        </w:rPr>
        <w:t>Espejo</w:t>
      </w:r>
      <w:r w:rsidR="00165B4C" w:rsidRPr="00DC278B">
        <w:rPr>
          <w:rFonts w:ascii="Cambria" w:eastAsia="Times New Roman" w:hAnsi="Cambria"/>
          <w:sz w:val="20"/>
          <w:szCs w:val="20"/>
          <w:bdr w:val="none" w:sz="0" w:space="0" w:color="auto"/>
          <w:lang w:val="es-ES_tradnl"/>
        </w:rPr>
        <w:t xml:space="preserve"> (18 años de edad)</w:t>
      </w:r>
      <w:r w:rsidR="00BE2AE0" w:rsidRPr="00DC278B">
        <w:rPr>
          <w:rFonts w:ascii="Cambria" w:eastAsia="Times New Roman" w:hAnsi="Cambria"/>
          <w:sz w:val="20"/>
          <w:szCs w:val="20"/>
          <w:bdr w:val="none" w:sz="0" w:space="0" w:color="auto"/>
          <w:lang w:val="es-ES_tradnl"/>
        </w:rPr>
        <w:t>, estudiante secundario y militante del Partido Socialista</w:t>
      </w:r>
      <w:r w:rsidR="00165B4C" w:rsidRPr="00DC278B">
        <w:rPr>
          <w:rFonts w:ascii="Cambria" w:eastAsia="Times New Roman" w:hAnsi="Cambria"/>
          <w:sz w:val="20"/>
          <w:szCs w:val="20"/>
          <w:bdr w:val="none" w:sz="0" w:space="0" w:color="auto"/>
          <w:vertAlign w:val="superscript"/>
          <w:lang w:val="es-ES_tradnl"/>
        </w:rPr>
        <w:footnoteReference w:id="99"/>
      </w:r>
      <w:r w:rsidR="00A44474">
        <w:rPr>
          <w:rFonts w:ascii="Cambria" w:eastAsia="Times New Roman" w:hAnsi="Cambria"/>
          <w:sz w:val="20"/>
          <w:szCs w:val="20"/>
          <w:bdr w:val="none" w:sz="0" w:space="0" w:color="auto"/>
          <w:lang w:val="es-ES_tradnl"/>
        </w:rPr>
        <w:t>.</w:t>
      </w:r>
      <w:r w:rsidRPr="00DC278B">
        <w:rPr>
          <w:rFonts w:ascii="Cambria" w:eastAsia="Times New Roman" w:hAnsi="Cambria"/>
          <w:sz w:val="20"/>
          <w:szCs w:val="20"/>
          <w:bdr w:val="none" w:sz="0" w:space="0" w:color="auto"/>
          <w:lang w:val="es-ES_tradnl"/>
        </w:rPr>
        <w:t xml:space="preserve"> </w:t>
      </w:r>
      <w:r w:rsidR="00BE2AE0" w:rsidRPr="00DC278B">
        <w:rPr>
          <w:rFonts w:ascii="Cambria" w:eastAsia="Times New Roman" w:hAnsi="Cambria"/>
          <w:sz w:val="20"/>
          <w:szCs w:val="20"/>
          <w:bdr w:val="none" w:sz="0" w:space="0" w:color="auto"/>
          <w:lang w:val="es-ES_tradnl"/>
        </w:rPr>
        <w:t>Su detención se realizó por agentes de la DINA</w:t>
      </w:r>
      <w:r w:rsidR="00BE2AE0" w:rsidRPr="00DC278B">
        <w:rPr>
          <w:rFonts w:ascii="Cambria" w:eastAsia="Times New Roman" w:hAnsi="Cambria"/>
          <w:sz w:val="20"/>
          <w:szCs w:val="20"/>
          <w:bdr w:val="none" w:sz="0" w:space="0" w:color="auto"/>
          <w:vertAlign w:val="superscript"/>
          <w:lang w:val="es-ES_tradnl"/>
        </w:rPr>
        <w:footnoteReference w:id="100"/>
      </w:r>
      <w:r w:rsidR="00BE2AE0" w:rsidRPr="00DC278B">
        <w:rPr>
          <w:rFonts w:ascii="Cambria" w:eastAsia="Times New Roman" w:hAnsi="Cambria"/>
          <w:sz w:val="20"/>
          <w:szCs w:val="20"/>
          <w:bdr w:val="none" w:sz="0" w:space="0" w:color="auto"/>
          <w:lang w:val="es-ES_tradnl"/>
        </w:rPr>
        <w:t xml:space="preserve">. </w:t>
      </w:r>
      <w:r w:rsidRPr="00DC278B">
        <w:rPr>
          <w:rFonts w:ascii="Cambria" w:eastAsia="Times New Roman" w:hAnsi="Cambria"/>
          <w:sz w:val="20"/>
          <w:szCs w:val="20"/>
          <w:bdr w:val="none" w:sz="0" w:space="0" w:color="auto"/>
          <w:lang w:val="es-ES_tradnl"/>
        </w:rPr>
        <w:t>A</w:t>
      </w:r>
      <w:r w:rsidR="00165B4C" w:rsidRPr="00DC278B">
        <w:rPr>
          <w:rFonts w:ascii="Cambria" w:eastAsia="Times New Roman" w:hAnsi="Cambria"/>
          <w:sz w:val="20"/>
          <w:szCs w:val="20"/>
          <w:bdr w:val="none" w:sz="0" w:space="0" w:color="auto"/>
          <w:lang w:val="es-ES_tradnl"/>
        </w:rPr>
        <w:t>nte los requerimientos</w:t>
      </w:r>
      <w:r w:rsidR="00BE2AE0" w:rsidRPr="00DC278B">
        <w:rPr>
          <w:rFonts w:ascii="Cambria" w:eastAsia="Times New Roman" w:hAnsi="Cambria"/>
          <w:sz w:val="20"/>
          <w:szCs w:val="20"/>
          <w:bdr w:val="none" w:sz="0" w:space="0" w:color="auto"/>
          <w:lang w:val="es-ES_tradnl"/>
        </w:rPr>
        <w:t xml:space="preserve"> judiciales de información</w:t>
      </w:r>
      <w:r w:rsidRPr="00DC278B">
        <w:rPr>
          <w:rFonts w:ascii="Cambria" w:eastAsia="Times New Roman" w:hAnsi="Cambria"/>
          <w:sz w:val="20"/>
          <w:szCs w:val="20"/>
          <w:bdr w:val="none" w:sz="0" w:space="0" w:color="auto"/>
          <w:lang w:val="es-ES_tradnl"/>
        </w:rPr>
        <w:t xml:space="preserve"> las autoridades</w:t>
      </w:r>
      <w:r w:rsidR="00BE2AE0" w:rsidRPr="00DC278B">
        <w:rPr>
          <w:rFonts w:ascii="Cambria" w:eastAsia="Times New Roman" w:hAnsi="Cambria"/>
          <w:sz w:val="20"/>
          <w:szCs w:val="20"/>
          <w:bdr w:val="none" w:sz="0" w:space="0" w:color="auto"/>
          <w:lang w:val="es-ES_tradnl"/>
        </w:rPr>
        <w:t xml:space="preserve"> negaron que </w:t>
      </w:r>
      <w:r w:rsidRPr="00DC278B">
        <w:rPr>
          <w:rFonts w:ascii="Cambria" w:eastAsia="Times New Roman" w:hAnsi="Cambria"/>
          <w:sz w:val="20"/>
          <w:szCs w:val="20"/>
          <w:bdr w:val="none" w:sz="0" w:space="0" w:color="auto"/>
          <w:lang w:val="es-ES_tradnl"/>
        </w:rPr>
        <w:t xml:space="preserve">él </w:t>
      </w:r>
      <w:r w:rsidR="00BE2AE0" w:rsidRPr="00DC278B">
        <w:rPr>
          <w:rFonts w:ascii="Cambria" w:eastAsia="Times New Roman" w:hAnsi="Cambria"/>
          <w:sz w:val="20"/>
          <w:szCs w:val="20"/>
          <w:bdr w:val="none" w:sz="0" w:space="0" w:color="auto"/>
          <w:lang w:val="es-ES_tradnl"/>
        </w:rPr>
        <w:t>se encontrara detenido</w:t>
      </w:r>
      <w:r w:rsidR="00BE2AE0" w:rsidRPr="00DC278B">
        <w:rPr>
          <w:rFonts w:ascii="Cambria" w:eastAsia="Times New Roman" w:hAnsi="Cambria"/>
          <w:sz w:val="20"/>
          <w:szCs w:val="20"/>
          <w:bdr w:val="none" w:sz="0" w:space="0" w:color="auto"/>
          <w:vertAlign w:val="superscript"/>
          <w:lang w:val="es-ES_tradnl"/>
        </w:rPr>
        <w:footnoteReference w:id="101"/>
      </w:r>
      <w:r w:rsidR="00A44474">
        <w:rPr>
          <w:rFonts w:ascii="Cambria" w:eastAsia="Times New Roman" w:hAnsi="Cambria"/>
          <w:sz w:val="20"/>
          <w:szCs w:val="20"/>
          <w:bdr w:val="none" w:sz="0" w:space="0" w:color="auto"/>
          <w:lang w:val="es-ES_tradnl"/>
        </w:rPr>
        <w:t xml:space="preserve">. </w:t>
      </w:r>
      <w:r w:rsidR="00B456B1" w:rsidRPr="00DC278B">
        <w:rPr>
          <w:rFonts w:ascii="Cambria" w:eastAsia="Times New Roman" w:hAnsi="Cambria"/>
          <w:sz w:val="20"/>
          <w:szCs w:val="20"/>
          <w:bdr w:val="none" w:sz="0" w:space="0" w:color="auto"/>
          <w:lang w:val="es-ES_tradnl"/>
        </w:rPr>
        <w:t>Se ha podido establ</w:t>
      </w:r>
      <w:r w:rsidR="00DD0BBA" w:rsidRPr="00DC278B">
        <w:rPr>
          <w:rFonts w:ascii="Cambria" w:eastAsia="Times New Roman" w:hAnsi="Cambria"/>
          <w:sz w:val="20"/>
          <w:szCs w:val="20"/>
          <w:bdr w:val="none" w:sz="0" w:space="0" w:color="auto"/>
          <w:lang w:val="es-ES_tradnl"/>
        </w:rPr>
        <w:t>ecer por medio de testimonios qu</w:t>
      </w:r>
      <w:r w:rsidR="00B456B1" w:rsidRPr="00DC278B">
        <w:rPr>
          <w:rFonts w:ascii="Cambria" w:eastAsia="Times New Roman" w:hAnsi="Cambria"/>
          <w:sz w:val="20"/>
          <w:szCs w:val="20"/>
          <w:bdr w:val="none" w:sz="0" w:space="0" w:color="auto"/>
          <w:lang w:val="es-ES_tradnl"/>
        </w:rPr>
        <w:t xml:space="preserve">e permaneció en Londres No. 38 y Cuatro </w:t>
      </w:r>
      <w:proofErr w:type="spellStart"/>
      <w:r w:rsidR="00B456B1" w:rsidRPr="00DC278B">
        <w:rPr>
          <w:rFonts w:ascii="Cambria" w:eastAsia="Times New Roman" w:hAnsi="Cambria"/>
          <w:sz w:val="20"/>
          <w:szCs w:val="20"/>
          <w:bdr w:val="none" w:sz="0" w:space="0" w:color="auto"/>
          <w:lang w:val="es-ES_tradnl"/>
        </w:rPr>
        <w:t>Alamos</w:t>
      </w:r>
      <w:proofErr w:type="spellEnd"/>
      <w:r w:rsidR="00B456B1" w:rsidRPr="00DC278B">
        <w:rPr>
          <w:rFonts w:ascii="Cambria" w:eastAsia="Times New Roman" w:hAnsi="Cambria"/>
          <w:sz w:val="20"/>
          <w:szCs w:val="20"/>
          <w:bdr w:val="none" w:sz="0" w:space="0" w:color="auto"/>
          <w:vertAlign w:val="superscript"/>
          <w:lang w:val="es-ES_tradnl"/>
        </w:rPr>
        <w:footnoteReference w:id="102"/>
      </w:r>
      <w:r w:rsidR="00B456B1" w:rsidRPr="00DC278B">
        <w:rPr>
          <w:rFonts w:ascii="Cambria" w:eastAsia="Times New Roman" w:hAnsi="Cambria"/>
          <w:sz w:val="20"/>
          <w:szCs w:val="20"/>
          <w:bdr w:val="none" w:sz="0" w:space="0" w:color="auto"/>
          <w:lang w:val="es-ES_tradnl"/>
        </w:rPr>
        <w:t>.</w:t>
      </w:r>
      <w:r w:rsidR="00A44474">
        <w:rPr>
          <w:rFonts w:ascii="Cambria" w:eastAsia="Times New Roman" w:hAnsi="Cambria"/>
          <w:sz w:val="20"/>
          <w:szCs w:val="20"/>
          <w:bdr w:val="none" w:sz="0" w:space="0" w:color="auto"/>
          <w:lang w:val="es-ES_tradnl"/>
        </w:rPr>
        <w:t xml:space="preserve"> </w:t>
      </w:r>
      <w:r w:rsidR="004C1FA2" w:rsidRPr="00DC278B">
        <w:rPr>
          <w:rFonts w:ascii="Cambria" w:eastAsia="Times New Roman" w:hAnsi="Cambria"/>
          <w:sz w:val="20"/>
          <w:szCs w:val="20"/>
          <w:bdr w:val="none" w:sz="0" w:space="0" w:color="auto"/>
          <w:lang w:val="es-ES_tradnl"/>
        </w:rPr>
        <w:t xml:space="preserve">La Comisión </w:t>
      </w:r>
      <w:proofErr w:type="spellStart"/>
      <w:r w:rsidR="004C1FA2" w:rsidRPr="00DC278B">
        <w:rPr>
          <w:rFonts w:ascii="Cambria" w:eastAsia="Times New Roman" w:hAnsi="Cambria"/>
          <w:sz w:val="20"/>
          <w:szCs w:val="20"/>
          <w:bdr w:val="none" w:sz="0" w:space="0" w:color="auto"/>
          <w:lang w:val="es-ES_tradnl"/>
        </w:rPr>
        <w:t>Rettig</w:t>
      </w:r>
      <w:proofErr w:type="spellEnd"/>
      <w:r w:rsidR="004C1FA2" w:rsidRPr="00DC278B">
        <w:rPr>
          <w:rFonts w:ascii="Cambria" w:eastAsia="Times New Roman" w:hAnsi="Cambria"/>
          <w:sz w:val="20"/>
          <w:szCs w:val="20"/>
          <w:bdr w:val="none" w:sz="0" w:space="0" w:color="auto"/>
          <w:lang w:val="es-ES_tradnl"/>
        </w:rPr>
        <w:t xml:space="preserve"> está convencida de que su desaparición fue obra de agentes del Estado, quienes violaron sus derechos humanos</w:t>
      </w:r>
      <w:r w:rsidR="004C1FA2" w:rsidRPr="00DC278B">
        <w:rPr>
          <w:rFonts w:ascii="Cambria" w:eastAsia="Times New Roman" w:hAnsi="Cambria"/>
          <w:sz w:val="20"/>
          <w:szCs w:val="20"/>
          <w:bdr w:val="none" w:sz="0" w:space="0" w:color="auto"/>
          <w:vertAlign w:val="superscript"/>
          <w:lang w:val="es-ES_tradnl"/>
        </w:rPr>
        <w:footnoteReference w:id="103"/>
      </w:r>
      <w:r w:rsidR="004C1FA2" w:rsidRPr="00DC278B">
        <w:rPr>
          <w:rFonts w:ascii="Cambria" w:eastAsia="Times New Roman" w:hAnsi="Cambria"/>
          <w:sz w:val="20"/>
          <w:szCs w:val="20"/>
          <w:bdr w:val="none" w:sz="0" w:space="0" w:color="auto"/>
          <w:lang w:val="es-ES_tradnl"/>
        </w:rPr>
        <w:t>.</w:t>
      </w:r>
    </w:p>
    <w:p w:rsidR="00BE2AE0" w:rsidRPr="00DC278B" w:rsidRDefault="00BE2AE0" w:rsidP="00DC278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p>
    <w:p w:rsidR="00AE4924" w:rsidRPr="00DC278B" w:rsidRDefault="005410E2"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r w:rsidRPr="00DC278B">
        <w:rPr>
          <w:rFonts w:ascii="Cambria" w:eastAsia="Times New Roman" w:hAnsi="Cambria"/>
          <w:sz w:val="20"/>
          <w:szCs w:val="20"/>
          <w:bdr w:val="none" w:sz="0" w:space="0" w:color="auto"/>
          <w:lang w:val="es-ES_tradnl"/>
        </w:rPr>
        <w:t>Mediante la Ley 19.123 de 1992</w:t>
      </w:r>
      <w:r w:rsidR="00925367" w:rsidRPr="00DC278B">
        <w:rPr>
          <w:rFonts w:ascii="Cambria" w:eastAsia="Times New Roman" w:hAnsi="Cambria"/>
          <w:sz w:val="20"/>
          <w:szCs w:val="20"/>
          <w:bdr w:val="none" w:sz="0" w:space="0" w:color="auto"/>
          <w:lang w:val="es-ES_tradnl"/>
        </w:rPr>
        <w:t>, l</w:t>
      </w:r>
      <w:r w:rsidR="00AE4924" w:rsidRPr="00DC278B">
        <w:rPr>
          <w:rFonts w:ascii="Cambria" w:eastAsia="Times New Roman" w:hAnsi="Cambria"/>
          <w:sz w:val="20"/>
          <w:szCs w:val="20"/>
          <w:bdr w:val="none" w:sz="0" w:space="0" w:color="auto"/>
          <w:lang w:val="es-ES_tradnl"/>
        </w:rPr>
        <w:t xml:space="preserve">a madre de Rodolfo </w:t>
      </w:r>
      <w:r w:rsidR="00336412" w:rsidRPr="00DC278B">
        <w:rPr>
          <w:rFonts w:ascii="Cambria" w:eastAsia="Times New Roman" w:hAnsi="Cambria"/>
          <w:sz w:val="20"/>
          <w:szCs w:val="20"/>
          <w:bdr w:val="none" w:sz="0" w:space="0" w:color="auto"/>
          <w:lang w:val="es-ES_tradnl"/>
        </w:rPr>
        <w:t>Espejo</w:t>
      </w:r>
      <w:r w:rsidR="00AE4924" w:rsidRPr="00DC278B">
        <w:rPr>
          <w:rFonts w:ascii="Cambria" w:eastAsia="Times New Roman" w:hAnsi="Cambria"/>
          <w:sz w:val="20"/>
          <w:szCs w:val="20"/>
          <w:bdr w:val="none" w:sz="0" w:space="0" w:color="auto"/>
          <w:lang w:val="es-ES_tradnl"/>
        </w:rPr>
        <w:t xml:space="preserve">, </w:t>
      </w:r>
      <w:r w:rsidR="00336412" w:rsidRPr="00DC278B">
        <w:rPr>
          <w:rFonts w:ascii="Cambria" w:eastAsia="Times New Roman" w:hAnsi="Cambria"/>
          <w:sz w:val="20"/>
          <w:szCs w:val="20"/>
          <w:bdr w:val="none" w:sz="0" w:space="0" w:color="auto"/>
          <w:lang w:val="es-ES_tradnl"/>
        </w:rPr>
        <w:t>Elena Alejandrina</w:t>
      </w:r>
      <w:r w:rsidR="00AE4924" w:rsidRPr="00DC278B">
        <w:rPr>
          <w:rFonts w:ascii="Cambria" w:eastAsia="Times New Roman" w:hAnsi="Cambria"/>
          <w:sz w:val="20"/>
          <w:szCs w:val="20"/>
          <w:bdr w:val="none" w:sz="0" w:space="0" w:color="auto"/>
          <w:lang w:val="es-ES_tradnl"/>
        </w:rPr>
        <w:t xml:space="preserve"> Gómez, </w:t>
      </w:r>
      <w:r w:rsidR="00925367" w:rsidRPr="00DC278B">
        <w:rPr>
          <w:rFonts w:ascii="Cambria" w:eastAsia="Times New Roman" w:hAnsi="Cambria"/>
          <w:sz w:val="20"/>
          <w:szCs w:val="20"/>
          <w:bdr w:val="none" w:sz="0" w:space="0" w:color="auto"/>
          <w:lang w:val="es-ES_tradnl"/>
        </w:rPr>
        <w:t>recibe una pensión mensual,</w:t>
      </w:r>
      <w:r w:rsidR="00AE4924" w:rsidRPr="00DC278B">
        <w:rPr>
          <w:rFonts w:ascii="Cambria" w:eastAsia="Times New Roman" w:hAnsi="Cambria"/>
          <w:sz w:val="20"/>
          <w:szCs w:val="20"/>
          <w:bdr w:val="none" w:sz="0" w:space="0" w:color="auto"/>
          <w:lang w:val="es-ES_tradnl"/>
        </w:rPr>
        <w:t xml:space="preserve"> por la suma de $360.674 Pesos chilenos</w:t>
      </w:r>
      <w:r w:rsidRPr="00DC278B">
        <w:rPr>
          <w:rFonts w:ascii="Cambria" w:eastAsia="Times New Roman" w:hAnsi="Cambria"/>
          <w:sz w:val="20"/>
          <w:szCs w:val="20"/>
          <w:bdr w:val="none" w:sz="0" w:space="0" w:color="auto"/>
          <w:lang w:val="es-ES_tradnl"/>
        </w:rPr>
        <w:t xml:space="preserve"> que rige desde el 1˚ de julio de 1991</w:t>
      </w:r>
      <w:r w:rsidR="00B077CE" w:rsidRPr="00DC278B">
        <w:rPr>
          <w:rFonts w:ascii="Cambria" w:eastAsia="Times New Roman" w:hAnsi="Cambria"/>
          <w:sz w:val="20"/>
          <w:szCs w:val="20"/>
          <w:bdr w:val="none" w:sz="0" w:space="0" w:color="auto"/>
          <w:vertAlign w:val="superscript"/>
          <w:lang w:val="es-ES_tradnl"/>
        </w:rPr>
        <w:footnoteReference w:id="104"/>
      </w:r>
      <w:r w:rsidR="009E4975" w:rsidRPr="00DC278B">
        <w:rPr>
          <w:rFonts w:ascii="Cambria" w:eastAsia="Times New Roman" w:hAnsi="Cambria"/>
          <w:sz w:val="20"/>
          <w:szCs w:val="20"/>
          <w:bdr w:val="none" w:sz="0" w:space="0" w:color="auto"/>
          <w:lang w:val="es-ES_tradnl"/>
        </w:rPr>
        <w:t>.</w:t>
      </w:r>
      <w:r w:rsidR="00B077CE" w:rsidRPr="00DC278B">
        <w:rPr>
          <w:rFonts w:ascii="Cambria" w:eastAsia="Times New Roman" w:hAnsi="Cambria"/>
          <w:sz w:val="20"/>
          <w:szCs w:val="20"/>
          <w:bdr w:val="none" w:sz="0" w:space="0" w:color="auto"/>
          <w:lang w:val="es-ES_tradnl"/>
        </w:rPr>
        <w:t xml:space="preserve">  Asimismo, ella percibió bonificación compensatoria</w:t>
      </w:r>
      <w:r w:rsidR="00B077CE" w:rsidRPr="00DC278B">
        <w:rPr>
          <w:rFonts w:ascii="Cambria" w:eastAsia="Times New Roman" w:hAnsi="Cambria"/>
          <w:sz w:val="20"/>
          <w:szCs w:val="20"/>
          <w:bdr w:val="none" w:sz="0" w:space="0" w:color="auto"/>
          <w:vertAlign w:val="superscript"/>
          <w:lang w:val="es-ES_tradnl"/>
        </w:rPr>
        <w:footnoteReference w:id="105"/>
      </w:r>
      <w:r w:rsidR="00B077CE" w:rsidRPr="00DC278B">
        <w:rPr>
          <w:rFonts w:ascii="Cambria" w:eastAsia="Times New Roman" w:hAnsi="Cambria"/>
          <w:sz w:val="20"/>
          <w:szCs w:val="20"/>
          <w:bdr w:val="none" w:sz="0" w:space="0" w:color="auto"/>
          <w:lang w:val="es-ES_tradnl"/>
        </w:rPr>
        <w:t>.</w:t>
      </w:r>
      <w:r w:rsidR="007D33BB" w:rsidRPr="00DC278B">
        <w:rPr>
          <w:rFonts w:ascii="Cambria" w:eastAsia="Times New Roman" w:hAnsi="Cambria"/>
          <w:sz w:val="20"/>
          <w:szCs w:val="20"/>
          <w:bdr w:val="none" w:sz="0" w:space="0" w:color="auto"/>
          <w:lang w:val="es-ES_tradnl"/>
        </w:rPr>
        <w:t xml:space="preserve"> Las partes no aportaron información sobre si la hermana de la víctima, recibe reparaciones.</w:t>
      </w:r>
    </w:p>
    <w:p w:rsidR="00BE2AE0" w:rsidRPr="00DC278B" w:rsidRDefault="00BE2AE0" w:rsidP="00DC278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p>
    <w:p w:rsidR="00BE2AE0" w:rsidRPr="00DC278B" w:rsidRDefault="00BE2AE0"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r w:rsidRPr="00DC278B">
        <w:rPr>
          <w:rFonts w:ascii="Cambria" w:eastAsia="Times New Roman" w:hAnsi="Cambria"/>
          <w:sz w:val="20"/>
          <w:szCs w:val="20"/>
          <w:bdr w:val="none" w:sz="0" w:space="0" w:color="auto"/>
          <w:lang w:val="es-ES_tradnl"/>
        </w:rPr>
        <w:t>El 19 de julio de 2000, Katia Espejo</w:t>
      </w:r>
      <w:r w:rsidR="00336412" w:rsidRPr="00DC278B">
        <w:rPr>
          <w:rFonts w:ascii="Cambria" w:eastAsia="Times New Roman" w:hAnsi="Cambria"/>
          <w:sz w:val="20"/>
          <w:szCs w:val="20"/>
          <w:bdr w:val="none" w:sz="0" w:space="0" w:color="auto"/>
          <w:lang w:val="es-ES_tradnl"/>
        </w:rPr>
        <w:t>, junto con su madre,</w:t>
      </w:r>
      <w:r w:rsidRPr="00DC278B">
        <w:rPr>
          <w:rFonts w:ascii="Cambria" w:eastAsia="Times New Roman" w:hAnsi="Cambria"/>
          <w:sz w:val="20"/>
          <w:szCs w:val="20"/>
          <w:bdr w:val="none" w:sz="0" w:space="0" w:color="auto"/>
          <w:lang w:val="es-ES_tradnl"/>
        </w:rPr>
        <w:t xml:space="preserve"> interpusieron una demanda </w:t>
      </w:r>
      <w:r w:rsidR="005169D0" w:rsidRPr="00DC278B">
        <w:rPr>
          <w:rFonts w:ascii="Cambria" w:eastAsia="Times New Roman" w:hAnsi="Cambria"/>
          <w:sz w:val="20"/>
          <w:szCs w:val="20"/>
          <w:bdr w:val="none" w:sz="0" w:space="0" w:color="auto"/>
          <w:lang w:val="es-ES_tradnl"/>
        </w:rPr>
        <w:t xml:space="preserve">civil de indemnización de perjuicios </w:t>
      </w:r>
      <w:r w:rsidRPr="00DC278B">
        <w:rPr>
          <w:rFonts w:ascii="Cambria" w:eastAsia="Times New Roman" w:hAnsi="Cambria"/>
          <w:sz w:val="20"/>
          <w:szCs w:val="20"/>
          <w:bdr w:val="none" w:sz="0" w:space="0" w:color="auto"/>
          <w:lang w:val="es-ES_tradnl"/>
        </w:rPr>
        <w:t>ante el 17º Ju</w:t>
      </w:r>
      <w:r w:rsidR="005E3919" w:rsidRPr="00DC278B">
        <w:rPr>
          <w:rFonts w:ascii="Cambria" w:eastAsia="Times New Roman" w:hAnsi="Cambria"/>
          <w:sz w:val="20"/>
          <w:szCs w:val="20"/>
          <w:bdr w:val="none" w:sz="0" w:space="0" w:color="auto"/>
          <w:lang w:val="es-ES_tradnl"/>
        </w:rPr>
        <w:t>zgado Civil</w:t>
      </w:r>
      <w:r w:rsidR="00B65FAC" w:rsidRPr="00DC278B">
        <w:rPr>
          <w:rFonts w:ascii="Cambria" w:eastAsia="Times New Roman" w:hAnsi="Cambria"/>
          <w:sz w:val="20"/>
          <w:szCs w:val="20"/>
          <w:bdr w:val="none" w:sz="0" w:space="0" w:color="auto"/>
          <w:lang w:val="es-ES_tradnl"/>
        </w:rPr>
        <w:t xml:space="preserve"> </w:t>
      </w:r>
      <w:r w:rsidR="005169D0" w:rsidRPr="00DC278B">
        <w:rPr>
          <w:rFonts w:ascii="Cambria" w:eastAsia="Times New Roman" w:hAnsi="Cambria"/>
          <w:sz w:val="20"/>
          <w:szCs w:val="20"/>
          <w:bdr w:val="none" w:sz="0" w:space="0" w:color="auto"/>
          <w:lang w:val="es-ES_tradnl"/>
        </w:rPr>
        <w:t xml:space="preserve">por </w:t>
      </w:r>
      <w:r w:rsidR="00336412" w:rsidRPr="00DC278B">
        <w:rPr>
          <w:rFonts w:ascii="Cambria" w:eastAsia="Times New Roman" w:hAnsi="Cambria"/>
          <w:sz w:val="20"/>
          <w:szCs w:val="20"/>
          <w:bdr w:val="none" w:sz="0" w:space="0" w:color="auto"/>
          <w:lang w:val="es-ES_tradnl"/>
        </w:rPr>
        <w:t>su muerte</w:t>
      </w:r>
      <w:r w:rsidRPr="00DC278B">
        <w:rPr>
          <w:rFonts w:ascii="Cambria" w:eastAsia="Times New Roman" w:hAnsi="Cambria"/>
          <w:sz w:val="20"/>
          <w:szCs w:val="20"/>
          <w:bdr w:val="none" w:sz="0" w:space="0" w:color="auto"/>
          <w:vertAlign w:val="superscript"/>
          <w:lang w:val="es-ES_tradnl"/>
        </w:rPr>
        <w:footnoteReference w:id="106"/>
      </w:r>
      <w:r w:rsidR="00A44474">
        <w:rPr>
          <w:rFonts w:ascii="Cambria" w:eastAsia="Times New Roman" w:hAnsi="Cambria"/>
          <w:sz w:val="20"/>
          <w:szCs w:val="20"/>
          <w:bdr w:val="none" w:sz="0" w:space="0" w:color="auto"/>
          <w:lang w:val="es-ES_tradnl"/>
        </w:rPr>
        <w:t>.</w:t>
      </w:r>
      <w:r w:rsidR="00336412" w:rsidRPr="00DC278B">
        <w:rPr>
          <w:rFonts w:ascii="Cambria" w:eastAsia="Times New Roman" w:hAnsi="Cambria"/>
          <w:sz w:val="20"/>
          <w:szCs w:val="20"/>
          <w:bdr w:val="none" w:sz="0" w:space="0" w:color="auto"/>
          <w:lang w:val="es-ES_tradnl"/>
        </w:rPr>
        <w:t xml:space="preserve"> </w:t>
      </w:r>
      <w:r w:rsidRPr="00DC278B">
        <w:rPr>
          <w:rFonts w:ascii="Cambria" w:eastAsia="Times New Roman" w:hAnsi="Cambria"/>
          <w:sz w:val="20"/>
          <w:szCs w:val="20"/>
          <w:bdr w:val="none" w:sz="0" w:space="0" w:color="auto"/>
          <w:lang w:val="es-ES_tradnl"/>
        </w:rPr>
        <w:t xml:space="preserve">El 19 de junio de 2002, </w:t>
      </w:r>
      <w:r w:rsidR="00F62D1E" w:rsidRPr="00DC278B">
        <w:rPr>
          <w:rFonts w:ascii="Cambria" w:eastAsia="Times New Roman" w:hAnsi="Cambria"/>
          <w:sz w:val="20"/>
          <w:szCs w:val="20"/>
          <w:bdr w:val="none" w:sz="0" w:space="0" w:color="auto"/>
          <w:lang w:val="es-ES_tradnl"/>
        </w:rPr>
        <w:t>el 17º Juzgado Civil</w:t>
      </w:r>
      <w:r w:rsidRPr="00DC278B">
        <w:rPr>
          <w:rFonts w:ascii="Cambria" w:eastAsia="Times New Roman" w:hAnsi="Cambria"/>
          <w:sz w:val="20"/>
          <w:szCs w:val="20"/>
          <w:bdr w:val="none" w:sz="0" w:space="0" w:color="auto"/>
          <w:lang w:val="es-ES_tradnl"/>
        </w:rPr>
        <w:t>, aunque declaró probada la detención y desaparición de Rodolfo Espejo por agentes estatales, decidió negar las pretensiones de la demanda por considerar que la acción se encontraba prescrita</w:t>
      </w:r>
      <w:r w:rsidRPr="00DC278B">
        <w:rPr>
          <w:rFonts w:ascii="Cambria" w:eastAsia="Times New Roman" w:hAnsi="Cambria"/>
          <w:sz w:val="20"/>
          <w:szCs w:val="20"/>
          <w:bdr w:val="none" w:sz="0" w:space="0" w:color="auto"/>
          <w:vertAlign w:val="superscript"/>
          <w:lang w:val="es-ES_tradnl"/>
        </w:rPr>
        <w:footnoteReference w:id="107"/>
      </w:r>
      <w:r w:rsidR="00A44474">
        <w:rPr>
          <w:rFonts w:ascii="Cambria" w:eastAsia="Times New Roman" w:hAnsi="Cambria"/>
          <w:sz w:val="20"/>
          <w:szCs w:val="20"/>
          <w:bdr w:val="none" w:sz="0" w:space="0" w:color="auto"/>
          <w:lang w:val="es-ES_tradnl"/>
        </w:rPr>
        <w:t xml:space="preserve">. </w:t>
      </w:r>
      <w:r w:rsidRPr="00DC278B">
        <w:rPr>
          <w:rFonts w:ascii="Cambria" w:eastAsia="Times New Roman" w:hAnsi="Cambria"/>
          <w:sz w:val="20"/>
          <w:szCs w:val="20"/>
          <w:bdr w:val="none" w:sz="0" w:space="0" w:color="auto"/>
          <w:lang w:val="es-ES_tradnl"/>
        </w:rPr>
        <w:t>Al respecto, el juez señaló que los hechos ocurrieron el</w:t>
      </w:r>
      <w:r w:rsidR="00336412" w:rsidRPr="00DC278B">
        <w:rPr>
          <w:rFonts w:ascii="Cambria" w:eastAsia="Times New Roman" w:hAnsi="Cambria"/>
          <w:sz w:val="20"/>
          <w:szCs w:val="20"/>
          <w:bdr w:val="none" w:sz="0" w:space="0" w:color="auto"/>
          <w:lang w:val="es-ES_tradnl"/>
        </w:rPr>
        <w:t xml:space="preserve"> </w:t>
      </w:r>
      <w:r w:rsidRPr="00DC278B">
        <w:rPr>
          <w:rFonts w:ascii="Cambria" w:eastAsia="Times New Roman" w:hAnsi="Cambria"/>
          <w:sz w:val="20"/>
          <w:szCs w:val="20"/>
          <w:bdr w:val="none" w:sz="0" w:space="0" w:color="auto"/>
          <w:lang w:val="es-ES_tradnl"/>
        </w:rPr>
        <w:t>15 de agosto de 1974, por lo que había transcurrido en exceso el plazo de cuatro años previsto en el artículo 2</w:t>
      </w:r>
      <w:r w:rsidR="00F10EF7" w:rsidRPr="00DC278B">
        <w:rPr>
          <w:rFonts w:ascii="Cambria" w:eastAsia="Times New Roman" w:hAnsi="Cambria"/>
          <w:sz w:val="20"/>
          <w:szCs w:val="20"/>
          <w:bdr w:val="none" w:sz="0" w:space="0" w:color="auto"/>
          <w:lang w:val="es-ES_tradnl"/>
        </w:rPr>
        <w:t>.</w:t>
      </w:r>
      <w:r w:rsidRPr="00DC278B">
        <w:rPr>
          <w:rFonts w:ascii="Cambria" w:eastAsia="Times New Roman" w:hAnsi="Cambria"/>
          <w:sz w:val="20"/>
          <w:szCs w:val="20"/>
          <w:bdr w:val="none" w:sz="0" w:space="0" w:color="auto"/>
          <w:lang w:val="es-ES_tradnl"/>
        </w:rPr>
        <w:t>332</w:t>
      </w:r>
      <w:r w:rsidR="00336412" w:rsidRPr="00DC278B">
        <w:rPr>
          <w:rFonts w:ascii="Cambria" w:eastAsia="Times New Roman" w:hAnsi="Cambria"/>
          <w:sz w:val="20"/>
          <w:szCs w:val="20"/>
          <w:bdr w:val="none" w:sz="0" w:space="0" w:color="auto"/>
          <w:lang w:val="es-ES_tradnl"/>
        </w:rPr>
        <w:t xml:space="preserve"> del Código Civil</w:t>
      </w:r>
      <w:r w:rsidRPr="00DC278B">
        <w:rPr>
          <w:rFonts w:ascii="Cambria" w:eastAsia="Times New Roman" w:hAnsi="Cambria"/>
          <w:sz w:val="20"/>
          <w:szCs w:val="20"/>
          <w:bdr w:val="none" w:sz="0" w:space="0" w:color="auto"/>
          <w:vertAlign w:val="superscript"/>
          <w:lang w:val="es-ES_tradnl"/>
        </w:rPr>
        <w:footnoteReference w:id="108"/>
      </w:r>
      <w:r w:rsidR="00A44474">
        <w:rPr>
          <w:rFonts w:ascii="Cambria" w:eastAsia="Times New Roman" w:hAnsi="Cambria"/>
          <w:sz w:val="20"/>
          <w:szCs w:val="20"/>
          <w:bdr w:val="none" w:sz="0" w:space="0" w:color="auto"/>
          <w:lang w:val="es-ES_tradnl"/>
        </w:rPr>
        <w:t xml:space="preserve">. </w:t>
      </w:r>
      <w:r w:rsidRPr="00DC278B">
        <w:rPr>
          <w:rFonts w:ascii="Cambria" w:eastAsia="Times New Roman" w:hAnsi="Cambria"/>
          <w:sz w:val="20"/>
          <w:szCs w:val="20"/>
          <w:bdr w:val="none" w:sz="0" w:space="0" w:color="auto"/>
          <w:lang w:val="es-ES_tradnl"/>
        </w:rPr>
        <w:t xml:space="preserve">El 12 de junio de 2003, la </w:t>
      </w:r>
      <w:r w:rsidR="00336412" w:rsidRPr="00DC278B">
        <w:rPr>
          <w:rFonts w:ascii="Cambria" w:eastAsia="Times New Roman" w:hAnsi="Cambria"/>
          <w:sz w:val="20"/>
          <w:szCs w:val="20"/>
          <w:bdr w:val="none" w:sz="0" w:space="0" w:color="auto"/>
          <w:lang w:val="es-ES_tradnl"/>
        </w:rPr>
        <w:t xml:space="preserve">CAS </w:t>
      </w:r>
      <w:r w:rsidRPr="00DC278B">
        <w:rPr>
          <w:rFonts w:ascii="Cambria" w:eastAsia="Times New Roman" w:hAnsi="Cambria"/>
          <w:sz w:val="20"/>
          <w:szCs w:val="20"/>
          <w:bdr w:val="none" w:sz="0" w:space="0" w:color="auto"/>
          <w:lang w:val="es-ES_tradnl"/>
        </w:rPr>
        <w:t>declaró desierto el recurso de apelación</w:t>
      </w:r>
      <w:r w:rsidRPr="00DC278B">
        <w:rPr>
          <w:rFonts w:ascii="Cambria" w:eastAsia="Times New Roman" w:hAnsi="Cambria"/>
          <w:sz w:val="20"/>
          <w:szCs w:val="20"/>
          <w:bdr w:val="none" w:sz="0" w:space="0" w:color="auto"/>
          <w:vertAlign w:val="superscript"/>
          <w:lang w:val="es-ES_tradnl"/>
        </w:rPr>
        <w:footnoteReference w:id="109"/>
      </w:r>
      <w:r w:rsidRPr="00DC278B">
        <w:rPr>
          <w:rFonts w:ascii="Cambria" w:eastAsia="Times New Roman" w:hAnsi="Cambria"/>
          <w:sz w:val="20"/>
          <w:szCs w:val="20"/>
          <w:bdr w:val="none" w:sz="0" w:space="0" w:color="auto"/>
          <w:lang w:val="es-ES_tradnl"/>
        </w:rPr>
        <w:t xml:space="preserve">. </w:t>
      </w:r>
    </w:p>
    <w:p w:rsidR="009E4975" w:rsidRPr="00DC278B" w:rsidRDefault="009E4975" w:rsidP="00DC278B">
      <w:pPr>
        <w:pStyle w:val="MediumGrid1-Accent21"/>
        <w:rPr>
          <w:rFonts w:eastAsia="Times New Roman"/>
          <w:color w:val="auto"/>
          <w:sz w:val="20"/>
          <w:szCs w:val="20"/>
          <w:bdr w:val="none" w:sz="0" w:space="0" w:color="auto"/>
          <w:lang w:val="es-ES_tradnl"/>
        </w:rPr>
      </w:pPr>
    </w:p>
    <w:p w:rsidR="00C52032" w:rsidRPr="00DC278B" w:rsidRDefault="000E7F36" w:rsidP="00DC278B">
      <w:pPr>
        <w:pStyle w:val="Ttulo2"/>
        <w:ind w:left="1440" w:hanging="720"/>
      </w:pPr>
      <w:bookmarkStart w:id="23" w:name="_Toc413397478"/>
      <w:r w:rsidRPr="00DC278B">
        <w:t>H.</w:t>
      </w:r>
      <w:r w:rsidRPr="00DC278B">
        <w:tab/>
      </w:r>
      <w:r w:rsidR="00E5125E" w:rsidRPr="00DC278B">
        <w:t xml:space="preserve">Situación del grupo familiar de </w:t>
      </w:r>
      <w:r w:rsidR="00E02F88" w:rsidRPr="00DC278B">
        <w:t xml:space="preserve">Magdalena Navarrete </w:t>
      </w:r>
      <w:r w:rsidR="00C52032" w:rsidRPr="00DC278B">
        <w:t xml:space="preserve">y </w:t>
      </w:r>
      <w:r w:rsidR="00E5125E" w:rsidRPr="00DC278B">
        <w:t>su causa</w:t>
      </w:r>
      <w:r w:rsidR="00C52032" w:rsidRPr="00DC278B">
        <w:t xml:space="preserve"> contra </w:t>
      </w:r>
      <w:r w:rsidR="00E5125E" w:rsidRPr="00DC278B">
        <w:t xml:space="preserve">el </w:t>
      </w:r>
      <w:r w:rsidR="00C52032" w:rsidRPr="00DC278B">
        <w:t>Fisco de Chile</w:t>
      </w:r>
      <w:bookmarkEnd w:id="23"/>
    </w:p>
    <w:p w:rsidR="003037F0" w:rsidRPr="00DC278B" w:rsidRDefault="003037F0" w:rsidP="00DC278B">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sz w:val="20"/>
          <w:szCs w:val="20"/>
          <w:bdr w:val="none" w:sz="0" w:space="0" w:color="auto"/>
          <w:lang w:val="es-ES_tradnl"/>
        </w:rPr>
      </w:pPr>
    </w:p>
    <w:p w:rsidR="003037F0" w:rsidRPr="00DC278B" w:rsidRDefault="003037F0"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r w:rsidRPr="00DC278B">
        <w:rPr>
          <w:rFonts w:ascii="Cambria" w:eastAsia="Times New Roman" w:hAnsi="Cambria"/>
          <w:sz w:val="20"/>
          <w:szCs w:val="20"/>
          <w:lang w:val="es-ES"/>
        </w:rPr>
        <w:lastRenderedPageBreak/>
        <w:t xml:space="preserve">Según el Informe de la Comisión </w:t>
      </w:r>
      <w:proofErr w:type="spellStart"/>
      <w:r w:rsidRPr="00DC278B">
        <w:rPr>
          <w:rFonts w:ascii="Cambria" w:eastAsia="Times New Roman" w:hAnsi="Cambria"/>
          <w:sz w:val="20"/>
          <w:szCs w:val="20"/>
          <w:lang w:val="es-ES"/>
        </w:rPr>
        <w:t>Rettig</w:t>
      </w:r>
      <w:proofErr w:type="spellEnd"/>
      <w:r w:rsidRPr="00DC278B">
        <w:rPr>
          <w:rFonts w:ascii="Cambria" w:eastAsia="Times New Roman" w:hAnsi="Cambria"/>
          <w:sz w:val="20"/>
          <w:szCs w:val="20"/>
          <w:lang w:val="es-ES"/>
        </w:rPr>
        <w:t>, e</w:t>
      </w:r>
      <w:r w:rsidRPr="00DC278B">
        <w:rPr>
          <w:rFonts w:ascii="Cambria" w:eastAsia="Times New Roman" w:hAnsi="Cambria"/>
          <w:sz w:val="20"/>
          <w:szCs w:val="20"/>
          <w:bdr w:val="none" w:sz="0" w:space="0" w:color="auto"/>
          <w:lang w:val="es-ES_tradnl"/>
        </w:rPr>
        <w:t>l 16 de noviembre de 1974, Sergio Reyes, militante del Movimiento de Izquierda Revolucionaria (MIR), fue detenido en su domicilio por agentes de la DINA</w:t>
      </w:r>
      <w:r w:rsidRPr="00DC278B">
        <w:rPr>
          <w:rFonts w:ascii="Cambria" w:eastAsia="Times New Roman" w:hAnsi="Cambria"/>
          <w:sz w:val="20"/>
          <w:szCs w:val="20"/>
          <w:bdr w:val="none" w:sz="0" w:space="0" w:color="auto"/>
          <w:vertAlign w:val="superscript"/>
          <w:lang w:val="es-ES_tradnl"/>
        </w:rPr>
        <w:footnoteReference w:id="110"/>
      </w:r>
      <w:r w:rsidR="00A44474">
        <w:rPr>
          <w:rFonts w:ascii="Cambria" w:eastAsia="Times New Roman" w:hAnsi="Cambria"/>
          <w:sz w:val="20"/>
          <w:szCs w:val="20"/>
          <w:bdr w:val="none" w:sz="0" w:space="0" w:color="auto"/>
          <w:lang w:val="es-ES_tradnl"/>
        </w:rPr>
        <w:t xml:space="preserve">. </w:t>
      </w:r>
      <w:r w:rsidRPr="00DC278B">
        <w:rPr>
          <w:rFonts w:ascii="Cambria" w:eastAsia="Times New Roman" w:hAnsi="Cambria"/>
          <w:sz w:val="20"/>
          <w:szCs w:val="20"/>
          <w:bdr w:val="none" w:sz="0" w:space="0" w:color="auto"/>
          <w:lang w:val="es-ES_tradnl"/>
        </w:rPr>
        <w:t xml:space="preserve">El detenido desapareció </w:t>
      </w:r>
      <w:r w:rsidR="00544570" w:rsidRPr="00DC278B">
        <w:rPr>
          <w:rFonts w:ascii="Cambria" w:eastAsia="Times New Roman" w:hAnsi="Cambria"/>
          <w:sz w:val="20"/>
          <w:szCs w:val="20"/>
          <w:bdr w:val="none" w:sz="0" w:space="0" w:color="auto"/>
          <w:lang w:val="es-ES_tradnl"/>
        </w:rPr>
        <w:t xml:space="preserve">desde entonces </w:t>
      </w:r>
      <w:r w:rsidRPr="00DC278B">
        <w:rPr>
          <w:rFonts w:ascii="Cambria" w:eastAsia="Times New Roman" w:hAnsi="Cambria"/>
          <w:sz w:val="20"/>
          <w:szCs w:val="20"/>
          <w:bdr w:val="none" w:sz="0" w:space="0" w:color="auto"/>
          <w:lang w:val="es-ES_tradnl"/>
        </w:rPr>
        <w:t>sin que haya antecedentes ciertos sobre su permanencia en recintos de detención</w:t>
      </w:r>
      <w:r w:rsidRPr="00DC278B">
        <w:rPr>
          <w:rFonts w:ascii="Cambria" w:eastAsia="Times New Roman" w:hAnsi="Cambria"/>
          <w:sz w:val="20"/>
          <w:szCs w:val="20"/>
          <w:bdr w:val="none" w:sz="0" w:space="0" w:color="auto"/>
          <w:vertAlign w:val="superscript"/>
          <w:lang w:val="es-ES_tradnl"/>
        </w:rPr>
        <w:footnoteReference w:id="111"/>
      </w:r>
      <w:r w:rsidRPr="00DC278B">
        <w:rPr>
          <w:rFonts w:ascii="Cambria" w:eastAsia="Times New Roman" w:hAnsi="Cambria"/>
          <w:sz w:val="20"/>
          <w:szCs w:val="20"/>
          <w:bdr w:val="none" w:sz="0" w:space="0" w:color="auto"/>
          <w:lang w:val="es-ES_tradnl"/>
        </w:rPr>
        <w:t>.</w:t>
      </w:r>
      <w:r w:rsidR="00A44474">
        <w:rPr>
          <w:rFonts w:ascii="Cambria" w:eastAsia="Times New Roman" w:hAnsi="Cambria"/>
          <w:sz w:val="20"/>
          <w:szCs w:val="20"/>
          <w:bdr w:val="none" w:sz="0" w:space="0" w:color="auto"/>
          <w:lang w:val="es-ES_tradnl"/>
        </w:rPr>
        <w:t xml:space="preserve"> </w:t>
      </w:r>
      <w:r w:rsidR="000D6940" w:rsidRPr="00DC278B">
        <w:rPr>
          <w:rFonts w:ascii="Cambria" w:eastAsia="Times New Roman" w:hAnsi="Cambria"/>
          <w:sz w:val="20"/>
          <w:szCs w:val="20"/>
          <w:bdr w:val="none" w:sz="0" w:space="0" w:color="auto"/>
          <w:lang w:val="es-ES_tradnl"/>
        </w:rPr>
        <w:t xml:space="preserve">La Comisión </w:t>
      </w:r>
      <w:proofErr w:type="spellStart"/>
      <w:r w:rsidR="000D6940" w:rsidRPr="00DC278B">
        <w:rPr>
          <w:rFonts w:ascii="Cambria" w:eastAsia="Times New Roman" w:hAnsi="Cambria"/>
          <w:sz w:val="20"/>
          <w:szCs w:val="20"/>
          <w:bdr w:val="none" w:sz="0" w:space="0" w:color="auto"/>
          <w:lang w:val="es-ES_tradnl"/>
        </w:rPr>
        <w:t>Rettig</w:t>
      </w:r>
      <w:proofErr w:type="spellEnd"/>
      <w:r w:rsidR="000D6940" w:rsidRPr="00DC278B">
        <w:rPr>
          <w:rFonts w:ascii="Cambria" w:eastAsia="Times New Roman" w:hAnsi="Cambria"/>
          <w:sz w:val="20"/>
          <w:szCs w:val="20"/>
          <w:bdr w:val="none" w:sz="0" w:space="0" w:color="auto"/>
          <w:lang w:val="es-ES_tradnl"/>
        </w:rPr>
        <w:t xml:space="preserve"> llegó a la convicción de que la víctima desapareció por acci</w:t>
      </w:r>
      <w:r w:rsidR="00DD0BBA" w:rsidRPr="00DC278B">
        <w:rPr>
          <w:rFonts w:ascii="Cambria" w:eastAsia="Times New Roman" w:hAnsi="Cambria"/>
          <w:sz w:val="20"/>
          <w:szCs w:val="20"/>
          <w:bdr w:val="none" w:sz="0" w:space="0" w:color="auto"/>
          <w:lang w:val="es-ES_tradnl"/>
        </w:rPr>
        <w:t>ón de agentes del Estado, e</w:t>
      </w:r>
      <w:r w:rsidR="000D6940" w:rsidRPr="00DC278B">
        <w:rPr>
          <w:rFonts w:ascii="Cambria" w:eastAsia="Times New Roman" w:hAnsi="Cambria"/>
          <w:sz w:val="20"/>
          <w:szCs w:val="20"/>
          <w:bdr w:val="none" w:sz="0" w:space="0" w:color="auto"/>
          <w:lang w:val="es-ES_tradnl"/>
        </w:rPr>
        <w:t>n violación de sus derechos humanos</w:t>
      </w:r>
      <w:r w:rsidR="000D6940" w:rsidRPr="00DC278B">
        <w:rPr>
          <w:rFonts w:ascii="Cambria" w:eastAsia="Times New Roman" w:hAnsi="Cambria"/>
          <w:sz w:val="20"/>
          <w:szCs w:val="20"/>
          <w:bdr w:val="none" w:sz="0" w:space="0" w:color="auto"/>
          <w:vertAlign w:val="superscript"/>
          <w:lang w:val="es-ES_tradnl"/>
        </w:rPr>
        <w:footnoteReference w:id="112"/>
      </w:r>
      <w:r w:rsidR="000D6940" w:rsidRPr="00DC278B">
        <w:rPr>
          <w:rFonts w:ascii="Cambria" w:eastAsia="Times New Roman" w:hAnsi="Cambria"/>
          <w:sz w:val="20"/>
          <w:szCs w:val="20"/>
          <w:bdr w:val="none" w:sz="0" w:space="0" w:color="auto"/>
          <w:lang w:val="es-ES_tradnl"/>
        </w:rPr>
        <w:t>.</w:t>
      </w:r>
    </w:p>
    <w:p w:rsidR="003037F0" w:rsidRPr="00DC278B" w:rsidRDefault="003037F0" w:rsidP="00DC278B">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sz w:val="20"/>
          <w:szCs w:val="20"/>
          <w:bdr w:val="none" w:sz="0" w:space="0" w:color="auto"/>
          <w:lang w:val="es-ES_tradnl"/>
        </w:rPr>
      </w:pPr>
    </w:p>
    <w:p w:rsidR="00C247B9" w:rsidRPr="00DC278B" w:rsidRDefault="002F0FB2"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r w:rsidRPr="00DC278B">
        <w:rPr>
          <w:rFonts w:ascii="Cambria" w:eastAsia="Times New Roman" w:hAnsi="Cambria"/>
          <w:sz w:val="20"/>
          <w:szCs w:val="20"/>
          <w:bdr w:val="none" w:sz="0" w:space="0" w:color="auto"/>
          <w:lang w:val="es-ES_tradnl"/>
        </w:rPr>
        <w:t xml:space="preserve">Mediante la Ley 19.123 de 1992, </w:t>
      </w:r>
      <w:r w:rsidR="00E02F88" w:rsidRPr="00DC278B">
        <w:rPr>
          <w:rFonts w:ascii="Cambria" w:eastAsia="Times New Roman" w:hAnsi="Cambria"/>
          <w:sz w:val="20"/>
          <w:szCs w:val="20"/>
          <w:bdr w:val="none" w:sz="0" w:space="0" w:color="auto"/>
          <w:lang w:val="es-ES_tradnl"/>
        </w:rPr>
        <w:t>Magdalena Navarrete</w:t>
      </w:r>
      <w:r w:rsidR="003037F0" w:rsidRPr="00DC278B">
        <w:rPr>
          <w:rFonts w:ascii="Cambria" w:eastAsia="Times New Roman" w:hAnsi="Cambria"/>
          <w:sz w:val="20"/>
          <w:szCs w:val="20"/>
          <w:bdr w:val="none" w:sz="0" w:space="0" w:color="auto"/>
          <w:lang w:val="es-ES_tradnl"/>
        </w:rPr>
        <w:t xml:space="preserve">, </w:t>
      </w:r>
      <w:r w:rsidR="00C247B9" w:rsidRPr="00DC278B">
        <w:rPr>
          <w:rFonts w:ascii="Cambria" w:eastAsia="Times New Roman" w:hAnsi="Cambria"/>
          <w:sz w:val="20"/>
          <w:szCs w:val="20"/>
          <w:bdr w:val="none" w:sz="0" w:space="0" w:color="auto"/>
          <w:lang w:val="es-ES_tradnl"/>
        </w:rPr>
        <w:t>madre de la víctima, percibió bonificación compensatoria y su pensión rige desde el 1 de julio de 1991 y corresponde a 360.674 Pesos chilenos mensuales</w:t>
      </w:r>
      <w:r w:rsidR="00D45802" w:rsidRPr="00DC278B">
        <w:rPr>
          <w:rFonts w:ascii="Cambria" w:hAnsi="Cambria"/>
          <w:sz w:val="20"/>
          <w:szCs w:val="20"/>
          <w:bdr w:val="none" w:sz="0" w:space="0" w:color="auto"/>
          <w:vertAlign w:val="superscript"/>
          <w:lang w:val="es-ES_tradnl"/>
        </w:rPr>
        <w:footnoteReference w:id="113"/>
      </w:r>
      <w:r w:rsidR="00A44474">
        <w:rPr>
          <w:rFonts w:ascii="Cambria" w:eastAsia="Times New Roman" w:hAnsi="Cambria"/>
          <w:sz w:val="20"/>
          <w:szCs w:val="20"/>
          <w:bdr w:val="none" w:sz="0" w:space="0" w:color="auto"/>
          <w:lang w:val="es-ES_tradnl"/>
        </w:rPr>
        <w:t xml:space="preserve">. </w:t>
      </w:r>
      <w:r w:rsidR="00C247B9" w:rsidRPr="00DC278B">
        <w:rPr>
          <w:rFonts w:ascii="Cambria" w:eastAsia="Times New Roman" w:hAnsi="Cambria"/>
          <w:sz w:val="20"/>
          <w:szCs w:val="20"/>
          <w:bdr w:val="none" w:sz="0" w:space="0" w:color="auto"/>
          <w:lang w:val="es-ES_tradnl"/>
        </w:rPr>
        <w:t>Asimismo, María Elisa Zepeda Rojas, esposa de la víctima, percibió bonificación compensatoria y su pensión rige desde el 1˚ de julio de 1991 y corresponde al 40% de 504.945 Pesos chilenos.</w:t>
      </w:r>
      <w:r w:rsidR="00D45802" w:rsidRPr="00DC278B">
        <w:rPr>
          <w:rFonts w:ascii="Cambria" w:eastAsia="Times New Roman" w:hAnsi="Cambria"/>
          <w:sz w:val="20"/>
          <w:szCs w:val="20"/>
          <w:bdr w:val="none" w:sz="0" w:space="0" w:color="auto"/>
          <w:lang w:val="es-ES_tradnl"/>
        </w:rPr>
        <w:t xml:space="preserve">  El hijo de la víctima percibió bono compensatorio y pensión</w:t>
      </w:r>
      <w:r w:rsidR="00D45802" w:rsidRPr="00DC278B">
        <w:rPr>
          <w:rFonts w:ascii="Cambria" w:hAnsi="Cambria"/>
          <w:sz w:val="20"/>
          <w:szCs w:val="20"/>
          <w:bdr w:val="none" w:sz="0" w:space="0" w:color="auto"/>
          <w:vertAlign w:val="superscript"/>
          <w:lang w:val="es-ES_tradnl"/>
        </w:rPr>
        <w:footnoteReference w:id="114"/>
      </w:r>
      <w:r w:rsidR="00D45802" w:rsidRPr="00DC278B">
        <w:rPr>
          <w:rFonts w:ascii="Cambria" w:eastAsia="Times New Roman" w:hAnsi="Cambria"/>
          <w:sz w:val="20"/>
          <w:szCs w:val="20"/>
          <w:bdr w:val="none" w:sz="0" w:space="0" w:color="auto"/>
          <w:lang w:val="es-ES_tradnl"/>
        </w:rPr>
        <w:t>.</w:t>
      </w:r>
      <w:r w:rsidR="00A44474">
        <w:rPr>
          <w:rFonts w:ascii="Cambria" w:eastAsia="Times New Roman" w:hAnsi="Cambria"/>
          <w:sz w:val="20"/>
          <w:szCs w:val="20"/>
          <w:bdr w:val="none" w:sz="0" w:space="0" w:color="auto"/>
          <w:lang w:val="es-ES_tradnl"/>
        </w:rPr>
        <w:t xml:space="preserve"> </w:t>
      </w:r>
      <w:r w:rsidR="00711F99" w:rsidRPr="00DC278B">
        <w:rPr>
          <w:rFonts w:ascii="Cambria" w:eastAsia="Times New Roman" w:hAnsi="Cambria"/>
          <w:sz w:val="20"/>
          <w:szCs w:val="20"/>
          <w:bdr w:val="none" w:sz="0" w:space="0" w:color="auto"/>
          <w:lang w:val="es-ES_tradnl"/>
        </w:rPr>
        <w:t>Las partes no han informado si Alberto, Patricio Hernán y Víctor Eduardo Reyes Navarrete, hermanos de la víctima, reciben reparaciones.</w:t>
      </w:r>
    </w:p>
    <w:p w:rsidR="002F0FB2" w:rsidRPr="00DC278B" w:rsidRDefault="002F0FB2" w:rsidP="00DC278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p>
    <w:p w:rsidR="003037F0" w:rsidRPr="00DC278B" w:rsidRDefault="003037F0"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r w:rsidRPr="00DC278B">
        <w:rPr>
          <w:rFonts w:ascii="Cambria" w:eastAsia="Times New Roman" w:hAnsi="Cambria"/>
          <w:sz w:val="20"/>
          <w:szCs w:val="20"/>
          <w:bdr w:val="none" w:sz="0" w:space="0" w:color="auto"/>
          <w:lang w:val="es-ES_tradnl"/>
        </w:rPr>
        <w:t xml:space="preserve">El 28 de julio de 2000, </w:t>
      </w:r>
      <w:r w:rsidR="00BB49EB" w:rsidRPr="00DC278B">
        <w:rPr>
          <w:rFonts w:ascii="Cambria" w:eastAsia="Times New Roman" w:hAnsi="Cambria"/>
          <w:sz w:val="20"/>
          <w:szCs w:val="20"/>
          <w:bdr w:val="none" w:sz="0" w:space="0" w:color="auto"/>
          <w:lang w:val="es-ES_tradnl"/>
        </w:rPr>
        <w:t>la madre</w:t>
      </w:r>
      <w:r w:rsidRPr="00DC278B">
        <w:rPr>
          <w:rFonts w:ascii="Cambria" w:eastAsia="Times New Roman" w:hAnsi="Cambria"/>
          <w:sz w:val="20"/>
          <w:szCs w:val="20"/>
          <w:bdr w:val="none" w:sz="0" w:space="0" w:color="auto"/>
          <w:lang w:val="es-ES_tradnl"/>
        </w:rPr>
        <w:t xml:space="preserve"> y Jorge Alberto</w:t>
      </w:r>
      <w:r w:rsidR="002A4AF0" w:rsidRPr="00DC278B">
        <w:rPr>
          <w:rFonts w:ascii="Cambria" w:eastAsia="Times New Roman" w:hAnsi="Cambria"/>
          <w:sz w:val="20"/>
          <w:szCs w:val="20"/>
          <w:bdr w:val="none" w:sz="0" w:space="0" w:color="auto"/>
          <w:lang w:val="es-ES_tradnl"/>
        </w:rPr>
        <w:t>, Víctor Eduardo y</w:t>
      </w:r>
      <w:r w:rsidRPr="00DC278B">
        <w:rPr>
          <w:rFonts w:ascii="Cambria" w:eastAsia="Times New Roman" w:hAnsi="Cambria"/>
          <w:sz w:val="20"/>
          <w:szCs w:val="20"/>
          <w:bdr w:val="none" w:sz="0" w:space="0" w:color="auto"/>
          <w:lang w:val="es-ES_tradnl"/>
        </w:rPr>
        <w:t xml:space="preserve"> Patricio Hernán Reyes Navarrete</w:t>
      </w:r>
      <w:r w:rsidR="00BB49EB" w:rsidRPr="00DC278B">
        <w:rPr>
          <w:rFonts w:ascii="Cambria" w:eastAsia="Times New Roman" w:hAnsi="Cambria"/>
          <w:sz w:val="20"/>
          <w:szCs w:val="20"/>
          <w:bdr w:val="none" w:sz="0" w:space="0" w:color="auto"/>
          <w:lang w:val="es-ES_tradnl"/>
        </w:rPr>
        <w:t>, hermanos de la víctima</w:t>
      </w:r>
      <w:r w:rsidRPr="00DC278B">
        <w:rPr>
          <w:rFonts w:ascii="Cambria" w:eastAsia="Times New Roman" w:hAnsi="Cambria"/>
          <w:sz w:val="20"/>
          <w:szCs w:val="20"/>
          <w:bdr w:val="none" w:sz="0" w:space="0" w:color="auto"/>
          <w:lang w:val="es-ES_tradnl"/>
        </w:rPr>
        <w:t xml:space="preserve">, presentaron una demanda </w:t>
      </w:r>
      <w:r w:rsidR="009C777D" w:rsidRPr="00DC278B">
        <w:rPr>
          <w:rFonts w:ascii="Cambria" w:eastAsia="Times New Roman" w:hAnsi="Cambria"/>
          <w:sz w:val="20"/>
          <w:szCs w:val="20"/>
          <w:bdr w:val="none" w:sz="0" w:space="0" w:color="auto"/>
          <w:lang w:val="es-ES_tradnl"/>
        </w:rPr>
        <w:t xml:space="preserve">civil de indemnización de perjuicios </w:t>
      </w:r>
      <w:r w:rsidR="00BB49EB" w:rsidRPr="00DC278B">
        <w:rPr>
          <w:rFonts w:ascii="Cambria" w:eastAsia="Times New Roman" w:hAnsi="Cambria"/>
          <w:sz w:val="20"/>
          <w:szCs w:val="20"/>
          <w:bdr w:val="none" w:sz="0" w:space="0" w:color="auto"/>
          <w:lang w:val="es-ES_tradnl"/>
        </w:rPr>
        <w:t>por el daño moral causado por su detención y desaparición</w:t>
      </w:r>
      <w:r w:rsidRPr="00DC278B">
        <w:rPr>
          <w:rFonts w:ascii="Cambria" w:eastAsia="Times New Roman" w:hAnsi="Cambria"/>
          <w:sz w:val="20"/>
          <w:szCs w:val="20"/>
          <w:bdr w:val="none" w:sz="0" w:space="0" w:color="auto"/>
          <w:vertAlign w:val="superscript"/>
          <w:lang w:val="es-ES_tradnl"/>
        </w:rPr>
        <w:footnoteReference w:id="115"/>
      </w:r>
      <w:r w:rsidR="00A44474">
        <w:rPr>
          <w:rFonts w:ascii="Cambria" w:eastAsia="Times New Roman" w:hAnsi="Cambria"/>
          <w:sz w:val="20"/>
          <w:szCs w:val="20"/>
          <w:bdr w:val="none" w:sz="0" w:space="0" w:color="auto"/>
          <w:lang w:val="es-ES_tradnl"/>
        </w:rPr>
        <w:t>.</w:t>
      </w:r>
      <w:r w:rsidRPr="00DC278B">
        <w:rPr>
          <w:rFonts w:ascii="Cambria" w:eastAsia="Times New Roman" w:hAnsi="Cambria"/>
          <w:sz w:val="20"/>
          <w:szCs w:val="20"/>
          <w:bdr w:val="none" w:sz="0" w:space="0" w:color="auto"/>
          <w:lang w:val="es-ES_tradnl"/>
        </w:rPr>
        <w:t xml:space="preserve"> El 19 de junio de 2002, el 17º Juzgado Civil</w:t>
      </w:r>
      <w:r w:rsidR="00BB49EB" w:rsidRPr="00DC278B">
        <w:rPr>
          <w:rFonts w:ascii="Cambria" w:eastAsia="Times New Roman" w:hAnsi="Cambria"/>
          <w:sz w:val="20"/>
          <w:szCs w:val="20"/>
          <w:bdr w:val="none" w:sz="0" w:space="0" w:color="auto"/>
          <w:lang w:val="es-ES_tradnl"/>
        </w:rPr>
        <w:t>, aunque declaró probada su</w:t>
      </w:r>
      <w:r w:rsidRPr="00DC278B">
        <w:rPr>
          <w:rFonts w:ascii="Cambria" w:eastAsia="Times New Roman" w:hAnsi="Cambria"/>
          <w:sz w:val="20"/>
          <w:szCs w:val="20"/>
          <w:bdr w:val="none" w:sz="0" w:space="0" w:color="auto"/>
          <w:lang w:val="es-ES_tradnl"/>
        </w:rPr>
        <w:t xml:space="preserve"> detención y desaparición por agentes es</w:t>
      </w:r>
      <w:r w:rsidR="00BB49EB" w:rsidRPr="00DC278B">
        <w:rPr>
          <w:rFonts w:ascii="Cambria" w:eastAsia="Times New Roman" w:hAnsi="Cambria"/>
          <w:sz w:val="20"/>
          <w:szCs w:val="20"/>
          <w:bdr w:val="none" w:sz="0" w:space="0" w:color="auto"/>
          <w:lang w:val="es-ES_tradnl"/>
        </w:rPr>
        <w:t>tatales</w:t>
      </w:r>
      <w:r w:rsidRPr="00DC278B">
        <w:rPr>
          <w:rFonts w:ascii="Cambria" w:eastAsia="Times New Roman" w:hAnsi="Cambria"/>
          <w:sz w:val="20"/>
          <w:szCs w:val="20"/>
          <w:bdr w:val="none" w:sz="0" w:space="0" w:color="auto"/>
          <w:lang w:val="es-ES_tradnl"/>
        </w:rPr>
        <w:t>, estableció que el término para contar la fecha de prescripción corr</w:t>
      </w:r>
      <w:r w:rsidR="00BB49EB" w:rsidRPr="00DC278B">
        <w:rPr>
          <w:rFonts w:ascii="Cambria" w:eastAsia="Times New Roman" w:hAnsi="Cambria"/>
          <w:sz w:val="20"/>
          <w:szCs w:val="20"/>
          <w:bdr w:val="none" w:sz="0" w:space="0" w:color="auto"/>
          <w:lang w:val="es-ES_tradnl"/>
        </w:rPr>
        <w:t xml:space="preserve">ía desde 1974 y consideró que </w:t>
      </w:r>
      <w:r w:rsidRPr="00DC278B">
        <w:rPr>
          <w:rFonts w:ascii="Cambria" w:eastAsia="Times New Roman" w:hAnsi="Cambria"/>
          <w:sz w:val="20"/>
          <w:szCs w:val="20"/>
          <w:bdr w:val="none" w:sz="0" w:space="0" w:color="auto"/>
          <w:lang w:val="es-ES_tradnl"/>
        </w:rPr>
        <w:t>se había sobrepasado el plazo de cuatro años previsto en el artículo 2.332 del Código Civil</w:t>
      </w:r>
      <w:r w:rsidRPr="00DC278B">
        <w:rPr>
          <w:rFonts w:ascii="Cambria" w:eastAsia="Times New Roman" w:hAnsi="Cambria"/>
          <w:sz w:val="20"/>
          <w:szCs w:val="20"/>
          <w:bdr w:val="none" w:sz="0" w:space="0" w:color="auto"/>
          <w:vertAlign w:val="superscript"/>
          <w:lang w:val="es-ES_tradnl"/>
        </w:rPr>
        <w:footnoteReference w:id="116"/>
      </w:r>
      <w:r w:rsidR="00A44474">
        <w:rPr>
          <w:rFonts w:ascii="Cambria" w:eastAsia="Times New Roman" w:hAnsi="Cambria"/>
          <w:sz w:val="20"/>
          <w:szCs w:val="20"/>
          <w:bdr w:val="none" w:sz="0" w:space="0" w:color="auto"/>
          <w:lang w:val="es-ES_tradnl"/>
        </w:rPr>
        <w:t xml:space="preserve">. </w:t>
      </w:r>
      <w:r w:rsidR="00BB49EB" w:rsidRPr="00DC278B">
        <w:rPr>
          <w:rFonts w:ascii="Cambria" w:eastAsia="Times New Roman" w:hAnsi="Cambria"/>
          <w:sz w:val="20"/>
          <w:szCs w:val="20"/>
          <w:bdr w:val="none" w:sz="0" w:space="0" w:color="auto"/>
          <w:lang w:val="es-ES_tradnl"/>
        </w:rPr>
        <w:t>El fallo fue apelado</w:t>
      </w:r>
      <w:r w:rsidR="000A2C5F" w:rsidRPr="00DC278B">
        <w:rPr>
          <w:rStyle w:val="Refdenotaalpie"/>
          <w:rFonts w:ascii="Cambria" w:eastAsia="Times New Roman" w:hAnsi="Cambria"/>
          <w:sz w:val="20"/>
          <w:szCs w:val="20"/>
          <w:bdr w:val="none" w:sz="0" w:space="0" w:color="auto"/>
          <w:lang w:val="es-ES_tradnl"/>
        </w:rPr>
        <w:footnoteReference w:id="117"/>
      </w:r>
      <w:r w:rsidR="00BF3461" w:rsidRPr="00DC278B">
        <w:rPr>
          <w:rFonts w:ascii="Cambria" w:eastAsia="Times New Roman" w:hAnsi="Cambria"/>
          <w:sz w:val="20"/>
          <w:szCs w:val="20"/>
          <w:bdr w:val="none" w:sz="0" w:space="0" w:color="auto"/>
          <w:lang w:val="es-ES_tradnl"/>
        </w:rPr>
        <w:t xml:space="preserve">, y </w:t>
      </w:r>
      <w:r w:rsidRPr="00DC278B">
        <w:rPr>
          <w:rFonts w:ascii="Cambria" w:eastAsia="Times New Roman" w:hAnsi="Cambria"/>
          <w:sz w:val="20"/>
          <w:szCs w:val="20"/>
          <w:bdr w:val="none" w:sz="0" w:space="0" w:color="auto"/>
          <w:lang w:val="es-ES_tradnl"/>
        </w:rPr>
        <w:t xml:space="preserve">el recurso </w:t>
      </w:r>
      <w:r w:rsidR="00BB49EB" w:rsidRPr="00DC278B">
        <w:rPr>
          <w:rFonts w:ascii="Cambria" w:eastAsia="Times New Roman" w:hAnsi="Cambria"/>
          <w:sz w:val="20"/>
          <w:szCs w:val="20"/>
          <w:bdr w:val="none" w:sz="0" w:space="0" w:color="auto"/>
          <w:lang w:val="es-ES_tradnl"/>
        </w:rPr>
        <w:t xml:space="preserve">de apelación </w:t>
      </w:r>
      <w:r w:rsidRPr="00DC278B">
        <w:rPr>
          <w:rFonts w:ascii="Cambria" w:eastAsia="Times New Roman" w:hAnsi="Cambria"/>
          <w:sz w:val="20"/>
          <w:szCs w:val="20"/>
          <w:bdr w:val="none" w:sz="0" w:space="0" w:color="auto"/>
          <w:lang w:val="es-ES_tradnl"/>
        </w:rPr>
        <w:t>fue declarado desierto por la</w:t>
      </w:r>
      <w:r w:rsidR="00BB49EB" w:rsidRPr="00DC278B">
        <w:rPr>
          <w:rFonts w:ascii="Cambria" w:eastAsia="Times New Roman" w:hAnsi="Cambria"/>
          <w:sz w:val="20"/>
          <w:szCs w:val="20"/>
          <w:bdr w:val="none" w:sz="0" w:space="0" w:color="auto"/>
          <w:lang w:val="es-ES_tradnl"/>
        </w:rPr>
        <w:t xml:space="preserve"> CAS</w:t>
      </w:r>
      <w:r w:rsidR="001D5CAE" w:rsidRPr="00DC278B">
        <w:rPr>
          <w:rFonts w:ascii="Cambria" w:eastAsia="Times New Roman" w:hAnsi="Cambria"/>
          <w:sz w:val="20"/>
          <w:szCs w:val="20"/>
          <w:bdr w:val="none" w:sz="0" w:space="0" w:color="auto"/>
          <w:lang w:val="es-ES_tradnl"/>
        </w:rPr>
        <w:t xml:space="preserve"> y el 26 de junio de 2003 se dictó orden de “cúmplase”</w:t>
      </w:r>
      <w:r w:rsidR="001D5CAE" w:rsidRPr="00DC278B">
        <w:rPr>
          <w:rStyle w:val="Refdenotaalpie"/>
          <w:rFonts w:ascii="Cambria" w:eastAsia="Times New Roman" w:hAnsi="Cambria"/>
          <w:sz w:val="20"/>
          <w:szCs w:val="20"/>
          <w:bdr w:val="none" w:sz="0" w:space="0" w:color="auto"/>
          <w:lang w:val="es-ES_tradnl"/>
        </w:rPr>
        <w:footnoteReference w:id="118"/>
      </w:r>
      <w:r w:rsidR="00341959" w:rsidRPr="00DC278B">
        <w:rPr>
          <w:rFonts w:ascii="Cambria" w:eastAsia="Times New Roman" w:hAnsi="Cambria"/>
          <w:sz w:val="20"/>
          <w:szCs w:val="20"/>
          <w:bdr w:val="none" w:sz="0" w:space="0" w:color="auto"/>
          <w:lang w:val="es-ES_tradnl"/>
        </w:rPr>
        <w:t>.</w:t>
      </w:r>
    </w:p>
    <w:p w:rsidR="002F0FB2" w:rsidRPr="00DC278B" w:rsidRDefault="002F0FB2" w:rsidP="00DC278B">
      <w:pPr>
        <w:pStyle w:val="MediumGrid1-Accent21"/>
        <w:rPr>
          <w:rFonts w:eastAsia="Times New Roman"/>
          <w:color w:val="auto"/>
          <w:sz w:val="20"/>
          <w:szCs w:val="20"/>
          <w:bdr w:val="none" w:sz="0" w:space="0" w:color="auto"/>
          <w:lang w:val="es-ES_tradnl"/>
        </w:rPr>
      </w:pPr>
    </w:p>
    <w:p w:rsidR="000126EF" w:rsidRPr="00DC278B" w:rsidRDefault="001302EC" w:rsidP="00DC278B">
      <w:pPr>
        <w:pStyle w:val="Ttulo1"/>
      </w:pPr>
      <w:bookmarkStart w:id="24" w:name="_Toc413397479"/>
      <w:r w:rsidRPr="00DC278B">
        <w:t>ANALISIS DE DERECHO</w:t>
      </w:r>
      <w:bookmarkEnd w:id="24"/>
    </w:p>
    <w:p w:rsidR="000126EF" w:rsidRPr="00DC278B" w:rsidRDefault="000126EF" w:rsidP="00DC278B">
      <w:pPr>
        <w:tabs>
          <w:tab w:val="left" w:pos="1440"/>
        </w:tabs>
        <w:ind w:left="1440" w:hanging="720"/>
        <w:rPr>
          <w:rFonts w:ascii="Cambria" w:hAnsi="Cambria"/>
          <w:sz w:val="20"/>
          <w:szCs w:val="20"/>
          <w:lang w:val="es-ES_tradnl"/>
        </w:rPr>
      </w:pPr>
    </w:p>
    <w:p w:rsidR="000126EF" w:rsidRPr="00DC278B" w:rsidRDefault="000126EF" w:rsidP="00DC278B">
      <w:pPr>
        <w:numPr>
          <w:ilvl w:val="1"/>
          <w:numId w:val="59"/>
        </w:numPr>
        <w:tabs>
          <w:tab w:val="left" w:pos="1440"/>
        </w:tabs>
        <w:ind w:left="1440" w:hanging="720"/>
        <w:rPr>
          <w:rFonts w:ascii="Cambria" w:hAnsi="Cambria"/>
          <w:b/>
          <w:sz w:val="20"/>
          <w:szCs w:val="20"/>
          <w:lang w:val="es-ES_tradnl"/>
        </w:rPr>
      </w:pPr>
      <w:r w:rsidRPr="00DC278B">
        <w:rPr>
          <w:rFonts w:ascii="Cambria" w:hAnsi="Cambria"/>
          <w:b/>
          <w:sz w:val="20"/>
          <w:szCs w:val="20"/>
          <w:lang w:val="es-ES_tradnl"/>
        </w:rPr>
        <w:t>Derechos a las garantías judiciales y protección judicial (Artículos 8.1 y 25.1 de la Convención en relación con los artículos 1.1 y 2 del mismo instrumento)</w:t>
      </w:r>
    </w:p>
    <w:p w:rsidR="000126EF" w:rsidRPr="00DC278B" w:rsidRDefault="000126EF" w:rsidP="00DC278B">
      <w:pPr>
        <w:pStyle w:val="MediumGrid1-Accent21"/>
        <w:ind w:left="0"/>
        <w:rPr>
          <w:rFonts w:eastAsia="Times New Roman"/>
          <w:color w:val="auto"/>
          <w:sz w:val="20"/>
          <w:szCs w:val="20"/>
          <w:bdr w:val="none" w:sz="0" w:space="0" w:color="auto"/>
          <w:lang w:val="es-ES_tradnl"/>
        </w:rPr>
      </w:pPr>
    </w:p>
    <w:p w:rsidR="003039F4" w:rsidRPr="00DC278B" w:rsidRDefault="003039F4"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r w:rsidRPr="00DC278B">
        <w:rPr>
          <w:rFonts w:ascii="Cambria" w:eastAsia="Times New Roman" w:hAnsi="Cambria"/>
          <w:sz w:val="20"/>
          <w:szCs w:val="20"/>
          <w:bdr w:val="none" w:sz="0" w:space="0" w:color="auto"/>
          <w:lang w:val="es-ES_tradnl"/>
        </w:rPr>
        <w:t>El artículo 8.1 de la Convención establece que</w:t>
      </w:r>
    </w:p>
    <w:p w:rsidR="003039F4" w:rsidRPr="00DC278B" w:rsidRDefault="003039F4" w:rsidP="00DC278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MS Mincho" w:hAnsi="Cambria"/>
          <w:sz w:val="20"/>
          <w:szCs w:val="20"/>
          <w:bdr w:val="none" w:sz="0" w:space="0" w:color="auto"/>
          <w:lang w:val="es-ES_tradnl"/>
        </w:rPr>
      </w:pPr>
    </w:p>
    <w:p w:rsidR="003039F4" w:rsidRPr="00DC278B" w:rsidRDefault="003039F4" w:rsidP="00DC278B">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Cambria" w:eastAsia="MS Mincho" w:hAnsi="Cambria"/>
          <w:snapToGrid w:val="0"/>
          <w:sz w:val="20"/>
          <w:szCs w:val="20"/>
          <w:bdr w:val="none" w:sz="0" w:space="0" w:color="auto"/>
          <w:lang w:val="es-ES_tradnl" w:eastAsia="es-ES"/>
        </w:rPr>
      </w:pPr>
      <w:r w:rsidRPr="00DC278B">
        <w:rPr>
          <w:rFonts w:ascii="Cambria" w:eastAsia="MS Mincho" w:hAnsi="Cambria"/>
          <w:snapToGrid w:val="0"/>
          <w:sz w:val="20"/>
          <w:szCs w:val="20"/>
          <w:bdr w:val="none" w:sz="0" w:space="0" w:color="auto"/>
          <w:lang w:val="es-ES_tradnl" w:eastAsia="es-ES"/>
        </w:rPr>
        <w:sym w:font="Symbol" w:char="F05B"/>
      </w:r>
      <w:proofErr w:type="gramStart"/>
      <w:r w:rsidRPr="00DC278B">
        <w:rPr>
          <w:rFonts w:ascii="Cambria" w:eastAsia="MS Mincho" w:hAnsi="Cambria"/>
          <w:snapToGrid w:val="0"/>
          <w:sz w:val="20"/>
          <w:szCs w:val="20"/>
          <w:bdr w:val="none" w:sz="0" w:space="0" w:color="auto"/>
          <w:lang w:val="es-ES_tradnl" w:eastAsia="es-ES"/>
        </w:rPr>
        <w:t>t</w:t>
      </w:r>
      <w:proofErr w:type="gramEnd"/>
      <w:r w:rsidRPr="00DC278B">
        <w:rPr>
          <w:rFonts w:ascii="Cambria" w:eastAsia="MS Mincho" w:hAnsi="Cambria"/>
          <w:snapToGrid w:val="0"/>
          <w:sz w:val="20"/>
          <w:szCs w:val="20"/>
          <w:bdr w:val="none" w:sz="0" w:space="0" w:color="auto"/>
          <w:lang w:val="es-ES_tradnl" w:eastAsia="es-ES"/>
        </w:rPr>
        <w:sym w:font="Symbol" w:char="F05D"/>
      </w:r>
      <w:r w:rsidRPr="00DC278B">
        <w:rPr>
          <w:rFonts w:ascii="Cambria" w:eastAsia="MS Mincho" w:hAnsi="Cambria"/>
          <w:snapToGrid w:val="0"/>
          <w:sz w:val="20"/>
          <w:szCs w:val="20"/>
          <w:bdr w:val="none" w:sz="0" w:space="0" w:color="auto"/>
          <w:lang w:val="es-ES_tradnl" w:eastAsia="es-ES"/>
        </w:rPr>
        <w:t>oda persona tiene derecho a ser oída, con las debidas garantías y dentro de un plazo razonable, por un juez o tribunal competente, independiente e imparcial, establecido con anterioridad por la ley, en la sustanciación de cualquier acusación penal formulada contra ella, o para la determinación de sus derechos y obligaciones de orden civil, laboral, fiscal o de cualquier otro carácter.</w:t>
      </w:r>
    </w:p>
    <w:p w:rsidR="003039F4" w:rsidRPr="00DC278B" w:rsidRDefault="003039F4" w:rsidP="00DC278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MS Mincho" w:hAnsi="Cambria"/>
          <w:sz w:val="20"/>
          <w:szCs w:val="20"/>
          <w:bdr w:val="none" w:sz="0" w:space="0" w:color="auto"/>
          <w:lang w:val="es-ES_tradnl"/>
        </w:rPr>
      </w:pPr>
    </w:p>
    <w:p w:rsidR="003039F4" w:rsidRPr="00DC278B" w:rsidRDefault="003039F4"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r w:rsidRPr="00DC278B">
        <w:rPr>
          <w:rFonts w:ascii="Cambria" w:eastAsia="Times New Roman" w:hAnsi="Cambria"/>
          <w:sz w:val="20"/>
          <w:szCs w:val="20"/>
          <w:bdr w:val="none" w:sz="0" w:space="0" w:color="auto"/>
          <w:lang w:val="es-ES_tradnl"/>
        </w:rPr>
        <w:t>El artículo 25</w:t>
      </w:r>
      <w:r w:rsidR="000126EF" w:rsidRPr="00DC278B">
        <w:rPr>
          <w:rFonts w:ascii="Cambria" w:eastAsia="Times New Roman" w:hAnsi="Cambria"/>
          <w:sz w:val="20"/>
          <w:szCs w:val="20"/>
          <w:bdr w:val="none" w:sz="0" w:space="0" w:color="auto"/>
          <w:lang w:val="es-ES_tradnl"/>
        </w:rPr>
        <w:t>.1</w:t>
      </w:r>
      <w:r w:rsidRPr="00DC278B">
        <w:rPr>
          <w:rFonts w:ascii="Cambria" w:eastAsia="Times New Roman" w:hAnsi="Cambria"/>
          <w:sz w:val="20"/>
          <w:szCs w:val="20"/>
          <w:bdr w:val="none" w:sz="0" w:space="0" w:color="auto"/>
          <w:lang w:val="es-ES_tradnl"/>
        </w:rPr>
        <w:t xml:space="preserve"> de la Convención Americana, a su vez, establece que</w:t>
      </w:r>
    </w:p>
    <w:p w:rsidR="003039F4" w:rsidRPr="00DC278B" w:rsidRDefault="003039F4" w:rsidP="00DC278B">
      <w:pPr>
        <w:pBdr>
          <w:top w:val="none" w:sz="0" w:space="0" w:color="auto"/>
          <w:left w:val="none" w:sz="0" w:space="0" w:color="auto"/>
          <w:bottom w:val="none" w:sz="0" w:space="0" w:color="auto"/>
          <w:right w:val="none" w:sz="0" w:space="0" w:color="auto"/>
          <w:between w:val="none" w:sz="0" w:space="0" w:color="auto"/>
          <w:bar w:val="none" w:sz="0" w:color="auto"/>
        </w:pBdr>
        <w:ind w:right="-7"/>
        <w:jc w:val="both"/>
        <w:rPr>
          <w:rFonts w:ascii="Cambria" w:eastAsia="MS Mincho" w:hAnsi="Cambria"/>
          <w:sz w:val="20"/>
          <w:szCs w:val="20"/>
          <w:bdr w:val="none" w:sz="0" w:space="0" w:color="auto"/>
          <w:lang w:val="es-ES_tradnl"/>
        </w:rPr>
      </w:pPr>
    </w:p>
    <w:p w:rsidR="003039F4" w:rsidRPr="00DC278B" w:rsidRDefault="003039F4" w:rsidP="00DC278B">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Cambria" w:eastAsia="MS Mincho" w:hAnsi="Cambria"/>
          <w:snapToGrid w:val="0"/>
          <w:sz w:val="20"/>
          <w:szCs w:val="20"/>
          <w:bdr w:val="none" w:sz="0" w:space="0" w:color="auto"/>
          <w:lang w:val="es-ES_tradnl" w:eastAsia="es-ES"/>
        </w:rPr>
      </w:pPr>
      <w:r w:rsidRPr="00DC278B">
        <w:rPr>
          <w:rFonts w:ascii="Cambria" w:eastAsia="MS Mincho" w:hAnsi="Cambria"/>
          <w:snapToGrid w:val="0"/>
          <w:sz w:val="20"/>
          <w:szCs w:val="20"/>
          <w:bdr w:val="none" w:sz="0" w:space="0" w:color="auto"/>
          <w:lang w:val="es-ES_tradnl" w:eastAsia="es-ES"/>
        </w:rPr>
        <w:sym w:font="Symbol" w:char="F05B"/>
      </w:r>
      <w:r w:rsidRPr="00DC278B">
        <w:rPr>
          <w:rFonts w:ascii="Cambria" w:eastAsia="MS Mincho" w:hAnsi="Cambria"/>
          <w:snapToGrid w:val="0"/>
          <w:sz w:val="20"/>
          <w:szCs w:val="20"/>
          <w:bdr w:val="none" w:sz="0" w:space="0" w:color="auto"/>
          <w:lang w:val="es-ES_tradnl" w:eastAsia="es-ES"/>
        </w:rPr>
        <w:t>t</w:t>
      </w:r>
      <w:r w:rsidRPr="00DC278B">
        <w:rPr>
          <w:rFonts w:ascii="Cambria" w:eastAsia="MS Mincho" w:hAnsi="Cambria"/>
          <w:snapToGrid w:val="0"/>
          <w:sz w:val="20"/>
          <w:szCs w:val="20"/>
          <w:bdr w:val="none" w:sz="0" w:space="0" w:color="auto"/>
          <w:lang w:val="es-ES_tradnl" w:eastAsia="es-ES"/>
        </w:rPr>
        <w:sym w:font="Symbol" w:char="F05D"/>
      </w:r>
      <w:r w:rsidRPr="00DC278B">
        <w:rPr>
          <w:rFonts w:ascii="Cambria" w:eastAsia="MS Mincho" w:hAnsi="Cambria"/>
          <w:snapToGrid w:val="0"/>
          <w:sz w:val="20"/>
          <w:szCs w:val="20"/>
          <w:bdr w:val="none" w:sz="0" w:space="0" w:color="auto"/>
          <w:lang w:val="es-ES_tradnl" w:eastAsia="es-ES"/>
        </w:rPr>
        <w:t xml:space="preserve">oda persona tiene derecho a un recurso sencillo y rápido o a cualquier otro recurso efectivo ante los jueces o tribunales competentes, que la ampare contra actos que violen sus derechos fundamentales reconocidos por la Constitución, la ley o la presente Convención, </w:t>
      </w:r>
      <w:r w:rsidRPr="00DC278B">
        <w:rPr>
          <w:rFonts w:ascii="Cambria" w:eastAsia="MS Mincho" w:hAnsi="Cambria"/>
          <w:snapToGrid w:val="0"/>
          <w:sz w:val="20"/>
          <w:szCs w:val="20"/>
          <w:bdr w:val="none" w:sz="0" w:space="0" w:color="auto"/>
          <w:lang w:val="es-ES_tradnl" w:eastAsia="es-ES"/>
        </w:rPr>
        <w:lastRenderedPageBreak/>
        <w:t>aun cuando tal violación sea cometida por personas que actúen en ejercicio de sus funciones oficiales.</w:t>
      </w:r>
    </w:p>
    <w:p w:rsidR="003039F4" w:rsidRPr="00DC278B" w:rsidRDefault="003039F4" w:rsidP="00DC278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MS Mincho" w:hAnsi="Cambria"/>
          <w:sz w:val="20"/>
          <w:szCs w:val="20"/>
          <w:bdr w:val="none" w:sz="0" w:space="0" w:color="auto"/>
          <w:lang w:val="es-ES_tradnl"/>
        </w:rPr>
      </w:pPr>
    </w:p>
    <w:p w:rsidR="003039F4" w:rsidRPr="00DC278B" w:rsidRDefault="003039F4"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r w:rsidRPr="00DC278B">
        <w:rPr>
          <w:rFonts w:ascii="Cambria" w:eastAsia="Times New Roman" w:hAnsi="Cambria"/>
          <w:sz w:val="20"/>
          <w:szCs w:val="20"/>
          <w:bdr w:val="none" w:sz="0" w:space="0" w:color="auto"/>
          <w:lang w:val="es-ES_tradnl"/>
        </w:rPr>
        <w:t>El artículo 1.1 establece que</w:t>
      </w:r>
    </w:p>
    <w:p w:rsidR="003039F4" w:rsidRPr="00DC278B" w:rsidRDefault="003039F4" w:rsidP="00DC278B">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Cambria" w:eastAsia="MS Mincho" w:hAnsi="Cambria"/>
          <w:sz w:val="20"/>
          <w:szCs w:val="20"/>
          <w:bdr w:val="none" w:sz="0" w:space="0" w:color="auto"/>
          <w:lang w:val="es-ES_tradnl"/>
        </w:rPr>
      </w:pPr>
    </w:p>
    <w:p w:rsidR="003039F4" w:rsidRPr="00DC278B" w:rsidRDefault="003039F4" w:rsidP="00DC278B">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Cambria" w:eastAsia="MS Mincho" w:hAnsi="Cambria"/>
          <w:sz w:val="20"/>
          <w:szCs w:val="20"/>
          <w:bdr w:val="none" w:sz="0" w:space="0" w:color="auto"/>
          <w:lang w:val="es-ES_tradnl"/>
        </w:rPr>
      </w:pPr>
      <w:r w:rsidRPr="00DC278B">
        <w:rPr>
          <w:rFonts w:ascii="Cambria" w:eastAsia="MS Mincho" w:hAnsi="Cambria"/>
          <w:sz w:val="20"/>
          <w:szCs w:val="20"/>
          <w:bdr w:val="none" w:sz="0" w:space="0" w:color="auto"/>
          <w:lang w:val="es-ES_tradnl"/>
        </w:rPr>
        <w:t>[</w:t>
      </w:r>
      <w:proofErr w:type="gramStart"/>
      <w:r w:rsidRPr="00DC278B">
        <w:rPr>
          <w:rFonts w:ascii="Cambria" w:eastAsia="MS Mincho" w:hAnsi="Cambria"/>
          <w:sz w:val="20"/>
          <w:szCs w:val="20"/>
          <w:bdr w:val="none" w:sz="0" w:space="0" w:color="auto"/>
          <w:lang w:val="es-ES_tradnl"/>
        </w:rPr>
        <w:t>l]</w:t>
      </w:r>
      <w:proofErr w:type="gramEnd"/>
      <w:r w:rsidRPr="00DC278B">
        <w:rPr>
          <w:rFonts w:ascii="Cambria" w:eastAsia="MS Mincho" w:hAnsi="Cambria"/>
          <w:sz w:val="20"/>
          <w:szCs w:val="20"/>
          <w:bdr w:val="none" w:sz="0" w:space="0" w:color="auto"/>
          <w:lang w:val="es-ES_tradnl"/>
        </w:rPr>
        <w:t>os Estados partes en esta Convención se comprometen a respetar los derechos y libertades reconocidos en ella y a garantizar su libre y pleno ejercicio a toda persona que esté sujeta a su jurisdicción, sin discriminación alguna por motivos de raza, color, sexo, idioma, religión, opiniones políticas o de cualquier otra índole, origen nacional o social, posición económica, nacimiento o cualquier otra condición social.</w:t>
      </w:r>
    </w:p>
    <w:p w:rsidR="003039F4" w:rsidRPr="00DC278B" w:rsidRDefault="003039F4" w:rsidP="00DC278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p>
    <w:p w:rsidR="007124F8" w:rsidRPr="00DC278B" w:rsidRDefault="007124F8"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r w:rsidRPr="00DC278B">
        <w:rPr>
          <w:rFonts w:ascii="Cambria" w:eastAsia="Times New Roman" w:hAnsi="Cambria"/>
          <w:sz w:val="20"/>
          <w:szCs w:val="20"/>
          <w:bdr w:val="none" w:sz="0" w:space="0" w:color="auto"/>
          <w:lang w:val="es-ES_tradnl"/>
        </w:rPr>
        <w:t>El artículo 2 de la Convención Americana dispone</w:t>
      </w:r>
    </w:p>
    <w:p w:rsidR="007124F8" w:rsidRPr="00DC278B" w:rsidRDefault="007124F8" w:rsidP="00DC278B">
      <w:pPr>
        <w:jc w:val="both"/>
        <w:rPr>
          <w:rFonts w:ascii="Cambria" w:hAnsi="Cambria"/>
          <w:sz w:val="20"/>
          <w:szCs w:val="20"/>
          <w:lang w:val="es-ES"/>
        </w:rPr>
      </w:pPr>
    </w:p>
    <w:p w:rsidR="007124F8" w:rsidRPr="00DC278B" w:rsidRDefault="007124F8" w:rsidP="00DC278B">
      <w:pPr>
        <w:ind w:left="720" w:right="720"/>
        <w:jc w:val="both"/>
        <w:rPr>
          <w:rFonts w:ascii="Cambria" w:hAnsi="Cambria"/>
          <w:sz w:val="20"/>
          <w:szCs w:val="20"/>
          <w:lang w:val="es-ES"/>
        </w:rPr>
      </w:pPr>
      <w:r w:rsidRPr="00DC278B">
        <w:rPr>
          <w:rFonts w:ascii="Cambria" w:hAnsi="Cambria"/>
          <w:sz w:val="20"/>
          <w:szCs w:val="20"/>
          <w:lang w:val="es-ES"/>
        </w:rPr>
        <w:t>Si el ejercicio de los derechos y libertades mencionados en el artículo 1 no estuviere ya garantizado por disposiciones legislativas o de otro carácter, los Estados Partes se comprometen a adoptar, con arreglo a sus procedimientos constitucionales y a las disposiciones de esta Convención, las medidas legislativas o de otro carácter que fueren necesarias para hacer efectivos tales derechos y libertades.</w:t>
      </w:r>
    </w:p>
    <w:p w:rsidR="007124F8" w:rsidRPr="00DC278B" w:rsidRDefault="007124F8" w:rsidP="00DC278B">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sz w:val="20"/>
          <w:szCs w:val="20"/>
          <w:bdr w:val="none" w:sz="0" w:space="0" w:color="auto"/>
          <w:lang w:val="es-ES_tradnl"/>
        </w:rPr>
      </w:pPr>
    </w:p>
    <w:p w:rsidR="004F545F" w:rsidRPr="00DC278B" w:rsidRDefault="002849DB" w:rsidP="00DC278B">
      <w:pPr>
        <w:ind w:left="1440" w:hanging="720"/>
        <w:rPr>
          <w:rFonts w:ascii="Cambria" w:hAnsi="Cambria"/>
          <w:b/>
          <w:sz w:val="20"/>
          <w:szCs w:val="20"/>
          <w:lang w:val="es-ES_tradnl"/>
        </w:rPr>
      </w:pPr>
      <w:r w:rsidRPr="00DC278B">
        <w:rPr>
          <w:rFonts w:ascii="Cambria" w:hAnsi="Cambria"/>
          <w:b/>
          <w:sz w:val="20"/>
          <w:szCs w:val="20"/>
          <w:lang w:val="es-ES_tradnl"/>
        </w:rPr>
        <w:t>1</w:t>
      </w:r>
      <w:r w:rsidR="004F545F" w:rsidRPr="00DC278B">
        <w:rPr>
          <w:rFonts w:ascii="Cambria" w:hAnsi="Cambria"/>
          <w:b/>
          <w:sz w:val="20"/>
          <w:szCs w:val="20"/>
          <w:lang w:val="es-ES_tradnl"/>
        </w:rPr>
        <w:t>.</w:t>
      </w:r>
      <w:r w:rsidR="004F545F" w:rsidRPr="00DC278B">
        <w:rPr>
          <w:rFonts w:ascii="Cambria" w:hAnsi="Cambria"/>
          <w:b/>
          <w:sz w:val="20"/>
          <w:szCs w:val="20"/>
          <w:lang w:val="es-ES_tradnl"/>
        </w:rPr>
        <w:tab/>
        <w:t xml:space="preserve">Cuestión previa sobre las reparaciones administrativas y judiciales y delimitación del objeto del presente caso </w:t>
      </w:r>
      <w:r w:rsidR="004F545F" w:rsidRPr="00DC278B">
        <w:rPr>
          <w:rFonts w:ascii="Cambria" w:hAnsi="Cambria"/>
          <w:b/>
          <w:sz w:val="20"/>
          <w:szCs w:val="20"/>
          <w:lang w:val="es-ES_tradnl"/>
        </w:rPr>
        <w:tab/>
      </w:r>
    </w:p>
    <w:p w:rsidR="004F545F" w:rsidRPr="00DC278B" w:rsidRDefault="004F545F" w:rsidP="00DC278B">
      <w:pPr>
        <w:ind w:left="1440" w:hanging="720"/>
        <w:rPr>
          <w:rFonts w:ascii="Cambria" w:hAnsi="Cambria"/>
          <w:b/>
          <w:sz w:val="20"/>
          <w:szCs w:val="20"/>
          <w:lang w:val="es-ES_tradnl"/>
        </w:rPr>
      </w:pPr>
    </w:p>
    <w:p w:rsidR="00B32E6F" w:rsidRPr="00DC278B" w:rsidRDefault="00247491"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r w:rsidRPr="00DC278B">
        <w:rPr>
          <w:rFonts w:ascii="Cambria" w:eastAsia="Times New Roman" w:hAnsi="Cambria"/>
          <w:sz w:val="20"/>
          <w:szCs w:val="20"/>
          <w:bdr w:val="none" w:sz="0" w:space="0" w:color="auto"/>
          <w:lang w:val="es-ES_tradnl"/>
        </w:rPr>
        <w:t xml:space="preserve">La Comisión observa que la defensa del Estado de Chile se concentró en informar en detalle sobre su </w:t>
      </w:r>
      <w:r w:rsidR="004F545F" w:rsidRPr="00DC278B">
        <w:rPr>
          <w:rFonts w:ascii="Cambria" w:eastAsia="Times New Roman" w:hAnsi="Cambria"/>
          <w:sz w:val="20"/>
          <w:szCs w:val="20"/>
          <w:bdr w:val="none" w:sz="0" w:space="0" w:color="auto"/>
          <w:lang w:val="es-ES_tradnl"/>
        </w:rPr>
        <w:t>programa</w:t>
      </w:r>
      <w:r w:rsidR="0009140E" w:rsidRPr="00DC278B">
        <w:rPr>
          <w:rFonts w:ascii="Cambria" w:eastAsia="Times New Roman" w:hAnsi="Cambria"/>
          <w:sz w:val="20"/>
          <w:szCs w:val="20"/>
          <w:bdr w:val="none" w:sz="0" w:space="0" w:color="auto"/>
          <w:lang w:val="es-ES_tradnl"/>
        </w:rPr>
        <w:t xml:space="preserve"> administrativo </w:t>
      </w:r>
      <w:r w:rsidR="004F545F" w:rsidRPr="00DC278B">
        <w:rPr>
          <w:rFonts w:ascii="Cambria" w:eastAsia="Times New Roman" w:hAnsi="Cambria"/>
          <w:sz w:val="20"/>
          <w:szCs w:val="20"/>
          <w:bdr w:val="none" w:sz="0" w:space="0" w:color="auto"/>
          <w:lang w:val="es-ES_tradnl"/>
        </w:rPr>
        <w:t>de rep</w:t>
      </w:r>
      <w:r w:rsidR="00EA19D6" w:rsidRPr="00DC278B">
        <w:rPr>
          <w:rFonts w:ascii="Cambria" w:eastAsia="Times New Roman" w:hAnsi="Cambria"/>
          <w:sz w:val="20"/>
          <w:szCs w:val="20"/>
          <w:bdr w:val="none" w:sz="0" w:space="0" w:color="auto"/>
          <w:lang w:val="es-ES_tradnl"/>
        </w:rPr>
        <w:t>araciones y las prestaciones recibidas</w:t>
      </w:r>
      <w:r w:rsidR="004F545F" w:rsidRPr="00DC278B">
        <w:rPr>
          <w:rFonts w:ascii="Cambria" w:eastAsia="Times New Roman" w:hAnsi="Cambria"/>
          <w:sz w:val="20"/>
          <w:szCs w:val="20"/>
          <w:bdr w:val="none" w:sz="0" w:space="0" w:color="auto"/>
          <w:lang w:val="es-ES_tradnl"/>
        </w:rPr>
        <w:t xml:space="preserve"> por las víctimas del caso</w:t>
      </w:r>
      <w:r w:rsidRPr="00DC278B">
        <w:rPr>
          <w:rFonts w:ascii="Cambria" w:eastAsia="Times New Roman" w:hAnsi="Cambria"/>
          <w:sz w:val="20"/>
          <w:szCs w:val="20"/>
          <w:bdr w:val="none" w:sz="0" w:space="0" w:color="auto"/>
          <w:lang w:val="es-ES_tradnl"/>
        </w:rPr>
        <w:t>.</w:t>
      </w:r>
      <w:r w:rsidR="00953A64" w:rsidRPr="00DC278B">
        <w:rPr>
          <w:rFonts w:ascii="Cambria" w:eastAsia="Times New Roman" w:hAnsi="Cambria"/>
          <w:sz w:val="20"/>
          <w:szCs w:val="20"/>
          <w:bdr w:val="none" w:sz="0" w:space="0" w:color="auto"/>
          <w:lang w:val="es-ES_tradnl"/>
        </w:rPr>
        <w:t xml:space="preserve"> </w:t>
      </w:r>
      <w:r w:rsidR="00E65819" w:rsidRPr="00DC278B">
        <w:rPr>
          <w:rFonts w:ascii="Cambria" w:eastAsia="Times New Roman" w:hAnsi="Cambria"/>
          <w:sz w:val="20"/>
          <w:szCs w:val="20"/>
          <w:bdr w:val="none" w:sz="0" w:space="0" w:color="auto"/>
          <w:lang w:val="es-ES_tradnl"/>
        </w:rPr>
        <w:t xml:space="preserve">Al respecto, la Comisión nota que </w:t>
      </w:r>
      <w:r w:rsidR="00B32E6F" w:rsidRPr="00DC278B">
        <w:rPr>
          <w:rFonts w:ascii="Cambria" w:eastAsia="Times New Roman" w:hAnsi="Cambria"/>
          <w:sz w:val="20"/>
          <w:szCs w:val="20"/>
          <w:bdr w:val="none" w:sz="0" w:space="0" w:color="auto"/>
          <w:lang w:val="es-ES_tradnl"/>
        </w:rPr>
        <w:t>la pretensión de los peticionarios no es soli</w:t>
      </w:r>
      <w:r w:rsidR="00B83312">
        <w:rPr>
          <w:rFonts w:ascii="Cambria" w:eastAsia="Times New Roman" w:hAnsi="Cambria"/>
          <w:sz w:val="20"/>
          <w:szCs w:val="20"/>
          <w:bdr w:val="none" w:sz="0" w:space="0" w:color="auto"/>
          <w:lang w:val="es-ES_tradnl"/>
        </w:rPr>
        <w:t xml:space="preserve">citar que se realice un examen </w:t>
      </w:r>
      <w:r w:rsidR="00B32E6F" w:rsidRPr="00DC278B">
        <w:rPr>
          <w:rFonts w:ascii="Cambria" w:eastAsia="Times New Roman" w:hAnsi="Cambria"/>
          <w:sz w:val="20"/>
          <w:szCs w:val="20"/>
          <w:bdr w:val="none" w:sz="0" w:space="0" w:color="auto"/>
          <w:lang w:val="es-ES_tradnl"/>
        </w:rPr>
        <w:t>e</w:t>
      </w:r>
      <w:r w:rsidR="00B83312">
        <w:rPr>
          <w:rFonts w:ascii="Cambria" w:eastAsia="Times New Roman" w:hAnsi="Cambria"/>
          <w:sz w:val="20"/>
          <w:szCs w:val="20"/>
          <w:bdr w:val="none" w:sz="0" w:space="0" w:color="auto"/>
          <w:lang w:val="es-ES_tradnl"/>
        </w:rPr>
        <w:t>n</w:t>
      </w:r>
      <w:r w:rsidR="00B32E6F" w:rsidRPr="00DC278B">
        <w:rPr>
          <w:rFonts w:ascii="Cambria" w:eastAsia="Times New Roman" w:hAnsi="Cambria"/>
          <w:sz w:val="20"/>
          <w:szCs w:val="20"/>
          <w:bdr w:val="none" w:sz="0" w:space="0" w:color="auto"/>
          <w:lang w:val="es-ES_tradnl"/>
        </w:rPr>
        <w:t xml:space="preserve"> </w:t>
      </w:r>
      <w:r w:rsidR="00E65819" w:rsidRPr="00DC278B">
        <w:rPr>
          <w:rFonts w:ascii="Cambria" w:eastAsia="Times New Roman" w:hAnsi="Cambria"/>
          <w:sz w:val="20"/>
          <w:szCs w:val="20"/>
          <w:bdr w:val="none" w:sz="0" w:space="0" w:color="auto"/>
          <w:lang w:val="es-ES_tradnl"/>
        </w:rPr>
        <w:t xml:space="preserve">abstracto de </w:t>
      </w:r>
      <w:r w:rsidR="00B32E6F" w:rsidRPr="00DC278B">
        <w:rPr>
          <w:rFonts w:ascii="Cambria" w:eastAsia="Times New Roman" w:hAnsi="Cambria"/>
          <w:sz w:val="20"/>
          <w:szCs w:val="20"/>
          <w:bdr w:val="none" w:sz="0" w:space="0" w:color="auto"/>
          <w:lang w:val="es-ES_tradnl"/>
        </w:rPr>
        <w:t xml:space="preserve">convencionalidad del programa </w:t>
      </w:r>
      <w:r w:rsidR="00E65819" w:rsidRPr="00DC278B">
        <w:rPr>
          <w:rFonts w:ascii="Cambria" w:eastAsia="Times New Roman" w:hAnsi="Cambria"/>
          <w:sz w:val="20"/>
          <w:szCs w:val="20"/>
          <w:bdr w:val="none" w:sz="0" w:space="0" w:color="auto"/>
          <w:lang w:val="es-ES_tradnl"/>
        </w:rPr>
        <w:t xml:space="preserve">administrativo </w:t>
      </w:r>
      <w:r w:rsidR="00B32E6F" w:rsidRPr="00DC278B">
        <w:rPr>
          <w:rFonts w:ascii="Cambria" w:eastAsia="Times New Roman" w:hAnsi="Cambria"/>
          <w:sz w:val="20"/>
          <w:szCs w:val="20"/>
          <w:bdr w:val="none" w:sz="0" w:space="0" w:color="auto"/>
          <w:lang w:val="es-ES_tradnl"/>
        </w:rPr>
        <w:t>de reparaciones</w:t>
      </w:r>
      <w:r w:rsidR="00E65819" w:rsidRPr="00DC278B">
        <w:rPr>
          <w:rFonts w:ascii="Cambria" w:eastAsia="Times New Roman" w:hAnsi="Cambria"/>
          <w:sz w:val="20"/>
          <w:szCs w:val="20"/>
          <w:bdr w:val="none" w:sz="0" w:space="0" w:color="auto"/>
          <w:lang w:val="es-ES_tradnl"/>
        </w:rPr>
        <w:t xml:space="preserve">. Tampoco han controvertido los peticionarios que </w:t>
      </w:r>
      <w:r w:rsidR="00B32E6F" w:rsidRPr="00DC278B">
        <w:rPr>
          <w:rFonts w:ascii="Cambria" w:eastAsia="Times New Roman" w:hAnsi="Cambria"/>
          <w:sz w:val="20"/>
          <w:szCs w:val="20"/>
          <w:bdr w:val="none" w:sz="0" w:space="0" w:color="auto"/>
          <w:lang w:val="es-ES_tradnl"/>
        </w:rPr>
        <w:t>las presuntas víctimas recibieron algunas prestaciones por parte del Estado en el marco de</w:t>
      </w:r>
      <w:r w:rsidR="00E65819" w:rsidRPr="00DC278B">
        <w:rPr>
          <w:rFonts w:ascii="Cambria" w:eastAsia="Times New Roman" w:hAnsi="Cambria"/>
          <w:sz w:val="20"/>
          <w:szCs w:val="20"/>
          <w:bdr w:val="none" w:sz="0" w:space="0" w:color="auto"/>
          <w:lang w:val="es-ES_tradnl"/>
        </w:rPr>
        <w:t xml:space="preserve"> dicho programa. </w:t>
      </w:r>
      <w:r w:rsidR="00B32E6F" w:rsidRPr="00DC278B">
        <w:rPr>
          <w:rFonts w:ascii="Cambria" w:eastAsia="Times New Roman" w:hAnsi="Cambria"/>
          <w:sz w:val="20"/>
          <w:szCs w:val="20"/>
          <w:bdr w:val="none" w:sz="0" w:space="0" w:color="auto"/>
          <w:lang w:val="es-ES_tradnl"/>
        </w:rPr>
        <w:t>Desde el inicio los peticionarios han centrado sus argumentos en lo que consideran una denegación de justicia por la aplicación de la prescripción civil a sus acciones judiciales de reparación. De los hechos probados resulta que el rechazo de las referidas acciones judiciales se debió precisamente a la aplicación del plazo de prescripción civil y no se efectuó referencia alguna a la participación de las presuntas víctimas en el programa de reparaciones administrativas.</w:t>
      </w:r>
    </w:p>
    <w:p w:rsidR="00B32E6F" w:rsidRPr="00DC278B" w:rsidRDefault="00B32E6F" w:rsidP="00DC278B">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sz w:val="20"/>
          <w:szCs w:val="20"/>
          <w:bdr w:val="none" w:sz="0" w:space="0" w:color="auto"/>
          <w:lang w:val="es-ES_tradnl"/>
        </w:rPr>
      </w:pPr>
    </w:p>
    <w:p w:rsidR="00AC0E01" w:rsidRPr="00DC278B" w:rsidRDefault="00E65819"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r w:rsidRPr="00DC278B">
        <w:rPr>
          <w:rFonts w:ascii="Cambria" w:eastAsia="Times New Roman" w:hAnsi="Cambria"/>
          <w:sz w:val="20"/>
          <w:szCs w:val="20"/>
          <w:bdr w:val="none" w:sz="0" w:space="0" w:color="auto"/>
          <w:lang w:val="es-ES_tradnl"/>
        </w:rPr>
        <w:t xml:space="preserve">Sin perjuicio de lo anterior, la Comisión </w:t>
      </w:r>
      <w:r w:rsidR="00247491" w:rsidRPr="00DC278B">
        <w:rPr>
          <w:rFonts w:ascii="Cambria" w:eastAsia="Times New Roman" w:hAnsi="Cambria"/>
          <w:sz w:val="20"/>
          <w:szCs w:val="20"/>
          <w:bdr w:val="none" w:sz="0" w:space="0" w:color="auto"/>
          <w:lang w:val="es-ES_tradnl"/>
        </w:rPr>
        <w:t>considera pertinente referirse de manera preliminar a</w:t>
      </w:r>
      <w:r w:rsidRPr="00DC278B">
        <w:rPr>
          <w:rFonts w:ascii="Cambria" w:eastAsia="Times New Roman" w:hAnsi="Cambria"/>
          <w:sz w:val="20"/>
          <w:szCs w:val="20"/>
          <w:bdr w:val="none" w:sz="0" w:space="0" w:color="auto"/>
          <w:lang w:val="es-ES_tradnl"/>
        </w:rPr>
        <w:t xml:space="preserve"> la argumentación estatal, a fin de delimitar </w:t>
      </w:r>
      <w:r w:rsidR="00247491" w:rsidRPr="00DC278B">
        <w:rPr>
          <w:rFonts w:ascii="Cambria" w:eastAsia="Times New Roman" w:hAnsi="Cambria"/>
          <w:sz w:val="20"/>
          <w:szCs w:val="20"/>
          <w:bdr w:val="none" w:sz="0" w:space="0" w:color="auto"/>
          <w:lang w:val="es-ES_tradnl"/>
        </w:rPr>
        <w:t>el objeto de</w:t>
      </w:r>
      <w:r w:rsidR="00AC0E01" w:rsidRPr="00DC278B">
        <w:rPr>
          <w:rFonts w:ascii="Cambria" w:eastAsia="Times New Roman" w:hAnsi="Cambria"/>
          <w:sz w:val="20"/>
          <w:szCs w:val="20"/>
          <w:bdr w:val="none" w:sz="0" w:space="0" w:color="auto"/>
          <w:lang w:val="es-ES_tradnl"/>
        </w:rPr>
        <w:t>l</w:t>
      </w:r>
      <w:r w:rsidR="00247491" w:rsidRPr="00DC278B">
        <w:rPr>
          <w:rFonts w:ascii="Cambria" w:eastAsia="Times New Roman" w:hAnsi="Cambria"/>
          <w:sz w:val="20"/>
          <w:szCs w:val="20"/>
          <w:bdr w:val="none" w:sz="0" w:space="0" w:color="auto"/>
          <w:lang w:val="es-ES_tradnl"/>
        </w:rPr>
        <w:t xml:space="preserve"> análisis de fondo que se efect</w:t>
      </w:r>
      <w:r w:rsidR="0034711A" w:rsidRPr="00DC278B">
        <w:rPr>
          <w:rFonts w:ascii="Cambria" w:eastAsia="Times New Roman" w:hAnsi="Cambria"/>
          <w:sz w:val="20"/>
          <w:szCs w:val="20"/>
          <w:bdr w:val="none" w:sz="0" w:space="0" w:color="auto"/>
          <w:lang w:val="es-ES_tradnl"/>
        </w:rPr>
        <w:t>úa en las secciones subsiguientes del presente inf</w:t>
      </w:r>
      <w:r w:rsidR="00027017" w:rsidRPr="00DC278B">
        <w:rPr>
          <w:rFonts w:ascii="Cambria" w:eastAsia="Times New Roman" w:hAnsi="Cambria"/>
          <w:sz w:val="20"/>
          <w:szCs w:val="20"/>
          <w:bdr w:val="none" w:sz="0" w:space="0" w:color="auto"/>
          <w:lang w:val="es-ES_tradnl"/>
        </w:rPr>
        <w:t>o</w:t>
      </w:r>
      <w:r w:rsidR="0034711A" w:rsidRPr="00DC278B">
        <w:rPr>
          <w:rFonts w:ascii="Cambria" w:eastAsia="Times New Roman" w:hAnsi="Cambria"/>
          <w:sz w:val="20"/>
          <w:szCs w:val="20"/>
          <w:bdr w:val="none" w:sz="0" w:space="0" w:color="auto"/>
          <w:lang w:val="es-ES_tradnl"/>
        </w:rPr>
        <w:t xml:space="preserve">rme. </w:t>
      </w:r>
    </w:p>
    <w:p w:rsidR="00AC0E01" w:rsidRPr="00DC278B" w:rsidRDefault="00AC0E01" w:rsidP="00DC278B">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sz w:val="20"/>
          <w:szCs w:val="20"/>
          <w:bdr w:val="none" w:sz="0" w:space="0" w:color="auto"/>
          <w:lang w:val="es-ES_tradnl"/>
        </w:rPr>
      </w:pPr>
    </w:p>
    <w:p w:rsidR="004036B0" w:rsidRPr="00DC278B" w:rsidRDefault="004F6FF8"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r w:rsidRPr="00DC278B">
        <w:rPr>
          <w:rFonts w:ascii="Cambria" w:eastAsia="Times New Roman" w:hAnsi="Cambria"/>
          <w:sz w:val="20"/>
          <w:szCs w:val="20"/>
          <w:bdr w:val="none" w:sz="0" w:space="0" w:color="auto"/>
          <w:lang w:val="es-ES_tradnl"/>
        </w:rPr>
        <w:t>L</w:t>
      </w:r>
      <w:r w:rsidR="00AE76FF" w:rsidRPr="00DC278B">
        <w:rPr>
          <w:rFonts w:ascii="Cambria" w:eastAsia="Times New Roman" w:hAnsi="Cambria"/>
          <w:sz w:val="20"/>
          <w:szCs w:val="20"/>
          <w:bdr w:val="none" w:sz="0" w:space="0" w:color="auto"/>
          <w:lang w:val="es-ES_tradnl"/>
        </w:rPr>
        <w:t xml:space="preserve">a Corte </w:t>
      </w:r>
      <w:r w:rsidR="004036B0" w:rsidRPr="00DC278B">
        <w:rPr>
          <w:rFonts w:ascii="Cambria" w:eastAsia="Times New Roman" w:hAnsi="Cambria"/>
          <w:sz w:val="20"/>
          <w:szCs w:val="20"/>
          <w:bdr w:val="none" w:sz="0" w:space="0" w:color="auto"/>
          <w:lang w:val="es-ES_tradnl"/>
        </w:rPr>
        <w:t xml:space="preserve">Interamericana </w:t>
      </w:r>
      <w:r w:rsidRPr="00DC278B">
        <w:rPr>
          <w:rFonts w:ascii="Cambria" w:eastAsia="Times New Roman" w:hAnsi="Cambria"/>
          <w:sz w:val="20"/>
          <w:szCs w:val="20"/>
          <w:bdr w:val="none" w:sz="0" w:space="0" w:color="auto"/>
          <w:lang w:val="es-ES_tradnl"/>
        </w:rPr>
        <w:t>ha indicado q</w:t>
      </w:r>
      <w:r w:rsidR="004036B0" w:rsidRPr="00DC278B">
        <w:rPr>
          <w:rFonts w:ascii="Cambria" w:eastAsia="Times New Roman" w:hAnsi="Cambria"/>
          <w:sz w:val="20"/>
          <w:szCs w:val="20"/>
          <w:bdr w:val="none" w:sz="0" w:space="0" w:color="auto"/>
          <w:lang w:val="es-ES_tradnl"/>
        </w:rPr>
        <w:t xml:space="preserve">ue </w:t>
      </w:r>
      <w:r w:rsidR="004036B0" w:rsidRPr="00DC278B">
        <w:rPr>
          <w:rFonts w:ascii="Cambria" w:hAnsi="Cambria"/>
          <w:sz w:val="20"/>
          <w:szCs w:val="20"/>
          <w:lang w:val="es-CO"/>
        </w:rPr>
        <w:t>“de existir mecanismos nacionales para determinar formas de reparación, esos procedimientos y [sus] resultados deben ser valorados” y que, a tal efecto, debe considerarse si los mismos “satisfacen criterios de objetividad, razonabilidad y efectividad”</w:t>
      </w:r>
      <w:r w:rsidR="004036B0" w:rsidRPr="00DC278B">
        <w:rPr>
          <w:rStyle w:val="Refdenotaalpie"/>
          <w:rFonts w:ascii="Cambria" w:hAnsi="Cambria"/>
          <w:sz w:val="20"/>
          <w:szCs w:val="20"/>
        </w:rPr>
        <w:footnoteReference w:id="119"/>
      </w:r>
      <w:r w:rsidR="004036B0" w:rsidRPr="00DC278B">
        <w:rPr>
          <w:rFonts w:ascii="Cambria" w:hAnsi="Cambria"/>
          <w:sz w:val="20"/>
          <w:szCs w:val="20"/>
          <w:lang w:val="es-CO"/>
        </w:rPr>
        <w:t>.</w:t>
      </w:r>
      <w:r w:rsidR="00162442" w:rsidRPr="00DC278B">
        <w:rPr>
          <w:rFonts w:ascii="Cambria" w:hAnsi="Cambria"/>
          <w:sz w:val="20"/>
          <w:szCs w:val="20"/>
          <w:lang w:val="es-CO"/>
        </w:rPr>
        <w:t xml:space="preserve"> Específicamente sobre el programa</w:t>
      </w:r>
      <w:r w:rsidR="000F32C6" w:rsidRPr="00DC278B">
        <w:rPr>
          <w:rFonts w:ascii="Cambria" w:hAnsi="Cambria"/>
          <w:sz w:val="20"/>
          <w:szCs w:val="20"/>
          <w:lang w:val="es-CO"/>
        </w:rPr>
        <w:t xml:space="preserve"> administrativo</w:t>
      </w:r>
      <w:r w:rsidR="00162442" w:rsidRPr="00DC278B">
        <w:rPr>
          <w:rFonts w:ascii="Cambria" w:hAnsi="Cambria"/>
          <w:sz w:val="20"/>
          <w:szCs w:val="20"/>
          <w:lang w:val="es-CO"/>
        </w:rPr>
        <w:t xml:space="preserve"> de reparaciones de Chile, en el caso </w:t>
      </w:r>
      <w:proofErr w:type="spellStart"/>
      <w:r w:rsidR="00162442" w:rsidRPr="00DC278B">
        <w:rPr>
          <w:rFonts w:ascii="Cambria" w:hAnsi="Cambria"/>
          <w:i/>
          <w:sz w:val="20"/>
          <w:szCs w:val="20"/>
          <w:lang w:val="es-CO"/>
        </w:rPr>
        <w:t>Almonacid</w:t>
      </w:r>
      <w:proofErr w:type="spellEnd"/>
      <w:r w:rsidR="00162442" w:rsidRPr="00DC278B">
        <w:rPr>
          <w:rFonts w:ascii="Cambria" w:hAnsi="Cambria"/>
          <w:i/>
          <w:sz w:val="20"/>
          <w:szCs w:val="20"/>
          <w:lang w:val="es-CO"/>
        </w:rPr>
        <w:t xml:space="preserve"> Arellano y otros vs. Chile</w:t>
      </w:r>
      <w:r w:rsidR="00162442" w:rsidRPr="00DC278B">
        <w:rPr>
          <w:rFonts w:ascii="Cambria" w:hAnsi="Cambria"/>
          <w:sz w:val="20"/>
          <w:szCs w:val="20"/>
          <w:lang w:val="es-CO"/>
        </w:rPr>
        <w:t>, la Corte</w:t>
      </w:r>
      <w:r w:rsidR="004036B0" w:rsidRPr="00DC278B">
        <w:rPr>
          <w:rFonts w:ascii="Cambria" w:hAnsi="Cambria"/>
          <w:sz w:val="20"/>
          <w:szCs w:val="20"/>
          <w:lang w:val="es-CO"/>
        </w:rPr>
        <w:t xml:space="preserve"> expresó que “valora positivamente la política de reparación de violaciones a derechos humanos adelantada por el Estado”</w:t>
      </w:r>
      <w:r w:rsidR="004036B0" w:rsidRPr="00DC278B">
        <w:rPr>
          <w:rFonts w:ascii="Cambria" w:hAnsi="Cambria"/>
          <w:sz w:val="20"/>
          <w:szCs w:val="20"/>
          <w:vertAlign w:val="superscript"/>
        </w:rPr>
        <w:footnoteReference w:id="120"/>
      </w:r>
      <w:r w:rsidR="004036B0" w:rsidRPr="00DC278B">
        <w:rPr>
          <w:rFonts w:ascii="Cambria" w:hAnsi="Cambria"/>
          <w:sz w:val="20"/>
          <w:szCs w:val="20"/>
          <w:lang w:val="es-CO"/>
        </w:rPr>
        <w:t>.</w:t>
      </w:r>
      <w:r w:rsidR="001F5D11" w:rsidRPr="00DC278B">
        <w:rPr>
          <w:rFonts w:ascii="Cambria" w:hAnsi="Cambria"/>
          <w:sz w:val="20"/>
          <w:szCs w:val="20"/>
          <w:lang w:val="es-CO"/>
        </w:rPr>
        <w:t xml:space="preserve"> </w:t>
      </w:r>
    </w:p>
    <w:p w:rsidR="004F6FF8" w:rsidRPr="00DC278B" w:rsidRDefault="004F6FF8" w:rsidP="00DC278B">
      <w:pPr>
        <w:pStyle w:val="Prrafodelista"/>
        <w:rPr>
          <w:rFonts w:ascii="Cambria" w:eastAsia="Times New Roman" w:hAnsi="Cambria"/>
          <w:sz w:val="20"/>
          <w:szCs w:val="20"/>
          <w:bdr w:val="none" w:sz="0" w:space="0" w:color="auto"/>
          <w:lang w:val="es-ES_tradnl"/>
        </w:rPr>
      </w:pPr>
    </w:p>
    <w:p w:rsidR="004F6FF8" w:rsidRPr="00DC278B" w:rsidRDefault="009A5495"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r w:rsidRPr="00DC278B">
        <w:rPr>
          <w:rFonts w:ascii="Cambria" w:eastAsia="Times New Roman" w:hAnsi="Cambria"/>
          <w:sz w:val="20"/>
          <w:szCs w:val="20"/>
          <w:bdr w:val="none" w:sz="0" w:space="0" w:color="auto"/>
          <w:lang w:val="es-ES_tradnl"/>
        </w:rPr>
        <w:t xml:space="preserve">Ahora bien, más allá de este reconocimiento genérico y sin consecuencias jurídicas concretas en el citado caso, posteriormente </w:t>
      </w:r>
      <w:r w:rsidR="00C04624" w:rsidRPr="00DC278B">
        <w:rPr>
          <w:rFonts w:ascii="Cambria" w:eastAsia="Times New Roman" w:hAnsi="Cambria"/>
          <w:sz w:val="20"/>
          <w:szCs w:val="20"/>
          <w:bdr w:val="none" w:sz="0" w:space="0" w:color="auto"/>
          <w:lang w:val="es-ES_tradnl"/>
        </w:rPr>
        <w:t xml:space="preserve">en el caso </w:t>
      </w:r>
      <w:r w:rsidR="00C04624" w:rsidRPr="00DC278B">
        <w:rPr>
          <w:rFonts w:ascii="Cambria" w:eastAsia="Times New Roman" w:hAnsi="Cambria"/>
          <w:i/>
          <w:sz w:val="20"/>
          <w:szCs w:val="20"/>
          <w:bdr w:val="none" w:sz="0" w:space="0" w:color="auto"/>
          <w:lang w:val="es-ES_tradnl"/>
        </w:rPr>
        <w:t>García Lucero y otras vs. Chile</w:t>
      </w:r>
      <w:r w:rsidR="00C04624" w:rsidRPr="00DC278B">
        <w:rPr>
          <w:rFonts w:ascii="Cambria" w:eastAsia="Times New Roman" w:hAnsi="Cambria"/>
          <w:sz w:val="20"/>
          <w:szCs w:val="20"/>
          <w:bdr w:val="none" w:sz="0" w:space="0" w:color="auto"/>
          <w:lang w:val="es-ES_tradnl"/>
        </w:rPr>
        <w:t xml:space="preserve">, la Corte Interamericana indicó que: </w:t>
      </w:r>
    </w:p>
    <w:p w:rsidR="00597E86" w:rsidRPr="00DC278B" w:rsidRDefault="00597E86" w:rsidP="00DC278B">
      <w:pPr>
        <w:pStyle w:val="Prrafodelista"/>
        <w:rPr>
          <w:rFonts w:ascii="Cambria" w:eastAsia="Times New Roman" w:hAnsi="Cambria"/>
          <w:sz w:val="20"/>
          <w:szCs w:val="20"/>
          <w:bdr w:val="none" w:sz="0" w:space="0" w:color="auto"/>
          <w:lang w:val="es-ES_tradnl"/>
        </w:rPr>
      </w:pPr>
    </w:p>
    <w:p w:rsidR="004F6FF8" w:rsidRPr="00DC278B" w:rsidRDefault="006E2162" w:rsidP="00DC278B">
      <w:pPr>
        <w:pStyle w:val="Prrafodelista"/>
        <w:ind w:right="720"/>
        <w:jc w:val="both"/>
        <w:rPr>
          <w:rFonts w:ascii="Cambria" w:eastAsia="Times New Roman" w:hAnsi="Cambria"/>
          <w:sz w:val="20"/>
          <w:szCs w:val="20"/>
          <w:bdr w:val="none" w:sz="0" w:space="0" w:color="auto"/>
          <w:lang w:val="es-CO"/>
        </w:rPr>
      </w:pPr>
      <w:r w:rsidRPr="00DC278B">
        <w:rPr>
          <w:rFonts w:ascii="Cambria" w:hAnsi="Cambria"/>
          <w:sz w:val="20"/>
          <w:szCs w:val="20"/>
          <w:lang w:val="es-CO"/>
        </w:rPr>
        <w:lastRenderedPageBreak/>
        <w:t xml:space="preserve">(…) </w:t>
      </w:r>
      <w:r w:rsidR="004F6FF8" w:rsidRPr="00DC278B">
        <w:rPr>
          <w:rFonts w:ascii="Cambria" w:hAnsi="Cambria"/>
          <w:sz w:val="20"/>
          <w:szCs w:val="20"/>
          <w:lang w:val="es-CO"/>
        </w:rPr>
        <w:t>la existencia de programas administrativos de reparación debe ser compatible con las obligaciones estatales bajo la Convención Americana y otras normas internacionales y, por ello, no puede derivar en un menoscabo al deber estatal de garantizar el “libre y pleno ejercicio” de los derechos a las garantías y protección judiciales, en los términos de los artículos 1.1, 25.1 y 8.1 de la Convención, respectivamente. En otros términos, los programas administrativos de reparación u otras medidas o acciones normativas o de otro carácter que coexistan con los mismos, no pueden generar una obstrucción a la posibilidad de que las víctimas, de conformidad a los derechos a las garantías y protección judiciales, interpongan acciones en reclamo de reparaciones</w:t>
      </w:r>
      <w:r w:rsidR="00D233EB" w:rsidRPr="00DC278B">
        <w:rPr>
          <w:rStyle w:val="Refdenotaalpie"/>
          <w:rFonts w:ascii="Cambria" w:hAnsi="Cambria"/>
          <w:sz w:val="20"/>
          <w:szCs w:val="20"/>
        </w:rPr>
        <w:footnoteReference w:id="121"/>
      </w:r>
      <w:r w:rsidR="004F6FF8" w:rsidRPr="00DC278B">
        <w:rPr>
          <w:rFonts w:ascii="Cambria" w:hAnsi="Cambria"/>
          <w:sz w:val="20"/>
          <w:szCs w:val="20"/>
          <w:lang w:val="es-CO"/>
        </w:rPr>
        <w:t>.</w:t>
      </w:r>
    </w:p>
    <w:p w:rsidR="004F6FF8" w:rsidRPr="00DC278B" w:rsidRDefault="004F6FF8" w:rsidP="00DC278B">
      <w:pPr>
        <w:pStyle w:val="Prrafodelista"/>
        <w:rPr>
          <w:rFonts w:ascii="Cambria" w:eastAsia="Times New Roman" w:hAnsi="Cambria"/>
          <w:sz w:val="20"/>
          <w:szCs w:val="20"/>
          <w:bdr w:val="none" w:sz="0" w:space="0" w:color="auto"/>
          <w:lang w:val="es-ES_tradnl"/>
        </w:rPr>
      </w:pPr>
    </w:p>
    <w:p w:rsidR="00B62880" w:rsidRPr="00DC278B" w:rsidRDefault="00B62880"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r w:rsidRPr="00DC278B">
        <w:rPr>
          <w:rFonts w:ascii="Cambria" w:eastAsia="Times New Roman" w:hAnsi="Cambria"/>
          <w:sz w:val="20"/>
          <w:szCs w:val="20"/>
          <w:bdr w:val="none" w:sz="0" w:space="0" w:color="auto"/>
          <w:lang w:val="es-ES_tradnl"/>
        </w:rPr>
        <w:t>En palabras de la Corte en el mismo caso “</w:t>
      </w:r>
      <w:r w:rsidR="00D95DF8" w:rsidRPr="00DC278B">
        <w:rPr>
          <w:rFonts w:ascii="Cambria" w:hAnsi="Cambria"/>
          <w:sz w:val="20"/>
          <w:szCs w:val="20"/>
          <w:lang w:val="es-CO"/>
        </w:rPr>
        <w:t>resulta conforme a la observancia de derechos convencionales que el establecimiento de sistemas internos administrativos o colectivos de reparación no impida a las víctimas el ejercicio de acciones jurisdiccionales en reclamo de medidas de reparación”</w:t>
      </w:r>
      <w:r w:rsidR="0048651E" w:rsidRPr="00DC278B">
        <w:rPr>
          <w:rStyle w:val="Refdenotaalpie"/>
          <w:rFonts w:ascii="Cambria" w:hAnsi="Cambria"/>
          <w:sz w:val="20"/>
          <w:szCs w:val="20"/>
        </w:rPr>
        <w:footnoteReference w:id="122"/>
      </w:r>
      <w:r w:rsidR="00D95DF8" w:rsidRPr="00DC278B">
        <w:rPr>
          <w:rFonts w:ascii="Cambria" w:hAnsi="Cambria"/>
          <w:sz w:val="20"/>
          <w:szCs w:val="20"/>
          <w:lang w:val="es-CO"/>
        </w:rPr>
        <w:t>.</w:t>
      </w:r>
    </w:p>
    <w:p w:rsidR="00B62880" w:rsidRPr="00DC278B" w:rsidRDefault="00B62880" w:rsidP="00DC278B">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sz w:val="20"/>
          <w:szCs w:val="20"/>
          <w:bdr w:val="none" w:sz="0" w:space="0" w:color="auto"/>
          <w:lang w:val="es-ES_tradnl"/>
        </w:rPr>
      </w:pPr>
    </w:p>
    <w:p w:rsidR="004F545F" w:rsidRPr="00DC278B" w:rsidRDefault="00EB6707"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r w:rsidRPr="00DC278B">
        <w:rPr>
          <w:rFonts w:ascii="Cambria" w:eastAsia="Times New Roman" w:hAnsi="Cambria"/>
          <w:sz w:val="20"/>
          <w:szCs w:val="20"/>
          <w:bdr w:val="none" w:sz="0" w:space="0" w:color="auto"/>
          <w:lang w:val="es-ES_tradnl"/>
        </w:rPr>
        <w:t xml:space="preserve">En similar sentido, </w:t>
      </w:r>
      <w:r w:rsidR="003E1570" w:rsidRPr="00DC278B">
        <w:rPr>
          <w:rFonts w:ascii="Cambria" w:eastAsia="Times New Roman" w:hAnsi="Cambria"/>
          <w:sz w:val="20"/>
          <w:szCs w:val="20"/>
          <w:bdr w:val="none" w:sz="0" w:space="0" w:color="auto"/>
          <w:lang w:val="es-ES_tradnl"/>
        </w:rPr>
        <w:t>l</w:t>
      </w:r>
      <w:r w:rsidR="004F545F" w:rsidRPr="00DC278B">
        <w:rPr>
          <w:rFonts w:ascii="Cambria" w:eastAsia="Times New Roman" w:hAnsi="Cambria"/>
          <w:sz w:val="20"/>
          <w:szCs w:val="20"/>
          <w:bdr w:val="none" w:sz="0" w:space="0" w:color="auto"/>
          <w:lang w:val="es-ES_tradnl"/>
        </w:rPr>
        <w:t>a Comisión se ha pronunciado sobre la existencia de distintas vías para reparar a las víctimas en situaciones de graves violaciones de derechos humanos. Al respecto,</w:t>
      </w:r>
      <w:r w:rsidR="007565AA" w:rsidRPr="00DC278B">
        <w:rPr>
          <w:rFonts w:ascii="Cambria" w:eastAsia="Times New Roman" w:hAnsi="Cambria"/>
          <w:sz w:val="20"/>
          <w:szCs w:val="20"/>
          <w:bdr w:val="none" w:sz="0" w:space="0" w:color="auto"/>
          <w:lang w:val="es-ES_tradnl"/>
        </w:rPr>
        <w:t xml:space="preserve"> la CIDH</w:t>
      </w:r>
      <w:r w:rsidR="00D2288C" w:rsidRPr="00DC278B">
        <w:rPr>
          <w:rFonts w:ascii="Cambria" w:eastAsia="Times New Roman" w:hAnsi="Cambria"/>
          <w:sz w:val="20"/>
          <w:szCs w:val="20"/>
          <w:bdr w:val="none" w:sz="0" w:space="0" w:color="auto"/>
          <w:lang w:val="es-ES_tradnl"/>
        </w:rPr>
        <w:t xml:space="preserve"> ha indicado que “</w:t>
      </w:r>
      <w:r w:rsidR="004F545F" w:rsidRPr="00DC278B">
        <w:rPr>
          <w:rFonts w:ascii="Cambria" w:eastAsia="Times New Roman" w:hAnsi="Cambria"/>
          <w:sz w:val="20"/>
          <w:szCs w:val="20"/>
          <w:bdr w:val="none" w:sz="0" w:space="0" w:color="auto"/>
          <w:lang w:val="es-ES_tradnl"/>
        </w:rPr>
        <w:t>entiende que la adopción de un programa de reparaciones administrativas, no debería excluir el acceso a vías judiciales para las víctimas, permitiéndoseles así escoger la vía que consideren más adecuada para asegurar en definitiva la obtención de reparación. La CIDH considera que el Estado podría disponer e implementar mecanismos institucionales adecuados para respetar este derecho de las víctimas a acudir a diversas vías de reparación diferenciadas, sin riesgo para el erario público</w:t>
      </w:r>
      <w:r w:rsidR="00BA22DC" w:rsidRPr="00DC278B">
        <w:rPr>
          <w:rFonts w:ascii="Cambria" w:eastAsia="Times New Roman" w:hAnsi="Cambria"/>
          <w:sz w:val="20"/>
          <w:szCs w:val="20"/>
          <w:bdr w:val="none" w:sz="0" w:space="0" w:color="auto"/>
          <w:lang w:val="es-ES_tradnl"/>
        </w:rPr>
        <w:t>”</w:t>
      </w:r>
      <w:r w:rsidR="004F545F" w:rsidRPr="00DC278B">
        <w:rPr>
          <w:rStyle w:val="Refdenotaalpie"/>
          <w:rFonts w:ascii="Cambria" w:eastAsia="Times New Roman" w:hAnsi="Cambria"/>
          <w:sz w:val="20"/>
          <w:szCs w:val="20"/>
          <w:bdr w:val="none" w:sz="0" w:space="0" w:color="auto"/>
          <w:lang w:val="es-ES_tradnl"/>
        </w:rPr>
        <w:footnoteReference w:id="123"/>
      </w:r>
      <w:r w:rsidR="004F545F" w:rsidRPr="00DC278B">
        <w:rPr>
          <w:rFonts w:ascii="Cambria" w:eastAsia="Times New Roman" w:hAnsi="Cambria"/>
          <w:sz w:val="20"/>
          <w:szCs w:val="20"/>
          <w:bdr w:val="none" w:sz="0" w:space="0" w:color="auto"/>
          <w:lang w:val="es-ES_tradnl"/>
        </w:rPr>
        <w:t xml:space="preserve">. </w:t>
      </w:r>
    </w:p>
    <w:p w:rsidR="004F545F" w:rsidRPr="00DC278B" w:rsidRDefault="004F545F" w:rsidP="00DC278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p>
    <w:p w:rsidR="00D2288C" w:rsidRPr="00DC278B" w:rsidRDefault="00EB6707"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r w:rsidRPr="00DC278B">
        <w:rPr>
          <w:rFonts w:ascii="Cambria" w:eastAsia="Times New Roman" w:hAnsi="Cambria"/>
          <w:sz w:val="20"/>
          <w:szCs w:val="20"/>
          <w:bdr w:val="none" w:sz="0" w:space="0" w:color="auto"/>
          <w:lang w:val="es-ES_tradnl"/>
        </w:rPr>
        <w:t>R</w:t>
      </w:r>
      <w:r w:rsidR="00AC0E01" w:rsidRPr="00DC278B">
        <w:rPr>
          <w:rFonts w:ascii="Cambria" w:eastAsia="Times New Roman" w:hAnsi="Cambria"/>
          <w:sz w:val="20"/>
          <w:szCs w:val="20"/>
          <w:bdr w:val="none" w:sz="0" w:space="0" w:color="auto"/>
          <w:lang w:val="es-ES_tradnl"/>
        </w:rPr>
        <w:t xml:space="preserve">efiriéndose a la relación </w:t>
      </w:r>
      <w:r w:rsidR="007565AA" w:rsidRPr="00DC278B">
        <w:rPr>
          <w:rFonts w:ascii="Cambria" w:eastAsia="Times New Roman" w:hAnsi="Cambria"/>
          <w:sz w:val="20"/>
          <w:szCs w:val="20"/>
          <w:bdr w:val="none" w:sz="0" w:space="0" w:color="auto"/>
          <w:lang w:val="es-ES_tradnl"/>
        </w:rPr>
        <w:t>entre ambos tipos de reparaciones con ocasión al caso colombiano, la C</w:t>
      </w:r>
      <w:r w:rsidR="001654DC" w:rsidRPr="00DC278B">
        <w:rPr>
          <w:rFonts w:ascii="Cambria" w:eastAsia="Times New Roman" w:hAnsi="Cambria"/>
          <w:sz w:val="20"/>
          <w:szCs w:val="20"/>
          <w:bdr w:val="none" w:sz="0" w:space="0" w:color="auto"/>
          <w:lang w:val="es-ES_tradnl"/>
        </w:rPr>
        <w:t xml:space="preserve">omisión señaló que: </w:t>
      </w:r>
    </w:p>
    <w:p w:rsidR="00D2288C" w:rsidRPr="00DC278B" w:rsidRDefault="00D2288C" w:rsidP="00DC278B">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sz w:val="20"/>
          <w:szCs w:val="20"/>
          <w:bdr w:val="none" w:sz="0" w:space="0" w:color="auto"/>
          <w:lang w:val="es-ES_tradnl"/>
        </w:rPr>
      </w:pPr>
    </w:p>
    <w:p w:rsidR="00D2288C" w:rsidRPr="00DC278B" w:rsidRDefault="00A9736E" w:rsidP="00DC278B">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Cambria" w:eastAsia="Times New Roman" w:hAnsi="Cambria"/>
          <w:sz w:val="20"/>
          <w:szCs w:val="20"/>
          <w:bdr w:val="none" w:sz="0" w:space="0" w:color="auto"/>
          <w:lang w:val="es-ES_tradnl"/>
        </w:rPr>
      </w:pPr>
      <w:r w:rsidRPr="00DC278B">
        <w:rPr>
          <w:rFonts w:ascii="Cambria" w:hAnsi="Cambria"/>
          <w:sz w:val="20"/>
          <w:szCs w:val="20"/>
          <w:lang w:val="es-CO"/>
        </w:rPr>
        <w:t xml:space="preserve">(…) </w:t>
      </w:r>
      <w:r w:rsidR="00D2288C" w:rsidRPr="00DC278B">
        <w:rPr>
          <w:rFonts w:ascii="Cambria" w:hAnsi="Cambria"/>
          <w:sz w:val="20"/>
          <w:szCs w:val="20"/>
          <w:lang w:val="es-CO"/>
        </w:rPr>
        <w:t xml:space="preserve">el procedimiento administrativo de reparaciones, no </w:t>
      </w:r>
      <w:proofErr w:type="spellStart"/>
      <w:r w:rsidR="00D2288C" w:rsidRPr="00DC278B">
        <w:rPr>
          <w:rFonts w:ascii="Cambria" w:hAnsi="Cambria"/>
          <w:sz w:val="20"/>
          <w:szCs w:val="20"/>
          <w:lang w:val="es-CO"/>
        </w:rPr>
        <w:t>debería</w:t>
      </w:r>
      <w:proofErr w:type="spellEnd"/>
      <w:r w:rsidR="00D2288C" w:rsidRPr="00DC278B">
        <w:rPr>
          <w:rFonts w:ascii="Cambria" w:hAnsi="Cambria"/>
          <w:sz w:val="20"/>
          <w:szCs w:val="20"/>
          <w:lang w:val="es-CO"/>
        </w:rPr>
        <w:t xml:space="preserve"> implicar un desistimiento de la </w:t>
      </w:r>
      <w:proofErr w:type="spellStart"/>
      <w:r w:rsidR="00D2288C" w:rsidRPr="00DC278B">
        <w:rPr>
          <w:rFonts w:ascii="Cambria" w:hAnsi="Cambria"/>
          <w:sz w:val="20"/>
          <w:szCs w:val="20"/>
          <w:lang w:val="es-CO"/>
        </w:rPr>
        <w:t>acción</w:t>
      </w:r>
      <w:proofErr w:type="spellEnd"/>
      <w:r w:rsidR="00D2288C" w:rsidRPr="00DC278B">
        <w:rPr>
          <w:rFonts w:ascii="Cambria" w:hAnsi="Cambria"/>
          <w:sz w:val="20"/>
          <w:szCs w:val="20"/>
          <w:lang w:val="es-CO"/>
        </w:rPr>
        <w:t xml:space="preserve"> judicial contencioso administrativa que busca precisamente la </w:t>
      </w:r>
      <w:proofErr w:type="spellStart"/>
      <w:r w:rsidR="00D2288C" w:rsidRPr="00DC278B">
        <w:rPr>
          <w:rFonts w:ascii="Cambria" w:hAnsi="Cambria"/>
          <w:sz w:val="20"/>
          <w:szCs w:val="20"/>
          <w:lang w:val="es-CO"/>
        </w:rPr>
        <w:t>determinación</w:t>
      </w:r>
      <w:proofErr w:type="spellEnd"/>
      <w:r w:rsidR="00D2288C" w:rsidRPr="00DC278B">
        <w:rPr>
          <w:rFonts w:ascii="Cambria" w:hAnsi="Cambria"/>
          <w:sz w:val="20"/>
          <w:szCs w:val="20"/>
          <w:lang w:val="es-CO"/>
        </w:rPr>
        <w:t xml:space="preserve"> de la responsabilidad </w:t>
      </w:r>
      <w:proofErr w:type="spellStart"/>
      <w:r w:rsidR="00D2288C" w:rsidRPr="00DC278B">
        <w:rPr>
          <w:rFonts w:ascii="Cambria" w:hAnsi="Cambria"/>
          <w:sz w:val="20"/>
          <w:szCs w:val="20"/>
          <w:lang w:val="es-CO"/>
        </w:rPr>
        <w:t>jurídica</w:t>
      </w:r>
      <w:proofErr w:type="spellEnd"/>
      <w:r w:rsidR="00D2288C" w:rsidRPr="00DC278B">
        <w:rPr>
          <w:rFonts w:ascii="Cambria" w:hAnsi="Cambria"/>
          <w:sz w:val="20"/>
          <w:szCs w:val="20"/>
          <w:lang w:val="es-CO"/>
        </w:rPr>
        <w:t xml:space="preserve"> del Estado, </w:t>
      </w:r>
      <w:proofErr w:type="spellStart"/>
      <w:r w:rsidR="00D2288C" w:rsidRPr="00DC278B">
        <w:rPr>
          <w:rFonts w:ascii="Cambria" w:hAnsi="Cambria"/>
          <w:sz w:val="20"/>
          <w:szCs w:val="20"/>
          <w:lang w:val="es-CO"/>
        </w:rPr>
        <w:t>asi</w:t>
      </w:r>
      <w:proofErr w:type="spellEnd"/>
      <w:r w:rsidR="00D2288C" w:rsidRPr="00DC278B">
        <w:rPr>
          <w:rFonts w:ascii="Cambria" w:hAnsi="Cambria"/>
          <w:sz w:val="20"/>
          <w:szCs w:val="20"/>
          <w:lang w:val="es-CO"/>
        </w:rPr>
        <w:t xml:space="preserve">́ como tampoco un desistimiento del incidente de </w:t>
      </w:r>
      <w:proofErr w:type="spellStart"/>
      <w:r w:rsidR="00D2288C" w:rsidRPr="00DC278B">
        <w:rPr>
          <w:rFonts w:ascii="Cambria" w:hAnsi="Cambria"/>
          <w:sz w:val="20"/>
          <w:szCs w:val="20"/>
          <w:lang w:val="es-CO"/>
        </w:rPr>
        <w:t>reparación</w:t>
      </w:r>
      <w:proofErr w:type="spellEnd"/>
      <w:r w:rsidR="00D2288C" w:rsidRPr="00DC278B">
        <w:rPr>
          <w:rFonts w:ascii="Cambria" w:hAnsi="Cambria"/>
          <w:sz w:val="20"/>
          <w:szCs w:val="20"/>
          <w:lang w:val="es-CO"/>
        </w:rPr>
        <w:t xml:space="preserve">. En este sentido, las </w:t>
      </w:r>
      <w:proofErr w:type="spellStart"/>
      <w:r w:rsidR="00D2288C" w:rsidRPr="00DC278B">
        <w:rPr>
          <w:rFonts w:ascii="Cambria" w:hAnsi="Cambria"/>
          <w:sz w:val="20"/>
          <w:szCs w:val="20"/>
          <w:lang w:val="es-CO"/>
        </w:rPr>
        <w:t>víctimas</w:t>
      </w:r>
      <w:proofErr w:type="spellEnd"/>
      <w:r w:rsidR="00D2288C" w:rsidRPr="00DC278B">
        <w:rPr>
          <w:rFonts w:ascii="Cambria" w:hAnsi="Cambria"/>
          <w:sz w:val="20"/>
          <w:szCs w:val="20"/>
          <w:lang w:val="es-CO"/>
        </w:rPr>
        <w:t xml:space="preserve"> </w:t>
      </w:r>
      <w:proofErr w:type="spellStart"/>
      <w:r w:rsidR="00D2288C" w:rsidRPr="00DC278B">
        <w:rPr>
          <w:rFonts w:ascii="Cambria" w:hAnsi="Cambria"/>
          <w:sz w:val="20"/>
          <w:szCs w:val="20"/>
          <w:lang w:val="es-CO"/>
        </w:rPr>
        <w:t>deberían</w:t>
      </w:r>
      <w:proofErr w:type="spellEnd"/>
      <w:r w:rsidR="00D2288C" w:rsidRPr="00DC278B">
        <w:rPr>
          <w:rFonts w:ascii="Cambria" w:hAnsi="Cambria"/>
          <w:sz w:val="20"/>
          <w:szCs w:val="20"/>
          <w:lang w:val="es-CO"/>
        </w:rPr>
        <w:t xml:space="preserve"> mantener su derecho de </w:t>
      </w:r>
      <w:proofErr w:type="spellStart"/>
      <w:r w:rsidR="00D2288C" w:rsidRPr="00DC278B">
        <w:rPr>
          <w:rFonts w:ascii="Cambria" w:hAnsi="Cambria"/>
          <w:sz w:val="20"/>
          <w:szCs w:val="20"/>
          <w:lang w:val="es-CO"/>
        </w:rPr>
        <w:t>acción</w:t>
      </w:r>
      <w:proofErr w:type="spellEnd"/>
      <w:r w:rsidR="00D2288C" w:rsidRPr="00DC278B">
        <w:rPr>
          <w:rFonts w:ascii="Cambria" w:hAnsi="Cambria"/>
          <w:sz w:val="20"/>
          <w:szCs w:val="20"/>
          <w:lang w:val="es-CO"/>
        </w:rPr>
        <w:t xml:space="preserve"> judicial en el </w:t>
      </w:r>
      <w:proofErr w:type="spellStart"/>
      <w:r w:rsidR="00D2288C" w:rsidRPr="00DC278B">
        <w:rPr>
          <w:rFonts w:ascii="Cambria" w:hAnsi="Cambria"/>
          <w:sz w:val="20"/>
          <w:szCs w:val="20"/>
          <w:lang w:val="es-CO"/>
        </w:rPr>
        <w:t>ámbito</w:t>
      </w:r>
      <w:proofErr w:type="spellEnd"/>
      <w:r w:rsidR="00D2288C" w:rsidRPr="00DC278B">
        <w:rPr>
          <w:rFonts w:ascii="Cambria" w:hAnsi="Cambria"/>
          <w:sz w:val="20"/>
          <w:szCs w:val="20"/>
          <w:lang w:val="es-CO"/>
        </w:rPr>
        <w:t xml:space="preserve"> contencioso administrativo, a fin de determinar la eventual responsabilidad estatal por violaciones graves cometidas por paramilitares, tal como ha sido establecido en precedentes del Consejo de Estado. Asimismo, el Estado </w:t>
      </w:r>
      <w:proofErr w:type="spellStart"/>
      <w:r w:rsidR="00D2288C" w:rsidRPr="00DC278B">
        <w:rPr>
          <w:rFonts w:ascii="Cambria" w:hAnsi="Cambria"/>
          <w:sz w:val="20"/>
          <w:szCs w:val="20"/>
          <w:lang w:val="es-CO"/>
        </w:rPr>
        <w:t>podría</w:t>
      </w:r>
      <w:proofErr w:type="spellEnd"/>
      <w:r w:rsidR="00D2288C" w:rsidRPr="00DC278B">
        <w:rPr>
          <w:rFonts w:ascii="Cambria" w:hAnsi="Cambria"/>
          <w:sz w:val="20"/>
          <w:szCs w:val="20"/>
          <w:lang w:val="es-CO"/>
        </w:rPr>
        <w:t xml:space="preserve"> siempre compensar lo que otorgue a </w:t>
      </w:r>
      <w:proofErr w:type="spellStart"/>
      <w:r w:rsidR="00D2288C" w:rsidRPr="00DC278B">
        <w:rPr>
          <w:rFonts w:ascii="Cambria" w:hAnsi="Cambria"/>
          <w:sz w:val="20"/>
          <w:szCs w:val="20"/>
          <w:lang w:val="es-CO"/>
        </w:rPr>
        <w:t>través</w:t>
      </w:r>
      <w:proofErr w:type="spellEnd"/>
      <w:r w:rsidR="00D2288C" w:rsidRPr="00DC278B">
        <w:rPr>
          <w:rFonts w:ascii="Cambria" w:hAnsi="Cambria"/>
          <w:sz w:val="20"/>
          <w:szCs w:val="20"/>
          <w:lang w:val="es-CO"/>
        </w:rPr>
        <w:t xml:space="preserve"> del programa de reparaciones administrativas, de lo que pudiera verse obligado a reparar en un proceso contencioso administrativo</w:t>
      </w:r>
      <w:r w:rsidR="00D2288C" w:rsidRPr="00DC278B">
        <w:rPr>
          <w:rStyle w:val="Refdenotaalpie"/>
          <w:rFonts w:ascii="Cambria" w:hAnsi="Cambria"/>
          <w:sz w:val="20"/>
          <w:szCs w:val="20"/>
        </w:rPr>
        <w:footnoteReference w:id="124"/>
      </w:r>
      <w:r w:rsidR="00D2288C" w:rsidRPr="00DC278B">
        <w:rPr>
          <w:rFonts w:ascii="Cambria" w:hAnsi="Cambria"/>
          <w:sz w:val="20"/>
          <w:szCs w:val="20"/>
          <w:lang w:val="es-CO"/>
        </w:rPr>
        <w:t>.</w:t>
      </w:r>
    </w:p>
    <w:p w:rsidR="00D2288C" w:rsidRPr="00DC278B" w:rsidRDefault="00D2288C" w:rsidP="00DC278B">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sz w:val="20"/>
          <w:szCs w:val="20"/>
          <w:bdr w:val="none" w:sz="0" w:space="0" w:color="auto"/>
          <w:lang w:val="es-ES_tradnl"/>
        </w:rPr>
      </w:pPr>
    </w:p>
    <w:p w:rsidR="000A1D35" w:rsidRPr="00DC278B" w:rsidRDefault="00EB6707"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r w:rsidRPr="00DC278B">
        <w:rPr>
          <w:rFonts w:ascii="Cambria" w:eastAsia="Times New Roman" w:hAnsi="Cambria"/>
          <w:sz w:val="20"/>
          <w:szCs w:val="20"/>
          <w:bdr w:val="none" w:sz="0" w:space="0" w:color="auto"/>
          <w:lang w:val="es-ES_tradnl"/>
        </w:rPr>
        <w:t xml:space="preserve">En la misma línea y </w:t>
      </w:r>
      <w:r w:rsidR="001C15BB" w:rsidRPr="00DC278B">
        <w:rPr>
          <w:rFonts w:ascii="Cambria" w:eastAsia="Times New Roman" w:hAnsi="Cambria"/>
          <w:sz w:val="20"/>
          <w:szCs w:val="20"/>
          <w:bdr w:val="none" w:sz="0" w:space="0" w:color="auto"/>
          <w:lang w:val="es-ES_tradnl"/>
        </w:rPr>
        <w:t xml:space="preserve">respecto de </w:t>
      </w:r>
      <w:r w:rsidRPr="00DC278B">
        <w:rPr>
          <w:rFonts w:ascii="Cambria" w:eastAsia="Times New Roman" w:hAnsi="Cambria"/>
          <w:sz w:val="20"/>
          <w:szCs w:val="20"/>
          <w:bdr w:val="none" w:sz="0" w:space="0" w:color="auto"/>
          <w:lang w:val="es-ES_tradnl"/>
        </w:rPr>
        <w:t>la tortura – que constituye una grave violación de derechos humanos asimilable precisamente por su gravedad a las ocurridas en el</w:t>
      </w:r>
      <w:r w:rsidR="00B77B86" w:rsidRPr="00DC278B">
        <w:rPr>
          <w:rFonts w:ascii="Cambria" w:eastAsia="Times New Roman" w:hAnsi="Cambria"/>
          <w:sz w:val="20"/>
          <w:szCs w:val="20"/>
          <w:bdr w:val="none" w:sz="0" w:space="0" w:color="auto"/>
          <w:lang w:val="es-ES_tradnl"/>
        </w:rPr>
        <w:t xml:space="preserve"> presente caso – el Comité contra la Tortura</w:t>
      </w:r>
      <w:r w:rsidR="000A1D35" w:rsidRPr="00DC278B">
        <w:rPr>
          <w:rFonts w:ascii="Cambria" w:eastAsia="Times New Roman" w:hAnsi="Cambria"/>
          <w:sz w:val="20"/>
          <w:szCs w:val="20"/>
          <w:bdr w:val="none" w:sz="0" w:space="0" w:color="auto"/>
          <w:lang w:val="es-ES_tradnl"/>
        </w:rPr>
        <w:t xml:space="preserve"> indicó que: </w:t>
      </w:r>
    </w:p>
    <w:p w:rsidR="000A1D35" w:rsidRPr="00DC278B" w:rsidRDefault="000A1D35" w:rsidP="00DC278B">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sz w:val="20"/>
          <w:szCs w:val="20"/>
          <w:bdr w:val="none" w:sz="0" w:space="0" w:color="auto"/>
          <w:lang w:val="es-ES_tradnl"/>
        </w:rPr>
      </w:pPr>
    </w:p>
    <w:p w:rsidR="000A1D35" w:rsidRPr="00DC278B" w:rsidRDefault="00C456BB" w:rsidP="00DC278B">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sz w:val="20"/>
          <w:szCs w:val="20"/>
          <w:bdr w:val="none" w:sz="0" w:space="0" w:color="auto"/>
          <w:lang w:val="es-CO"/>
        </w:rPr>
      </w:pPr>
      <w:r w:rsidRPr="00DC278B">
        <w:rPr>
          <w:rFonts w:ascii="Cambria" w:hAnsi="Cambria"/>
          <w:sz w:val="20"/>
          <w:szCs w:val="20"/>
          <w:lang w:val="es-CO"/>
        </w:rPr>
        <w:t xml:space="preserve">(…) </w:t>
      </w:r>
      <w:r w:rsidR="000A1D35" w:rsidRPr="00DC278B">
        <w:rPr>
          <w:rFonts w:ascii="Cambria" w:hAnsi="Cambria"/>
          <w:sz w:val="20"/>
          <w:szCs w:val="20"/>
          <w:lang w:val="es-CO"/>
        </w:rPr>
        <w:t xml:space="preserve">los Estados partes han de promulgar leyes que ofrezcan expresamente a las víctimas de tortura un recurso efectivo y reconozcan su derecho a obtener una reparación apropiada, que incluya una indemnización y la rehabilitación más completa posible. Esa legislación debe permitir ejercer tal derecho a título individual y asegurar que se disponga de un recurso judicial. Si bien las reparaciones colectivas y los programas administrativos de reparación pueden ser una forma de resarcimiento </w:t>
      </w:r>
      <w:r w:rsidR="000A1D35" w:rsidRPr="00DC278B">
        <w:rPr>
          <w:rFonts w:ascii="Cambria" w:hAnsi="Cambria"/>
          <w:sz w:val="20"/>
          <w:szCs w:val="20"/>
          <w:lang w:val="es-CO"/>
        </w:rPr>
        <w:lastRenderedPageBreak/>
        <w:t>aceptable, esos programas no pueden dejar sin efecto el derecho individual a un recurso efectivo y a obtener reparación</w:t>
      </w:r>
      <w:r w:rsidR="000A1D35" w:rsidRPr="00DC278B">
        <w:rPr>
          <w:rFonts w:ascii="Cambria" w:hAnsi="Cambria"/>
          <w:sz w:val="20"/>
          <w:szCs w:val="20"/>
          <w:vertAlign w:val="superscript"/>
        </w:rPr>
        <w:footnoteReference w:id="125"/>
      </w:r>
      <w:r w:rsidR="000A1D35" w:rsidRPr="00DC278B">
        <w:rPr>
          <w:rFonts w:ascii="Cambria" w:hAnsi="Cambria"/>
          <w:sz w:val="20"/>
          <w:szCs w:val="20"/>
          <w:lang w:val="es-CO"/>
        </w:rPr>
        <w:t>.</w:t>
      </w:r>
    </w:p>
    <w:p w:rsidR="000A1D35" w:rsidRPr="00DC278B" w:rsidRDefault="000A1D35" w:rsidP="00DC278B">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sz w:val="20"/>
          <w:szCs w:val="20"/>
          <w:bdr w:val="none" w:sz="0" w:space="0" w:color="auto"/>
          <w:lang w:val="es-ES_tradnl"/>
        </w:rPr>
      </w:pPr>
    </w:p>
    <w:p w:rsidR="00494D3F" w:rsidRPr="00DC278B" w:rsidRDefault="003F56FC"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r w:rsidRPr="00DC278B">
        <w:rPr>
          <w:rFonts w:ascii="Cambria" w:eastAsia="Times New Roman" w:hAnsi="Cambria"/>
          <w:sz w:val="20"/>
          <w:szCs w:val="20"/>
          <w:bdr w:val="none" w:sz="0" w:space="0" w:color="auto"/>
          <w:lang w:val="es-ES_tradnl"/>
        </w:rPr>
        <w:t>De lo dicho anteriormente es posible afirmar que</w:t>
      </w:r>
      <w:r w:rsidR="00EA403C" w:rsidRPr="00DC278B">
        <w:rPr>
          <w:rFonts w:ascii="Cambria" w:eastAsia="Times New Roman" w:hAnsi="Cambria"/>
          <w:sz w:val="20"/>
          <w:szCs w:val="20"/>
          <w:bdr w:val="none" w:sz="0" w:space="0" w:color="auto"/>
          <w:lang w:val="es-ES_tradnl"/>
        </w:rPr>
        <w:t xml:space="preserve"> ambos órganos del sistema interamericano han entendido que las vías de reparación administrativa y judicial son complementarias y no excluyentes, siendo posible la confluencia de ambas y permitiendo que en la vía judicial se descuente </w:t>
      </w:r>
      <w:r w:rsidR="00881D89" w:rsidRPr="00DC278B">
        <w:rPr>
          <w:rFonts w:ascii="Cambria" w:eastAsia="Times New Roman" w:hAnsi="Cambria"/>
          <w:sz w:val="20"/>
          <w:szCs w:val="20"/>
          <w:bdr w:val="none" w:sz="0" w:space="0" w:color="auto"/>
          <w:lang w:val="es-ES_tradnl"/>
        </w:rPr>
        <w:t xml:space="preserve">o compense </w:t>
      </w:r>
      <w:r w:rsidR="00EA403C" w:rsidRPr="00DC278B">
        <w:rPr>
          <w:rFonts w:ascii="Cambria" w:eastAsia="Times New Roman" w:hAnsi="Cambria"/>
          <w:sz w:val="20"/>
          <w:szCs w:val="20"/>
          <w:bdr w:val="none" w:sz="0" w:space="0" w:color="auto"/>
          <w:lang w:val="es-ES_tradnl"/>
        </w:rPr>
        <w:t>lo ya abonado en la vía administrativa. Asimismo, resulta que de los artículos 8.1 y 25.1 de la Convención Americana, las víctimas de graves violaciones de derechos humanos deben poder acceder a la justicia para solicitar una declaratoria judi</w:t>
      </w:r>
      <w:r w:rsidR="00D97C45" w:rsidRPr="00DC278B">
        <w:rPr>
          <w:rFonts w:ascii="Cambria" w:eastAsia="Times New Roman" w:hAnsi="Cambria"/>
          <w:sz w:val="20"/>
          <w:szCs w:val="20"/>
          <w:bdr w:val="none" w:sz="0" w:space="0" w:color="auto"/>
          <w:lang w:val="es-ES_tradnl"/>
        </w:rPr>
        <w:t>cial de responsabilidad estatal;</w:t>
      </w:r>
      <w:r w:rsidR="00EA403C" w:rsidRPr="00DC278B">
        <w:rPr>
          <w:rFonts w:ascii="Cambria" w:eastAsia="Times New Roman" w:hAnsi="Cambria"/>
          <w:sz w:val="20"/>
          <w:szCs w:val="20"/>
          <w:bdr w:val="none" w:sz="0" w:space="0" w:color="auto"/>
          <w:lang w:val="es-ES_tradnl"/>
        </w:rPr>
        <w:t xml:space="preserve"> para que se efectúe una determinación individual de la afectación en el caso concreto</w:t>
      </w:r>
      <w:r w:rsidR="00D97C45" w:rsidRPr="00DC278B">
        <w:rPr>
          <w:rFonts w:ascii="Cambria" w:eastAsia="Times New Roman" w:hAnsi="Cambria"/>
          <w:sz w:val="20"/>
          <w:szCs w:val="20"/>
          <w:bdr w:val="none" w:sz="0" w:space="0" w:color="auto"/>
          <w:lang w:val="es-ES_tradnl"/>
        </w:rPr>
        <w:t>;</w:t>
      </w:r>
      <w:r w:rsidR="00EA403C" w:rsidRPr="00DC278B">
        <w:rPr>
          <w:rFonts w:ascii="Cambria" w:eastAsia="Times New Roman" w:hAnsi="Cambria"/>
          <w:sz w:val="20"/>
          <w:szCs w:val="20"/>
          <w:bdr w:val="none" w:sz="0" w:space="0" w:color="auto"/>
          <w:lang w:val="es-ES_tradnl"/>
        </w:rPr>
        <w:t xml:space="preserve"> o para cuestionar la suficiencia de las reparaciones recibidas</w:t>
      </w:r>
      <w:r w:rsidR="00AD1B35" w:rsidRPr="00DC278B">
        <w:rPr>
          <w:rFonts w:ascii="Cambria" w:eastAsia="Times New Roman" w:hAnsi="Cambria"/>
          <w:sz w:val="20"/>
          <w:szCs w:val="20"/>
          <w:bdr w:val="none" w:sz="0" w:space="0" w:color="auto"/>
          <w:lang w:val="es-ES_tradnl"/>
        </w:rPr>
        <w:t xml:space="preserve"> con anterioridad. </w:t>
      </w:r>
      <w:r w:rsidR="00B10569" w:rsidRPr="00DC278B">
        <w:rPr>
          <w:rFonts w:ascii="Cambria" w:eastAsia="Times New Roman" w:hAnsi="Cambria"/>
          <w:sz w:val="20"/>
          <w:szCs w:val="20"/>
          <w:bdr w:val="none" w:sz="0" w:space="0" w:color="auto"/>
          <w:lang w:val="es-ES_tradnl"/>
        </w:rPr>
        <w:t>Conforme a los estándares descritos, e</w:t>
      </w:r>
      <w:r w:rsidR="00AD1B35" w:rsidRPr="00DC278B">
        <w:rPr>
          <w:rFonts w:ascii="Cambria" w:eastAsia="Times New Roman" w:hAnsi="Cambria"/>
          <w:sz w:val="20"/>
          <w:szCs w:val="20"/>
          <w:bdr w:val="none" w:sz="0" w:space="0" w:color="auto"/>
          <w:lang w:val="es-ES_tradnl"/>
        </w:rPr>
        <w:t>ste derecho no debería esta</w:t>
      </w:r>
      <w:r w:rsidR="00B10569" w:rsidRPr="00DC278B">
        <w:rPr>
          <w:rFonts w:ascii="Cambria" w:eastAsia="Times New Roman" w:hAnsi="Cambria"/>
          <w:sz w:val="20"/>
          <w:szCs w:val="20"/>
          <w:bdr w:val="none" w:sz="0" w:space="0" w:color="auto"/>
          <w:lang w:val="es-ES_tradnl"/>
        </w:rPr>
        <w:t>r</w:t>
      </w:r>
      <w:r w:rsidR="00AD1B35" w:rsidRPr="00DC278B">
        <w:rPr>
          <w:rFonts w:ascii="Cambria" w:eastAsia="Times New Roman" w:hAnsi="Cambria"/>
          <w:sz w:val="20"/>
          <w:szCs w:val="20"/>
          <w:bdr w:val="none" w:sz="0" w:space="0" w:color="auto"/>
          <w:lang w:val="es-ES_tradnl"/>
        </w:rPr>
        <w:t xml:space="preserve"> limitado por el hecho de haber participado en un programa </w:t>
      </w:r>
      <w:r w:rsidR="001362A8" w:rsidRPr="00DC278B">
        <w:rPr>
          <w:rFonts w:ascii="Cambria" w:eastAsia="Times New Roman" w:hAnsi="Cambria"/>
          <w:sz w:val="20"/>
          <w:szCs w:val="20"/>
          <w:bdr w:val="none" w:sz="0" w:space="0" w:color="auto"/>
          <w:lang w:val="es-ES_tradnl"/>
        </w:rPr>
        <w:t xml:space="preserve">administrativo </w:t>
      </w:r>
      <w:r w:rsidR="00AD1B35" w:rsidRPr="00DC278B">
        <w:rPr>
          <w:rFonts w:ascii="Cambria" w:eastAsia="Times New Roman" w:hAnsi="Cambria"/>
          <w:sz w:val="20"/>
          <w:szCs w:val="20"/>
          <w:bdr w:val="none" w:sz="0" w:space="0" w:color="auto"/>
          <w:lang w:val="es-ES_tradnl"/>
        </w:rPr>
        <w:t>de reparaciones</w:t>
      </w:r>
      <w:r w:rsidR="001362A8" w:rsidRPr="00DC278B">
        <w:rPr>
          <w:rFonts w:ascii="Cambria" w:eastAsia="Times New Roman" w:hAnsi="Cambria"/>
          <w:sz w:val="20"/>
          <w:szCs w:val="20"/>
          <w:bdr w:val="none" w:sz="0" w:space="0" w:color="auto"/>
          <w:lang w:val="es-ES_tradnl"/>
        </w:rPr>
        <w:t>.</w:t>
      </w:r>
    </w:p>
    <w:p w:rsidR="004F545F" w:rsidRPr="00DC278B" w:rsidRDefault="00494D3F" w:rsidP="00DC278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r w:rsidRPr="00DC278B">
        <w:rPr>
          <w:rFonts w:ascii="Cambria" w:eastAsia="Times New Roman" w:hAnsi="Cambria"/>
          <w:sz w:val="20"/>
          <w:szCs w:val="20"/>
          <w:bdr w:val="none" w:sz="0" w:space="0" w:color="auto"/>
          <w:lang w:val="es-ES_tradnl"/>
        </w:rPr>
        <w:t xml:space="preserve"> </w:t>
      </w:r>
    </w:p>
    <w:p w:rsidR="006E0769" w:rsidRPr="00DC278B" w:rsidRDefault="00E645F8"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r w:rsidRPr="00DC278B">
        <w:rPr>
          <w:rFonts w:ascii="Cambria" w:eastAsia="Times New Roman" w:hAnsi="Cambria"/>
          <w:sz w:val="20"/>
          <w:szCs w:val="20"/>
          <w:bdr w:val="none" w:sz="0" w:space="0" w:color="auto"/>
          <w:lang w:val="es-ES_tradnl"/>
        </w:rPr>
        <w:t xml:space="preserve">En virtud de las anteriores consideraciones la Comisión establece que el objeto del </w:t>
      </w:r>
      <w:r w:rsidR="00B11062" w:rsidRPr="00DC278B">
        <w:rPr>
          <w:rFonts w:ascii="Cambria" w:eastAsia="Times New Roman" w:hAnsi="Cambria"/>
          <w:sz w:val="20"/>
          <w:szCs w:val="20"/>
          <w:bdr w:val="none" w:sz="0" w:space="0" w:color="auto"/>
          <w:lang w:val="es-ES_tradnl"/>
        </w:rPr>
        <w:t xml:space="preserve">presente caso está circunscrito a la determinación de si la aplicación de la </w:t>
      </w:r>
      <w:r w:rsidR="00653942" w:rsidRPr="00DC278B">
        <w:rPr>
          <w:rFonts w:ascii="Cambria" w:eastAsia="Times New Roman" w:hAnsi="Cambria"/>
          <w:sz w:val="20"/>
          <w:szCs w:val="20"/>
          <w:bdr w:val="none" w:sz="0" w:space="0" w:color="auto"/>
          <w:lang w:val="es-ES_tradnl"/>
        </w:rPr>
        <w:t xml:space="preserve">figura de la prescripción </w:t>
      </w:r>
      <w:r w:rsidR="00B11062" w:rsidRPr="00DC278B">
        <w:rPr>
          <w:rFonts w:ascii="Cambria" w:eastAsia="Times New Roman" w:hAnsi="Cambria"/>
          <w:sz w:val="20"/>
          <w:szCs w:val="20"/>
          <w:bdr w:val="none" w:sz="0" w:space="0" w:color="auto"/>
          <w:lang w:val="es-ES_tradnl"/>
        </w:rPr>
        <w:t xml:space="preserve">a las acciones judiciales de reparación constituye una violación </w:t>
      </w:r>
      <w:r w:rsidR="008042E2" w:rsidRPr="00DC278B">
        <w:rPr>
          <w:rFonts w:ascii="Cambria" w:eastAsia="Times New Roman" w:hAnsi="Cambria"/>
          <w:sz w:val="20"/>
          <w:szCs w:val="20"/>
          <w:bdr w:val="none" w:sz="0" w:space="0" w:color="auto"/>
          <w:lang w:val="es-ES_tradnl"/>
        </w:rPr>
        <w:t xml:space="preserve">a </w:t>
      </w:r>
      <w:r w:rsidR="00841368" w:rsidRPr="00DC278B">
        <w:rPr>
          <w:rFonts w:ascii="Cambria" w:eastAsia="Times New Roman" w:hAnsi="Cambria"/>
          <w:sz w:val="20"/>
          <w:szCs w:val="20"/>
          <w:bdr w:val="none" w:sz="0" w:space="0" w:color="auto"/>
          <w:lang w:val="es-ES_tradnl"/>
        </w:rPr>
        <w:t xml:space="preserve">la Convención Americana, en particular, del derecho a acceder a la justicia con las garantías del debido proceso para obtener reparación frente a </w:t>
      </w:r>
      <w:r w:rsidR="00634B00" w:rsidRPr="00DC278B">
        <w:rPr>
          <w:rFonts w:ascii="Cambria" w:eastAsia="Times New Roman" w:hAnsi="Cambria"/>
          <w:sz w:val="20"/>
          <w:szCs w:val="20"/>
          <w:bdr w:val="none" w:sz="0" w:space="0" w:color="auto"/>
          <w:lang w:val="es-ES_tradnl"/>
        </w:rPr>
        <w:t xml:space="preserve">graves </w:t>
      </w:r>
      <w:r w:rsidR="00841368" w:rsidRPr="00DC278B">
        <w:rPr>
          <w:rFonts w:ascii="Cambria" w:eastAsia="Times New Roman" w:hAnsi="Cambria"/>
          <w:sz w:val="20"/>
          <w:szCs w:val="20"/>
          <w:bdr w:val="none" w:sz="0" w:space="0" w:color="auto"/>
          <w:lang w:val="es-ES_tradnl"/>
        </w:rPr>
        <w:t>violaciones de derechos humanos</w:t>
      </w:r>
      <w:r w:rsidR="008042E2" w:rsidRPr="00DC278B">
        <w:rPr>
          <w:rFonts w:ascii="Cambria" w:eastAsia="Times New Roman" w:hAnsi="Cambria"/>
          <w:sz w:val="20"/>
          <w:szCs w:val="20"/>
          <w:bdr w:val="none" w:sz="0" w:space="0" w:color="auto"/>
          <w:lang w:val="es-ES_tradnl"/>
        </w:rPr>
        <w:t xml:space="preserve"> que, además, en el caso constituyeron crímenes de lesa humanidad. </w:t>
      </w:r>
    </w:p>
    <w:p w:rsidR="006E0769" w:rsidRPr="00DC278B" w:rsidRDefault="006E0769" w:rsidP="00DC278B">
      <w:pPr>
        <w:pStyle w:val="Prrafodelista"/>
        <w:rPr>
          <w:rFonts w:ascii="Cambria" w:eastAsia="Times New Roman" w:hAnsi="Cambria"/>
          <w:sz w:val="20"/>
          <w:szCs w:val="20"/>
          <w:bdr w:val="none" w:sz="0" w:space="0" w:color="auto"/>
          <w:lang w:val="es-ES_tradnl"/>
        </w:rPr>
      </w:pPr>
    </w:p>
    <w:p w:rsidR="00B11062" w:rsidRPr="00DC278B" w:rsidRDefault="008042E2"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r w:rsidRPr="00DC278B">
        <w:rPr>
          <w:rFonts w:ascii="Cambria" w:eastAsia="Times New Roman" w:hAnsi="Cambria"/>
          <w:sz w:val="20"/>
          <w:szCs w:val="20"/>
          <w:bdr w:val="none" w:sz="0" w:space="0" w:color="auto"/>
          <w:lang w:val="es-ES_tradnl"/>
        </w:rPr>
        <w:t>L</w:t>
      </w:r>
      <w:r w:rsidR="00A10402" w:rsidRPr="00DC278B">
        <w:rPr>
          <w:rFonts w:ascii="Cambria" w:eastAsia="Times New Roman" w:hAnsi="Cambria"/>
          <w:sz w:val="20"/>
          <w:szCs w:val="20"/>
          <w:bdr w:val="none" w:sz="0" w:space="0" w:color="auto"/>
          <w:lang w:val="es-ES_tradnl"/>
        </w:rPr>
        <w:t xml:space="preserve">a Comisión efectuará dicho análisis en el siguiente orden: </w:t>
      </w:r>
      <w:r w:rsidR="00756563" w:rsidRPr="00DC278B">
        <w:rPr>
          <w:rFonts w:ascii="Cambria" w:eastAsia="Times New Roman" w:hAnsi="Cambria"/>
          <w:sz w:val="20"/>
          <w:szCs w:val="20"/>
          <w:bdr w:val="none" w:sz="0" w:space="0" w:color="auto"/>
          <w:lang w:val="es-ES_tradnl"/>
        </w:rPr>
        <w:t>i</w:t>
      </w:r>
      <w:r w:rsidR="00841368" w:rsidRPr="00DC278B">
        <w:rPr>
          <w:rFonts w:ascii="Cambria" w:eastAsia="Times New Roman" w:hAnsi="Cambria"/>
          <w:sz w:val="20"/>
          <w:szCs w:val="20"/>
          <w:bdr w:val="none" w:sz="0" w:space="0" w:color="auto"/>
          <w:lang w:val="es-ES_tradnl"/>
        </w:rPr>
        <w:t>) Consideraciones generales sobre el acceso a la justicia</w:t>
      </w:r>
      <w:r w:rsidR="00CF0768" w:rsidRPr="00DC278B">
        <w:rPr>
          <w:rFonts w:ascii="Cambria" w:eastAsia="Times New Roman" w:hAnsi="Cambria"/>
          <w:sz w:val="20"/>
          <w:szCs w:val="20"/>
          <w:bdr w:val="none" w:sz="0" w:space="0" w:color="auto"/>
          <w:lang w:val="es-ES_tradnl"/>
        </w:rPr>
        <w:t xml:space="preserve"> y el deber de adoptar disposiciones de derecho interno</w:t>
      </w:r>
      <w:r w:rsidR="00841368" w:rsidRPr="00DC278B">
        <w:rPr>
          <w:rFonts w:ascii="Cambria" w:eastAsia="Times New Roman" w:hAnsi="Cambria"/>
          <w:sz w:val="20"/>
          <w:szCs w:val="20"/>
          <w:bdr w:val="none" w:sz="0" w:space="0" w:color="auto"/>
          <w:lang w:val="es-ES_tradnl"/>
        </w:rPr>
        <w:t xml:space="preserve">; </w:t>
      </w:r>
      <w:r w:rsidR="00756563" w:rsidRPr="00DC278B">
        <w:rPr>
          <w:rFonts w:ascii="Cambria" w:eastAsia="Times New Roman" w:hAnsi="Cambria"/>
          <w:sz w:val="20"/>
          <w:szCs w:val="20"/>
          <w:bdr w:val="none" w:sz="0" w:space="0" w:color="auto"/>
          <w:lang w:val="es-ES_tradnl"/>
        </w:rPr>
        <w:t>ii</w:t>
      </w:r>
      <w:r w:rsidR="00841368" w:rsidRPr="00DC278B">
        <w:rPr>
          <w:rFonts w:ascii="Cambria" w:eastAsia="Times New Roman" w:hAnsi="Cambria"/>
          <w:sz w:val="20"/>
          <w:szCs w:val="20"/>
          <w:bdr w:val="none" w:sz="0" w:space="0" w:color="auto"/>
          <w:lang w:val="es-ES_tradnl"/>
        </w:rPr>
        <w:t xml:space="preserve">) </w:t>
      </w:r>
      <w:r w:rsidR="00715FF5" w:rsidRPr="00DC278B">
        <w:rPr>
          <w:rFonts w:ascii="Cambria" w:eastAsia="Times New Roman" w:hAnsi="Cambria"/>
          <w:sz w:val="20"/>
          <w:szCs w:val="20"/>
          <w:bdr w:val="none" w:sz="0" w:space="0" w:color="auto"/>
          <w:lang w:val="es-ES_tradnl"/>
        </w:rPr>
        <w:t>Estándares interamericanos s</w:t>
      </w:r>
      <w:r w:rsidR="00841368" w:rsidRPr="00DC278B">
        <w:rPr>
          <w:rFonts w:ascii="Cambria" w:eastAsia="Times New Roman" w:hAnsi="Cambria"/>
          <w:sz w:val="20"/>
          <w:szCs w:val="20"/>
          <w:bdr w:val="none" w:sz="0" w:space="0" w:color="auto"/>
          <w:lang w:val="es-ES_tradnl"/>
        </w:rPr>
        <w:t>obre la figura de la prescrip</w:t>
      </w:r>
      <w:r w:rsidR="00031C1B">
        <w:rPr>
          <w:rFonts w:ascii="Cambria" w:eastAsia="Times New Roman" w:hAnsi="Cambria"/>
          <w:sz w:val="20"/>
          <w:szCs w:val="20"/>
          <w:bdr w:val="none" w:sz="0" w:space="0" w:color="auto"/>
          <w:lang w:val="es-ES_tradnl"/>
        </w:rPr>
        <w:t>ción</w:t>
      </w:r>
      <w:r w:rsidR="00841368" w:rsidRPr="00DC278B">
        <w:rPr>
          <w:rFonts w:ascii="Cambria" w:eastAsia="Times New Roman" w:hAnsi="Cambria"/>
          <w:sz w:val="20"/>
          <w:szCs w:val="20"/>
          <w:bdr w:val="none" w:sz="0" w:space="0" w:color="auto"/>
          <w:lang w:val="es-ES_tradnl"/>
        </w:rPr>
        <w:t xml:space="preserve"> en materia penal</w:t>
      </w:r>
      <w:r w:rsidR="002D6D92" w:rsidRPr="00DC278B">
        <w:rPr>
          <w:rFonts w:ascii="Cambria" w:eastAsia="Times New Roman" w:hAnsi="Cambria"/>
          <w:sz w:val="20"/>
          <w:szCs w:val="20"/>
          <w:bdr w:val="none" w:sz="0" w:space="0" w:color="auto"/>
          <w:lang w:val="es-ES_tradnl"/>
        </w:rPr>
        <w:t xml:space="preserve"> frente a ciertas violaciones de derechos humanos</w:t>
      </w:r>
      <w:r w:rsidR="00841368" w:rsidRPr="00DC278B">
        <w:rPr>
          <w:rFonts w:ascii="Cambria" w:eastAsia="Times New Roman" w:hAnsi="Cambria"/>
          <w:sz w:val="20"/>
          <w:szCs w:val="20"/>
          <w:bdr w:val="none" w:sz="0" w:space="0" w:color="auto"/>
          <w:lang w:val="es-ES_tradnl"/>
        </w:rPr>
        <w:t xml:space="preserve">; </w:t>
      </w:r>
      <w:r w:rsidR="00756563" w:rsidRPr="00DC278B">
        <w:rPr>
          <w:rFonts w:ascii="Cambria" w:eastAsia="Times New Roman" w:hAnsi="Cambria"/>
          <w:sz w:val="20"/>
          <w:szCs w:val="20"/>
          <w:bdr w:val="none" w:sz="0" w:space="0" w:color="auto"/>
          <w:lang w:val="es-ES_tradnl"/>
        </w:rPr>
        <w:t>iii</w:t>
      </w:r>
      <w:r w:rsidR="00841368" w:rsidRPr="00DC278B">
        <w:rPr>
          <w:rFonts w:ascii="Cambria" w:eastAsia="Times New Roman" w:hAnsi="Cambria"/>
          <w:sz w:val="20"/>
          <w:szCs w:val="20"/>
          <w:bdr w:val="none" w:sz="0" w:space="0" w:color="auto"/>
          <w:lang w:val="es-ES_tradnl"/>
        </w:rPr>
        <w:t xml:space="preserve">) </w:t>
      </w:r>
      <w:r w:rsidR="00610B66" w:rsidRPr="00DC278B">
        <w:rPr>
          <w:rFonts w:ascii="Cambria" w:eastAsia="Times New Roman" w:hAnsi="Cambria"/>
          <w:sz w:val="20"/>
          <w:szCs w:val="20"/>
          <w:bdr w:val="none" w:sz="0" w:space="0" w:color="auto"/>
          <w:lang w:val="es-ES_tradnl"/>
        </w:rPr>
        <w:t xml:space="preserve">Consideraciones </w:t>
      </w:r>
      <w:r w:rsidR="002D6D92" w:rsidRPr="00DC278B">
        <w:rPr>
          <w:rFonts w:ascii="Cambria" w:eastAsia="Times New Roman" w:hAnsi="Cambria"/>
          <w:sz w:val="20"/>
          <w:szCs w:val="20"/>
          <w:bdr w:val="none" w:sz="0" w:space="0" w:color="auto"/>
          <w:lang w:val="es-ES_tradnl"/>
        </w:rPr>
        <w:t>en materia de prescripción de acciones judiciales para obtener reparaciones frente a ciertas violaciones de derechos humanos</w:t>
      </w:r>
      <w:r w:rsidR="007F4A97" w:rsidRPr="00DC278B">
        <w:rPr>
          <w:rFonts w:ascii="Cambria" w:eastAsia="Times New Roman" w:hAnsi="Cambria"/>
          <w:sz w:val="20"/>
          <w:szCs w:val="20"/>
          <w:bdr w:val="none" w:sz="0" w:space="0" w:color="auto"/>
          <w:lang w:val="es-ES_tradnl"/>
        </w:rPr>
        <w:t xml:space="preserve">; y </w:t>
      </w:r>
      <w:r w:rsidR="00756563" w:rsidRPr="00DC278B">
        <w:rPr>
          <w:rFonts w:ascii="Cambria" w:eastAsia="Times New Roman" w:hAnsi="Cambria"/>
          <w:sz w:val="20"/>
          <w:szCs w:val="20"/>
          <w:bdr w:val="none" w:sz="0" w:space="0" w:color="auto"/>
          <w:lang w:val="es-ES_tradnl"/>
        </w:rPr>
        <w:t>iv</w:t>
      </w:r>
      <w:r w:rsidR="00C020AD" w:rsidRPr="00DC278B">
        <w:rPr>
          <w:rFonts w:ascii="Cambria" w:eastAsia="Times New Roman" w:hAnsi="Cambria"/>
          <w:sz w:val="20"/>
          <w:szCs w:val="20"/>
          <w:bdr w:val="none" w:sz="0" w:space="0" w:color="auto"/>
          <w:lang w:val="es-ES_tradnl"/>
        </w:rPr>
        <w:t xml:space="preserve">) Análisis del presente caso. </w:t>
      </w:r>
    </w:p>
    <w:p w:rsidR="00B11062" w:rsidRPr="00DC278B" w:rsidRDefault="00B11062" w:rsidP="00DC278B">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sz w:val="20"/>
          <w:szCs w:val="20"/>
          <w:bdr w:val="none" w:sz="0" w:space="0" w:color="auto"/>
          <w:lang w:val="es-ES_tradnl"/>
        </w:rPr>
      </w:pPr>
    </w:p>
    <w:p w:rsidR="001A75FF" w:rsidRPr="00DC278B" w:rsidRDefault="00562D6B" w:rsidP="00DC278B">
      <w:pPr>
        <w:pBdr>
          <w:top w:val="none" w:sz="0" w:space="0" w:color="auto"/>
          <w:left w:val="none" w:sz="0" w:space="0" w:color="auto"/>
          <w:bottom w:val="none" w:sz="0" w:space="0" w:color="auto"/>
          <w:right w:val="none" w:sz="0" w:space="0" w:color="auto"/>
          <w:between w:val="none" w:sz="0" w:space="0" w:color="auto"/>
          <w:bar w:val="none" w:sz="0" w:color="auto"/>
        </w:pBdr>
        <w:ind w:left="1440" w:hanging="720"/>
        <w:jc w:val="both"/>
        <w:rPr>
          <w:rFonts w:ascii="Cambria" w:eastAsia="Times New Roman" w:hAnsi="Cambria"/>
          <w:b/>
          <w:sz w:val="20"/>
          <w:szCs w:val="20"/>
          <w:bdr w:val="none" w:sz="0" w:space="0" w:color="auto"/>
          <w:lang w:val="es-ES_tradnl"/>
        </w:rPr>
      </w:pPr>
      <w:r w:rsidRPr="00DC278B">
        <w:rPr>
          <w:rFonts w:ascii="Cambria" w:eastAsia="Times New Roman" w:hAnsi="Cambria"/>
          <w:b/>
          <w:sz w:val="20"/>
          <w:szCs w:val="20"/>
          <w:bdr w:val="none" w:sz="0" w:space="0" w:color="auto"/>
          <w:lang w:val="es-ES_tradnl"/>
        </w:rPr>
        <w:t xml:space="preserve">2. </w:t>
      </w:r>
      <w:r w:rsidRPr="00DC278B">
        <w:rPr>
          <w:rFonts w:ascii="Cambria" w:eastAsia="Times New Roman" w:hAnsi="Cambria"/>
          <w:b/>
          <w:sz w:val="20"/>
          <w:szCs w:val="20"/>
          <w:bdr w:val="none" w:sz="0" w:space="0" w:color="auto"/>
          <w:lang w:val="es-ES_tradnl"/>
        </w:rPr>
        <w:tab/>
      </w:r>
      <w:r w:rsidR="001A75FF" w:rsidRPr="00DC278B">
        <w:rPr>
          <w:rFonts w:ascii="Cambria" w:eastAsia="Times New Roman" w:hAnsi="Cambria"/>
          <w:b/>
          <w:sz w:val="20"/>
          <w:szCs w:val="20"/>
          <w:bdr w:val="none" w:sz="0" w:space="0" w:color="auto"/>
          <w:lang w:val="es-ES_tradnl"/>
        </w:rPr>
        <w:t xml:space="preserve">Consideraciones generales sobre el acceso a la justicia </w:t>
      </w:r>
      <w:r w:rsidR="00667EDE" w:rsidRPr="00DC278B">
        <w:rPr>
          <w:rFonts w:ascii="Cambria" w:eastAsia="Times New Roman" w:hAnsi="Cambria"/>
          <w:b/>
          <w:sz w:val="20"/>
          <w:szCs w:val="20"/>
          <w:bdr w:val="none" w:sz="0" w:space="0" w:color="auto"/>
          <w:lang w:val="es-ES_tradnl"/>
        </w:rPr>
        <w:t xml:space="preserve">y el deber de adoptar disposiciones de derecho interno </w:t>
      </w:r>
    </w:p>
    <w:p w:rsidR="00EF5AE5" w:rsidRPr="00DC278B" w:rsidRDefault="00EF5AE5" w:rsidP="00DC278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b/>
          <w:sz w:val="20"/>
          <w:szCs w:val="20"/>
          <w:bdr w:val="none" w:sz="0" w:space="0" w:color="auto"/>
          <w:lang w:val="es-ES_tradnl"/>
        </w:rPr>
      </w:pPr>
    </w:p>
    <w:p w:rsidR="003E22ED" w:rsidRDefault="003E22ED" w:rsidP="002D2BDD">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r w:rsidRPr="00DC278B">
        <w:rPr>
          <w:rFonts w:ascii="Cambria" w:eastAsia="Times New Roman" w:hAnsi="Cambria"/>
          <w:sz w:val="20"/>
          <w:szCs w:val="20"/>
          <w:bdr w:val="none" w:sz="0" w:space="0" w:color="auto"/>
          <w:lang w:val="es-ES_tradnl"/>
        </w:rPr>
        <w:t>Sobre el derecho a la protección judicial la Corte ha considerado que los Estados tienen la obligación de proveer recursos judiciales efectivos a las personas que aleguen ser víctimas de violaciones de derechos humanos (artículo 25), recursos que deben ser sustanciados de conformidad con las reglas del debido proceso legal (artículo 8.1), todo ello dentro de la obligación general de garantizar el libre y pleno ejercicio de los derechos reconocidos en la Convención (artículo 1.1)</w:t>
      </w:r>
      <w:r w:rsidRPr="00DC278B">
        <w:rPr>
          <w:rFonts w:ascii="Cambria" w:eastAsia="Times New Roman" w:hAnsi="Cambria"/>
          <w:sz w:val="20"/>
          <w:szCs w:val="20"/>
          <w:bdr w:val="none" w:sz="0" w:space="0" w:color="auto"/>
          <w:vertAlign w:val="superscript"/>
          <w:lang w:val="es-ES_tradnl"/>
        </w:rPr>
        <w:footnoteReference w:id="126"/>
      </w:r>
      <w:r w:rsidRPr="00DC278B">
        <w:rPr>
          <w:rFonts w:ascii="Cambria" w:eastAsia="Times New Roman" w:hAnsi="Cambria"/>
          <w:sz w:val="20"/>
          <w:szCs w:val="20"/>
          <w:bdr w:val="none" w:sz="0" w:space="0" w:color="auto"/>
          <w:lang w:val="es-ES_tradnl"/>
        </w:rPr>
        <w:t>. Asimismo, la Comisión ha establecido que el artículo 25 de la Convención Americana guarda relación directa con su artículo 8.1, el cual consagra el derecho de toda persona a ser oída con las debidas garantías y dentro de un plazo razonable, por un juez o tribunal independiente e imparcial</w:t>
      </w:r>
      <w:r w:rsidRPr="00DC278B">
        <w:rPr>
          <w:rFonts w:ascii="Cambria" w:eastAsia="Times New Roman" w:hAnsi="Cambria"/>
          <w:sz w:val="20"/>
          <w:szCs w:val="20"/>
          <w:bdr w:val="none" w:sz="0" w:space="0" w:color="auto"/>
          <w:vertAlign w:val="superscript"/>
        </w:rPr>
        <w:footnoteReference w:id="127"/>
      </w:r>
      <w:r w:rsidRPr="00DC278B">
        <w:rPr>
          <w:rFonts w:ascii="Cambria" w:eastAsia="Times New Roman" w:hAnsi="Cambria"/>
          <w:sz w:val="20"/>
          <w:szCs w:val="20"/>
          <w:bdr w:val="none" w:sz="0" w:space="0" w:color="auto"/>
          <w:lang w:val="es-ES_tradnl"/>
        </w:rPr>
        <w:t xml:space="preserve"> y confiere a los familiares de las víctimas el derecho a que se reparen los perjuicios sufridos por la muerte de sus seres queridos</w:t>
      </w:r>
      <w:r w:rsidRPr="00DC278B">
        <w:rPr>
          <w:rFonts w:ascii="Cambria" w:eastAsia="Times New Roman" w:hAnsi="Cambria"/>
          <w:sz w:val="20"/>
          <w:szCs w:val="20"/>
          <w:bdr w:val="none" w:sz="0" w:space="0" w:color="auto"/>
          <w:vertAlign w:val="superscript"/>
        </w:rPr>
        <w:footnoteReference w:id="128"/>
      </w:r>
      <w:r w:rsidRPr="00DC278B">
        <w:rPr>
          <w:rFonts w:ascii="Cambria" w:eastAsia="Times New Roman" w:hAnsi="Cambria"/>
          <w:sz w:val="20"/>
          <w:szCs w:val="20"/>
          <w:bdr w:val="none" w:sz="0" w:space="0" w:color="auto"/>
          <w:lang w:val="es-ES_tradnl"/>
        </w:rPr>
        <w:t xml:space="preserve">. </w:t>
      </w:r>
    </w:p>
    <w:p w:rsidR="00F979A7" w:rsidRPr="002D2BDD" w:rsidRDefault="00F979A7" w:rsidP="00F979A7">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sz w:val="20"/>
          <w:szCs w:val="20"/>
          <w:bdr w:val="none" w:sz="0" w:space="0" w:color="auto"/>
          <w:lang w:val="es-ES_tradnl"/>
        </w:rPr>
      </w:pPr>
    </w:p>
    <w:p w:rsidR="003E22ED" w:rsidRPr="00DC278B" w:rsidRDefault="003E22ED"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r w:rsidRPr="00DC278B">
        <w:rPr>
          <w:rFonts w:ascii="Cambria" w:eastAsia="Times New Roman" w:hAnsi="Cambria"/>
          <w:sz w:val="20"/>
          <w:szCs w:val="20"/>
          <w:bdr w:val="none" w:sz="0" w:space="0" w:color="auto"/>
          <w:lang w:val="es-ES_tradnl"/>
        </w:rPr>
        <w:t xml:space="preserve">Asimismo, el derecho a la protección judicial efectiva se encuentra consagrado en el artículo </w:t>
      </w:r>
      <w:r w:rsidR="005F2C47">
        <w:rPr>
          <w:rFonts w:ascii="Cambria" w:eastAsia="Times New Roman" w:hAnsi="Cambria"/>
          <w:sz w:val="20"/>
          <w:szCs w:val="20"/>
          <w:bdr w:val="none" w:sz="0" w:space="0" w:color="auto"/>
          <w:lang w:val="es-ES_tradnl"/>
        </w:rPr>
        <w:t xml:space="preserve">25 de la Convención Americana. </w:t>
      </w:r>
      <w:r w:rsidRPr="00DC278B">
        <w:rPr>
          <w:rFonts w:ascii="Cambria" w:eastAsia="Times New Roman" w:hAnsi="Cambria"/>
          <w:sz w:val="20"/>
          <w:szCs w:val="20"/>
          <w:bdr w:val="none" w:sz="0" w:space="0" w:color="auto"/>
          <w:lang w:val="es-ES_tradnl"/>
        </w:rPr>
        <w:t>Al respecto, la Corte ha determinado que la efectividad del recurso “supone que, además de la existencia formal de los recursos, éstos den resultados o respuestas a las violaciones de derechos contemplados ya sea en la Convención, en la Constitución o en las leyes”</w:t>
      </w:r>
      <w:r w:rsidRPr="00DC278B">
        <w:rPr>
          <w:rFonts w:ascii="Cambria" w:eastAsia="Times New Roman" w:hAnsi="Cambria"/>
          <w:sz w:val="20"/>
          <w:szCs w:val="20"/>
          <w:bdr w:val="none" w:sz="0" w:space="0" w:color="auto"/>
          <w:vertAlign w:val="superscript"/>
          <w:lang w:val="es-ES_tradnl"/>
        </w:rPr>
        <w:footnoteReference w:id="129"/>
      </w:r>
      <w:r w:rsidRPr="00DC278B">
        <w:rPr>
          <w:rFonts w:ascii="Cambria" w:eastAsia="Times New Roman" w:hAnsi="Cambria"/>
          <w:sz w:val="20"/>
          <w:szCs w:val="20"/>
          <w:bdr w:val="none" w:sz="0" w:space="0" w:color="auto"/>
          <w:lang w:val="es-ES_tradnl"/>
        </w:rPr>
        <w:t>.</w:t>
      </w:r>
      <w:r w:rsidR="002D2BDD">
        <w:rPr>
          <w:rFonts w:ascii="Cambria" w:eastAsia="Times New Roman" w:hAnsi="Cambria"/>
          <w:sz w:val="20"/>
          <w:szCs w:val="20"/>
          <w:bdr w:val="none" w:sz="0" w:space="0" w:color="auto"/>
          <w:lang w:val="es-ES_tradnl"/>
        </w:rPr>
        <w:t xml:space="preserve"> </w:t>
      </w:r>
      <w:r w:rsidRPr="00DC278B">
        <w:rPr>
          <w:rFonts w:ascii="Cambria" w:eastAsia="Times New Roman" w:hAnsi="Cambria"/>
          <w:sz w:val="20"/>
          <w:szCs w:val="20"/>
          <w:bdr w:val="none" w:sz="0" w:space="0" w:color="auto"/>
          <w:lang w:val="es-ES_tradnl"/>
        </w:rPr>
        <w:t xml:space="preserve">En este sentido, la Corte </w:t>
      </w:r>
      <w:r w:rsidRPr="00DC278B">
        <w:rPr>
          <w:rFonts w:ascii="Cambria" w:eastAsia="Times New Roman" w:hAnsi="Cambria"/>
          <w:sz w:val="20"/>
          <w:szCs w:val="20"/>
          <w:bdr w:val="none" w:sz="0" w:space="0" w:color="auto"/>
          <w:lang w:val="es-ES_tradnl"/>
        </w:rPr>
        <w:lastRenderedPageBreak/>
        <w:t>ha destacado que para que exista un recurso efectivo “se requiere que sea realmente idóneo para establecer si se ha incurrido en una violación a los derechos humanos y proveer lo necesario para remediarla”</w:t>
      </w:r>
      <w:r w:rsidRPr="00DC278B">
        <w:rPr>
          <w:rFonts w:ascii="Cambria" w:eastAsia="Times New Roman" w:hAnsi="Cambria"/>
          <w:sz w:val="20"/>
          <w:szCs w:val="20"/>
          <w:bdr w:val="none" w:sz="0" w:space="0" w:color="auto"/>
          <w:vertAlign w:val="superscript"/>
          <w:lang w:val="es-ES_tradnl"/>
        </w:rPr>
        <w:footnoteReference w:id="130"/>
      </w:r>
      <w:r w:rsidR="002D2BDD">
        <w:rPr>
          <w:rFonts w:ascii="Cambria" w:eastAsia="Times New Roman" w:hAnsi="Cambria"/>
          <w:sz w:val="20"/>
          <w:szCs w:val="20"/>
          <w:bdr w:val="none" w:sz="0" w:space="0" w:color="auto"/>
          <w:lang w:val="es-ES_tradnl"/>
        </w:rPr>
        <w:t xml:space="preserve">. </w:t>
      </w:r>
    </w:p>
    <w:p w:rsidR="003E22ED" w:rsidRPr="00DC278B" w:rsidRDefault="003E22ED" w:rsidP="00DC278B">
      <w:pPr>
        <w:pStyle w:val="MediumGrid1-Accent21"/>
        <w:rPr>
          <w:rFonts w:eastAsia="Times New Roman"/>
          <w:color w:val="auto"/>
          <w:sz w:val="20"/>
          <w:szCs w:val="20"/>
          <w:bdr w:val="none" w:sz="0" w:space="0" w:color="auto"/>
          <w:lang w:val="es-ES_tradnl"/>
        </w:rPr>
      </w:pPr>
    </w:p>
    <w:p w:rsidR="00EF5AE5" w:rsidRPr="00DC278B" w:rsidRDefault="003E22ED"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r w:rsidRPr="00DC278B">
        <w:rPr>
          <w:rFonts w:ascii="Cambria" w:eastAsia="Times New Roman" w:hAnsi="Cambria"/>
          <w:sz w:val="20"/>
          <w:szCs w:val="20"/>
          <w:bdr w:val="none" w:sz="0" w:space="0" w:color="auto"/>
          <w:lang w:val="es-ES_tradnl"/>
        </w:rPr>
        <w:t>Asimismo, la Corte ha establecido que “cualquier norma o medida que impida o dificulte hacer uso del recurso de que se trata constituye una violación del derecho al acceso a la justicia, bajo la modalidad consagrada en el artículo 25 de la Convención Americana”</w:t>
      </w:r>
      <w:r w:rsidRPr="00DC278B">
        <w:rPr>
          <w:rFonts w:ascii="Cambria" w:eastAsia="Times New Roman" w:hAnsi="Cambria"/>
          <w:sz w:val="20"/>
          <w:szCs w:val="20"/>
          <w:bdr w:val="none" w:sz="0" w:space="0" w:color="auto"/>
          <w:vertAlign w:val="superscript"/>
          <w:lang w:val="es-ES_tradnl"/>
        </w:rPr>
        <w:footnoteReference w:id="131"/>
      </w:r>
      <w:r w:rsidRPr="00DC278B">
        <w:rPr>
          <w:rFonts w:ascii="Cambria" w:eastAsia="Times New Roman" w:hAnsi="Cambria"/>
          <w:sz w:val="20"/>
          <w:szCs w:val="20"/>
          <w:bdr w:val="none" w:sz="0" w:space="0" w:color="auto"/>
          <w:lang w:val="es-ES_tradnl"/>
        </w:rPr>
        <w:t>.</w:t>
      </w:r>
    </w:p>
    <w:p w:rsidR="00EF5AE5" w:rsidRPr="00DC278B" w:rsidRDefault="00EF5AE5" w:rsidP="00DC278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p>
    <w:p w:rsidR="00864227" w:rsidRPr="00DC278B" w:rsidRDefault="00864227"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r w:rsidRPr="00DC278B">
        <w:rPr>
          <w:rFonts w:ascii="Cambria" w:eastAsia="Times New Roman" w:hAnsi="Cambria"/>
          <w:sz w:val="20"/>
          <w:szCs w:val="20"/>
          <w:bdr w:val="none" w:sz="0" w:space="0" w:color="auto"/>
          <w:lang w:val="es-ES_tradnl"/>
        </w:rPr>
        <w:t>En cuanto al artículo 2 de la Convención Americana, la Corte ha indicado que este principio, recogido en su artículo 2, establece la obligación general de cada Estado Parte de adecuar su derecho interno a las disposiciones de la misma, para garantizar los derechos en ella consagrados</w:t>
      </w:r>
      <w:r w:rsidRPr="00DC278B">
        <w:rPr>
          <w:rFonts w:ascii="Cambria" w:eastAsia="Times New Roman" w:hAnsi="Cambria"/>
          <w:sz w:val="20"/>
          <w:szCs w:val="20"/>
          <w:bdr w:val="none" w:sz="0" w:space="0" w:color="auto"/>
          <w:vertAlign w:val="superscript"/>
          <w:lang w:val="es-ES_tradnl"/>
        </w:rPr>
        <w:footnoteReference w:id="132"/>
      </w:r>
      <w:r w:rsidRPr="00DC278B">
        <w:rPr>
          <w:rFonts w:ascii="Cambria" w:eastAsia="Times New Roman" w:hAnsi="Cambria"/>
          <w:sz w:val="20"/>
          <w:szCs w:val="20"/>
          <w:bdr w:val="none" w:sz="0" w:space="0" w:color="auto"/>
          <w:lang w:val="es-ES_tradnl"/>
        </w:rPr>
        <w:t xml:space="preserve">, lo cual implica que las medidas de derecho interno han de ser efectivas (principio de </w:t>
      </w:r>
      <w:proofErr w:type="spellStart"/>
      <w:r w:rsidRPr="00DC278B">
        <w:rPr>
          <w:rFonts w:ascii="Cambria" w:eastAsia="Times New Roman" w:hAnsi="Cambria"/>
          <w:i/>
          <w:sz w:val="20"/>
          <w:szCs w:val="20"/>
          <w:bdr w:val="none" w:sz="0" w:space="0" w:color="auto"/>
          <w:lang w:val="es-ES_tradnl"/>
        </w:rPr>
        <w:t>effet</w:t>
      </w:r>
      <w:proofErr w:type="spellEnd"/>
      <w:r w:rsidRPr="00DC278B">
        <w:rPr>
          <w:rFonts w:ascii="Cambria" w:eastAsia="Times New Roman" w:hAnsi="Cambria"/>
          <w:i/>
          <w:sz w:val="20"/>
          <w:szCs w:val="20"/>
          <w:bdr w:val="none" w:sz="0" w:space="0" w:color="auto"/>
          <w:lang w:val="es-ES_tradnl"/>
        </w:rPr>
        <w:t xml:space="preserve"> </w:t>
      </w:r>
      <w:proofErr w:type="spellStart"/>
      <w:r w:rsidRPr="00DC278B">
        <w:rPr>
          <w:rFonts w:ascii="Cambria" w:eastAsia="Times New Roman" w:hAnsi="Cambria"/>
          <w:i/>
          <w:sz w:val="20"/>
          <w:szCs w:val="20"/>
          <w:bdr w:val="none" w:sz="0" w:space="0" w:color="auto"/>
          <w:lang w:val="es-ES_tradnl"/>
        </w:rPr>
        <w:t>utile</w:t>
      </w:r>
      <w:proofErr w:type="spellEnd"/>
      <w:r w:rsidRPr="00DC278B">
        <w:rPr>
          <w:rFonts w:ascii="Cambria" w:eastAsia="Times New Roman" w:hAnsi="Cambria"/>
          <w:sz w:val="20"/>
          <w:szCs w:val="20"/>
          <w:bdr w:val="none" w:sz="0" w:space="0" w:color="auto"/>
          <w:lang w:val="es-ES_tradnl"/>
        </w:rPr>
        <w:t>)</w:t>
      </w:r>
      <w:r w:rsidRPr="00DC278B">
        <w:rPr>
          <w:rFonts w:ascii="Cambria" w:eastAsia="Times New Roman" w:hAnsi="Cambria"/>
          <w:sz w:val="20"/>
          <w:szCs w:val="20"/>
          <w:bdr w:val="none" w:sz="0" w:space="0" w:color="auto"/>
          <w:vertAlign w:val="superscript"/>
          <w:lang w:val="es-ES_tradnl"/>
        </w:rPr>
        <w:footnoteReference w:id="133"/>
      </w:r>
      <w:r w:rsidR="002D2BDD">
        <w:rPr>
          <w:rFonts w:ascii="Cambria" w:eastAsia="Times New Roman" w:hAnsi="Cambria"/>
          <w:sz w:val="20"/>
          <w:szCs w:val="20"/>
          <w:bdr w:val="none" w:sz="0" w:space="0" w:color="auto"/>
          <w:lang w:val="es-ES_tradnl"/>
        </w:rPr>
        <w:t xml:space="preserve">. </w:t>
      </w:r>
    </w:p>
    <w:p w:rsidR="00864227" w:rsidRPr="00DC278B" w:rsidRDefault="00864227" w:rsidP="00DC278B">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sz w:val="20"/>
          <w:szCs w:val="20"/>
          <w:bdr w:val="none" w:sz="0" w:space="0" w:color="auto"/>
          <w:lang w:val="es-ES_tradnl"/>
        </w:rPr>
      </w:pPr>
    </w:p>
    <w:p w:rsidR="00864227" w:rsidRPr="00DC278B" w:rsidRDefault="00864227"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r w:rsidRPr="00DC278B">
        <w:rPr>
          <w:rFonts w:ascii="Cambria" w:eastAsia="Times New Roman" w:hAnsi="Cambria"/>
          <w:sz w:val="20"/>
          <w:szCs w:val="20"/>
          <w:bdr w:val="none" w:sz="0" w:space="0" w:color="auto"/>
          <w:lang w:val="es-ES_tradnl"/>
        </w:rPr>
        <w:t>Según lo ha establecido la jurisprudencia constante de la Corte, el artículo 2 de la Convención implica la adopción de medidas en dos vertientes, a saber: i) la supresión de las normas y prácticas de cualquier naturaleza que entrañen violación a las garantías previstas en la Convención o que desconozcan los derechos allí reconocidos u obstaculicen su ejercicio, y ii) la expedición de normas y el desarrollo de prácticas conducentes a la efectiva observancia de dichas garantías</w:t>
      </w:r>
      <w:r w:rsidRPr="00DC278B">
        <w:rPr>
          <w:rFonts w:ascii="Cambria" w:eastAsia="Times New Roman" w:hAnsi="Cambria"/>
          <w:sz w:val="20"/>
          <w:szCs w:val="20"/>
          <w:bdr w:val="none" w:sz="0" w:space="0" w:color="auto"/>
          <w:vertAlign w:val="superscript"/>
          <w:lang w:val="es-ES_tradnl"/>
        </w:rPr>
        <w:footnoteReference w:id="134"/>
      </w:r>
      <w:r w:rsidR="002D2BDD">
        <w:rPr>
          <w:rFonts w:ascii="Cambria" w:eastAsia="Times New Roman" w:hAnsi="Cambria"/>
          <w:sz w:val="20"/>
          <w:szCs w:val="20"/>
          <w:bdr w:val="none" w:sz="0" w:space="0" w:color="auto"/>
          <w:lang w:val="es-ES_tradnl"/>
        </w:rPr>
        <w:t xml:space="preserve">. </w:t>
      </w:r>
      <w:r w:rsidRPr="00DC278B">
        <w:rPr>
          <w:rFonts w:ascii="Cambria" w:eastAsia="Times New Roman" w:hAnsi="Cambria"/>
          <w:sz w:val="20"/>
          <w:szCs w:val="20"/>
          <w:bdr w:val="none" w:sz="0" w:space="0" w:color="auto"/>
          <w:lang w:val="es-ES_tradnl"/>
        </w:rPr>
        <w:t>La Corte ha entendido que la obligación de la primera vertiente se incumple mientras la norma o práctica violatoria de la Convención se mantenga en el ordenamiento jurídico</w:t>
      </w:r>
      <w:r w:rsidRPr="00DC278B">
        <w:rPr>
          <w:rFonts w:ascii="Cambria" w:eastAsia="Times New Roman" w:hAnsi="Cambria"/>
          <w:sz w:val="20"/>
          <w:szCs w:val="20"/>
          <w:bdr w:val="none" w:sz="0" w:space="0" w:color="auto"/>
          <w:vertAlign w:val="superscript"/>
          <w:lang w:val="es-ES_tradnl"/>
        </w:rPr>
        <w:footnoteReference w:id="135"/>
      </w:r>
      <w:r w:rsidRPr="00DC278B">
        <w:rPr>
          <w:rFonts w:ascii="Cambria" w:eastAsia="Times New Roman" w:hAnsi="Cambria"/>
          <w:sz w:val="20"/>
          <w:szCs w:val="20"/>
          <w:bdr w:val="none" w:sz="0" w:space="0" w:color="auto"/>
          <w:lang w:val="es-ES_tradnl"/>
        </w:rPr>
        <w:t xml:space="preserve"> y, por ende, se satisface con la modificación</w:t>
      </w:r>
      <w:r w:rsidRPr="00DC278B">
        <w:rPr>
          <w:rFonts w:ascii="Cambria" w:eastAsia="Times New Roman" w:hAnsi="Cambria"/>
          <w:sz w:val="20"/>
          <w:szCs w:val="20"/>
          <w:bdr w:val="none" w:sz="0" w:space="0" w:color="auto"/>
          <w:vertAlign w:val="superscript"/>
          <w:lang w:val="es-ES_tradnl"/>
        </w:rPr>
        <w:footnoteReference w:id="136"/>
      </w:r>
      <w:r w:rsidRPr="00DC278B">
        <w:rPr>
          <w:rFonts w:ascii="Cambria" w:eastAsia="Times New Roman" w:hAnsi="Cambria"/>
          <w:sz w:val="20"/>
          <w:szCs w:val="20"/>
          <w:bdr w:val="none" w:sz="0" w:space="0" w:color="auto"/>
          <w:lang w:val="es-ES_tradnl"/>
        </w:rPr>
        <w:t>, la derogación, o de algún modo anulación</w:t>
      </w:r>
      <w:r w:rsidRPr="00DC278B">
        <w:rPr>
          <w:rFonts w:ascii="Cambria" w:eastAsia="Times New Roman" w:hAnsi="Cambria"/>
          <w:sz w:val="20"/>
          <w:szCs w:val="20"/>
          <w:bdr w:val="none" w:sz="0" w:space="0" w:color="auto"/>
          <w:vertAlign w:val="superscript"/>
          <w:lang w:val="es-ES_tradnl"/>
        </w:rPr>
        <w:footnoteReference w:id="137"/>
      </w:r>
      <w:r w:rsidRPr="00DC278B">
        <w:rPr>
          <w:rFonts w:ascii="Cambria" w:eastAsia="Times New Roman" w:hAnsi="Cambria"/>
          <w:sz w:val="20"/>
          <w:szCs w:val="20"/>
          <w:bdr w:val="none" w:sz="0" w:space="0" w:color="auto"/>
          <w:lang w:val="es-ES_tradnl"/>
        </w:rPr>
        <w:t>, o la reforma</w:t>
      </w:r>
      <w:r w:rsidRPr="00DC278B">
        <w:rPr>
          <w:rFonts w:ascii="Cambria" w:eastAsia="Times New Roman" w:hAnsi="Cambria"/>
          <w:sz w:val="20"/>
          <w:szCs w:val="20"/>
          <w:bdr w:val="none" w:sz="0" w:space="0" w:color="auto"/>
          <w:vertAlign w:val="superscript"/>
          <w:lang w:val="es-ES_tradnl"/>
        </w:rPr>
        <w:footnoteReference w:id="138"/>
      </w:r>
      <w:r w:rsidRPr="00DC278B">
        <w:rPr>
          <w:rFonts w:ascii="Cambria" w:eastAsia="Times New Roman" w:hAnsi="Cambria"/>
          <w:sz w:val="20"/>
          <w:szCs w:val="20"/>
          <w:bdr w:val="none" w:sz="0" w:space="0" w:color="auto"/>
          <w:lang w:val="es-ES_tradnl"/>
        </w:rPr>
        <w:t xml:space="preserve"> de las normas o prácticas que tengan esos alcances, según corresponda</w:t>
      </w:r>
      <w:r w:rsidRPr="00DC278B">
        <w:rPr>
          <w:rFonts w:ascii="Cambria" w:eastAsia="Times New Roman" w:hAnsi="Cambria"/>
          <w:sz w:val="20"/>
          <w:szCs w:val="20"/>
          <w:bdr w:val="none" w:sz="0" w:space="0" w:color="auto"/>
          <w:vertAlign w:val="superscript"/>
          <w:lang w:val="es-ES_tradnl"/>
        </w:rPr>
        <w:footnoteReference w:id="139"/>
      </w:r>
      <w:r w:rsidRPr="00DC278B">
        <w:rPr>
          <w:rFonts w:ascii="Cambria" w:eastAsia="Times New Roman" w:hAnsi="Cambria"/>
          <w:sz w:val="20"/>
          <w:szCs w:val="20"/>
          <w:bdr w:val="none" w:sz="0" w:space="0" w:color="auto"/>
          <w:lang w:val="es-ES_tradnl"/>
        </w:rPr>
        <w:t>.</w:t>
      </w:r>
    </w:p>
    <w:p w:rsidR="00864227" w:rsidRPr="00DC278B" w:rsidRDefault="00864227" w:rsidP="00DC278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b/>
          <w:sz w:val="20"/>
          <w:szCs w:val="20"/>
          <w:bdr w:val="none" w:sz="0" w:space="0" w:color="auto"/>
          <w:lang w:val="es-ES_tradnl"/>
        </w:rPr>
      </w:pPr>
    </w:p>
    <w:p w:rsidR="00610629" w:rsidRPr="00DC278B" w:rsidRDefault="00F147DC" w:rsidP="00DC278B">
      <w:pPr>
        <w:pBdr>
          <w:top w:val="none" w:sz="0" w:space="0" w:color="auto"/>
          <w:left w:val="none" w:sz="0" w:space="0" w:color="auto"/>
          <w:bottom w:val="none" w:sz="0" w:space="0" w:color="auto"/>
          <w:right w:val="none" w:sz="0" w:space="0" w:color="auto"/>
          <w:between w:val="none" w:sz="0" w:space="0" w:color="auto"/>
          <w:bar w:val="none" w:sz="0" w:color="auto"/>
        </w:pBdr>
        <w:ind w:left="1440" w:hanging="720"/>
        <w:jc w:val="both"/>
        <w:rPr>
          <w:rFonts w:ascii="Cambria" w:eastAsia="Times New Roman" w:hAnsi="Cambria"/>
          <w:b/>
          <w:sz w:val="20"/>
          <w:szCs w:val="20"/>
          <w:bdr w:val="none" w:sz="0" w:space="0" w:color="auto"/>
          <w:lang w:val="es-ES_tradnl"/>
        </w:rPr>
      </w:pPr>
      <w:r w:rsidRPr="00DC278B">
        <w:rPr>
          <w:rFonts w:ascii="Cambria" w:eastAsia="Times New Roman" w:hAnsi="Cambria"/>
          <w:b/>
          <w:sz w:val="20"/>
          <w:szCs w:val="20"/>
          <w:bdr w:val="none" w:sz="0" w:space="0" w:color="auto"/>
          <w:lang w:val="es-ES_tradnl"/>
        </w:rPr>
        <w:t xml:space="preserve">3. </w:t>
      </w:r>
      <w:r w:rsidRPr="00DC278B">
        <w:rPr>
          <w:rFonts w:ascii="Cambria" w:eastAsia="Times New Roman" w:hAnsi="Cambria"/>
          <w:b/>
          <w:sz w:val="20"/>
          <w:szCs w:val="20"/>
          <w:bdr w:val="none" w:sz="0" w:space="0" w:color="auto"/>
          <w:lang w:val="es-ES_tradnl"/>
        </w:rPr>
        <w:tab/>
      </w:r>
      <w:r w:rsidR="00F03E44" w:rsidRPr="00DC278B">
        <w:rPr>
          <w:rFonts w:ascii="Cambria" w:eastAsia="Times New Roman" w:hAnsi="Cambria"/>
          <w:b/>
          <w:sz w:val="20"/>
          <w:szCs w:val="20"/>
          <w:bdr w:val="none" w:sz="0" w:space="0" w:color="auto"/>
          <w:lang w:val="es-ES_tradnl"/>
        </w:rPr>
        <w:t xml:space="preserve">Estándares interamericanos </w:t>
      </w:r>
      <w:r w:rsidR="001A75FF" w:rsidRPr="00DC278B">
        <w:rPr>
          <w:rFonts w:ascii="Cambria" w:eastAsia="Times New Roman" w:hAnsi="Cambria"/>
          <w:b/>
          <w:sz w:val="20"/>
          <w:szCs w:val="20"/>
          <w:bdr w:val="none" w:sz="0" w:space="0" w:color="auto"/>
          <w:lang w:val="es-ES_tradnl"/>
        </w:rPr>
        <w:t>sobre la figura de la prescripción en materia penal frente a ciertas violaciones de derechos humanos</w:t>
      </w:r>
    </w:p>
    <w:p w:rsidR="00610629" w:rsidRPr="00DC278B" w:rsidRDefault="00610629" w:rsidP="00DC278B">
      <w:pPr>
        <w:pStyle w:val="Textoindependiente2"/>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both"/>
        <w:rPr>
          <w:rFonts w:ascii="Cambria" w:hAnsi="Cambria"/>
          <w:sz w:val="20"/>
          <w:szCs w:val="20"/>
          <w:lang w:val="es-CO"/>
        </w:rPr>
      </w:pPr>
    </w:p>
    <w:p w:rsidR="00716537" w:rsidRPr="00DC278B" w:rsidRDefault="00BF7FB9"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CO"/>
        </w:rPr>
      </w:pPr>
      <w:r w:rsidRPr="00DC278B">
        <w:rPr>
          <w:rFonts w:ascii="Cambria" w:hAnsi="Cambria"/>
          <w:sz w:val="20"/>
          <w:szCs w:val="20"/>
          <w:lang w:val="es-CO"/>
        </w:rPr>
        <w:lastRenderedPageBreak/>
        <w:t xml:space="preserve">La Corte Interamericana ha señalado que “la prescripción en materia penal determina la extinción de la pretensión </w:t>
      </w:r>
      <w:r w:rsidRPr="00DC278B">
        <w:rPr>
          <w:rFonts w:ascii="Cambria" w:eastAsia="Times New Roman" w:hAnsi="Cambria"/>
          <w:sz w:val="20"/>
          <w:szCs w:val="20"/>
          <w:bdr w:val="none" w:sz="0" w:space="0" w:color="auto"/>
          <w:lang w:val="es-ES_tradnl"/>
        </w:rPr>
        <w:t>punitiva</w:t>
      </w:r>
      <w:r w:rsidRPr="00DC278B">
        <w:rPr>
          <w:rFonts w:ascii="Cambria" w:hAnsi="Cambria"/>
          <w:sz w:val="20"/>
          <w:szCs w:val="20"/>
          <w:lang w:val="es-CO"/>
        </w:rPr>
        <w:t xml:space="preserve"> por el transcurso del tiempo, y generalmente, limita el poder punitivo del Estado para perseguir la conducta ilícita y sancionar a sus autores”</w:t>
      </w:r>
      <w:r w:rsidRPr="00DC278B">
        <w:rPr>
          <w:rStyle w:val="Refdenotaalpie"/>
          <w:rFonts w:ascii="Cambria" w:hAnsi="Cambria"/>
          <w:sz w:val="20"/>
          <w:szCs w:val="20"/>
          <w:lang w:val="es-CO"/>
        </w:rPr>
        <w:footnoteReference w:id="140"/>
      </w:r>
      <w:r w:rsidRPr="00DC278B">
        <w:rPr>
          <w:rFonts w:ascii="Cambria" w:hAnsi="Cambria"/>
          <w:sz w:val="20"/>
          <w:szCs w:val="20"/>
          <w:lang w:val="es-CO"/>
        </w:rPr>
        <w:t>. Asimismo, ha indicado que</w:t>
      </w:r>
      <w:r w:rsidR="00716537" w:rsidRPr="00DC278B">
        <w:rPr>
          <w:rFonts w:ascii="Cambria" w:hAnsi="Cambria"/>
          <w:sz w:val="20"/>
          <w:szCs w:val="20"/>
          <w:lang w:val="es-CO"/>
        </w:rPr>
        <w:t xml:space="preserve"> la prescripción debe ser observada debidamente por el juzgador para todo imputado de un delito</w:t>
      </w:r>
      <w:r w:rsidR="00716537" w:rsidRPr="00DC278B">
        <w:rPr>
          <w:rStyle w:val="Refdenotaalpie"/>
          <w:rFonts w:ascii="Cambria" w:hAnsi="Cambria"/>
          <w:sz w:val="20"/>
          <w:szCs w:val="20"/>
        </w:rPr>
        <w:footnoteReference w:id="141"/>
      </w:r>
      <w:r w:rsidR="0025798F" w:rsidRPr="00DC278B">
        <w:rPr>
          <w:rFonts w:ascii="Cambria" w:hAnsi="Cambria"/>
          <w:sz w:val="20"/>
          <w:szCs w:val="20"/>
          <w:lang w:val="es-CO"/>
        </w:rPr>
        <w:t xml:space="preserve">. </w:t>
      </w:r>
      <w:r w:rsidR="00E14B62" w:rsidRPr="00DC278B">
        <w:rPr>
          <w:rFonts w:ascii="Cambria" w:hAnsi="Cambria"/>
          <w:sz w:val="20"/>
          <w:szCs w:val="20"/>
          <w:lang w:val="es-CO"/>
        </w:rPr>
        <w:t>Sin embargo, tanto la Comisión como la Corte Interamericanas se han pronunciado sobre la inaplicabilidad de la figura de prescripción penal en ciertos s</w:t>
      </w:r>
      <w:r w:rsidR="00133EF2" w:rsidRPr="00DC278B">
        <w:rPr>
          <w:rFonts w:ascii="Cambria" w:hAnsi="Cambria"/>
          <w:sz w:val="20"/>
          <w:szCs w:val="20"/>
          <w:lang w:val="es-CO"/>
        </w:rPr>
        <w:t>upuestos: i) cuando se trate d</w:t>
      </w:r>
      <w:r w:rsidR="00387318" w:rsidRPr="00DC278B">
        <w:rPr>
          <w:rFonts w:ascii="Cambria" w:hAnsi="Cambria"/>
          <w:sz w:val="20"/>
          <w:szCs w:val="20"/>
          <w:lang w:val="es-CO"/>
        </w:rPr>
        <w:t xml:space="preserve">e situaciones de evidente obstrucción de la justicia; y ii) cuando se trate de graves violaciones de derechos humanos. </w:t>
      </w:r>
    </w:p>
    <w:p w:rsidR="00D15FDF" w:rsidRPr="00DC278B" w:rsidRDefault="00D15FDF" w:rsidP="00DC278B">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cs="Verdana"/>
          <w:sz w:val="20"/>
          <w:szCs w:val="20"/>
          <w:lang w:val="es-CO"/>
        </w:rPr>
      </w:pPr>
    </w:p>
    <w:p w:rsidR="005C0EB2" w:rsidRPr="00DC278B" w:rsidRDefault="00DB67A8"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Verdana"/>
          <w:sz w:val="20"/>
          <w:szCs w:val="20"/>
          <w:lang w:val="es-CO"/>
        </w:rPr>
      </w:pPr>
      <w:r w:rsidRPr="00DC278B">
        <w:rPr>
          <w:rFonts w:ascii="Cambria" w:hAnsi="Cambria"/>
          <w:sz w:val="20"/>
          <w:szCs w:val="20"/>
          <w:lang w:val="es-CO"/>
        </w:rPr>
        <w:t xml:space="preserve">En cuanto al primer supuesto, la Corte ha indicado que </w:t>
      </w:r>
      <w:r w:rsidR="00716537" w:rsidRPr="00DC278B">
        <w:rPr>
          <w:rFonts w:ascii="Cambria" w:hAnsi="Cambria" w:cs="Verdana"/>
          <w:sz w:val="20"/>
          <w:szCs w:val="20"/>
          <w:lang w:val="es-CO"/>
        </w:rPr>
        <w:t xml:space="preserve">la invocación y aplicación de la </w:t>
      </w:r>
      <w:r w:rsidR="005C0EB2" w:rsidRPr="00DC278B">
        <w:rPr>
          <w:rFonts w:ascii="Cambria" w:hAnsi="Cambria" w:cs="Verdana"/>
          <w:sz w:val="20"/>
          <w:szCs w:val="20"/>
          <w:lang w:val="es-CO"/>
        </w:rPr>
        <w:t xml:space="preserve">prescripción: </w:t>
      </w:r>
    </w:p>
    <w:p w:rsidR="005C0EB2" w:rsidRPr="00DC278B" w:rsidRDefault="005C0EB2" w:rsidP="00DC278B">
      <w:pPr>
        <w:pStyle w:val="Textoindependiente2"/>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Cambria" w:hAnsi="Cambria" w:cs="Verdana"/>
          <w:sz w:val="20"/>
          <w:szCs w:val="20"/>
          <w:lang w:val="es-CO"/>
        </w:rPr>
      </w:pPr>
    </w:p>
    <w:p w:rsidR="00716537" w:rsidRPr="00DC278B" w:rsidRDefault="00716537" w:rsidP="00DC278B">
      <w:pPr>
        <w:pStyle w:val="Textoindependiente2"/>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720" w:right="720"/>
        <w:jc w:val="both"/>
        <w:rPr>
          <w:rFonts w:ascii="Cambria" w:hAnsi="Cambria" w:cs="Verdana"/>
          <w:sz w:val="20"/>
          <w:szCs w:val="20"/>
          <w:lang w:val="es-CO"/>
        </w:rPr>
      </w:pPr>
      <w:proofErr w:type="gramStart"/>
      <w:r w:rsidRPr="00DC278B">
        <w:rPr>
          <w:rFonts w:ascii="Cambria" w:hAnsi="Cambria" w:cs="Verdana"/>
          <w:sz w:val="20"/>
          <w:szCs w:val="20"/>
          <w:lang w:val="es-CO"/>
        </w:rPr>
        <w:t>es</w:t>
      </w:r>
      <w:proofErr w:type="gramEnd"/>
      <w:r w:rsidRPr="00DC278B">
        <w:rPr>
          <w:rFonts w:ascii="Cambria" w:hAnsi="Cambria" w:cs="Verdana"/>
          <w:sz w:val="20"/>
          <w:szCs w:val="20"/>
          <w:lang w:val="es-CO"/>
        </w:rPr>
        <w:t xml:space="preserve"> inaceptable cuando ha quedado claramente probado que el transcurso del tiempo ha sido determinado por actuaciones u omisiones procesales dirigidas, con clara mala fe o negligencia, a propiciar o permitir la impunidad.</w:t>
      </w:r>
      <w:r w:rsidRPr="00DC278B">
        <w:rPr>
          <w:rFonts w:ascii="Cambria" w:hAnsi="Cambria"/>
          <w:sz w:val="20"/>
          <w:szCs w:val="20"/>
          <w:lang w:val="es-CO"/>
        </w:rPr>
        <w:t xml:space="preserve"> Así, la Corte reitera lo señalado en otras oportunidades, en el sentido de que “[e]l derecho a la tutela judicial efectiva exige […] a los jueces que dirijan el proceso de modo de evitar que dilaciones y entorpecimientos indebidos conduzcan a la impunidad, frustrando así la debida protección judicial de los derechos humanos”</w:t>
      </w:r>
      <w:r w:rsidRPr="00DC278B">
        <w:rPr>
          <w:rStyle w:val="Refdenotaalpie"/>
          <w:rFonts w:ascii="Cambria" w:hAnsi="Cambria"/>
          <w:sz w:val="20"/>
          <w:szCs w:val="20"/>
        </w:rPr>
        <w:footnoteReference w:id="142"/>
      </w:r>
      <w:r w:rsidRPr="00DC278B">
        <w:rPr>
          <w:rFonts w:ascii="Cambria" w:hAnsi="Cambria"/>
          <w:sz w:val="20"/>
          <w:szCs w:val="20"/>
          <w:lang w:val="es-CO"/>
        </w:rPr>
        <w:t>. Asimismo, el Tribunal ha señalado que “cuando un Estado ha ratificado un tratado internacional como la Convención Americana, sus jueces, como parte del aparato del Estado, también están sometidos a ella, lo que les obliga a velar porque los efectos de las disposiciones de la Convención no se vean mermadas”</w:t>
      </w:r>
      <w:r w:rsidRPr="00DC278B">
        <w:rPr>
          <w:rStyle w:val="Refdenotaalpie"/>
          <w:rFonts w:ascii="Cambria" w:hAnsi="Cambria"/>
          <w:sz w:val="20"/>
          <w:szCs w:val="20"/>
        </w:rPr>
        <w:footnoteReference w:id="143"/>
      </w:r>
      <w:r w:rsidRPr="00DC278B">
        <w:rPr>
          <w:rFonts w:ascii="Cambria" w:hAnsi="Cambria"/>
          <w:sz w:val="20"/>
          <w:szCs w:val="20"/>
          <w:lang w:val="es-CO"/>
        </w:rPr>
        <w:t>. Es decir que la</w:t>
      </w:r>
      <w:r w:rsidRPr="00DC278B">
        <w:rPr>
          <w:rFonts w:ascii="Cambria" w:hAnsi="Cambria" w:cs="Verdana"/>
          <w:sz w:val="20"/>
          <w:szCs w:val="20"/>
          <w:lang w:val="es-CO"/>
        </w:rPr>
        <w:t xml:space="preserve"> prescripción cede ante los derechos de las víctimas cuando se presentan situaciones de obstrucción de la </w:t>
      </w:r>
      <w:r w:rsidRPr="00DC278B">
        <w:rPr>
          <w:rFonts w:ascii="Cambria" w:hAnsi="Cambria"/>
          <w:sz w:val="20"/>
          <w:szCs w:val="20"/>
          <w:lang w:val="es-CO"/>
        </w:rPr>
        <w:t>obligación de identificar, juzgar y sancionar a los responsables de un delito</w:t>
      </w:r>
      <w:r w:rsidRPr="00DC278B">
        <w:rPr>
          <w:rStyle w:val="Refdenotaalpie"/>
          <w:rFonts w:ascii="Cambria" w:hAnsi="Cambria"/>
          <w:sz w:val="20"/>
          <w:szCs w:val="20"/>
        </w:rPr>
        <w:footnoteReference w:id="144"/>
      </w:r>
      <w:r w:rsidRPr="00DC278B">
        <w:rPr>
          <w:rFonts w:ascii="Cambria" w:hAnsi="Cambria" w:cs="Verdana"/>
          <w:sz w:val="20"/>
          <w:szCs w:val="20"/>
          <w:lang w:val="es-CO"/>
        </w:rPr>
        <w:t>.</w:t>
      </w:r>
    </w:p>
    <w:p w:rsidR="00716537" w:rsidRPr="00DC278B" w:rsidRDefault="00716537" w:rsidP="00DC278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mbria" w:eastAsia="Calibri" w:hAnsi="Cambria" w:cs="Verdana"/>
          <w:sz w:val="20"/>
          <w:szCs w:val="20"/>
          <w:lang w:val="es-MX" w:eastAsia="es-MX"/>
        </w:rPr>
      </w:pPr>
    </w:p>
    <w:p w:rsidR="00FC4881" w:rsidRPr="00D5389D" w:rsidRDefault="00FC4881" w:rsidP="00BB75D1">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CO"/>
        </w:rPr>
      </w:pPr>
      <w:r w:rsidRPr="00DC278B">
        <w:rPr>
          <w:rFonts w:ascii="Cambria" w:hAnsi="Cambria"/>
          <w:sz w:val="20"/>
          <w:szCs w:val="20"/>
          <w:lang w:val="es-ES_tradnl"/>
        </w:rPr>
        <w:t xml:space="preserve">En cuanto al segundo supuesto, que es el que puede resultar relevante para el análisis de la controversia que plantea el presente caso, </w:t>
      </w:r>
      <w:r w:rsidRPr="00DC278B">
        <w:rPr>
          <w:rFonts w:ascii="Cambria" w:hAnsi="Cambria"/>
          <w:sz w:val="20"/>
          <w:szCs w:val="20"/>
          <w:lang w:val="es-CO"/>
        </w:rPr>
        <w:t>tanto la Corte</w:t>
      </w:r>
      <w:r w:rsidRPr="00DC278B">
        <w:rPr>
          <w:rStyle w:val="Refdenotaalpie"/>
          <w:rFonts w:ascii="Cambria" w:hAnsi="Cambria"/>
          <w:sz w:val="20"/>
          <w:szCs w:val="20"/>
          <w:lang w:val="es-CO"/>
        </w:rPr>
        <w:footnoteReference w:id="145"/>
      </w:r>
      <w:r w:rsidRPr="00DC278B">
        <w:rPr>
          <w:rFonts w:ascii="Cambria" w:hAnsi="Cambria"/>
          <w:sz w:val="20"/>
          <w:szCs w:val="20"/>
          <w:lang w:val="es-CO"/>
        </w:rPr>
        <w:t xml:space="preserve"> como la Comisión</w:t>
      </w:r>
      <w:r w:rsidRPr="00DC278B">
        <w:rPr>
          <w:rStyle w:val="Refdenotaalpie"/>
          <w:rFonts w:ascii="Cambria" w:hAnsi="Cambria"/>
          <w:sz w:val="20"/>
          <w:szCs w:val="20"/>
          <w:lang w:val="es-CO"/>
        </w:rPr>
        <w:footnoteReference w:id="146"/>
      </w:r>
      <w:r w:rsidRPr="00DC278B">
        <w:rPr>
          <w:rFonts w:ascii="Cambria" w:hAnsi="Cambria"/>
          <w:sz w:val="20"/>
          <w:szCs w:val="20"/>
          <w:lang w:val="es-CO"/>
        </w:rPr>
        <w:t xml:space="preserve"> han determinado que la aplicación de la pre</w:t>
      </w:r>
      <w:r w:rsidR="002D2BDD">
        <w:rPr>
          <w:rFonts w:ascii="Cambria" w:hAnsi="Cambria"/>
          <w:sz w:val="20"/>
          <w:szCs w:val="20"/>
          <w:lang w:val="es-CO"/>
        </w:rPr>
        <w:t>s</w:t>
      </w:r>
      <w:r w:rsidRPr="00DC278B">
        <w:rPr>
          <w:rFonts w:ascii="Cambria" w:hAnsi="Cambria"/>
          <w:sz w:val="20"/>
          <w:szCs w:val="20"/>
          <w:lang w:val="es-CO"/>
        </w:rPr>
        <w:t>cripción penal es violatoria de la Convención Americana en casos de graves vi</w:t>
      </w:r>
      <w:r w:rsidR="00B42FC7" w:rsidRPr="00DC278B">
        <w:rPr>
          <w:rFonts w:ascii="Cambria" w:hAnsi="Cambria"/>
          <w:sz w:val="20"/>
          <w:szCs w:val="20"/>
          <w:lang w:val="es-CO"/>
        </w:rPr>
        <w:t>olaciones de derechos humanos</w:t>
      </w:r>
      <w:r w:rsidR="001E3A62" w:rsidRPr="00DC278B">
        <w:rPr>
          <w:rFonts w:ascii="Cambria" w:hAnsi="Cambria"/>
          <w:sz w:val="20"/>
          <w:szCs w:val="20"/>
          <w:lang w:val="es-CO"/>
        </w:rPr>
        <w:t xml:space="preserve"> </w:t>
      </w:r>
      <w:r w:rsidR="001E3A62" w:rsidRPr="00DC278B">
        <w:rPr>
          <w:rFonts w:ascii="Cambria" w:eastAsia="Calibri" w:hAnsi="Cambria" w:cs="Verdana"/>
          <w:bCs/>
          <w:sz w:val="20"/>
          <w:szCs w:val="20"/>
          <w:lang w:val="es-MX" w:eastAsia="es-MX"/>
        </w:rPr>
        <w:t xml:space="preserve">tales </w:t>
      </w:r>
      <w:r w:rsidR="001E3A62" w:rsidRPr="00DC278B">
        <w:rPr>
          <w:rFonts w:ascii="Cambria" w:hAnsi="Cambria"/>
          <w:sz w:val="20"/>
          <w:szCs w:val="20"/>
          <w:lang w:val="es-CO"/>
        </w:rPr>
        <w:t>como</w:t>
      </w:r>
      <w:r w:rsidR="001E3A62" w:rsidRPr="00DC278B">
        <w:rPr>
          <w:rFonts w:ascii="Cambria" w:eastAsia="Calibri" w:hAnsi="Cambria" w:cs="Verdana"/>
          <w:bCs/>
          <w:sz w:val="20"/>
          <w:szCs w:val="20"/>
          <w:lang w:val="es-MX" w:eastAsia="es-MX"/>
        </w:rPr>
        <w:t xml:space="preserve"> la desaparición forzada de personas, la ejecución extrajudicial y tortura, lo que no necesariamente implica</w:t>
      </w:r>
      <w:r w:rsidR="00B42FC7" w:rsidRPr="00DC278B">
        <w:rPr>
          <w:rFonts w:ascii="Cambria" w:eastAsia="Calibri" w:hAnsi="Cambria" w:cs="Verdana"/>
          <w:bCs/>
          <w:sz w:val="20"/>
          <w:szCs w:val="20"/>
          <w:lang w:val="es-MX" w:eastAsia="es-MX"/>
        </w:rPr>
        <w:t xml:space="preserve"> que hayan tenido lugar en</w:t>
      </w:r>
      <w:r w:rsidR="001E3A62" w:rsidRPr="00DC278B">
        <w:rPr>
          <w:rFonts w:ascii="Cambria" w:eastAsia="Calibri" w:hAnsi="Cambria" w:cs="Verdana"/>
          <w:bCs/>
          <w:sz w:val="20"/>
          <w:szCs w:val="20"/>
          <w:lang w:val="es-MX" w:eastAsia="es-MX"/>
        </w:rPr>
        <w:t xml:space="preserve"> contextos de violaciones masivas y sistemáticas</w:t>
      </w:r>
      <w:r w:rsidR="001E3A62" w:rsidRPr="00DC278B">
        <w:rPr>
          <w:rStyle w:val="Refdenotaalpie"/>
          <w:rFonts w:ascii="Cambria" w:eastAsia="Calibri" w:hAnsi="Cambria" w:cs="Verdana"/>
          <w:bCs/>
          <w:sz w:val="20"/>
          <w:szCs w:val="20"/>
          <w:lang w:val="es-MX" w:eastAsia="es-MX"/>
        </w:rPr>
        <w:footnoteReference w:id="147"/>
      </w:r>
      <w:r w:rsidR="001E3A62" w:rsidRPr="00DC278B">
        <w:rPr>
          <w:rFonts w:ascii="Cambria" w:eastAsia="Calibri" w:hAnsi="Cambria" w:cs="Verdana"/>
          <w:bCs/>
          <w:sz w:val="20"/>
          <w:szCs w:val="20"/>
          <w:lang w:val="es-MX" w:eastAsia="es-MX"/>
        </w:rPr>
        <w:t>.</w:t>
      </w:r>
    </w:p>
    <w:p w:rsidR="00D5389D" w:rsidRPr="00BB75D1" w:rsidRDefault="00D5389D" w:rsidP="00D5389D">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es-CO"/>
        </w:rPr>
      </w:pPr>
      <w:bookmarkStart w:id="25" w:name="_GoBack"/>
      <w:bookmarkEnd w:id="25"/>
    </w:p>
    <w:p w:rsidR="00716537" w:rsidRPr="00DC278B" w:rsidRDefault="00644457"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Calibri" w:hAnsi="Cambria" w:cs="Verdana"/>
          <w:sz w:val="20"/>
          <w:szCs w:val="20"/>
          <w:lang w:val="es-MX" w:eastAsia="es-MX"/>
        </w:rPr>
      </w:pPr>
      <w:r w:rsidRPr="00DC278B">
        <w:rPr>
          <w:rFonts w:ascii="Cambria" w:eastAsia="Calibri" w:hAnsi="Cambria" w:cs="Verdana"/>
          <w:sz w:val="20"/>
          <w:szCs w:val="20"/>
          <w:lang w:val="es-MX" w:eastAsia="es-MX"/>
        </w:rPr>
        <w:t xml:space="preserve">En el caso </w:t>
      </w:r>
      <w:proofErr w:type="spellStart"/>
      <w:r w:rsidR="00716537" w:rsidRPr="00DC278B">
        <w:rPr>
          <w:rFonts w:ascii="Cambria" w:eastAsia="Calibri" w:hAnsi="Cambria" w:cs="Verdana"/>
          <w:i/>
          <w:sz w:val="20"/>
          <w:szCs w:val="20"/>
          <w:lang w:val="es-MX" w:eastAsia="es-MX"/>
        </w:rPr>
        <w:t>Ibsen</w:t>
      </w:r>
      <w:proofErr w:type="spellEnd"/>
      <w:r w:rsidR="00716537" w:rsidRPr="00DC278B">
        <w:rPr>
          <w:rFonts w:ascii="Cambria" w:eastAsia="Calibri" w:hAnsi="Cambria" w:cs="Verdana"/>
          <w:i/>
          <w:sz w:val="20"/>
          <w:szCs w:val="20"/>
          <w:lang w:val="es-MX" w:eastAsia="es-MX"/>
        </w:rPr>
        <w:t xml:space="preserve"> Cárdenas e </w:t>
      </w:r>
      <w:proofErr w:type="spellStart"/>
      <w:r w:rsidR="00716537" w:rsidRPr="00DC278B">
        <w:rPr>
          <w:rFonts w:ascii="Cambria" w:eastAsia="Calibri" w:hAnsi="Cambria" w:cs="Verdana"/>
          <w:i/>
          <w:sz w:val="20"/>
          <w:szCs w:val="20"/>
          <w:lang w:val="es-MX" w:eastAsia="es-MX"/>
        </w:rPr>
        <w:t>Ibsen</w:t>
      </w:r>
      <w:proofErr w:type="spellEnd"/>
      <w:r w:rsidR="00716537" w:rsidRPr="00DC278B">
        <w:rPr>
          <w:rFonts w:ascii="Cambria" w:eastAsia="Calibri" w:hAnsi="Cambria" w:cs="Verdana"/>
          <w:i/>
          <w:sz w:val="20"/>
          <w:szCs w:val="20"/>
          <w:lang w:val="es-MX" w:eastAsia="es-MX"/>
        </w:rPr>
        <w:t xml:space="preserve"> Peña</w:t>
      </w:r>
      <w:r w:rsidR="00716537" w:rsidRPr="00DC278B">
        <w:rPr>
          <w:rFonts w:ascii="Cambria" w:eastAsia="Calibri" w:hAnsi="Cambria" w:cs="Verdana"/>
          <w:sz w:val="20"/>
          <w:szCs w:val="20"/>
          <w:lang w:val="es-MX" w:eastAsia="es-MX"/>
        </w:rPr>
        <w:t xml:space="preserve"> Vs. </w:t>
      </w:r>
      <w:r w:rsidR="00716537" w:rsidRPr="00DC278B">
        <w:rPr>
          <w:rFonts w:ascii="Cambria" w:eastAsia="Calibri" w:hAnsi="Cambria" w:cs="Verdana"/>
          <w:i/>
          <w:sz w:val="20"/>
          <w:szCs w:val="20"/>
          <w:lang w:val="es-MX" w:eastAsia="es-MX"/>
        </w:rPr>
        <w:t>Bolivia</w:t>
      </w:r>
      <w:r w:rsidR="00716537" w:rsidRPr="00DC278B">
        <w:rPr>
          <w:rFonts w:ascii="Cambria" w:eastAsia="Calibri" w:hAnsi="Cambria" w:cs="Verdana"/>
          <w:sz w:val="20"/>
          <w:szCs w:val="20"/>
          <w:lang w:val="es-MX" w:eastAsia="es-MX"/>
        </w:rPr>
        <w:t xml:space="preserve"> se reiteró dicho criterio al establecer que “en ciertas circunstancias el Derecho </w:t>
      </w:r>
      <w:r w:rsidR="00716537" w:rsidRPr="00DC278B">
        <w:rPr>
          <w:rFonts w:ascii="Cambria" w:hAnsi="Cambria"/>
          <w:sz w:val="20"/>
          <w:szCs w:val="20"/>
          <w:lang w:val="es-CO"/>
        </w:rPr>
        <w:t>Internacional</w:t>
      </w:r>
      <w:r w:rsidR="00716537" w:rsidRPr="00DC278B">
        <w:rPr>
          <w:rFonts w:ascii="Cambria" w:eastAsia="Calibri" w:hAnsi="Cambria" w:cs="Verdana"/>
          <w:sz w:val="20"/>
          <w:szCs w:val="20"/>
          <w:lang w:val="es-MX" w:eastAsia="es-MX"/>
        </w:rPr>
        <w:t xml:space="preserve"> considera inadmisible e inaplicable la </w:t>
      </w:r>
      <w:proofErr w:type="gramStart"/>
      <w:r w:rsidR="00716537" w:rsidRPr="00DC278B">
        <w:rPr>
          <w:rFonts w:ascii="Cambria" w:eastAsia="Calibri" w:hAnsi="Cambria" w:cs="Verdana"/>
          <w:sz w:val="20"/>
          <w:szCs w:val="20"/>
          <w:lang w:val="es-MX" w:eastAsia="es-MX"/>
        </w:rPr>
        <w:t>prescripción[</w:t>
      </w:r>
      <w:proofErr w:type="gramEnd"/>
      <w:r w:rsidR="00716537" w:rsidRPr="00DC278B">
        <w:rPr>
          <w:rFonts w:ascii="Cambria" w:eastAsia="Calibri" w:hAnsi="Cambria" w:cs="Verdana"/>
          <w:sz w:val="20"/>
          <w:szCs w:val="20"/>
          <w:lang w:val="es-MX" w:eastAsia="es-MX"/>
        </w:rPr>
        <w:t xml:space="preserve">,] así </w:t>
      </w:r>
      <w:r w:rsidR="00716537" w:rsidRPr="00DC278B">
        <w:rPr>
          <w:rFonts w:ascii="Cambria" w:eastAsia="Calibri" w:hAnsi="Cambria" w:cs="Verdana"/>
          <w:sz w:val="20"/>
          <w:szCs w:val="20"/>
          <w:lang w:val="es-MX" w:eastAsia="es-MX"/>
        </w:rPr>
        <w:lastRenderedPageBreak/>
        <w:t>como las disposiciones de amnistía y el establecimiento de excluyentes de responsabilidad, a fin de mantener vigente en el tiempo el poder punitivo del Estado sobre conductas cuya gravedad hace necesaria su represión para evitar que vuelvan a ser cometidas”</w:t>
      </w:r>
      <w:r w:rsidR="00716537" w:rsidRPr="00DC278B">
        <w:rPr>
          <w:rStyle w:val="Refdenotaalpie"/>
          <w:rFonts w:ascii="Cambria" w:eastAsia="Calibri" w:hAnsi="Cambria" w:cs="Verdana"/>
          <w:sz w:val="20"/>
          <w:szCs w:val="20"/>
          <w:lang w:val="es-MX" w:eastAsia="es-MX"/>
        </w:rPr>
        <w:footnoteReference w:id="148"/>
      </w:r>
      <w:r w:rsidR="00716537" w:rsidRPr="00DC278B">
        <w:rPr>
          <w:rFonts w:ascii="Cambria" w:eastAsia="Calibri" w:hAnsi="Cambria" w:cs="Verdana"/>
          <w:sz w:val="20"/>
          <w:szCs w:val="20"/>
          <w:lang w:val="es-MX" w:eastAsia="es-MX"/>
        </w:rPr>
        <w:t xml:space="preserve">. </w:t>
      </w:r>
    </w:p>
    <w:p w:rsidR="00716537" w:rsidRPr="00DC278B" w:rsidRDefault="00716537" w:rsidP="00DC278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mbria" w:eastAsia="Calibri" w:hAnsi="Cambria" w:cs="Verdana"/>
          <w:sz w:val="20"/>
          <w:szCs w:val="20"/>
          <w:lang w:val="es-MX" w:eastAsia="es-MX"/>
        </w:rPr>
      </w:pPr>
    </w:p>
    <w:p w:rsidR="00245C2A" w:rsidRPr="00DC278B" w:rsidRDefault="00BE2400"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Calibri" w:hAnsi="Cambria" w:cs="Verdana"/>
          <w:bCs/>
          <w:sz w:val="20"/>
          <w:szCs w:val="20"/>
          <w:lang w:val="es-MX" w:eastAsia="es-MX"/>
        </w:rPr>
      </w:pPr>
      <w:r w:rsidRPr="00DC278B">
        <w:rPr>
          <w:rFonts w:ascii="Cambria" w:eastAsia="Calibri" w:hAnsi="Cambria" w:cs="Verdana"/>
          <w:sz w:val="20"/>
          <w:szCs w:val="20"/>
          <w:lang w:val="es-MX" w:eastAsia="es-MX"/>
        </w:rPr>
        <w:t xml:space="preserve">Posteriormente en los casos </w:t>
      </w:r>
      <w:r w:rsidR="00716537" w:rsidRPr="00DC278B">
        <w:rPr>
          <w:rFonts w:ascii="Cambria" w:eastAsia="Calibri" w:hAnsi="Cambria" w:cs="Verdana"/>
          <w:bCs/>
          <w:i/>
          <w:sz w:val="20"/>
          <w:szCs w:val="20"/>
          <w:lang w:val="es-MX" w:eastAsia="es-MX"/>
        </w:rPr>
        <w:t xml:space="preserve">Gomes </w:t>
      </w:r>
      <w:proofErr w:type="spellStart"/>
      <w:r w:rsidR="00716537" w:rsidRPr="00DC278B">
        <w:rPr>
          <w:rFonts w:ascii="Cambria" w:eastAsia="Calibri" w:hAnsi="Cambria" w:cs="Verdana"/>
          <w:bCs/>
          <w:i/>
          <w:sz w:val="20"/>
          <w:szCs w:val="20"/>
          <w:lang w:val="es-MX" w:eastAsia="es-MX"/>
        </w:rPr>
        <w:t>Lund</w:t>
      </w:r>
      <w:proofErr w:type="spellEnd"/>
      <w:r w:rsidR="00716537" w:rsidRPr="00DC278B">
        <w:rPr>
          <w:rFonts w:ascii="Cambria" w:eastAsia="Calibri" w:hAnsi="Cambria" w:cs="Verdana"/>
          <w:bCs/>
          <w:i/>
          <w:sz w:val="20"/>
          <w:szCs w:val="20"/>
          <w:lang w:val="es-MX" w:eastAsia="es-MX"/>
        </w:rPr>
        <w:t xml:space="preserve"> y otros (</w:t>
      </w:r>
      <w:proofErr w:type="spellStart"/>
      <w:r w:rsidR="00716537" w:rsidRPr="00DC278B">
        <w:rPr>
          <w:rFonts w:ascii="Cambria" w:eastAsia="Calibri" w:hAnsi="Cambria" w:cs="Verdana"/>
          <w:bCs/>
          <w:i/>
          <w:sz w:val="20"/>
          <w:szCs w:val="20"/>
          <w:lang w:val="es-MX" w:eastAsia="es-MX"/>
        </w:rPr>
        <w:t>Guerrilha</w:t>
      </w:r>
      <w:proofErr w:type="spellEnd"/>
      <w:r w:rsidR="00716537" w:rsidRPr="00DC278B">
        <w:rPr>
          <w:rFonts w:ascii="Cambria" w:eastAsia="Calibri" w:hAnsi="Cambria" w:cs="Verdana"/>
          <w:bCs/>
          <w:i/>
          <w:sz w:val="20"/>
          <w:szCs w:val="20"/>
          <w:lang w:val="es-MX" w:eastAsia="es-MX"/>
        </w:rPr>
        <w:t xml:space="preserve"> do </w:t>
      </w:r>
      <w:proofErr w:type="spellStart"/>
      <w:r w:rsidR="00716537" w:rsidRPr="00DC278B">
        <w:rPr>
          <w:rFonts w:ascii="Cambria" w:eastAsia="Calibri" w:hAnsi="Cambria" w:cs="Verdana"/>
          <w:bCs/>
          <w:i/>
          <w:sz w:val="20"/>
          <w:szCs w:val="20"/>
          <w:lang w:val="es-MX" w:eastAsia="es-MX"/>
        </w:rPr>
        <w:t>Araguaia</w:t>
      </w:r>
      <w:proofErr w:type="spellEnd"/>
      <w:r w:rsidR="00716537" w:rsidRPr="00DC278B">
        <w:rPr>
          <w:rFonts w:ascii="Cambria" w:eastAsia="Calibri" w:hAnsi="Cambria" w:cs="Verdana"/>
          <w:bCs/>
          <w:i/>
          <w:sz w:val="20"/>
          <w:szCs w:val="20"/>
          <w:lang w:val="es-MX" w:eastAsia="es-MX"/>
        </w:rPr>
        <w:t>)</w:t>
      </w:r>
      <w:r w:rsidRPr="00DC278B">
        <w:rPr>
          <w:rFonts w:ascii="Cambria" w:eastAsia="Calibri" w:hAnsi="Cambria" w:cs="Verdana"/>
          <w:bCs/>
          <w:sz w:val="20"/>
          <w:szCs w:val="20"/>
          <w:lang w:val="es-MX" w:eastAsia="es-MX"/>
        </w:rPr>
        <w:t xml:space="preserve"> </w:t>
      </w:r>
      <w:r w:rsidRPr="00DC278B">
        <w:rPr>
          <w:rFonts w:ascii="Cambria" w:eastAsia="Calibri" w:hAnsi="Cambria" w:cs="Verdana"/>
          <w:bCs/>
          <w:i/>
          <w:sz w:val="20"/>
          <w:szCs w:val="20"/>
          <w:lang w:val="es-MX" w:eastAsia="es-MX"/>
        </w:rPr>
        <w:t>v</w:t>
      </w:r>
      <w:r w:rsidR="00716537" w:rsidRPr="00DC278B">
        <w:rPr>
          <w:rFonts w:ascii="Cambria" w:eastAsia="Calibri" w:hAnsi="Cambria" w:cs="Verdana"/>
          <w:bCs/>
          <w:i/>
          <w:sz w:val="20"/>
          <w:szCs w:val="20"/>
          <w:lang w:val="es-MX" w:eastAsia="es-MX"/>
        </w:rPr>
        <w:t>s</w:t>
      </w:r>
      <w:r w:rsidR="00716537" w:rsidRPr="00DC278B">
        <w:rPr>
          <w:rFonts w:ascii="Cambria" w:eastAsia="Calibri" w:hAnsi="Cambria" w:cs="Verdana"/>
          <w:bCs/>
          <w:sz w:val="20"/>
          <w:szCs w:val="20"/>
          <w:lang w:val="es-MX" w:eastAsia="es-MX"/>
        </w:rPr>
        <w:t xml:space="preserve">. </w:t>
      </w:r>
      <w:r w:rsidR="00716537" w:rsidRPr="00DC278B">
        <w:rPr>
          <w:rFonts w:ascii="Cambria" w:eastAsia="Calibri" w:hAnsi="Cambria" w:cs="Verdana"/>
          <w:bCs/>
          <w:i/>
          <w:sz w:val="20"/>
          <w:szCs w:val="20"/>
          <w:lang w:val="es-MX" w:eastAsia="es-MX"/>
        </w:rPr>
        <w:t>Brasil</w:t>
      </w:r>
      <w:r w:rsidR="00716537" w:rsidRPr="00DC278B">
        <w:rPr>
          <w:rFonts w:ascii="Cambria" w:eastAsia="Calibri" w:hAnsi="Cambria" w:cs="Verdana"/>
          <w:bCs/>
          <w:sz w:val="20"/>
          <w:szCs w:val="20"/>
          <w:lang w:val="es-MX" w:eastAsia="es-MX"/>
        </w:rPr>
        <w:t xml:space="preserve"> </w:t>
      </w:r>
      <w:r w:rsidRPr="00DC278B">
        <w:rPr>
          <w:rFonts w:ascii="Cambria" w:eastAsia="Calibri" w:hAnsi="Cambria" w:cs="Verdana"/>
          <w:bCs/>
          <w:sz w:val="20"/>
          <w:szCs w:val="20"/>
          <w:lang w:val="es-MX" w:eastAsia="es-MX"/>
        </w:rPr>
        <w:t xml:space="preserve">y </w:t>
      </w:r>
      <w:proofErr w:type="spellStart"/>
      <w:r w:rsidRPr="00DC278B">
        <w:rPr>
          <w:rFonts w:ascii="Cambria" w:eastAsia="Calibri" w:hAnsi="Cambria" w:cs="Verdana"/>
          <w:bCs/>
          <w:i/>
          <w:sz w:val="20"/>
          <w:szCs w:val="20"/>
          <w:lang w:val="es-MX" w:eastAsia="es-MX"/>
        </w:rPr>
        <w:t>Gelman</w:t>
      </w:r>
      <w:proofErr w:type="spellEnd"/>
      <w:r w:rsidRPr="00DC278B">
        <w:rPr>
          <w:rFonts w:ascii="Cambria" w:eastAsia="Calibri" w:hAnsi="Cambria" w:cs="Verdana"/>
          <w:bCs/>
          <w:i/>
          <w:sz w:val="20"/>
          <w:szCs w:val="20"/>
          <w:lang w:val="es-MX" w:eastAsia="es-MX"/>
        </w:rPr>
        <w:t xml:space="preserve"> vs. Uruguay, </w:t>
      </w:r>
      <w:r w:rsidR="00712926" w:rsidRPr="00DC278B">
        <w:rPr>
          <w:rFonts w:ascii="Cambria" w:eastAsia="Calibri" w:hAnsi="Cambria" w:cs="Verdana"/>
          <w:bCs/>
          <w:sz w:val="20"/>
          <w:szCs w:val="20"/>
          <w:lang w:val="es-MX" w:eastAsia="es-MX"/>
        </w:rPr>
        <w:t xml:space="preserve">relativos a </w:t>
      </w:r>
      <w:r w:rsidR="00CC1515" w:rsidRPr="00DC278B">
        <w:rPr>
          <w:rFonts w:ascii="Cambria" w:eastAsia="Calibri" w:hAnsi="Cambria" w:cs="Verdana"/>
          <w:bCs/>
          <w:sz w:val="20"/>
          <w:szCs w:val="20"/>
          <w:lang w:val="es-MX" w:eastAsia="es-MX"/>
        </w:rPr>
        <w:t xml:space="preserve">graves </w:t>
      </w:r>
      <w:r w:rsidR="00CC1515" w:rsidRPr="00DC278B">
        <w:rPr>
          <w:rFonts w:ascii="Cambria" w:hAnsi="Cambria"/>
          <w:sz w:val="20"/>
          <w:szCs w:val="20"/>
          <w:lang w:val="es-CO"/>
        </w:rPr>
        <w:t>violaciones</w:t>
      </w:r>
      <w:r w:rsidR="00CC1515" w:rsidRPr="00DC278B">
        <w:rPr>
          <w:rFonts w:ascii="Cambria" w:eastAsia="Calibri" w:hAnsi="Cambria" w:cs="Verdana"/>
          <w:bCs/>
          <w:sz w:val="20"/>
          <w:szCs w:val="20"/>
          <w:lang w:val="es-MX" w:eastAsia="es-MX"/>
        </w:rPr>
        <w:t xml:space="preserve"> de derechos humanos cometidas en </w:t>
      </w:r>
      <w:r w:rsidR="00712926" w:rsidRPr="00DC278B">
        <w:rPr>
          <w:rFonts w:ascii="Cambria" w:eastAsia="Calibri" w:hAnsi="Cambria" w:cs="Verdana"/>
          <w:bCs/>
          <w:sz w:val="20"/>
          <w:szCs w:val="20"/>
          <w:lang w:val="es-MX" w:eastAsia="es-MX"/>
        </w:rPr>
        <w:t xml:space="preserve">dictaduras militares, </w:t>
      </w:r>
      <w:r w:rsidR="00716537" w:rsidRPr="00DC278B">
        <w:rPr>
          <w:rFonts w:ascii="Cambria" w:eastAsia="Calibri" w:hAnsi="Cambria" w:cs="Verdana"/>
          <w:bCs/>
          <w:sz w:val="20"/>
          <w:szCs w:val="20"/>
          <w:lang w:val="es-MX" w:eastAsia="es-MX"/>
        </w:rPr>
        <w:t>la Corte reiteró su jurisprudencia en el sentido de que “‘son inadmisibles las […] disposiciones de prescripción […] que pretendan impedir la investigación y sanción de los responsables de las violaciones graves de los derechos humanos tales como la tortura, las ejecuciones sumarias, extralegales o arbitrarias y las desapariciones forzadas, todas ellas prohibidas por contravenir derechos inderogables reconocidos por el Derecho Internacional de los Derechos Humanos’”</w:t>
      </w:r>
      <w:r w:rsidR="00716537" w:rsidRPr="00DC278B">
        <w:rPr>
          <w:rStyle w:val="Refdenotaalpie"/>
          <w:rFonts w:ascii="Cambria" w:eastAsia="Calibri" w:hAnsi="Cambria" w:cs="Verdana"/>
          <w:bCs/>
          <w:sz w:val="20"/>
          <w:szCs w:val="20"/>
          <w:lang w:val="es-MX" w:eastAsia="es-MX"/>
        </w:rPr>
        <w:footnoteReference w:id="149"/>
      </w:r>
      <w:r w:rsidR="00716537" w:rsidRPr="00DC278B">
        <w:rPr>
          <w:rFonts w:ascii="Cambria" w:eastAsia="Calibri" w:hAnsi="Cambria" w:cs="Verdana"/>
          <w:bCs/>
          <w:sz w:val="20"/>
          <w:szCs w:val="20"/>
          <w:lang w:val="es-MX" w:eastAsia="es-MX"/>
        </w:rPr>
        <w:t xml:space="preserve">. </w:t>
      </w:r>
    </w:p>
    <w:p w:rsidR="00245C2A" w:rsidRPr="00DC278B" w:rsidRDefault="00245C2A" w:rsidP="00DC278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mbria" w:eastAsia="Calibri" w:hAnsi="Cambria" w:cs="Verdana"/>
          <w:bCs/>
          <w:sz w:val="20"/>
          <w:szCs w:val="20"/>
          <w:lang w:val="es-MX" w:eastAsia="es-MX"/>
        </w:rPr>
      </w:pPr>
    </w:p>
    <w:p w:rsidR="00716537" w:rsidRPr="00DC278B" w:rsidRDefault="005B027C"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Calibri" w:hAnsi="Cambria" w:cs="Verdana"/>
          <w:bCs/>
          <w:sz w:val="20"/>
          <w:szCs w:val="20"/>
          <w:lang w:val="es-MX" w:eastAsia="es-MX"/>
        </w:rPr>
      </w:pPr>
      <w:r w:rsidRPr="00DC278B">
        <w:rPr>
          <w:rFonts w:ascii="Cambria" w:eastAsia="Calibri" w:hAnsi="Cambria" w:cs="Verdana"/>
          <w:bCs/>
          <w:sz w:val="20"/>
          <w:szCs w:val="20"/>
          <w:lang w:val="es-MX" w:eastAsia="es-MX"/>
        </w:rPr>
        <w:t xml:space="preserve">Esta formulación </w:t>
      </w:r>
      <w:r w:rsidR="00245C2A" w:rsidRPr="00DC278B">
        <w:rPr>
          <w:rFonts w:ascii="Cambria" w:eastAsia="Calibri" w:hAnsi="Cambria" w:cs="Verdana"/>
          <w:bCs/>
          <w:sz w:val="20"/>
          <w:szCs w:val="20"/>
          <w:lang w:val="es-MX" w:eastAsia="es-MX"/>
        </w:rPr>
        <w:t xml:space="preserve">sobre la prohibición de la prescripción penal en casos de graves violaciones de derechos humanos, </w:t>
      </w:r>
      <w:r w:rsidRPr="00DC278B">
        <w:rPr>
          <w:rFonts w:ascii="Cambria" w:eastAsia="Calibri" w:hAnsi="Cambria" w:cs="Verdana"/>
          <w:bCs/>
          <w:sz w:val="20"/>
          <w:szCs w:val="20"/>
          <w:lang w:val="es-MX" w:eastAsia="es-MX"/>
        </w:rPr>
        <w:t xml:space="preserve">ha sido </w:t>
      </w:r>
      <w:r w:rsidRPr="00DC278B">
        <w:rPr>
          <w:rFonts w:ascii="Cambria" w:hAnsi="Cambria"/>
          <w:sz w:val="20"/>
          <w:szCs w:val="20"/>
          <w:lang w:val="es-CO"/>
        </w:rPr>
        <w:t>mantenida</w:t>
      </w:r>
      <w:r w:rsidRPr="00DC278B">
        <w:rPr>
          <w:rFonts w:ascii="Cambria" w:eastAsia="Calibri" w:hAnsi="Cambria" w:cs="Verdana"/>
          <w:bCs/>
          <w:sz w:val="20"/>
          <w:szCs w:val="20"/>
          <w:lang w:val="es-MX" w:eastAsia="es-MX"/>
        </w:rPr>
        <w:t xml:space="preserve"> por la Corte tambié</w:t>
      </w:r>
      <w:r w:rsidR="00245C2A" w:rsidRPr="00DC278B">
        <w:rPr>
          <w:rFonts w:ascii="Cambria" w:eastAsia="Calibri" w:hAnsi="Cambria" w:cs="Verdana"/>
          <w:bCs/>
          <w:sz w:val="20"/>
          <w:szCs w:val="20"/>
          <w:lang w:val="es-MX" w:eastAsia="es-MX"/>
        </w:rPr>
        <w:t xml:space="preserve">n en casos en que dichas violaciones ocurrieron en el marco </w:t>
      </w:r>
      <w:r w:rsidRPr="00DC278B">
        <w:rPr>
          <w:rFonts w:ascii="Cambria" w:eastAsia="Calibri" w:hAnsi="Cambria" w:cs="Verdana"/>
          <w:bCs/>
          <w:sz w:val="20"/>
          <w:szCs w:val="20"/>
          <w:lang w:val="es-MX" w:eastAsia="es-MX"/>
        </w:rPr>
        <w:t>de conflictos armados internos</w:t>
      </w:r>
      <w:r w:rsidR="00B46722" w:rsidRPr="00DC278B">
        <w:rPr>
          <w:rStyle w:val="Refdenotaalpie"/>
          <w:rFonts w:ascii="Cambria" w:eastAsia="Calibri" w:hAnsi="Cambria" w:cs="Verdana"/>
          <w:bCs/>
          <w:sz w:val="20"/>
          <w:szCs w:val="20"/>
          <w:lang w:val="es-MX" w:eastAsia="es-MX"/>
        </w:rPr>
        <w:footnoteReference w:id="150"/>
      </w:r>
      <w:r w:rsidRPr="00DC278B">
        <w:rPr>
          <w:rFonts w:ascii="Cambria" w:eastAsia="Calibri" w:hAnsi="Cambria" w:cs="Verdana"/>
          <w:bCs/>
          <w:sz w:val="20"/>
          <w:szCs w:val="20"/>
          <w:lang w:val="es-MX" w:eastAsia="es-MX"/>
        </w:rPr>
        <w:t xml:space="preserve">. </w:t>
      </w:r>
    </w:p>
    <w:p w:rsidR="00EF5AE5" w:rsidRPr="00DC278B" w:rsidRDefault="00EF5AE5" w:rsidP="00DC278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b/>
          <w:sz w:val="20"/>
          <w:szCs w:val="20"/>
          <w:bdr w:val="none" w:sz="0" w:space="0" w:color="auto"/>
          <w:lang w:val="es-ES_tradnl"/>
        </w:rPr>
      </w:pPr>
    </w:p>
    <w:p w:rsidR="00EF5AE5" w:rsidRPr="00DC278B" w:rsidRDefault="003427C3" w:rsidP="00DC278B">
      <w:pPr>
        <w:pBdr>
          <w:top w:val="none" w:sz="0" w:space="0" w:color="auto"/>
          <w:left w:val="none" w:sz="0" w:space="0" w:color="auto"/>
          <w:bottom w:val="none" w:sz="0" w:space="0" w:color="auto"/>
          <w:right w:val="none" w:sz="0" w:space="0" w:color="auto"/>
          <w:between w:val="none" w:sz="0" w:space="0" w:color="auto"/>
          <w:bar w:val="none" w:sz="0" w:color="auto"/>
        </w:pBdr>
        <w:ind w:left="1440" w:hanging="720"/>
        <w:jc w:val="both"/>
        <w:rPr>
          <w:rFonts w:ascii="Cambria" w:eastAsia="Times New Roman" w:hAnsi="Cambria"/>
          <w:b/>
          <w:sz w:val="20"/>
          <w:szCs w:val="20"/>
          <w:bdr w:val="none" w:sz="0" w:space="0" w:color="auto"/>
          <w:lang w:val="es-ES_tradnl"/>
        </w:rPr>
      </w:pPr>
      <w:r w:rsidRPr="00DC278B">
        <w:rPr>
          <w:rFonts w:ascii="Cambria" w:eastAsia="Times New Roman" w:hAnsi="Cambria"/>
          <w:b/>
          <w:sz w:val="20"/>
          <w:szCs w:val="20"/>
          <w:bdr w:val="none" w:sz="0" w:space="0" w:color="auto"/>
          <w:lang w:val="es-ES_tradnl"/>
        </w:rPr>
        <w:t xml:space="preserve">4. </w:t>
      </w:r>
      <w:r w:rsidRPr="00DC278B">
        <w:rPr>
          <w:rFonts w:ascii="Cambria" w:eastAsia="Times New Roman" w:hAnsi="Cambria"/>
          <w:b/>
          <w:sz w:val="20"/>
          <w:szCs w:val="20"/>
          <w:bdr w:val="none" w:sz="0" w:space="0" w:color="auto"/>
          <w:lang w:val="es-ES_tradnl"/>
        </w:rPr>
        <w:tab/>
      </w:r>
      <w:r w:rsidR="00AF2A67" w:rsidRPr="00DC278B">
        <w:rPr>
          <w:rFonts w:ascii="Cambria" w:eastAsia="Times New Roman" w:hAnsi="Cambria"/>
          <w:b/>
          <w:sz w:val="20"/>
          <w:szCs w:val="20"/>
          <w:bdr w:val="none" w:sz="0" w:space="0" w:color="auto"/>
          <w:lang w:val="es-ES_tradnl"/>
        </w:rPr>
        <w:t xml:space="preserve">Consideraciones sobre la </w:t>
      </w:r>
      <w:r w:rsidR="001A75FF" w:rsidRPr="00DC278B">
        <w:rPr>
          <w:rFonts w:ascii="Cambria" w:eastAsia="Times New Roman" w:hAnsi="Cambria"/>
          <w:b/>
          <w:sz w:val="20"/>
          <w:szCs w:val="20"/>
          <w:bdr w:val="none" w:sz="0" w:space="0" w:color="auto"/>
          <w:lang w:val="es-ES_tradnl"/>
        </w:rPr>
        <w:t>prescripción de acciones judiciales para obtener reparaciones frente a ciertas violaciones de derechos humanos</w:t>
      </w:r>
    </w:p>
    <w:p w:rsidR="00EF5AE5" w:rsidRPr="00DC278B" w:rsidRDefault="00EF5AE5" w:rsidP="00DC278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b/>
          <w:sz w:val="20"/>
          <w:szCs w:val="20"/>
          <w:bdr w:val="none" w:sz="0" w:space="0" w:color="auto"/>
          <w:lang w:val="es-ES_tradnl"/>
        </w:rPr>
      </w:pPr>
    </w:p>
    <w:p w:rsidR="002B1F3F" w:rsidRPr="00DC278B" w:rsidRDefault="001B0C57"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CO"/>
        </w:rPr>
      </w:pPr>
      <w:r w:rsidRPr="00DC278B">
        <w:rPr>
          <w:rFonts w:ascii="Cambria" w:hAnsi="Cambria"/>
          <w:sz w:val="20"/>
          <w:szCs w:val="20"/>
          <w:lang w:val="es-CO"/>
        </w:rPr>
        <w:t xml:space="preserve">La Comisión observa que </w:t>
      </w:r>
      <w:r w:rsidR="002743BB" w:rsidRPr="00DC278B">
        <w:rPr>
          <w:rFonts w:ascii="Cambria" w:hAnsi="Cambria"/>
          <w:sz w:val="20"/>
          <w:szCs w:val="20"/>
          <w:lang w:val="es-CO"/>
        </w:rPr>
        <w:t xml:space="preserve">se han dado desarrollos importantes tanto en el derecho internacional como en el derecho comparado sobre esta temática. </w:t>
      </w:r>
    </w:p>
    <w:p w:rsidR="002B1F3F" w:rsidRPr="00DC278B" w:rsidRDefault="002B1F3F" w:rsidP="00DC278B">
      <w:pPr>
        <w:pStyle w:val="MediumGrid1-Accent21"/>
        <w:autoSpaceDE w:val="0"/>
        <w:autoSpaceDN w:val="0"/>
        <w:adjustRightInd w:val="0"/>
        <w:ind w:left="0"/>
        <w:jc w:val="both"/>
        <w:rPr>
          <w:color w:val="auto"/>
          <w:sz w:val="20"/>
          <w:szCs w:val="20"/>
          <w:lang w:val="es-CO"/>
        </w:rPr>
      </w:pPr>
    </w:p>
    <w:p w:rsidR="00DA6760" w:rsidRPr="00DC278B" w:rsidRDefault="00CF61A2"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CO"/>
        </w:rPr>
      </w:pPr>
      <w:r w:rsidRPr="00DC278B">
        <w:rPr>
          <w:rFonts w:ascii="Cambria" w:hAnsi="Cambria"/>
          <w:sz w:val="20"/>
          <w:szCs w:val="20"/>
          <w:lang w:val="es-CO"/>
        </w:rPr>
        <w:t>En relación con las v</w:t>
      </w:r>
      <w:r w:rsidR="00AF1F07" w:rsidRPr="00DC278B">
        <w:rPr>
          <w:rFonts w:ascii="Cambria" w:hAnsi="Cambria"/>
          <w:sz w:val="20"/>
          <w:szCs w:val="20"/>
          <w:lang w:val="es-CO"/>
        </w:rPr>
        <w:t>íctimas de desaparición forzada</w:t>
      </w:r>
      <w:r w:rsidR="00427FE1" w:rsidRPr="00DC278B">
        <w:rPr>
          <w:rFonts w:ascii="Cambria" w:hAnsi="Cambria"/>
          <w:sz w:val="20"/>
          <w:szCs w:val="20"/>
          <w:lang w:val="es-CO"/>
        </w:rPr>
        <w:t xml:space="preserve"> – como es el caso de tres de los</w:t>
      </w:r>
      <w:r w:rsidR="00F22ACC" w:rsidRPr="00DC278B">
        <w:rPr>
          <w:rFonts w:ascii="Cambria" w:hAnsi="Cambria"/>
          <w:sz w:val="20"/>
          <w:szCs w:val="20"/>
          <w:lang w:val="es-CO"/>
        </w:rPr>
        <w:t xml:space="preserve"> asuntos </w:t>
      </w:r>
      <w:r w:rsidR="00427FE1" w:rsidRPr="00DC278B">
        <w:rPr>
          <w:rFonts w:ascii="Cambria" w:hAnsi="Cambria"/>
          <w:sz w:val="20"/>
          <w:szCs w:val="20"/>
          <w:lang w:val="es-CO"/>
        </w:rPr>
        <w:t xml:space="preserve">materia del presente informe </w:t>
      </w:r>
      <w:r w:rsidR="00F22ACC" w:rsidRPr="00DC278B">
        <w:rPr>
          <w:rFonts w:ascii="Cambria" w:hAnsi="Cambria"/>
          <w:sz w:val="20"/>
          <w:szCs w:val="20"/>
          <w:lang w:val="es-CO"/>
        </w:rPr>
        <w:t>–</w:t>
      </w:r>
      <w:r w:rsidR="00427FE1" w:rsidRPr="00DC278B">
        <w:rPr>
          <w:rFonts w:ascii="Cambria" w:hAnsi="Cambria"/>
          <w:sz w:val="20"/>
          <w:szCs w:val="20"/>
          <w:lang w:val="es-CO"/>
        </w:rPr>
        <w:t xml:space="preserve"> </w:t>
      </w:r>
      <w:r w:rsidRPr="00DC278B">
        <w:rPr>
          <w:rFonts w:ascii="Cambria" w:hAnsi="Cambria"/>
          <w:sz w:val="20"/>
          <w:szCs w:val="20"/>
          <w:lang w:val="es-CO"/>
        </w:rPr>
        <w:t>el</w:t>
      </w:r>
      <w:r w:rsidR="00F22ACC" w:rsidRPr="00DC278B">
        <w:rPr>
          <w:rFonts w:ascii="Cambria" w:hAnsi="Cambria"/>
          <w:sz w:val="20"/>
          <w:szCs w:val="20"/>
          <w:lang w:val="es-CO"/>
        </w:rPr>
        <w:t xml:space="preserve"> </w:t>
      </w:r>
      <w:r w:rsidRPr="00DC278B">
        <w:rPr>
          <w:rFonts w:ascii="Cambria" w:hAnsi="Cambria"/>
          <w:sz w:val="20"/>
          <w:szCs w:val="20"/>
          <w:lang w:val="es-CO"/>
        </w:rPr>
        <w:t xml:space="preserve">Grupo de sobre las Desapariciones Forzadas o Involuntarias, ya desde 1989, en sus </w:t>
      </w:r>
      <w:r w:rsidRPr="00DC278B">
        <w:rPr>
          <w:rFonts w:ascii="Cambria" w:eastAsia="Calibri" w:hAnsi="Cambria" w:cs="Verdana"/>
          <w:bCs/>
          <w:sz w:val="20"/>
          <w:szCs w:val="20"/>
          <w:lang w:val="es-MX" w:eastAsia="es-MX"/>
        </w:rPr>
        <w:t>Observaciones</w:t>
      </w:r>
      <w:r w:rsidRPr="00DC278B">
        <w:rPr>
          <w:rFonts w:ascii="Cambria" w:hAnsi="Cambria"/>
          <w:sz w:val="20"/>
          <w:szCs w:val="20"/>
          <w:lang w:val="es-CO"/>
        </w:rPr>
        <w:t xml:space="preserve"> Generales </w:t>
      </w:r>
      <w:r w:rsidR="00F10827" w:rsidRPr="00DC278B">
        <w:rPr>
          <w:rFonts w:ascii="Cambria" w:hAnsi="Cambria"/>
          <w:sz w:val="20"/>
          <w:szCs w:val="20"/>
          <w:lang w:val="es-CO"/>
        </w:rPr>
        <w:t>respecto d</w:t>
      </w:r>
      <w:r w:rsidRPr="00DC278B">
        <w:rPr>
          <w:rFonts w:ascii="Cambria" w:hAnsi="Cambria"/>
          <w:sz w:val="20"/>
          <w:szCs w:val="20"/>
          <w:lang w:val="es-CO"/>
        </w:rPr>
        <w:t>el artículo 19 de la Declaración sobre la Protección de Todas las Personas contra las Desapariciones Forzadas señaló que las “acciones civiles de indemnización no […] estarán sujetas a la prescripción”</w:t>
      </w:r>
      <w:r w:rsidRPr="00DC278B">
        <w:rPr>
          <w:rStyle w:val="Refdenotaalpie"/>
          <w:rFonts w:ascii="Cambria" w:hAnsi="Cambria"/>
          <w:sz w:val="20"/>
          <w:szCs w:val="20"/>
          <w:lang w:val="es-CO"/>
        </w:rPr>
        <w:footnoteReference w:id="151"/>
      </w:r>
      <w:r w:rsidR="00DA6760" w:rsidRPr="00DC278B">
        <w:rPr>
          <w:rFonts w:ascii="Cambria" w:hAnsi="Cambria"/>
          <w:sz w:val="20"/>
          <w:szCs w:val="20"/>
          <w:lang w:val="es-CO"/>
        </w:rPr>
        <w:t>.</w:t>
      </w:r>
      <w:r w:rsidRPr="00DC278B">
        <w:rPr>
          <w:rFonts w:ascii="Cambria" w:hAnsi="Cambria"/>
          <w:sz w:val="20"/>
          <w:szCs w:val="20"/>
          <w:lang w:val="es-CO"/>
        </w:rPr>
        <w:t xml:space="preserve"> </w:t>
      </w:r>
    </w:p>
    <w:p w:rsidR="00DA6760" w:rsidRPr="00DC278B" w:rsidRDefault="00DA6760" w:rsidP="00DC278B">
      <w:pPr>
        <w:pStyle w:val="MediumGrid1-Accent21"/>
        <w:autoSpaceDE w:val="0"/>
        <w:autoSpaceDN w:val="0"/>
        <w:adjustRightInd w:val="0"/>
        <w:ind w:left="0"/>
        <w:jc w:val="both"/>
        <w:rPr>
          <w:color w:val="auto"/>
          <w:sz w:val="20"/>
          <w:szCs w:val="20"/>
          <w:lang w:val="es-CO"/>
        </w:rPr>
      </w:pPr>
    </w:p>
    <w:p w:rsidR="00CF61A2" w:rsidRPr="00DC278B" w:rsidRDefault="00CF61A2"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CO"/>
        </w:rPr>
      </w:pPr>
      <w:r w:rsidRPr="00DC278B">
        <w:rPr>
          <w:rFonts w:ascii="Cambria" w:hAnsi="Cambria"/>
          <w:sz w:val="20"/>
          <w:szCs w:val="20"/>
          <w:lang w:val="es-CO"/>
        </w:rPr>
        <w:t xml:space="preserve">Siguiendo esta </w:t>
      </w:r>
      <w:r w:rsidR="00DA6760" w:rsidRPr="00DC278B">
        <w:rPr>
          <w:rFonts w:ascii="Cambria" w:hAnsi="Cambria"/>
          <w:sz w:val="20"/>
          <w:szCs w:val="20"/>
          <w:lang w:val="es-CO"/>
        </w:rPr>
        <w:t xml:space="preserve">línea y sin limitarlo a casos de desaparición forzada, </w:t>
      </w:r>
      <w:r w:rsidRPr="00DC278B">
        <w:rPr>
          <w:rFonts w:ascii="Cambria" w:hAnsi="Cambria"/>
          <w:sz w:val="20"/>
          <w:szCs w:val="20"/>
          <w:lang w:val="es-CO"/>
        </w:rPr>
        <w:t>el</w:t>
      </w:r>
      <w:r w:rsidR="00870199" w:rsidRPr="00DC278B">
        <w:rPr>
          <w:rFonts w:ascii="Cambria" w:hAnsi="Cambria"/>
          <w:sz w:val="20"/>
          <w:szCs w:val="20"/>
          <w:lang w:val="es-CO"/>
        </w:rPr>
        <w:t xml:space="preserve"> entonces</w:t>
      </w:r>
      <w:r w:rsidRPr="00DC278B">
        <w:rPr>
          <w:rFonts w:ascii="Cambria" w:hAnsi="Cambria"/>
          <w:sz w:val="20"/>
          <w:szCs w:val="20"/>
          <w:lang w:val="es-CO"/>
        </w:rPr>
        <w:t xml:space="preserve"> Relator sobre el Derecho a la Restitución, </w:t>
      </w:r>
      <w:r w:rsidRPr="00DC278B">
        <w:rPr>
          <w:rFonts w:ascii="Cambria" w:eastAsia="Calibri" w:hAnsi="Cambria" w:cs="Verdana"/>
          <w:bCs/>
          <w:sz w:val="20"/>
          <w:szCs w:val="20"/>
          <w:lang w:val="es-MX" w:eastAsia="es-MX"/>
        </w:rPr>
        <w:t>Indemnización</w:t>
      </w:r>
      <w:r w:rsidRPr="00DC278B">
        <w:rPr>
          <w:rFonts w:ascii="Cambria" w:hAnsi="Cambria"/>
          <w:sz w:val="20"/>
          <w:szCs w:val="20"/>
          <w:lang w:val="es-CO"/>
        </w:rPr>
        <w:t xml:space="preserve"> y Rehabilitación por Graves Violaciones a los Derechos Humanos, </w:t>
      </w:r>
      <w:proofErr w:type="spellStart"/>
      <w:r w:rsidRPr="00DC278B">
        <w:rPr>
          <w:rFonts w:ascii="Cambria" w:hAnsi="Cambria"/>
          <w:sz w:val="20"/>
          <w:szCs w:val="20"/>
          <w:lang w:val="es-CO"/>
        </w:rPr>
        <w:t>Theo</w:t>
      </w:r>
      <w:proofErr w:type="spellEnd"/>
      <w:r w:rsidRPr="00DC278B">
        <w:rPr>
          <w:rFonts w:ascii="Cambria" w:hAnsi="Cambria"/>
          <w:sz w:val="20"/>
          <w:szCs w:val="20"/>
          <w:lang w:val="es-CO"/>
        </w:rPr>
        <w:t xml:space="preserve"> Van </w:t>
      </w:r>
      <w:proofErr w:type="spellStart"/>
      <w:r w:rsidRPr="00DC278B">
        <w:rPr>
          <w:rFonts w:ascii="Cambria" w:hAnsi="Cambria"/>
          <w:sz w:val="20"/>
          <w:szCs w:val="20"/>
          <w:lang w:val="es-CO"/>
        </w:rPr>
        <w:t>Boven</w:t>
      </w:r>
      <w:proofErr w:type="spellEnd"/>
      <w:r w:rsidRPr="00DC278B">
        <w:rPr>
          <w:rFonts w:ascii="Cambria" w:hAnsi="Cambria"/>
          <w:sz w:val="20"/>
          <w:szCs w:val="20"/>
          <w:lang w:val="es-CO"/>
        </w:rPr>
        <w:t>, en 1993 señaló que</w:t>
      </w:r>
      <w:r w:rsidR="00DA6760" w:rsidRPr="00DC278B">
        <w:rPr>
          <w:rFonts w:ascii="Cambria" w:hAnsi="Cambria"/>
          <w:sz w:val="20"/>
          <w:szCs w:val="20"/>
          <w:lang w:val="es-CO"/>
        </w:rPr>
        <w:t>:</w:t>
      </w:r>
    </w:p>
    <w:p w:rsidR="00CF61A2" w:rsidRPr="00DC278B" w:rsidRDefault="00CF61A2" w:rsidP="00DC278B">
      <w:pPr>
        <w:pStyle w:val="MediumGrid1-Accent21"/>
        <w:autoSpaceDE w:val="0"/>
        <w:autoSpaceDN w:val="0"/>
        <w:adjustRightInd w:val="0"/>
        <w:jc w:val="both"/>
        <w:rPr>
          <w:color w:val="auto"/>
          <w:sz w:val="20"/>
          <w:szCs w:val="20"/>
          <w:lang w:val="es-CO"/>
        </w:rPr>
      </w:pPr>
    </w:p>
    <w:p w:rsidR="00CF61A2" w:rsidRPr="00DC278B" w:rsidRDefault="000418E7" w:rsidP="00DC278B">
      <w:pPr>
        <w:pStyle w:val="MediumGrid1-Accent21"/>
        <w:autoSpaceDE w:val="0"/>
        <w:autoSpaceDN w:val="0"/>
        <w:adjustRightInd w:val="0"/>
        <w:ind w:right="720"/>
        <w:jc w:val="both"/>
        <w:rPr>
          <w:color w:val="auto"/>
          <w:sz w:val="20"/>
          <w:szCs w:val="20"/>
          <w:lang w:val="es-CO"/>
        </w:rPr>
      </w:pPr>
      <w:r w:rsidRPr="00DC278B">
        <w:rPr>
          <w:color w:val="auto"/>
          <w:sz w:val="20"/>
          <w:szCs w:val="20"/>
          <w:lang w:val="es-CO"/>
        </w:rPr>
        <w:t xml:space="preserve">(…) </w:t>
      </w:r>
      <w:r w:rsidR="00CF61A2" w:rsidRPr="00DC278B">
        <w:rPr>
          <w:color w:val="auto"/>
          <w:sz w:val="20"/>
          <w:szCs w:val="20"/>
          <w:lang w:val="es-CO"/>
        </w:rPr>
        <w:t>la aplicación de prescripciones priva con frecuencia a las víctimas de violaciones flagrantes de los derechos humanos de las repa</w:t>
      </w:r>
      <w:r w:rsidR="00636B12">
        <w:rPr>
          <w:color w:val="auto"/>
          <w:sz w:val="20"/>
          <w:szCs w:val="20"/>
          <w:lang w:val="es-CO"/>
        </w:rPr>
        <w:t xml:space="preserve">raciones a que tienen derecho. </w:t>
      </w:r>
      <w:r w:rsidR="00CF61A2" w:rsidRPr="00DC278B">
        <w:rPr>
          <w:color w:val="auto"/>
          <w:sz w:val="20"/>
          <w:szCs w:val="20"/>
          <w:lang w:val="es-CO"/>
        </w:rPr>
        <w:t>Debe prevalecer el principio de que no estarán sujetas a prescripción las reclamaciones de reparación por violaciones flagrantes de los derechos hu</w:t>
      </w:r>
      <w:r w:rsidR="002D2BDD">
        <w:rPr>
          <w:color w:val="auto"/>
          <w:sz w:val="20"/>
          <w:szCs w:val="20"/>
          <w:lang w:val="es-CO"/>
        </w:rPr>
        <w:t>manos.</w:t>
      </w:r>
      <w:r w:rsidR="00CF61A2" w:rsidRPr="00DC278B">
        <w:rPr>
          <w:color w:val="auto"/>
          <w:sz w:val="20"/>
          <w:szCs w:val="20"/>
          <w:lang w:val="es-CO"/>
        </w:rPr>
        <w:t xml:space="preserve"> En este sentido, hay que tener en cuenta que las consecuencias de las violaciones flagrantes de los derechos humanos son el resultado de los crímenes más odiosos que, según opiniones jurídicas muy acreditadas, no deben</w:t>
      </w:r>
      <w:r w:rsidR="00636B12">
        <w:rPr>
          <w:color w:val="auto"/>
          <w:sz w:val="20"/>
          <w:szCs w:val="20"/>
          <w:lang w:val="es-CO"/>
        </w:rPr>
        <w:t xml:space="preserve"> estar sujetos a prescripción. </w:t>
      </w:r>
      <w:r w:rsidR="00CF61A2" w:rsidRPr="00DC278B">
        <w:rPr>
          <w:color w:val="auto"/>
          <w:sz w:val="20"/>
          <w:szCs w:val="20"/>
          <w:lang w:val="es-CO"/>
        </w:rPr>
        <w:t xml:space="preserve">Además, está suficientemente probado que, para la mayoría de las víctimas de violaciones flagrantes de los derechos humanos, el paso del tiempo no ha borrado las huellas, sino todo lo contrario, pues ha provocado un </w:t>
      </w:r>
      <w:r w:rsidR="00CF61A2" w:rsidRPr="00DC278B">
        <w:rPr>
          <w:color w:val="auto"/>
          <w:sz w:val="20"/>
          <w:szCs w:val="20"/>
          <w:lang w:val="es-CO"/>
        </w:rPr>
        <w:lastRenderedPageBreak/>
        <w:t>aumento del estrés postraumático que ha requerido todo tipo de ayuda y asistencia material, médica, psicológica y social durante mucho tiempo</w:t>
      </w:r>
      <w:r w:rsidR="00CF61A2" w:rsidRPr="00DC278B">
        <w:rPr>
          <w:rStyle w:val="Refdenotaalpie"/>
          <w:rFonts w:ascii="Cambria" w:hAnsi="Cambria"/>
          <w:color w:val="auto"/>
          <w:sz w:val="20"/>
          <w:szCs w:val="20"/>
          <w:lang w:val="es-CO"/>
        </w:rPr>
        <w:footnoteReference w:id="152"/>
      </w:r>
      <w:r w:rsidR="00CF61A2" w:rsidRPr="00DC278B">
        <w:rPr>
          <w:color w:val="auto"/>
          <w:sz w:val="20"/>
          <w:szCs w:val="20"/>
          <w:lang w:val="es-CO"/>
        </w:rPr>
        <w:t>.</w:t>
      </w:r>
    </w:p>
    <w:p w:rsidR="00CF61A2" w:rsidRPr="00DC278B" w:rsidRDefault="00CF61A2" w:rsidP="00DC278B">
      <w:pPr>
        <w:pStyle w:val="MediumGrid1-Accent21"/>
        <w:autoSpaceDE w:val="0"/>
        <w:autoSpaceDN w:val="0"/>
        <w:adjustRightInd w:val="0"/>
        <w:jc w:val="both"/>
        <w:rPr>
          <w:rFonts w:eastAsia="Times New Roman"/>
          <w:color w:val="auto"/>
          <w:sz w:val="20"/>
          <w:szCs w:val="20"/>
          <w:bdr w:val="none" w:sz="0" w:space="0" w:color="auto"/>
          <w:lang w:val="es-CO"/>
        </w:rPr>
      </w:pPr>
    </w:p>
    <w:p w:rsidR="00FB0C38" w:rsidRPr="00DC278B" w:rsidRDefault="00DA6760"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CO"/>
        </w:rPr>
      </w:pPr>
      <w:r w:rsidRPr="00DC278B">
        <w:rPr>
          <w:rFonts w:ascii="Cambria" w:eastAsia="Times New Roman" w:hAnsi="Cambria"/>
          <w:sz w:val="20"/>
          <w:szCs w:val="20"/>
          <w:bdr w:val="none" w:sz="0" w:space="0" w:color="auto"/>
          <w:lang w:val="es-CO"/>
        </w:rPr>
        <w:t xml:space="preserve">Posteriormente, </w:t>
      </w:r>
      <w:r w:rsidR="000418E7" w:rsidRPr="00DC278B">
        <w:rPr>
          <w:rFonts w:ascii="Cambria" w:eastAsia="Times New Roman" w:hAnsi="Cambria"/>
          <w:sz w:val="20"/>
          <w:szCs w:val="20"/>
          <w:bdr w:val="none" w:sz="0" w:space="0" w:color="auto"/>
          <w:lang w:val="es-CO"/>
        </w:rPr>
        <w:t xml:space="preserve">el </w:t>
      </w:r>
      <w:r w:rsidR="00216DB0" w:rsidRPr="00DC278B">
        <w:rPr>
          <w:rFonts w:ascii="Cambria" w:hAnsi="Cambria"/>
          <w:sz w:val="20"/>
          <w:szCs w:val="20"/>
          <w:lang w:val="es-CO"/>
        </w:rPr>
        <w:t xml:space="preserve">Conjunto </w:t>
      </w:r>
      <w:r w:rsidR="0065564D" w:rsidRPr="00DC278B">
        <w:rPr>
          <w:rFonts w:ascii="Cambria" w:hAnsi="Cambria"/>
          <w:sz w:val="20"/>
          <w:szCs w:val="20"/>
          <w:lang w:val="es-CO"/>
        </w:rPr>
        <w:t xml:space="preserve">Actualizado </w:t>
      </w:r>
      <w:r w:rsidR="00216DB0" w:rsidRPr="00DC278B">
        <w:rPr>
          <w:rFonts w:ascii="Cambria" w:hAnsi="Cambria"/>
          <w:sz w:val="20"/>
          <w:szCs w:val="20"/>
          <w:lang w:val="es-CO"/>
        </w:rPr>
        <w:t>de Principios para la Protección y la P</w:t>
      </w:r>
      <w:r w:rsidR="000418E7" w:rsidRPr="00DC278B">
        <w:rPr>
          <w:rFonts w:ascii="Cambria" w:hAnsi="Cambria"/>
          <w:sz w:val="20"/>
          <w:szCs w:val="20"/>
          <w:lang w:val="es-CO"/>
        </w:rPr>
        <w:t xml:space="preserve">romoción de los </w:t>
      </w:r>
      <w:r w:rsidR="00216DB0" w:rsidRPr="00DC278B">
        <w:rPr>
          <w:rFonts w:ascii="Cambria" w:hAnsi="Cambria"/>
          <w:sz w:val="20"/>
          <w:szCs w:val="20"/>
          <w:lang w:val="es-CO"/>
        </w:rPr>
        <w:t>D</w:t>
      </w:r>
      <w:r w:rsidR="000418E7" w:rsidRPr="00DC278B">
        <w:rPr>
          <w:rFonts w:ascii="Cambria" w:hAnsi="Cambria"/>
          <w:sz w:val="20"/>
          <w:szCs w:val="20"/>
          <w:lang w:val="es-CO"/>
        </w:rPr>
        <w:t xml:space="preserve">erechos </w:t>
      </w:r>
      <w:r w:rsidR="00216DB0" w:rsidRPr="00DC278B">
        <w:rPr>
          <w:rFonts w:ascii="Cambria" w:hAnsi="Cambria"/>
          <w:sz w:val="20"/>
          <w:szCs w:val="20"/>
          <w:lang w:val="es-CO"/>
        </w:rPr>
        <w:t>H</w:t>
      </w:r>
      <w:r w:rsidR="000418E7" w:rsidRPr="00DC278B">
        <w:rPr>
          <w:rFonts w:ascii="Cambria" w:hAnsi="Cambria"/>
          <w:sz w:val="20"/>
          <w:szCs w:val="20"/>
          <w:lang w:val="es-CO"/>
        </w:rPr>
        <w:t xml:space="preserve">umanos mediante la </w:t>
      </w:r>
      <w:r w:rsidR="00216DB0" w:rsidRPr="00DC278B">
        <w:rPr>
          <w:rFonts w:ascii="Cambria" w:hAnsi="Cambria"/>
          <w:sz w:val="20"/>
          <w:szCs w:val="20"/>
          <w:lang w:val="es-CO"/>
        </w:rPr>
        <w:t>L</w:t>
      </w:r>
      <w:r w:rsidR="000418E7" w:rsidRPr="00DC278B">
        <w:rPr>
          <w:rFonts w:ascii="Cambria" w:hAnsi="Cambria"/>
          <w:sz w:val="20"/>
          <w:szCs w:val="20"/>
          <w:lang w:val="es-CO"/>
        </w:rPr>
        <w:t xml:space="preserve">ucha contra la </w:t>
      </w:r>
      <w:r w:rsidR="00216DB0" w:rsidRPr="00DC278B">
        <w:rPr>
          <w:rFonts w:ascii="Cambria" w:hAnsi="Cambria"/>
          <w:sz w:val="20"/>
          <w:szCs w:val="20"/>
          <w:lang w:val="es-CO"/>
        </w:rPr>
        <w:t>I</w:t>
      </w:r>
      <w:r w:rsidR="000418E7" w:rsidRPr="00DC278B">
        <w:rPr>
          <w:rFonts w:ascii="Cambria" w:hAnsi="Cambria"/>
          <w:sz w:val="20"/>
          <w:szCs w:val="20"/>
          <w:lang w:val="es-CO"/>
        </w:rPr>
        <w:t>mpunidad</w:t>
      </w:r>
      <w:r w:rsidR="000418E7" w:rsidRPr="00DC278B">
        <w:rPr>
          <w:rFonts w:ascii="Cambria" w:eastAsia="Times New Roman" w:hAnsi="Cambria"/>
          <w:sz w:val="20"/>
          <w:szCs w:val="20"/>
          <w:bdr w:val="none" w:sz="0" w:space="0" w:color="auto"/>
          <w:lang w:val="es-CO"/>
        </w:rPr>
        <w:t xml:space="preserve"> </w:t>
      </w:r>
      <w:r w:rsidR="000418E7" w:rsidRPr="00DC278B">
        <w:rPr>
          <w:rFonts w:ascii="Cambria" w:hAnsi="Cambria"/>
          <w:sz w:val="20"/>
          <w:szCs w:val="20"/>
          <w:lang w:val="es-CO"/>
        </w:rPr>
        <w:t>adoptados</w:t>
      </w:r>
      <w:r w:rsidR="00523FBE" w:rsidRPr="00DC278B">
        <w:rPr>
          <w:rFonts w:ascii="Cambria" w:hAnsi="Cambria"/>
          <w:sz w:val="20"/>
          <w:szCs w:val="20"/>
          <w:lang w:val="es-CO"/>
        </w:rPr>
        <w:t xml:space="preserve"> en 2005</w:t>
      </w:r>
      <w:r w:rsidR="000418E7" w:rsidRPr="00DC278B">
        <w:rPr>
          <w:rFonts w:ascii="Cambria" w:hAnsi="Cambria"/>
          <w:sz w:val="20"/>
          <w:szCs w:val="20"/>
          <w:lang w:val="es-CO"/>
        </w:rPr>
        <w:t xml:space="preserve"> por la Comisión de Derechos Humanos de la Organización de las Naciones Unidas</w:t>
      </w:r>
      <w:r w:rsidR="00FB0C38" w:rsidRPr="00DC278B">
        <w:rPr>
          <w:rFonts w:ascii="Cambria" w:hAnsi="Cambria"/>
          <w:sz w:val="20"/>
          <w:szCs w:val="20"/>
          <w:lang w:val="es-CO"/>
        </w:rPr>
        <w:t xml:space="preserve">, incluyó </w:t>
      </w:r>
      <w:r w:rsidR="00216DB0" w:rsidRPr="00DC278B">
        <w:rPr>
          <w:rFonts w:ascii="Cambria" w:hAnsi="Cambria"/>
          <w:sz w:val="20"/>
          <w:szCs w:val="20"/>
          <w:lang w:val="es-CO"/>
        </w:rPr>
        <w:t xml:space="preserve">en sus principios 23 y 32 </w:t>
      </w:r>
      <w:r w:rsidR="00973852" w:rsidRPr="00DC278B">
        <w:rPr>
          <w:rFonts w:ascii="Cambria" w:hAnsi="Cambria"/>
          <w:sz w:val="20"/>
          <w:szCs w:val="20"/>
          <w:lang w:val="es-CO"/>
        </w:rPr>
        <w:t>lo siguiente respecto del vínculo entre reclamos de medidas de reparación y la prescripción de acciones civiles en lo atinente a graves violaciones de derechos humanos:</w:t>
      </w:r>
    </w:p>
    <w:p w:rsidR="00FB0C38" w:rsidRPr="00DC278B" w:rsidRDefault="00FB0C38" w:rsidP="00DC278B">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sz w:val="20"/>
          <w:szCs w:val="20"/>
          <w:bdr w:val="none" w:sz="0" w:space="0" w:color="auto"/>
          <w:lang w:val="es-CO"/>
        </w:rPr>
      </w:pPr>
    </w:p>
    <w:p w:rsidR="00C02BF2" w:rsidRPr="00DC278B" w:rsidRDefault="00044159" w:rsidP="00DC278B">
      <w:pPr>
        <w:pBdr>
          <w:top w:val="none" w:sz="0" w:space="0" w:color="auto"/>
          <w:left w:val="none" w:sz="0" w:space="0" w:color="auto"/>
          <w:bottom w:val="none" w:sz="0" w:space="0" w:color="auto"/>
          <w:right w:val="none" w:sz="0" w:space="0" w:color="auto"/>
          <w:between w:val="none" w:sz="0" w:space="0" w:color="auto"/>
          <w:bar w:val="none" w:sz="0" w:color="auto"/>
        </w:pBdr>
        <w:ind w:left="720" w:right="720"/>
        <w:rPr>
          <w:rFonts w:ascii="Cambria" w:eastAsia="Times New Roman" w:hAnsi="Cambria" w:cs="Arial"/>
          <w:sz w:val="20"/>
          <w:szCs w:val="20"/>
          <w:bdr w:val="none" w:sz="0" w:space="0" w:color="auto"/>
          <w:lang w:val="es-CO"/>
        </w:rPr>
      </w:pPr>
      <w:r w:rsidRPr="00DC278B">
        <w:rPr>
          <w:rFonts w:ascii="Cambria" w:eastAsia="Times New Roman" w:hAnsi="Cambria" w:cs="Arial"/>
          <w:bCs/>
          <w:sz w:val="20"/>
          <w:szCs w:val="20"/>
          <w:bdr w:val="none" w:sz="0" w:space="0" w:color="auto"/>
          <w:lang w:val="es-CO"/>
        </w:rPr>
        <w:t xml:space="preserve">Principio </w:t>
      </w:r>
      <w:r w:rsidR="00C02BF2" w:rsidRPr="00DC278B">
        <w:rPr>
          <w:rFonts w:ascii="Cambria" w:eastAsia="Times New Roman" w:hAnsi="Cambria" w:cs="Arial"/>
          <w:bCs/>
          <w:sz w:val="20"/>
          <w:szCs w:val="20"/>
          <w:bdr w:val="none" w:sz="0" w:space="0" w:color="auto"/>
          <w:lang w:val="es-CO"/>
        </w:rPr>
        <w:t xml:space="preserve">23. </w:t>
      </w:r>
      <w:r w:rsidRPr="00DC278B">
        <w:rPr>
          <w:rFonts w:ascii="Cambria" w:eastAsia="Times New Roman" w:hAnsi="Cambria" w:cs="Arial"/>
          <w:bCs/>
          <w:sz w:val="20"/>
          <w:szCs w:val="20"/>
          <w:bdr w:val="none" w:sz="0" w:space="0" w:color="auto"/>
          <w:lang w:val="es-CO"/>
        </w:rPr>
        <w:t>Restricciones a la prescripción</w:t>
      </w:r>
      <w:r w:rsidR="00C02BF2" w:rsidRPr="00DC278B">
        <w:rPr>
          <w:rFonts w:ascii="Cambria" w:eastAsia="Times New Roman" w:hAnsi="Cambria" w:cs="Arial"/>
          <w:bCs/>
          <w:sz w:val="20"/>
          <w:szCs w:val="20"/>
          <w:bdr w:val="none" w:sz="0" w:space="0" w:color="auto"/>
          <w:lang w:val="es-CO"/>
        </w:rPr>
        <w:t xml:space="preserve"> </w:t>
      </w:r>
    </w:p>
    <w:p w:rsidR="00C02BF2" w:rsidRPr="00DC278B" w:rsidRDefault="00C02BF2" w:rsidP="00DC278B">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Cambria" w:eastAsia="Times New Roman" w:hAnsi="Cambria" w:cs="Arial"/>
          <w:sz w:val="20"/>
          <w:szCs w:val="20"/>
          <w:bdr w:val="none" w:sz="0" w:space="0" w:color="auto"/>
          <w:lang w:val="es-CO"/>
        </w:rPr>
      </w:pPr>
      <w:r w:rsidRPr="00DC278B">
        <w:rPr>
          <w:rFonts w:ascii="Cambria" w:eastAsia="Times New Roman" w:hAnsi="Cambria" w:cs="Arial"/>
          <w:sz w:val="20"/>
          <w:szCs w:val="20"/>
          <w:bdr w:val="none" w:sz="0" w:space="0" w:color="auto"/>
          <w:lang w:val="es-CO"/>
        </w:rPr>
        <w:t xml:space="preserve">La prescripción de una infracción penal, tanto en lo que respecta a las diligencias como a las penas, no podrá correr durante el período en que no existan recursos eficaces contra esa infracción. La prescripción no se aplicará a los delitos graves conforme el derecho internacional que sean por naturaleza imprescriptibles. Cuando se aplica, la prescripción no podrá invocarse en las acciones civiles o administrativas entabladas por las víctimas para obtener reparación. </w:t>
      </w:r>
    </w:p>
    <w:p w:rsidR="003752E2" w:rsidRPr="00DC278B" w:rsidRDefault="003752E2" w:rsidP="00DC278B">
      <w:pPr>
        <w:pBdr>
          <w:top w:val="none" w:sz="0" w:space="0" w:color="auto"/>
          <w:left w:val="none" w:sz="0" w:space="0" w:color="auto"/>
          <w:bottom w:val="none" w:sz="0" w:space="0" w:color="auto"/>
          <w:right w:val="none" w:sz="0" w:space="0" w:color="auto"/>
          <w:between w:val="none" w:sz="0" w:space="0" w:color="auto"/>
          <w:bar w:val="none" w:sz="0" w:color="auto"/>
        </w:pBdr>
        <w:ind w:left="720" w:right="720"/>
        <w:rPr>
          <w:rFonts w:ascii="Cambria" w:eastAsia="Times New Roman" w:hAnsi="Cambria" w:cs="Arial"/>
          <w:bCs/>
          <w:sz w:val="20"/>
          <w:szCs w:val="20"/>
          <w:bdr w:val="none" w:sz="0" w:space="0" w:color="auto"/>
          <w:lang w:val="es-CO"/>
        </w:rPr>
      </w:pPr>
    </w:p>
    <w:p w:rsidR="003E0169" w:rsidRPr="00DC278B" w:rsidRDefault="00221710" w:rsidP="00DC278B">
      <w:pPr>
        <w:pBdr>
          <w:top w:val="none" w:sz="0" w:space="0" w:color="auto"/>
          <w:left w:val="none" w:sz="0" w:space="0" w:color="auto"/>
          <w:bottom w:val="none" w:sz="0" w:space="0" w:color="auto"/>
          <w:right w:val="none" w:sz="0" w:space="0" w:color="auto"/>
          <w:between w:val="none" w:sz="0" w:space="0" w:color="auto"/>
          <w:bar w:val="none" w:sz="0" w:color="auto"/>
        </w:pBdr>
        <w:ind w:left="720" w:right="720"/>
        <w:rPr>
          <w:rFonts w:ascii="Cambria" w:eastAsia="Times New Roman" w:hAnsi="Cambria" w:cs="Arial"/>
          <w:b/>
          <w:bCs/>
          <w:sz w:val="20"/>
          <w:szCs w:val="20"/>
          <w:bdr w:val="none" w:sz="0" w:space="0" w:color="auto"/>
          <w:lang w:val="es-CO"/>
        </w:rPr>
      </w:pPr>
      <w:r w:rsidRPr="00DC278B">
        <w:rPr>
          <w:rFonts w:ascii="Cambria" w:eastAsia="Times New Roman" w:hAnsi="Cambria" w:cs="Arial"/>
          <w:bCs/>
          <w:sz w:val="20"/>
          <w:szCs w:val="20"/>
          <w:bdr w:val="none" w:sz="0" w:space="0" w:color="auto"/>
          <w:lang w:val="es-CO"/>
        </w:rPr>
        <w:t>Principio 32</w:t>
      </w:r>
      <w:r w:rsidR="003E0169" w:rsidRPr="00DC278B">
        <w:rPr>
          <w:rFonts w:ascii="Cambria" w:eastAsia="Times New Roman" w:hAnsi="Cambria" w:cs="Arial"/>
          <w:bCs/>
          <w:sz w:val="20"/>
          <w:szCs w:val="20"/>
          <w:bdr w:val="none" w:sz="0" w:space="0" w:color="auto"/>
          <w:lang w:val="es-CO"/>
        </w:rPr>
        <w:t>.</w:t>
      </w:r>
      <w:r w:rsidRPr="00DC278B">
        <w:rPr>
          <w:rFonts w:ascii="Cambria" w:eastAsia="Times New Roman" w:hAnsi="Cambria" w:cs="Arial"/>
          <w:bCs/>
          <w:sz w:val="20"/>
          <w:szCs w:val="20"/>
          <w:bdr w:val="none" w:sz="0" w:space="0" w:color="auto"/>
          <w:lang w:val="es-CO"/>
        </w:rPr>
        <w:t xml:space="preserve"> Procedimientos de reparación </w:t>
      </w:r>
    </w:p>
    <w:p w:rsidR="0029596C" w:rsidRPr="00DC278B" w:rsidRDefault="0029596C" w:rsidP="00DC278B">
      <w:pPr>
        <w:pBdr>
          <w:top w:val="none" w:sz="0" w:space="0" w:color="auto"/>
          <w:left w:val="none" w:sz="0" w:space="0" w:color="auto"/>
          <w:bottom w:val="none" w:sz="0" w:space="0" w:color="auto"/>
          <w:right w:val="none" w:sz="0" w:space="0" w:color="auto"/>
          <w:between w:val="none" w:sz="0" w:space="0" w:color="auto"/>
          <w:bar w:val="none" w:sz="0" w:color="auto"/>
        </w:pBdr>
        <w:ind w:left="720" w:right="720"/>
        <w:rPr>
          <w:rFonts w:ascii="Cambria" w:eastAsia="Times New Roman" w:hAnsi="Cambria" w:cs="Arial"/>
          <w:sz w:val="20"/>
          <w:szCs w:val="20"/>
          <w:bdr w:val="none" w:sz="0" w:space="0" w:color="auto"/>
          <w:lang w:val="es-CO"/>
        </w:rPr>
      </w:pPr>
    </w:p>
    <w:p w:rsidR="00CF61A2" w:rsidRPr="00DC278B" w:rsidRDefault="003E0169" w:rsidP="00DC278B">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Cambria" w:eastAsia="Times New Roman" w:hAnsi="Cambria" w:cs="Arial"/>
          <w:sz w:val="20"/>
          <w:szCs w:val="20"/>
          <w:bdr w:val="none" w:sz="0" w:space="0" w:color="auto"/>
          <w:lang w:val="es-CO"/>
        </w:rPr>
      </w:pPr>
      <w:r w:rsidRPr="00DC278B">
        <w:rPr>
          <w:rFonts w:ascii="Cambria" w:eastAsia="Times New Roman" w:hAnsi="Cambria" w:cs="Arial"/>
          <w:sz w:val="20"/>
          <w:szCs w:val="20"/>
          <w:bdr w:val="none" w:sz="0" w:space="0" w:color="auto"/>
          <w:lang w:val="es-CO"/>
        </w:rPr>
        <w:t>Tanto por la vía penal como por la civil, administrativa o disciplinaria, toda víctima debe tener la posibilidad de ejercer un recurso accesible, rápido y eficaz, que incluirá las restricciones que a la pres</w:t>
      </w:r>
      <w:r w:rsidR="0025289F" w:rsidRPr="00DC278B">
        <w:rPr>
          <w:rFonts w:ascii="Cambria" w:eastAsia="Times New Roman" w:hAnsi="Cambria" w:cs="Arial"/>
          <w:sz w:val="20"/>
          <w:szCs w:val="20"/>
          <w:bdr w:val="none" w:sz="0" w:space="0" w:color="auto"/>
          <w:lang w:val="es-CO"/>
        </w:rPr>
        <w:t>cripción impone el principio 23 (…)</w:t>
      </w:r>
      <w:r w:rsidR="0025289F" w:rsidRPr="00DC278B">
        <w:rPr>
          <w:rFonts w:ascii="Cambria" w:eastAsia="Times New Roman" w:hAnsi="Cambria"/>
          <w:bCs/>
          <w:sz w:val="20"/>
          <w:szCs w:val="20"/>
          <w:bdr w:val="none" w:sz="0" w:space="0" w:color="auto"/>
          <w:vertAlign w:val="superscript"/>
          <w:lang w:val="es-CO"/>
        </w:rPr>
        <w:footnoteReference w:id="153"/>
      </w:r>
      <w:r w:rsidR="001A5B85" w:rsidRPr="00DC278B">
        <w:rPr>
          <w:rFonts w:ascii="Cambria" w:eastAsia="Times New Roman" w:hAnsi="Cambria" w:cs="Arial"/>
          <w:sz w:val="20"/>
          <w:szCs w:val="20"/>
          <w:bdr w:val="none" w:sz="0" w:space="0" w:color="auto"/>
          <w:lang w:val="es-CO"/>
        </w:rPr>
        <w:t>.</w:t>
      </w:r>
    </w:p>
    <w:p w:rsidR="00221710" w:rsidRPr="00DC278B" w:rsidRDefault="00221710" w:rsidP="00DC278B">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sz w:val="20"/>
          <w:szCs w:val="20"/>
          <w:bdr w:val="none" w:sz="0" w:space="0" w:color="auto"/>
          <w:lang w:val="es-CO"/>
        </w:rPr>
      </w:pPr>
    </w:p>
    <w:p w:rsidR="00785651" w:rsidRPr="00DC278B" w:rsidRDefault="00D34CF4"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Arial"/>
          <w:sz w:val="20"/>
          <w:szCs w:val="20"/>
          <w:lang w:val="es-CO"/>
        </w:rPr>
      </w:pPr>
      <w:r w:rsidRPr="00DC278B">
        <w:rPr>
          <w:rFonts w:ascii="Cambria" w:hAnsi="Cambria"/>
          <w:sz w:val="20"/>
          <w:szCs w:val="20"/>
          <w:lang w:val="es-CO"/>
        </w:rPr>
        <w:t xml:space="preserve">En 2006 la Asamblea General de Naciones Unidas aprobó </w:t>
      </w:r>
      <w:r w:rsidR="00CF61A2" w:rsidRPr="00DC278B">
        <w:rPr>
          <w:rFonts w:ascii="Cambria" w:eastAsia="Times New Roman" w:hAnsi="Cambria"/>
          <w:sz w:val="20"/>
          <w:szCs w:val="20"/>
          <w:bdr w:val="none" w:sz="0" w:space="0" w:color="auto"/>
          <w:lang w:val="es-CO"/>
        </w:rPr>
        <w:t xml:space="preserve">los Principios y Directrices Básicos sobre el Derecho de las Víctimas de Violaciones Manifiestas de las Normas Internacionales de Derechos Humanos y de Violaciones Graves del </w:t>
      </w:r>
      <w:r w:rsidR="00CF61A2" w:rsidRPr="00DC278B">
        <w:rPr>
          <w:rFonts w:ascii="Cambria" w:eastAsia="Calibri" w:hAnsi="Cambria" w:cs="Verdana"/>
          <w:bCs/>
          <w:sz w:val="20"/>
          <w:szCs w:val="20"/>
          <w:lang w:val="es-MX" w:eastAsia="es-MX"/>
        </w:rPr>
        <w:t>Derecho</w:t>
      </w:r>
      <w:r w:rsidR="00CF61A2" w:rsidRPr="00DC278B">
        <w:rPr>
          <w:rFonts w:ascii="Cambria" w:eastAsia="Times New Roman" w:hAnsi="Cambria"/>
          <w:sz w:val="20"/>
          <w:szCs w:val="20"/>
          <w:bdr w:val="none" w:sz="0" w:space="0" w:color="auto"/>
          <w:lang w:val="es-CO"/>
        </w:rPr>
        <w:t xml:space="preserve"> Internacional Humanitario a Interponer Recursos y Obtener Reparaciones</w:t>
      </w:r>
      <w:r w:rsidR="002D2BDD">
        <w:rPr>
          <w:rFonts w:ascii="Cambria" w:eastAsia="Times New Roman" w:hAnsi="Cambria"/>
          <w:sz w:val="20"/>
          <w:szCs w:val="20"/>
          <w:bdr w:val="none" w:sz="0" w:space="0" w:color="auto"/>
          <w:lang w:val="es-CO"/>
        </w:rPr>
        <w:t xml:space="preserve">. </w:t>
      </w:r>
      <w:r w:rsidR="00785651" w:rsidRPr="00DC278B">
        <w:rPr>
          <w:rFonts w:ascii="Cambria" w:eastAsia="Times New Roman" w:hAnsi="Cambria"/>
          <w:sz w:val="20"/>
          <w:szCs w:val="20"/>
          <w:bdr w:val="none" w:sz="0" w:space="0" w:color="auto"/>
          <w:lang w:val="es-CO"/>
        </w:rPr>
        <w:t xml:space="preserve">Los principios 6 y 7 </w:t>
      </w:r>
      <w:r w:rsidR="00996BB4" w:rsidRPr="00DC278B">
        <w:rPr>
          <w:rFonts w:ascii="Cambria" w:eastAsia="Times New Roman" w:hAnsi="Cambria"/>
          <w:sz w:val="20"/>
          <w:szCs w:val="20"/>
          <w:bdr w:val="none" w:sz="0" w:space="0" w:color="auto"/>
          <w:lang w:val="es-CO"/>
        </w:rPr>
        <w:t>de dicho instrumento indica</w:t>
      </w:r>
      <w:r w:rsidR="00785651" w:rsidRPr="00DC278B">
        <w:rPr>
          <w:rFonts w:ascii="Cambria" w:eastAsia="Times New Roman" w:hAnsi="Cambria"/>
          <w:sz w:val="20"/>
          <w:szCs w:val="20"/>
          <w:bdr w:val="none" w:sz="0" w:space="0" w:color="auto"/>
          <w:lang w:val="es-CO"/>
        </w:rPr>
        <w:t xml:space="preserve">n que: </w:t>
      </w:r>
    </w:p>
    <w:p w:rsidR="00785651" w:rsidRPr="00DC278B" w:rsidRDefault="00785651" w:rsidP="00DC278B">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cs="Arial"/>
          <w:sz w:val="20"/>
          <w:szCs w:val="20"/>
          <w:lang w:val="es-CO"/>
        </w:rPr>
      </w:pPr>
    </w:p>
    <w:p w:rsidR="00996BB4" w:rsidRPr="00DC278B" w:rsidRDefault="00996BB4" w:rsidP="00DC278B">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Cambria" w:hAnsi="Cambria" w:cs="Arial"/>
          <w:sz w:val="20"/>
          <w:szCs w:val="20"/>
          <w:lang w:val="es-CO"/>
        </w:rPr>
      </w:pPr>
      <w:r w:rsidRPr="00DC278B">
        <w:rPr>
          <w:rFonts w:ascii="Cambria" w:hAnsi="Cambria" w:cs="Arial"/>
          <w:sz w:val="20"/>
          <w:szCs w:val="20"/>
          <w:lang w:val="es-CO"/>
        </w:rPr>
        <w:t xml:space="preserve">6. Cuando así se disponga en un tratado aplicable o forme parte de otras obligaciones jurídicas internacionales, no prescribirán las violaciones manifiestas de las normas internacionales de derechos humanos ni las violaciones graves del derecho internacional humanitario que constituyan crímenes en virtud del derecho internacional. </w:t>
      </w:r>
    </w:p>
    <w:p w:rsidR="00785651" w:rsidRPr="00DC278B" w:rsidRDefault="00785651" w:rsidP="00DC278B">
      <w:pPr>
        <w:pStyle w:val="NormalWeb"/>
        <w:spacing w:before="0" w:beforeAutospacing="0" w:after="0" w:afterAutospacing="0"/>
        <w:ind w:left="720" w:right="720"/>
        <w:jc w:val="both"/>
        <w:rPr>
          <w:rFonts w:ascii="Cambria" w:hAnsi="Cambria" w:cs="Arial"/>
          <w:sz w:val="20"/>
          <w:szCs w:val="20"/>
          <w:lang w:val="es-CO"/>
        </w:rPr>
      </w:pPr>
    </w:p>
    <w:p w:rsidR="00996BB4" w:rsidRPr="00DC278B" w:rsidRDefault="00996BB4" w:rsidP="00DC278B">
      <w:pPr>
        <w:pStyle w:val="NormalWeb"/>
        <w:spacing w:before="0" w:beforeAutospacing="0" w:after="0" w:afterAutospacing="0"/>
        <w:ind w:left="720" w:right="720"/>
        <w:jc w:val="both"/>
        <w:rPr>
          <w:rFonts w:ascii="Cambria" w:hAnsi="Cambria" w:cs="Arial"/>
          <w:sz w:val="20"/>
          <w:szCs w:val="20"/>
          <w:lang w:val="es-CO"/>
        </w:rPr>
      </w:pPr>
      <w:r w:rsidRPr="00DC278B">
        <w:rPr>
          <w:rFonts w:ascii="Cambria" w:hAnsi="Cambria" w:cs="Arial"/>
          <w:sz w:val="20"/>
          <w:szCs w:val="20"/>
          <w:lang w:val="es-CO"/>
        </w:rPr>
        <w:t>7. Las disposiciones nacionales sobre la prescripción de otros tipos de violaciones que no constituyan crímenes en virtud del derecho internacional, incluida la prescripción de las acciones civiles y otros procedimientos, no deberían ser excesivamente restrictivas</w:t>
      </w:r>
      <w:r w:rsidR="00361765" w:rsidRPr="00DC278B">
        <w:rPr>
          <w:rFonts w:ascii="Cambria" w:hAnsi="Cambria"/>
          <w:sz w:val="20"/>
          <w:szCs w:val="20"/>
          <w:vertAlign w:val="superscript"/>
          <w:lang w:val="es-CO"/>
        </w:rPr>
        <w:footnoteReference w:id="154"/>
      </w:r>
      <w:r w:rsidRPr="00DC278B">
        <w:rPr>
          <w:rFonts w:ascii="Cambria" w:hAnsi="Cambria" w:cs="Arial"/>
          <w:sz w:val="20"/>
          <w:szCs w:val="20"/>
          <w:lang w:val="es-CO"/>
        </w:rPr>
        <w:t xml:space="preserve">. </w:t>
      </w:r>
    </w:p>
    <w:p w:rsidR="00996BB4" w:rsidRPr="00DC278B" w:rsidRDefault="00996BB4" w:rsidP="00DC278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CO"/>
        </w:rPr>
      </w:pPr>
    </w:p>
    <w:p w:rsidR="00EB711E" w:rsidRDefault="004D7EB0" w:rsidP="002D2BDD">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CO"/>
        </w:rPr>
      </w:pPr>
      <w:r w:rsidRPr="00DC278B">
        <w:rPr>
          <w:rFonts w:ascii="Cambria" w:eastAsia="Times New Roman" w:hAnsi="Cambria"/>
          <w:sz w:val="20"/>
          <w:szCs w:val="20"/>
          <w:bdr w:val="none" w:sz="0" w:space="0" w:color="auto"/>
          <w:lang w:val="es-CO"/>
        </w:rPr>
        <w:t xml:space="preserve">La Comisión toma nota también de algunos desarrollos en la materia en el derecho comparado. </w:t>
      </w:r>
    </w:p>
    <w:p w:rsidR="00F979A7" w:rsidRPr="002D2BDD" w:rsidRDefault="00F979A7" w:rsidP="00F979A7">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sz w:val="20"/>
          <w:szCs w:val="20"/>
          <w:bdr w:val="none" w:sz="0" w:space="0" w:color="auto"/>
          <w:lang w:val="es-CO"/>
        </w:rPr>
      </w:pPr>
    </w:p>
    <w:p w:rsidR="00745443" w:rsidRPr="00DC278B" w:rsidRDefault="00EB711E"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CO"/>
        </w:rPr>
      </w:pPr>
      <w:r w:rsidRPr="00DC278B">
        <w:rPr>
          <w:rFonts w:ascii="Cambria" w:eastAsia="Times New Roman" w:hAnsi="Cambria"/>
          <w:sz w:val="20"/>
          <w:szCs w:val="20"/>
          <w:bdr w:val="none" w:sz="0" w:space="0" w:color="auto"/>
          <w:lang w:val="es-CO"/>
        </w:rPr>
        <w:t>Así, en el caso de Colombia, el Consejo de Estado en el marco de acciones de repara</w:t>
      </w:r>
      <w:r w:rsidR="008C2925">
        <w:rPr>
          <w:rFonts w:ascii="Cambria" w:eastAsia="Times New Roman" w:hAnsi="Cambria"/>
          <w:sz w:val="20"/>
          <w:szCs w:val="20"/>
          <w:bdr w:val="none" w:sz="0" w:space="0" w:color="auto"/>
          <w:lang w:val="es-CO"/>
        </w:rPr>
        <w:t xml:space="preserve">ción directa contra el Estado, </w:t>
      </w:r>
      <w:r w:rsidRPr="00DC278B">
        <w:rPr>
          <w:rFonts w:ascii="Cambria" w:eastAsia="Times New Roman" w:hAnsi="Cambria"/>
          <w:sz w:val="20"/>
          <w:szCs w:val="20"/>
          <w:bdr w:val="none" w:sz="0" w:space="0" w:color="auto"/>
          <w:lang w:val="es-CO"/>
        </w:rPr>
        <w:t>ha</w:t>
      </w:r>
      <w:r w:rsidR="00C90F7C" w:rsidRPr="00DC278B">
        <w:rPr>
          <w:rFonts w:ascii="Cambria" w:eastAsia="Times New Roman" w:hAnsi="Cambria"/>
          <w:sz w:val="20"/>
          <w:szCs w:val="20"/>
          <w:bdr w:val="none" w:sz="0" w:space="0" w:color="auto"/>
          <w:lang w:val="es-CO"/>
        </w:rPr>
        <w:t xml:space="preserve"> emitido múltiples sentencias en las cuales ha</w:t>
      </w:r>
      <w:r w:rsidRPr="00DC278B">
        <w:rPr>
          <w:rFonts w:ascii="Cambria" w:eastAsia="Times New Roman" w:hAnsi="Cambria"/>
          <w:sz w:val="20"/>
          <w:szCs w:val="20"/>
          <w:bdr w:val="none" w:sz="0" w:space="0" w:color="auto"/>
          <w:lang w:val="es-CO"/>
        </w:rPr>
        <w:t xml:space="preserve"> inaplicado el plazo de dos años de caducidad de dichas acciones cuando se trata de daños </w:t>
      </w:r>
      <w:r w:rsidR="00B34AEA" w:rsidRPr="00DC278B">
        <w:rPr>
          <w:rFonts w:ascii="Cambria" w:eastAsia="Times New Roman" w:hAnsi="Cambria"/>
          <w:sz w:val="20"/>
          <w:szCs w:val="20"/>
          <w:bdr w:val="none" w:sz="0" w:space="0" w:color="auto"/>
          <w:lang w:val="es-CO"/>
        </w:rPr>
        <w:t xml:space="preserve">ocasionados por la comisión </w:t>
      </w:r>
      <w:r w:rsidR="002D2BDD">
        <w:rPr>
          <w:rFonts w:ascii="Cambria" w:eastAsia="Times New Roman" w:hAnsi="Cambria"/>
          <w:sz w:val="20"/>
          <w:szCs w:val="20"/>
          <w:bdr w:val="none" w:sz="0" w:space="0" w:color="auto"/>
          <w:lang w:val="es-CO"/>
        </w:rPr>
        <w:t>de un crimen de lesa humanidad.</w:t>
      </w:r>
      <w:r w:rsidRPr="00DC278B">
        <w:rPr>
          <w:rFonts w:ascii="Cambria" w:eastAsia="Times New Roman" w:hAnsi="Cambria"/>
          <w:sz w:val="20"/>
          <w:szCs w:val="20"/>
          <w:bdr w:val="none" w:sz="0" w:space="0" w:color="auto"/>
          <w:lang w:val="es-CO"/>
        </w:rPr>
        <w:t xml:space="preserve"> </w:t>
      </w:r>
      <w:r w:rsidR="00745443" w:rsidRPr="00DC278B">
        <w:rPr>
          <w:rFonts w:ascii="Cambria" w:eastAsia="Times New Roman" w:hAnsi="Cambria"/>
          <w:sz w:val="20"/>
          <w:szCs w:val="20"/>
          <w:bdr w:val="none" w:sz="0" w:space="0" w:color="auto"/>
          <w:lang w:val="es-CO"/>
        </w:rPr>
        <w:t xml:space="preserve">Esta conclusión fue el resultado de un ejercicio de ponderación entre la seguridad jurídica que </w:t>
      </w:r>
      <w:r w:rsidR="00745443" w:rsidRPr="00DC278B">
        <w:rPr>
          <w:rFonts w:ascii="Cambria" w:eastAsia="Times New Roman" w:hAnsi="Cambria"/>
          <w:sz w:val="20"/>
          <w:szCs w:val="20"/>
          <w:bdr w:val="none" w:sz="0" w:space="0" w:color="auto"/>
          <w:lang w:val="es-CO"/>
        </w:rPr>
        <w:lastRenderedPageBreak/>
        <w:t xml:space="preserve">buscan proteger los términos de caducidad, </w:t>
      </w:r>
      <w:r w:rsidR="0000786D">
        <w:rPr>
          <w:rFonts w:ascii="Cambria" w:eastAsia="Times New Roman" w:hAnsi="Cambria"/>
          <w:sz w:val="20"/>
          <w:szCs w:val="20"/>
          <w:bdr w:val="none" w:sz="0" w:space="0" w:color="auto"/>
          <w:lang w:val="es-CO"/>
        </w:rPr>
        <w:t xml:space="preserve">y </w:t>
      </w:r>
      <w:r w:rsidR="00745443" w:rsidRPr="00DC278B">
        <w:rPr>
          <w:rFonts w:ascii="Cambria" w:eastAsia="Times New Roman" w:hAnsi="Cambria"/>
          <w:sz w:val="20"/>
          <w:szCs w:val="20"/>
          <w:bdr w:val="none" w:sz="0" w:space="0" w:color="auto"/>
          <w:lang w:val="es-CO"/>
        </w:rPr>
        <w:t>e</w:t>
      </w:r>
      <w:r w:rsidR="0000786D">
        <w:rPr>
          <w:rFonts w:ascii="Cambria" w:eastAsia="Times New Roman" w:hAnsi="Cambria"/>
          <w:sz w:val="20"/>
          <w:szCs w:val="20"/>
          <w:bdr w:val="none" w:sz="0" w:space="0" w:color="auto"/>
          <w:lang w:val="es-CO"/>
        </w:rPr>
        <w:t>l</w:t>
      </w:r>
      <w:r w:rsidR="00745443" w:rsidRPr="00DC278B">
        <w:rPr>
          <w:rFonts w:ascii="Cambria" w:eastAsia="Times New Roman" w:hAnsi="Cambria"/>
          <w:sz w:val="20"/>
          <w:szCs w:val="20"/>
          <w:bdr w:val="none" w:sz="0" w:space="0" w:color="auto"/>
          <w:lang w:val="es-CO"/>
        </w:rPr>
        <w:t xml:space="preserve"> imperativo de brindar reparación </w:t>
      </w:r>
      <w:r w:rsidR="0000786D">
        <w:rPr>
          <w:rFonts w:ascii="Cambria" w:eastAsia="Times New Roman" w:hAnsi="Cambria"/>
          <w:sz w:val="20"/>
          <w:szCs w:val="20"/>
          <w:bdr w:val="none" w:sz="0" w:space="0" w:color="auto"/>
          <w:lang w:val="es-CO"/>
        </w:rPr>
        <w:t>d</w:t>
      </w:r>
      <w:r w:rsidR="00745443" w:rsidRPr="00DC278B">
        <w:rPr>
          <w:rFonts w:ascii="Cambria" w:eastAsia="Times New Roman" w:hAnsi="Cambria"/>
          <w:sz w:val="20"/>
          <w:szCs w:val="20"/>
          <w:bdr w:val="none" w:sz="0" w:space="0" w:color="auto"/>
          <w:lang w:val="es-CO"/>
        </w:rPr>
        <w:t>el daño ocasionado en este tipo de delitos</w:t>
      </w:r>
      <w:r w:rsidR="002B381F" w:rsidRPr="00710C1C">
        <w:rPr>
          <w:rStyle w:val="Refdenotaalpie"/>
          <w:rFonts w:asciiTheme="majorHAnsi" w:eastAsia="Times New Roman" w:hAnsiTheme="majorHAnsi"/>
          <w:sz w:val="20"/>
          <w:szCs w:val="20"/>
          <w:bdr w:val="none" w:sz="0" w:space="0" w:color="auto"/>
          <w:lang w:val="es-CO"/>
        </w:rPr>
        <w:footnoteReference w:id="155"/>
      </w:r>
      <w:r w:rsidR="00745443" w:rsidRPr="00DC278B">
        <w:rPr>
          <w:rFonts w:ascii="Cambria" w:eastAsia="Times New Roman" w:hAnsi="Cambria"/>
          <w:sz w:val="20"/>
          <w:szCs w:val="20"/>
          <w:bdr w:val="none" w:sz="0" w:space="0" w:color="auto"/>
          <w:lang w:val="es-CO"/>
        </w:rPr>
        <w:t xml:space="preserve">. </w:t>
      </w:r>
    </w:p>
    <w:p w:rsidR="00745443" w:rsidRPr="00DC278B" w:rsidRDefault="00745443" w:rsidP="00DC278B">
      <w:pPr>
        <w:pStyle w:val="Prrafodelista"/>
        <w:rPr>
          <w:rFonts w:ascii="Cambria" w:eastAsia="Times New Roman" w:hAnsi="Cambria"/>
          <w:sz w:val="20"/>
          <w:szCs w:val="20"/>
          <w:bdr w:val="none" w:sz="0" w:space="0" w:color="auto"/>
          <w:lang w:val="es-CO"/>
        </w:rPr>
      </w:pPr>
    </w:p>
    <w:p w:rsidR="00EB711E" w:rsidRPr="00DC278B" w:rsidRDefault="00956375"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CO"/>
        </w:rPr>
      </w:pPr>
      <w:r w:rsidRPr="00DC278B">
        <w:rPr>
          <w:rFonts w:ascii="Cambria" w:eastAsia="Times New Roman" w:hAnsi="Cambria"/>
          <w:sz w:val="20"/>
          <w:szCs w:val="20"/>
          <w:bdr w:val="none" w:sz="0" w:space="0" w:color="auto"/>
          <w:lang w:val="es-CO"/>
        </w:rPr>
        <w:t xml:space="preserve">En </w:t>
      </w:r>
      <w:r w:rsidR="00814F29" w:rsidRPr="00DC278B">
        <w:rPr>
          <w:rFonts w:ascii="Cambria" w:eastAsia="Times New Roman" w:hAnsi="Cambria"/>
          <w:sz w:val="20"/>
          <w:szCs w:val="20"/>
          <w:bdr w:val="none" w:sz="0" w:space="0" w:color="auto"/>
          <w:lang w:val="es-CO"/>
        </w:rPr>
        <w:t>palabras del Consejo de Estado</w:t>
      </w:r>
      <w:r w:rsidR="00755F68" w:rsidRPr="00DC278B">
        <w:rPr>
          <w:rFonts w:ascii="Cambria" w:eastAsia="Times New Roman" w:hAnsi="Cambria"/>
          <w:sz w:val="20"/>
          <w:szCs w:val="20"/>
          <w:bdr w:val="none" w:sz="0" w:space="0" w:color="auto"/>
          <w:lang w:val="es-CO"/>
        </w:rPr>
        <w:t xml:space="preserve">: </w:t>
      </w:r>
    </w:p>
    <w:p w:rsidR="00E80CF9" w:rsidRPr="00DC278B" w:rsidRDefault="00E80CF9" w:rsidP="00DC278B">
      <w:pPr>
        <w:pStyle w:val="MediumGrid1-Accent21"/>
        <w:autoSpaceDE w:val="0"/>
        <w:autoSpaceDN w:val="0"/>
        <w:adjustRightInd w:val="0"/>
        <w:ind w:left="0"/>
        <w:jc w:val="both"/>
        <w:rPr>
          <w:rFonts w:eastAsia="Times New Roman"/>
          <w:color w:val="auto"/>
          <w:sz w:val="20"/>
          <w:szCs w:val="20"/>
          <w:bdr w:val="none" w:sz="0" w:space="0" w:color="auto"/>
          <w:lang w:val="es-CO"/>
        </w:rPr>
      </w:pPr>
    </w:p>
    <w:p w:rsidR="007C0286" w:rsidRPr="00DC278B" w:rsidRDefault="007C0286" w:rsidP="00DC278B">
      <w:pPr>
        <w:autoSpaceDE w:val="0"/>
        <w:autoSpaceDN w:val="0"/>
        <w:adjustRightInd w:val="0"/>
        <w:ind w:left="720" w:right="720"/>
        <w:jc w:val="both"/>
        <w:rPr>
          <w:rFonts w:ascii="Cambria" w:hAnsi="Cambria" w:cs="Arial"/>
          <w:sz w:val="20"/>
          <w:szCs w:val="20"/>
          <w:lang w:val="es-CO"/>
        </w:rPr>
      </w:pPr>
      <w:r w:rsidRPr="00DC278B">
        <w:rPr>
          <w:rFonts w:ascii="Cambria" w:hAnsi="Cambria" w:cs="Arial"/>
          <w:sz w:val="20"/>
          <w:szCs w:val="20"/>
          <w:lang w:val="es-CO"/>
        </w:rPr>
        <w:t xml:space="preserve">Desde este punto de vista, la caducidad se institucionaliza como un concepto temporal, perentorio y </w:t>
      </w:r>
      <w:proofErr w:type="spellStart"/>
      <w:r w:rsidRPr="00DC278B">
        <w:rPr>
          <w:rFonts w:ascii="Cambria" w:hAnsi="Cambria" w:cs="Arial"/>
          <w:sz w:val="20"/>
          <w:szCs w:val="20"/>
          <w:lang w:val="es-CO"/>
        </w:rPr>
        <w:t>preclusivo</w:t>
      </w:r>
      <w:proofErr w:type="spellEnd"/>
      <w:r w:rsidRPr="00DC278B">
        <w:rPr>
          <w:rFonts w:ascii="Cambria" w:hAnsi="Cambria" w:cs="Arial"/>
          <w:sz w:val="20"/>
          <w:szCs w:val="20"/>
          <w:lang w:val="es-CO"/>
        </w:rPr>
        <w:t xml:space="preserve"> de orden, estabilidad, interés general y seguridad jurídica para los asociados y la administración desde la perspectiva procesal, generando certidumbre y materializando el ejercicio razonable y proporcional que toda </w:t>
      </w:r>
      <w:r w:rsidRPr="00DC278B">
        <w:rPr>
          <w:rFonts w:ascii="Cambria" w:hAnsi="Cambria" w:cs="Arial"/>
          <w:sz w:val="20"/>
          <w:szCs w:val="20"/>
          <w:lang w:val="es-CO" w:eastAsia="es-CO"/>
        </w:rPr>
        <w:t>persona</w:t>
      </w:r>
      <w:r w:rsidRPr="00DC278B">
        <w:rPr>
          <w:rFonts w:ascii="Cambria" w:hAnsi="Cambria" w:cs="Arial"/>
          <w:sz w:val="20"/>
          <w:szCs w:val="20"/>
          <w:lang w:val="es-CO"/>
        </w:rPr>
        <w:t xml:space="preserve"> tiene para hacer valer sus derechos ante las autoridades judiciales.</w:t>
      </w:r>
    </w:p>
    <w:p w:rsidR="007C0286" w:rsidRPr="00DC278B" w:rsidRDefault="007C0286" w:rsidP="00DC278B">
      <w:pPr>
        <w:ind w:left="720" w:right="720"/>
        <w:jc w:val="both"/>
        <w:rPr>
          <w:rFonts w:ascii="Cambria" w:hAnsi="Cambria" w:cs="Arial"/>
          <w:sz w:val="20"/>
          <w:szCs w:val="20"/>
          <w:lang w:val="es-CO"/>
        </w:rPr>
      </w:pPr>
    </w:p>
    <w:p w:rsidR="007C0286" w:rsidRPr="00DC278B" w:rsidRDefault="007C0286" w:rsidP="00DC278B">
      <w:pPr>
        <w:autoSpaceDE w:val="0"/>
        <w:autoSpaceDN w:val="0"/>
        <w:adjustRightInd w:val="0"/>
        <w:ind w:left="720" w:right="720"/>
        <w:jc w:val="both"/>
        <w:rPr>
          <w:rFonts w:ascii="Cambria" w:hAnsi="Cambria" w:cs="Arial"/>
          <w:sz w:val="20"/>
          <w:szCs w:val="20"/>
          <w:lang w:val="es-CO"/>
        </w:rPr>
      </w:pPr>
      <w:r w:rsidRPr="00DC278B">
        <w:rPr>
          <w:rFonts w:ascii="Cambria" w:hAnsi="Cambria" w:cs="Arial"/>
          <w:sz w:val="20"/>
          <w:szCs w:val="20"/>
          <w:lang w:val="es-CO"/>
        </w:rPr>
        <w:t>(…)</w:t>
      </w:r>
    </w:p>
    <w:p w:rsidR="007C0286" w:rsidRPr="00DC278B" w:rsidRDefault="007C0286" w:rsidP="00DC278B">
      <w:pPr>
        <w:ind w:left="720" w:right="720"/>
        <w:jc w:val="both"/>
        <w:rPr>
          <w:rFonts w:ascii="Cambria" w:hAnsi="Cambria" w:cs="Arial"/>
          <w:sz w:val="20"/>
          <w:szCs w:val="20"/>
          <w:lang w:val="es-CO"/>
        </w:rPr>
      </w:pPr>
      <w:r w:rsidRPr="00DC278B">
        <w:rPr>
          <w:rFonts w:ascii="Cambria" w:hAnsi="Cambria" w:cs="Arial"/>
          <w:sz w:val="20"/>
          <w:szCs w:val="20"/>
          <w:lang w:val="es-CO"/>
        </w:rPr>
        <w:t>Todo lo anterior sin perjuicio de las excepciones que ha elaborado la jurisprudencia de esta Corporación cuando ha advertido que los hechos que sustentan el medio de control de reparación directa admiten su encuadramiento como un acto de lesa humanidad</w:t>
      </w:r>
      <w:r w:rsidR="002430EF" w:rsidRPr="00DC278B">
        <w:rPr>
          <w:rFonts w:ascii="Cambria" w:hAnsi="Cambria" w:cs="Arial"/>
          <w:sz w:val="20"/>
          <w:szCs w:val="20"/>
          <w:lang w:val="es-CO"/>
        </w:rPr>
        <w:t xml:space="preserve"> (…).</w:t>
      </w:r>
    </w:p>
    <w:p w:rsidR="007C0286" w:rsidRPr="00DC278B" w:rsidRDefault="007C0286" w:rsidP="00DC278B">
      <w:pPr>
        <w:ind w:left="720" w:right="720"/>
        <w:jc w:val="both"/>
        <w:rPr>
          <w:rFonts w:ascii="Cambria" w:hAnsi="Cambria" w:cs="Arial"/>
          <w:sz w:val="20"/>
          <w:szCs w:val="20"/>
          <w:lang w:val="es-CO"/>
        </w:rPr>
      </w:pPr>
    </w:p>
    <w:p w:rsidR="007C0286" w:rsidRPr="00DC278B" w:rsidRDefault="007C0286" w:rsidP="00DC278B">
      <w:pPr>
        <w:ind w:left="720" w:right="720"/>
        <w:jc w:val="both"/>
        <w:rPr>
          <w:rFonts w:ascii="Cambria" w:hAnsi="Cambria" w:cs="Arial"/>
          <w:iCs/>
          <w:sz w:val="20"/>
          <w:szCs w:val="20"/>
          <w:shd w:val="clear" w:color="auto" w:fill="FFFFFF"/>
          <w:lang w:val="es-CO"/>
        </w:rPr>
      </w:pPr>
      <w:r w:rsidRPr="00DC278B">
        <w:rPr>
          <w:rFonts w:ascii="Cambria" w:hAnsi="Cambria" w:cs="Arial"/>
          <w:iCs/>
          <w:sz w:val="20"/>
          <w:szCs w:val="20"/>
          <w:shd w:val="clear" w:color="auto" w:fill="FFFFFF"/>
          <w:lang w:val="es-CO"/>
        </w:rPr>
        <w:t xml:space="preserve">Así, se tiene que los de lesa humanidad se comprenden como “aquellos actos ominosos que niegan la existencia y vigencia </w:t>
      </w:r>
      <w:r w:rsidRPr="00DC278B">
        <w:rPr>
          <w:rFonts w:ascii="Cambria" w:hAnsi="Cambria" w:cs="Arial"/>
          <w:sz w:val="20"/>
          <w:szCs w:val="20"/>
          <w:lang w:val="es-CO"/>
        </w:rPr>
        <w:t>imperativa de los Derechos Humanos en la sociedad al atentar contra la dignidad humana por medio de acciones que llevan a la degradación de la condición de las personas, generando así no sólo una afectación a quienes físicamente han padecido tales actos sino que agrediendo a la conciencia de toda la humanidad”</w:t>
      </w:r>
      <w:r w:rsidR="00474206" w:rsidRPr="00DC278B">
        <w:rPr>
          <w:rFonts w:ascii="Cambria" w:hAnsi="Cambria" w:cs="Arial"/>
          <w:sz w:val="20"/>
          <w:szCs w:val="20"/>
          <w:lang w:val="es-CO"/>
        </w:rPr>
        <w:t xml:space="preserve"> (…).</w:t>
      </w:r>
    </w:p>
    <w:p w:rsidR="007C0286" w:rsidRPr="00DC278B" w:rsidRDefault="007C0286" w:rsidP="00DC278B">
      <w:pPr>
        <w:ind w:left="720" w:right="720"/>
        <w:jc w:val="both"/>
        <w:rPr>
          <w:rFonts w:ascii="Cambria" w:hAnsi="Cambria" w:cs="Arial"/>
          <w:iCs/>
          <w:sz w:val="20"/>
          <w:szCs w:val="20"/>
          <w:shd w:val="clear" w:color="auto" w:fill="FFFFFF"/>
          <w:lang w:val="es-CO"/>
        </w:rPr>
      </w:pPr>
    </w:p>
    <w:p w:rsidR="007C0286" w:rsidRPr="00DC278B" w:rsidRDefault="00AD37DF" w:rsidP="00DC278B">
      <w:pPr>
        <w:ind w:left="720" w:right="720"/>
        <w:jc w:val="both"/>
        <w:rPr>
          <w:rFonts w:ascii="Cambria" w:hAnsi="Cambria" w:cs="Arial"/>
          <w:sz w:val="20"/>
          <w:szCs w:val="20"/>
          <w:lang w:val="es-ES"/>
        </w:rPr>
      </w:pPr>
      <w:r w:rsidRPr="00DC278B">
        <w:rPr>
          <w:rFonts w:ascii="Cambria" w:hAnsi="Cambria" w:cs="Arial"/>
          <w:sz w:val="20"/>
          <w:szCs w:val="20"/>
          <w:lang w:val="es-ES"/>
        </w:rPr>
        <w:t>(…)</w:t>
      </w:r>
    </w:p>
    <w:p w:rsidR="00AD37DF" w:rsidRPr="00DC278B" w:rsidRDefault="00AD37DF" w:rsidP="00DC278B">
      <w:pPr>
        <w:ind w:left="720" w:right="720"/>
        <w:jc w:val="both"/>
        <w:rPr>
          <w:rFonts w:ascii="Cambria" w:hAnsi="Cambria" w:cs="Arial"/>
          <w:sz w:val="20"/>
          <w:szCs w:val="20"/>
          <w:lang w:val="es-ES"/>
        </w:rPr>
      </w:pPr>
    </w:p>
    <w:p w:rsidR="007C0286" w:rsidRPr="00DC278B" w:rsidRDefault="007C0286" w:rsidP="00DC278B">
      <w:pPr>
        <w:tabs>
          <w:tab w:val="left" w:pos="-1843"/>
          <w:tab w:val="left" w:pos="-1560"/>
          <w:tab w:val="left" w:pos="284"/>
        </w:tabs>
        <w:ind w:left="720" w:right="720"/>
        <w:jc w:val="both"/>
        <w:rPr>
          <w:rFonts w:ascii="Cambria" w:hAnsi="Cambria" w:cs="Arial"/>
          <w:sz w:val="20"/>
          <w:szCs w:val="20"/>
          <w:lang w:val="es-CO"/>
        </w:rPr>
      </w:pPr>
      <w:r w:rsidRPr="00DC278B">
        <w:rPr>
          <w:rFonts w:ascii="Cambria" w:hAnsi="Cambria" w:cs="Arial"/>
          <w:sz w:val="20"/>
          <w:szCs w:val="20"/>
          <w:lang w:val="es-CO"/>
        </w:rPr>
        <w:t xml:space="preserve">Ahora bien, la importancia del concepto de lesa humanidad para el ámbito de la responsabilidad del Estado consiste en predicar la no aplicación del término de caducidad en aquellos casos en donde se configuren tales elementos, pues, siendo consecuente con la gravedad y magnitud que tienen tales actos denigrantes de la dignidad humana, es que hay lugar a reconocer que el paso del tiempo no genera consecuencias desfavorables para quienes (de manera directa) fueron víctimas de tales conductas y pretenden la declaratoria de responsabilidad extracontractual del Estado por los daños antijurídicos irrogados en su contra; pues resulta claro que allí no solo se discuten intereses meramente particulares o subjetivos sino también generales que implican a toda la comunidad y la humanidad, considerada como un todo. </w:t>
      </w:r>
    </w:p>
    <w:p w:rsidR="007C0286" w:rsidRPr="00DC278B" w:rsidRDefault="007C0286" w:rsidP="00DC278B">
      <w:pPr>
        <w:ind w:left="720" w:right="720"/>
        <w:jc w:val="both"/>
        <w:rPr>
          <w:rFonts w:ascii="Cambria" w:hAnsi="Cambria" w:cs="Arial"/>
          <w:sz w:val="20"/>
          <w:szCs w:val="20"/>
          <w:lang w:val="es-ES"/>
        </w:rPr>
      </w:pPr>
    </w:p>
    <w:p w:rsidR="007C0286" w:rsidRPr="00DC278B" w:rsidRDefault="007C0286" w:rsidP="00DC278B">
      <w:pPr>
        <w:ind w:left="720" w:right="720"/>
        <w:jc w:val="both"/>
        <w:rPr>
          <w:rFonts w:ascii="Cambria" w:hAnsi="Cambria" w:cs="Arial"/>
          <w:sz w:val="20"/>
          <w:szCs w:val="20"/>
          <w:lang w:val="es-CO"/>
        </w:rPr>
      </w:pPr>
      <w:r w:rsidRPr="00DC278B">
        <w:rPr>
          <w:rFonts w:ascii="Cambria" w:hAnsi="Cambria" w:cs="Arial"/>
          <w:sz w:val="20"/>
          <w:szCs w:val="20"/>
          <w:lang w:val="es-CO"/>
        </w:rPr>
        <w:t xml:space="preserve">En consecuencia, entiende el Despacho que en aquellos casos donde se encuentre configurado los elementos del acto de lesa humanidad o que generen posibilidad que así sea tratado, habrá lugar a </w:t>
      </w:r>
      <w:proofErr w:type="spellStart"/>
      <w:r w:rsidRPr="00DC278B">
        <w:rPr>
          <w:rFonts w:ascii="Cambria" w:hAnsi="Cambria" w:cs="Arial"/>
          <w:sz w:val="20"/>
          <w:szCs w:val="20"/>
          <w:lang w:val="es-CO"/>
        </w:rPr>
        <w:t>inaplicar</w:t>
      </w:r>
      <w:proofErr w:type="spellEnd"/>
      <w:r w:rsidRPr="00DC278B">
        <w:rPr>
          <w:rFonts w:ascii="Cambria" w:hAnsi="Cambria" w:cs="Arial"/>
          <w:sz w:val="20"/>
          <w:szCs w:val="20"/>
          <w:lang w:val="es-CO"/>
        </w:rPr>
        <w:t xml:space="preserve"> el término de caducidad del medio de control de reparación directa, conforme a lo expuesto</w:t>
      </w:r>
      <w:r w:rsidR="00D37D8B" w:rsidRPr="00DC278B">
        <w:rPr>
          <w:rStyle w:val="Refdenotaalpie"/>
          <w:rFonts w:ascii="Cambria" w:hAnsi="Cambria" w:cs="Arial"/>
          <w:sz w:val="20"/>
          <w:szCs w:val="20"/>
          <w:lang w:val="es-CO"/>
        </w:rPr>
        <w:footnoteReference w:id="156"/>
      </w:r>
      <w:r w:rsidRPr="00DC278B">
        <w:rPr>
          <w:rFonts w:ascii="Cambria" w:hAnsi="Cambria" w:cs="Arial"/>
          <w:sz w:val="20"/>
          <w:szCs w:val="20"/>
          <w:lang w:val="es-CO"/>
        </w:rPr>
        <w:t>.</w:t>
      </w:r>
    </w:p>
    <w:p w:rsidR="00755F68" w:rsidRPr="00DC278B" w:rsidRDefault="00755F68" w:rsidP="00DC278B">
      <w:pPr>
        <w:pStyle w:val="MediumGrid1-Accent21"/>
        <w:autoSpaceDE w:val="0"/>
        <w:autoSpaceDN w:val="0"/>
        <w:adjustRightInd w:val="0"/>
        <w:ind w:left="0"/>
        <w:jc w:val="both"/>
        <w:rPr>
          <w:rFonts w:eastAsia="Times New Roman"/>
          <w:color w:val="auto"/>
          <w:sz w:val="20"/>
          <w:szCs w:val="20"/>
          <w:bdr w:val="none" w:sz="0" w:space="0" w:color="auto"/>
          <w:lang w:val="es-CO"/>
        </w:rPr>
      </w:pPr>
    </w:p>
    <w:p w:rsidR="007C0286" w:rsidRPr="00DC278B" w:rsidRDefault="007C0286" w:rsidP="00DC278B">
      <w:pPr>
        <w:pStyle w:val="MediumGrid1-Accent21"/>
        <w:autoSpaceDE w:val="0"/>
        <w:autoSpaceDN w:val="0"/>
        <w:adjustRightInd w:val="0"/>
        <w:ind w:left="0" w:firstLine="720"/>
        <w:jc w:val="both"/>
        <w:rPr>
          <w:rFonts w:eastAsia="Times New Roman"/>
          <w:color w:val="auto"/>
          <w:sz w:val="20"/>
          <w:szCs w:val="20"/>
          <w:bdr w:val="none" w:sz="0" w:space="0" w:color="auto"/>
          <w:lang w:val="es-CO"/>
        </w:rPr>
      </w:pPr>
      <w:r w:rsidRPr="00DC278B">
        <w:rPr>
          <w:rFonts w:eastAsia="Times New Roman"/>
          <w:color w:val="auto"/>
          <w:sz w:val="20"/>
          <w:szCs w:val="20"/>
          <w:bdr w:val="none" w:sz="0" w:space="0" w:color="auto"/>
          <w:lang w:val="es-CO"/>
        </w:rPr>
        <w:t>(</w:t>
      </w:r>
      <w:proofErr w:type="gramStart"/>
      <w:r w:rsidRPr="00DC278B">
        <w:rPr>
          <w:rFonts w:eastAsia="Times New Roman"/>
          <w:color w:val="auto"/>
          <w:sz w:val="20"/>
          <w:szCs w:val="20"/>
          <w:bdr w:val="none" w:sz="0" w:space="0" w:color="auto"/>
          <w:lang w:val="es-CO"/>
        </w:rPr>
        <w:t>citas</w:t>
      </w:r>
      <w:proofErr w:type="gramEnd"/>
      <w:r w:rsidRPr="00DC278B">
        <w:rPr>
          <w:rFonts w:eastAsia="Times New Roman"/>
          <w:color w:val="auto"/>
          <w:sz w:val="20"/>
          <w:szCs w:val="20"/>
          <w:bdr w:val="none" w:sz="0" w:space="0" w:color="auto"/>
          <w:lang w:val="es-CO"/>
        </w:rPr>
        <w:t xml:space="preserve"> omitidas)</w:t>
      </w:r>
      <w:r w:rsidR="00E82C83" w:rsidRPr="00DC278B">
        <w:rPr>
          <w:rFonts w:eastAsia="Times New Roman"/>
          <w:color w:val="auto"/>
          <w:sz w:val="20"/>
          <w:szCs w:val="20"/>
          <w:bdr w:val="none" w:sz="0" w:space="0" w:color="auto"/>
          <w:lang w:val="es-CO"/>
        </w:rPr>
        <w:t xml:space="preserve"> </w:t>
      </w:r>
    </w:p>
    <w:p w:rsidR="00E82C83" w:rsidRPr="00DC278B" w:rsidRDefault="00E82C83" w:rsidP="00DC278B">
      <w:pPr>
        <w:pStyle w:val="MediumGrid1-Accent21"/>
        <w:autoSpaceDE w:val="0"/>
        <w:autoSpaceDN w:val="0"/>
        <w:adjustRightInd w:val="0"/>
        <w:ind w:left="0"/>
        <w:jc w:val="both"/>
        <w:rPr>
          <w:rFonts w:eastAsia="Times New Roman"/>
          <w:color w:val="auto"/>
          <w:sz w:val="20"/>
          <w:szCs w:val="20"/>
          <w:bdr w:val="none" w:sz="0" w:space="0" w:color="auto"/>
          <w:lang w:val="es-CO"/>
        </w:rPr>
      </w:pPr>
    </w:p>
    <w:p w:rsidR="005B5041" w:rsidRPr="00DC278B" w:rsidRDefault="004F00C5"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Cambria" w:hAnsi="Cambria" w:cs="Arial"/>
          <w:sz w:val="20"/>
          <w:szCs w:val="20"/>
          <w:lang w:val="es-CO"/>
        </w:rPr>
      </w:pPr>
      <w:r w:rsidRPr="00DC278B">
        <w:rPr>
          <w:rFonts w:ascii="Cambria" w:eastAsia="Times New Roman" w:hAnsi="Cambria"/>
          <w:sz w:val="20"/>
          <w:szCs w:val="20"/>
          <w:bdr w:val="none" w:sz="0" w:space="0" w:color="auto"/>
          <w:lang w:val="es-CO"/>
        </w:rPr>
        <w:lastRenderedPageBreak/>
        <w:t>Por otra parte, en el caso de Argentina, la Comisión observa que el artículo 2561 del Código Civil y Comercial fue modificado para qu</w:t>
      </w:r>
      <w:r w:rsidR="005B5041" w:rsidRPr="00DC278B">
        <w:rPr>
          <w:rFonts w:ascii="Cambria" w:eastAsia="Times New Roman" w:hAnsi="Cambria"/>
          <w:sz w:val="20"/>
          <w:szCs w:val="20"/>
          <w:bdr w:val="none" w:sz="0" w:space="0" w:color="auto"/>
          <w:lang w:val="es-CO"/>
        </w:rPr>
        <w:t>e la norma relativa a prescripción y “plazos especiales” estableciera</w:t>
      </w:r>
      <w:r w:rsidR="008D019B" w:rsidRPr="00DC278B">
        <w:rPr>
          <w:rFonts w:ascii="Cambria" w:eastAsia="Times New Roman" w:hAnsi="Cambria"/>
          <w:sz w:val="20"/>
          <w:szCs w:val="20"/>
          <w:bdr w:val="none" w:sz="0" w:space="0" w:color="auto"/>
          <w:lang w:val="es-CO"/>
        </w:rPr>
        <w:t xml:space="preserve"> que </w:t>
      </w:r>
      <w:r w:rsidR="005B5041" w:rsidRPr="00DC278B">
        <w:rPr>
          <w:rFonts w:ascii="Cambria" w:hAnsi="Cambria" w:cs="Arial"/>
          <w:sz w:val="20"/>
          <w:szCs w:val="20"/>
          <w:lang w:val="es-CO"/>
        </w:rPr>
        <w:t>“</w:t>
      </w:r>
      <w:r w:rsidR="008D019B" w:rsidRPr="00DC278B">
        <w:rPr>
          <w:rFonts w:ascii="Cambria" w:hAnsi="Cambria" w:cs="Arial"/>
          <w:sz w:val="20"/>
          <w:szCs w:val="20"/>
          <w:lang w:val="es-CO"/>
        </w:rPr>
        <w:t>l</w:t>
      </w:r>
      <w:r w:rsidR="005B5041" w:rsidRPr="00DC278B">
        <w:rPr>
          <w:rFonts w:ascii="Cambria" w:hAnsi="Cambria" w:cs="Arial"/>
          <w:sz w:val="20"/>
          <w:szCs w:val="20"/>
          <w:lang w:val="es-CO"/>
        </w:rPr>
        <w:t>as acciones civiles derivadas de delitos de lesa humanidad son imprescriptibles”</w:t>
      </w:r>
      <w:r w:rsidR="006E31B4" w:rsidRPr="00DC278B">
        <w:rPr>
          <w:rStyle w:val="Refdenotaalpie"/>
          <w:rFonts w:ascii="Cambria" w:hAnsi="Cambria" w:cs="Arial"/>
          <w:sz w:val="20"/>
          <w:szCs w:val="20"/>
          <w:lang w:val="es-CO"/>
        </w:rPr>
        <w:footnoteReference w:id="157"/>
      </w:r>
      <w:r w:rsidR="005B5041" w:rsidRPr="00DC278B">
        <w:rPr>
          <w:rFonts w:ascii="Cambria" w:hAnsi="Cambria" w:cs="Arial"/>
          <w:sz w:val="20"/>
          <w:szCs w:val="20"/>
          <w:lang w:val="es-CO"/>
        </w:rPr>
        <w:t>.</w:t>
      </w:r>
      <w:r w:rsidR="0001384C" w:rsidRPr="00DC278B">
        <w:rPr>
          <w:rFonts w:ascii="Cambria" w:hAnsi="Cambria" w:cs="Arial"/>
          <w:sz w:val="20"/>
          <w:szCs w:val="20"/>
          <w:lang w:val="es-CO"/>
        </w:rPr>
        <w:t xml:space="preserve"> </w:t>
      </w:r>
    </w:p>
    <w:p w:rsidR="0001384C" w:rsidRPr="00DC278B" w:rsidRDefault="0001384C" w:rsidP="00DC278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Cambria" w:hAnsi="Cambria" w:cs="Arial"/>
          <w:sz w:val="20"/>
          <w:szCs w:val="20"/>
          <w:lang w:val="es-CO"/>
        </w:rPr>
      </w:pPr>
    </w:p>
    <w:p w:rsidR="0001384C" w:rsidRPr="00DC278B" w:rsidRDefault="0001384C"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Cambria" w:hAnsi="Cambria" w:cs="Arial"/>
          <w:sz w:val="20"/>
          <w:szCs w:val="20"/>
          <w:lang w:val="es-CO"/>
        </w:rPr>
      </w:pPr>
      <w:r w:rsidRPr="00DC278B">
        <w:rPr>
          <w:rFonts w:ascii="Cambria" w:eastAsia="Cambria" w:hAnsi="Cambria" w:cs="Arial"/>
          <w:sz w:val="20"/>
          <w:szCs w:val="20"/>
          <w:lang w:val="es-CO"/>
        </w:rPr>
        <w:t xml:space="preserve">Asimismo, en el propio caso del Estado de Chile existen fallos judiciales recientes en los cuales se ha indicado que no resulta aplicable el plazo de prescripción de las acciones civiles por este tipo de violaciones de derechos humanos. </w:t>
      </w:r>
      <w:r w:rsidR="00A62AE2" w:rsidRPr="00DC278B">
        <w:rPr>
          <w:rFonts w:ascii="Cambria" w:eastAsia="Cambria" w:hAnsi="Cambria" w:cs="Arial"/>
          <w:sz w:val="20"/>
          <w:szCs w:val="20"/>
          <w:lang w:val="es-CO"/>
        </w:rPr>
        <w:t xml:space="preserve">Si bien la Comisión entiende que este no es un criterio uniforme a nivel interno en Chile, considera pertinente citar en este punto lo indicado por la Corte Suprema de Justicia en fallo </w:t>
      </w:r>
      <w:r w:rsidR="00360221" w:rsidRPr="00DC278B">
        <w:rPr>
          <w:rFonts w:ascii="Cambria" w:eastAsia="Cambria" w:hAnsi="Cambria" w:cs="Arial"/>
          <w:sz w:val="20"/>
          <w:szCs w:val="20"/>
          <w:lang w:val="es-CO"/>
        </w:rPr>
        <w:t xml:space="preserve">23.583-2014 </w:t>
      </w:r>
      <w:r w:rsidR="00A62AE2" w:rsidRPr="00DC278B">
        <w:rPr>
          <w:rFonts w:ascii="Cambria" w:eastAsia="Cambria" w:hAnsi="Cambria" w:cs="Arial"/>
          <w:sz w:val="20"/>
          <w:szCs w:val="20"/>
          <w:lang w:val="es-CO"/>
        </w:rPr>
        <w:t>de</w:t>
      </w:r>
      <w:r w:rsidR="00360221" w:rsidRPr="00DC278B">
        <w:rPr>
          <w:rFonts w:ascii="Cambria" w:eastAsia="Cambria" w:hAnsi="Cambria" w:cs="Arial"/>
          <w:sz w:val="20"/>
          <w:szCs w:val="20"/>
          <w:lang w:val="es-CO"/>
        </w:rPr>
        <w:t xml:space="preserve"> 20 de mayo de 2015 en los siguientes términos:</w:t>
      </w:r>
      <w:r w:rsidR="00A62AE2" w:rsidRPr="00DC278B">
        <w:rPr>
          <w:rFonts w:ascii="Cambria" w:eastAsia="Cambria" w:hAnsi="Cambria" w:cs="Arial"/>
          <w:sz w:val="20"/>
          <w:szCs w:val="20"/>
          <w:lang w:val="es-CO"/>
        </w:rPr>
        <w:t xml:space="preserve"> </w:t>
      </w:r>
    </w:p>
    <w:p w:rsidR="004F00C5" w:rsidRPr="00DC278B" w:rsidRDefault="004F00C5" w:rsidP="00DC278B">
      <w:pPr>
        <w:pStyle w:val="MediumGrid1-Accent21"/>
        <w:autoSpaceDE w:val="0"/>
        <w:autoSpaceDN w:val="0"/>
        <w:adjustRightInd w:val="0"/>
        <w:ind w:left="0"/>
        <w:jc w:val="both"/>
        <w:rPr>
          <w:rFonts w:eastAsia="Times New Roman"/>
          <w:color w:val="auto"/>
          <w:sz w:val="20"/>
          <w:szCs w:val="20"/>
          <w:bdr w:val="none" w:sz="0" w:space="0" w:color="auto"/>
          <w:lang w:val="es-CO"/>
        </w:rPr>
      </w:pPr>
    </w:p>
    <w:p w:rsidR="000D7F8F" w:rsidRPr="00DC278B" w:rsidRDefault="00043C10" w:rsidP="00DC278B">
      <w:pPr>
        <w:pStyle w:val="MediumGrid1-Accent21"/>
        <w:autoSpaceDE w:val="0"/>
        <w:autoSpaceDN w:val="0"/>
        <w:adjustRightInd w:val="0"/>
        <w:ind w:right="720"/>
        <w:jc w:val="both"/>
        <w:rPr>
          <w:color w:val="auto"/>
          <w:sz w:val="20"/>
          <w:szCs w:val="20"/>
          <w:lang w:val="es-ES"/>
        </w:rPr>
      </w:pPr>
      <w:r w:rsidRPr="00DC278B">
        <w:rPr>
          <w:color w:val="auto"/>
          <w:sz w:val="20"/>
          <w:szCs w:val="20"/>
          <w:lang w:val="es-ES"/>
        </w:rPr>
        <w:t>Que, tratándose de delitos como los investigados, que la comunidad internacional ha calificado como de lesa humanidad, la acción civil deducida en contra del Fisco tiene por objeto obtener la reparación íntegra de los perjuicios ocasionados por el actuar de un agente del Estado, conforme fluye de los tratados internacionales ratificados por Chile y de la interpretación de las normas de derecho interno, en conformidad a la Constitución Política de la República.</w:t>
      </w:r>
      <w:r w:rsidRPr="00DC278B">
        <w:rPr>
          <w:color w:val="auto"/>
          <w:sz w:val="20"/>
          <w:szCs w:val="20"/>
          <w:lang w:val="es-ES"/>
        </w:rPr>
        <w:br/>
        <w:t>En efecto, este derecho de las víctimas y sus familiares encuentra su fundamento en los principios generales del Derecho Internacional de los Derechos Humanos, y la consagración normativa en los tratados internacionales ratificados por Chile, los cuales obligan al Estado a reconocer y proteger este derecho a la reparación íntegra, en virtud de lo dispuesto en el inciso segundo del artículo 5° y en el artículo 6° de la Constitución Política.</w:t>
      </w:r>
    </w:p>
    <w:p w:rsidR="00EB1957" w:rsidRPr="00DC278B" w:rsidRDefault="00EB1957" w:rsidP="00DC278B">
      <w:pPr>
        <w:pStyle w:val="MediumGrid1-Accent21"/>
        <w:autoSpaceDE w:val="0"/>
        <w:autoSpaceDN w:val="0"/>
        <w:adjustRightInd w:val="0"/>
        <w:ind w:right="720"/>
        <w:jc w:val="both"/>
        <w:rPr>
          <w:color w:val="auto"/>
          <w:sz w:val="20"/>
          <w:szCs w:val="20"/>
          <w:lang w:val="es-ES"/>
        </w:rPr>
      </w:pPr>
    </w:p>
    <w:p w:rsidR="000D7F8F" w:rsidRPr="00DC278B" w:rsidRDefault="00043C10" w:rsidP="00DC278B">
      <w:pPr>
        <w:pStyle w:val="MediumGrid1-Accent21"/>
        <w:autoSpaceDE w:val="0"/>
        <w:autoSpaceDN w:val="0"/>
        <w:adjustRightInd w:val="0"/>
        <w:ind w:right="720"/>
        <w:jc w:val="both"/>
        <w:rPr>
          <w:color w:val="auto"/>
          <w:sz w:val="20"/>
          <w:szCs w:val="20"/>
          <w:lang w:val="es-ES"/>
        </w:rPr>
      </w:pPr>
      <w:r w:rsidRPr="00DC278B">
        <w:rPr>
          <w:color w:val="auto"/>
          <w:sz w:val="20"/>
          <w:szCs w:val="20"/>
          <w:lang w:val="es-ES"/>
        </w:rPr>
        <w:t>Que la indemnización del daño producido por el delito, así como la acción para hacerla efectiva, resultan de máxima trascendencia al momento de administrar justicia, comprometiendo el interés público y aspectos de justicia material. En el caso en análisis, dado el contexto en que el ilícito fue verificado, con la intervención de agentes estatales durante un período de extrema anormalidad institucional en el que representaban al gobierno de la época, y en que -al menos en el caso de autos- claramente se abusó de aquella potestad y representación, produciendo agravios de tanta gravedad como el que aquí se estudia, el Estado de Chile no puede eludir su responsabilidad legal de reparar dicha deuda de jure</w:t>
      </w:r>
      <w:r w:rsidR="000D7F8F" w:rsidRPr="00DC278B">
        <w:rPr>
          <w:color w:val="auto"/>
          <w:sz w:val="20"/>
          <w:szCs w:val="20"/>
          <w:lang w:val="es-ES"/>
        </w:rPr>
        <w:t xml:space="preserve"> (…)</w:t>
      </w:r>
      <w:r w:rsidR="00693F43" w:rsidRPr="00DC278B">
        <w:rPr>
          <w:color w:val="auto"/>
          <w:sz w:val="20"/>
          <w:szCs w:val="20"/>
          <w:lang w:val="es-ES"/>
        </w:rPr>
        <w:t>.</w:t>
      </w:r>
    </w:p>
    <w:p w:rsidR="003067D6" w:rsidRPr="00DC278B" w:rsidRDefault="003067D6" w:rsidP="00DC278B">
      <w:pPr>
        <w:pStyle w:val="MediumGrid1-Accent21"/>
        <w:autoSpaceDE w:val="0"/>
        <w:autoSpaceDN w:val="0"/>
        <w:adjustRightInd w:val="0"/>
        <w:ind w:left="0" w:right="720"/>
        <w:jc w:val="both"/>
        <w:rPr>
          <w:color w:val="auto"/>
          <w:sz w:val="20"/>
          <w:szCs w:val="20"/>
          <w:lang w:val="es-ES"/>
        </w:rPr>
      </w:pPr>
    </w:p>
    <w:p w:rsidR="00693F43" w:rsidRPr="00DC278B" w:rsidRDefault="003067D6" w:rsidP="00DC278B">
      <w:pPr>
        <w:pStyle w:val="MediumGrid1-Accent21"/>
        <w:autoSpaceDE w:val="0"/>
        <w:autoSpaceDN w:val="0"/>
        <w:adjustRightInd w:val="0"/>
        <w:ind w:right="720"/>
        <w:jc w:val="both"/>
        <w:rPr>
          <w:rFonts w:eastAsia="Times New Roman"/>
          <w:color w:val="auto"/>
          <w:sz w:val="20"/>
          <w:szCs w:val="20"/>
          <w:bdr w:val="none" w:sz="0" w:space="0" w:color="auto"/>
          <w:lang w:val="es-CO"/>
        </w:rPr>
      </w:pPr>
      <w:r w:rsidRPr="00DC278B">
        <w:rPr>
          <w:color w:val="auto"/>
          <w:sz w:val="20"/>
          <w:szCs w:val="20"/>
          <w:lang w:val="es-ES"/>
        </w:rPr>
        <w:t>De este modo, en el presente caso no resultan atingentes las disposiciones del derecho interno previstas en el Código Civil sobre prescripción de las acciones civiles comunes de indemnización de perjuicios, invocadas por el Fisco de Chile, al estar en contradicción con las normas del Derecho Internacional de los Derechos Humanos, que protegen el derecho de las víctimas y familiares a recibir la reparación correspondiente, estatuto normativo internacional q</w:t>
      </w:r>
      <w:r w:rsidR="00693F43" w:rsidRPr="00DC278B">
        <w:rPr>
          <w:color w:val="auto"/>
          <w:sz w:val="20"/>
          <w:szCs w:val="20"/>
          <w:lang w:val="es-ES"/>
        </w:rPr>
        <w:t xml:space="preserve">ue ha sido reconocido por Chile </w:t>
      </w:r>
      <w:r w:rsidR="00693F43" w:rsidRPr="00DC278B">
        <w:rPr>
          <w:rFonts w:eastAsia="Times New Roman"/>
          <w:color w:val="auto"/>
          <w:sz w:val="20"/>
          <w:szCs w:val="20"/>
          <w:bdr w:val="none" w:sz="0" w:space="0" w:color="auto"/>
          <w:lang w:val="es-CO"/>
        </w:rPr>
        <w:t>(…).</w:t>
      </w:r>
    </w:p>
    <w:p w:rsidR="003067D6" w:rsidRPr="00DC278B" w:rsidRDefault="003067D6" w:rsidP="00DC278B">
      <w:pPr>
        <w:pStyle w:val="MediumGrid1-Accent21"/>
        <w:autoSpaceDE w:val="0"/>
        <w:autoSpaceDN w:val="0"/>
        <w:adjustRightInd w:val="0"/>
        <w:ind w:right="720"/>
        <w:jc w:val="both"/>
        <w:rPr>
          <w:rFonts w:eastAsia="Times New Roman"/>
          <w:color w:val="auto"/>
          <w:sz w:val="20"/>
          <w:szCs w:val="20"/>
          <w:bdr w:val="none" w:sz="0" w:space="0" w:color="auto"/>
          <w:lang w:val="es-CO"/>
        </w:rPr>
      </w:pPr>
    </w:p>
    <w:p w:rsidR="006C4DAF" w:rsidRPr="00DC278B" w:rsidRDefault="003067D6" w:rsidP="00DC278B">
      <w:pPr>
        <w:pStyle w:val="MediumGrid1-Accent21"/>
        <w:autoSpaceDE w:val="0"/>
        <w:autoSpaceDN w:val="0"/>
        <w:adjustRightInd w:val="0"/>
        <w:ind w:right="720"/>
        <w:jc w:val="both"/>
        <w:rPr>
          <w:rFonts w:eastAsia="Times New Roman"/>
          <w:color w:val="auto"/>
          <w:sz w:val="20"/>
          <w:szCs w:val="20"/>
          <w:bdr w:val="none" w:sz="0" w:space="0" w:color="auto"/>
          <w:lang w:val="es-CO"/>
        </w:rPr>
      </w:pPr>
      <w:r w:rsidRPr="00DC278B">
        <w:rPr>
          <w:color w:val="auto"/>
          <w:sz w:val="20"/>
          <w:szCs w:val="20"/>
          <w:lang w:val="es-ES"/>
        </w:rPr>
        <w:t xml:space="preserve">Que, en suma, pesando sobre el Estado la obligación de reparar a la víctima y </w:t>
      </w:r>
      <w:proofErr w:type="gramStart"/>
      <w:r w:rsidRPr="00DC278B">
        <w:rPr>
          <w:color w:val="auto"/>
          <w:sz w:val="20"/>
          <w:szCs w:val="20"/>
          <w:lang w:val="es-ES"/>
        </w:rPr>
        <w:t>sus familiares consagrado</w:t>
      </w:r>
      <w:proofErr w:type="gramEnd"/>
      <w:r w:rsidRPr="00DC278B">
        <w:rPr>
          <w:color w:val="auto"/>
          <w:sz w:val="20"/>
          <w:szCs w:val="20"/>
          <w:lang w:val="es-ES"/>
        </w:rPr>
        <w:t xml:space="preserve"> por la normativa internacional sobre Derechos Humanos, el derecho interno no deviene en un argumento sostenible p</w:t>
      </w:r>
      <w:r w:rsidR="00693F43" w:rsidRPr="00DC278B">
        <w:rPr>
          <w:color w:val="auto"/>
          <w:sz w:val="20"/>
          <w:szCs w:val="20"/>
          <w:lang w:val="es-ES"/>
        </w:rPr>
        <w:t xml:space="preserve">ara eximirlo de su cumplimiento </w:t>
      </w:r>
      <w:r w:rsidR="006C4DAF" w:rsidRPr="00DC278B">
        <w:rPr>
          <w:rFonts w:eastAsia="Times New Roman"/>
          <w:color w:val="auto"/>
          <w:sz w:val="20"/>
          <w:szCs w:val="20"/>
          <w:bdr w:val="none" w:sz="0" w:space="0" w:color="auto"/>
          <w:lang w:val="es-CO"/>
        </w:rPr>
        <w:t>(…)</w:t>
      </w:r>
      <w:r w:rsidR="00693F43" w:rsidRPr="00DC278B">
        <w:rPr>
          <w:rFonts w:eastAsia="Times New Roman"/>
          <w:color w:val="auto"/>
          <w:sz w:val="20"/>
          <w:szCs w:val="20"/>
          <w:bdr w:val="none" w:sz="0" w:space="0" w:color="auto"/>
          <w:lang w:val="es-CO"/>
        </w:rPr>
        <w:t>.</w:t>
      </w:r>
    </w:p>
    <w:p w:rsidR="006C4DAF" w:rsidRPr="00DC278B" w:rsidRDefault="006C4DAF" w:rsidP="00DC278B">
      <w:pPr>
        <w:pStyle w:val="MediumGrid1-Accent21"/>
        <w:autoSpaceDE w:val="0"/>
        <w:autoSpaceDN w:val="0"/>
        <w:adjustRightInd w:val="0"/>
        <w:ind w:right="720"/>
        <w:jc w:val="both"/>
        <w:rPr>
          <w:rFonts w:eastAsia="Times New Roman"/>
          <w:color w:val="auto"/>
          <w:sz w:val="20"/>
          <w:szCs w:val="20"/>
          <w:bdr w:val="none" w:sz="0" w:space="0" w:color="auto"/>
          <w:lang w:val="es-CO"/>
        </w:rPr>
      </w:pPr>
    </w:p>
    <w:p w:rsidR="003067D6" w:rsidRPr="00DC278B" w:rsidRDefault="003067D6" w:rsidP="00DC278B">
      <w:pPr>
        <w:pStyle w:val="MediumGrid1-Accent21"/>
        <w:autoSpaceDE w:val="0"/>
        <w:autoSpaceDN w:val="0"/>
        <w:adjustRightInd w:val="0"/>
        <w:ind w:right="720"/>
        <w:jc w:val="both"/>
        <w:rPr>
          <w:color w:val="auto"/>
          <w:sz w:val="20"/>
          <w:szCs w:val="20"/>
          <w:lang w:val="es-ES"/>
        </w:rPr>
      </w:pPr>
      <w:r w:rsidRPr="00DC278B">
        <w:rPr>
          <w:color w:val="auto"/>
          <w:sz w:val="20"/>
          <w:szCs w:val="20"/>
          <w:lang w:val="es-ES"/>
        </w:rPr>
        <w:t>Que, en esas condiciones, resulta efectivo que los jueces del grado incurrieron en un error de derecho al momento de acoger la excepción de prescripción de la demanda civil incoada en contra del Estado, yerro que ha influido sustancialmente en lo dispositivo de la sentencia, de suerte tal que el recurso de casación en el fondo será acogido</w:t>
      </w:r>
      <w:r w:rsidR="00595FA8" w:rsidRPr="00C23663">
        <w:rPr>
          <w:rStyle w:val="Refdenotaalpie"/>
          <w:rFonts w:ascii="Cambria" w:hAnsi="Cambria"/>
          <w:color w:val="auto"/>
          <w:sz w:val="20"/>
          <w:szCs w:val="20"/>
          <w:lang w:val="es-ES"/>
        </w:rPr>
        <w:footnoteReference w:id="158"/>
      </w:r>
      <w:r w:rsidRPr="00DC278B">
        <w:rPr>
          <w:color w:val="auto"/>
          <w:sz w:val="20"/>
          <w:szCs w:val="20"/>
          <w:lang w:val="es-ES"/>
        </w:rPr>
        <w:t>.</w:t>
      </w:r>
    </w:p>
    <w:p w:rsidR="003067D6" w:rsidRPr="00DC278B" w:rsidRDefault="003067D6" w:rsidP="00DC278B">
      <w:pPr>
        <w:pStyle w:val="MediumGrid1-Accent21"/>
        <w:autoSpaceDE w:val="0"/>
        <w:autoSpaceDN w:val="0"/>
        <w:adjustRightInd w:val="0"/>
        <w:ind w:left="0"/>
        <w:jc w:val="both"/>
        <w:rPr>
          <w:rFonts w:eastAsia="Times New Roman"/>
          <w:color w:val="auto"/>
          <w:sz w:val="20"/>
          <w:szCs w:val="20"/>
          <w:bdr w:val="none" w:sz="0" w:space="0" w:color="auto"/>
          <w:lang w:val="es-CO"/>
        </w:rPr>
      </w:pPr>
    </w:p>
    <w:p w:rsidR="007124F8" w:rsidRPr="00DC278B" w:rsidRDefault="001A75FF" w:rsidP="00DC278B">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b/>
          <w:sz w:val="20"/>
          <w:szCs w:val="20"/>
          <w:bdr w:val="none" w:sz="0" w:space="0" w:color="auto"/>
          <w:lang w:val="es-ES_tradnl"/>
        </w:rPr>
      </w:pPr>
      <w:r w:rsidRPr="00DC278B">
        <w:rPr>
          <w:rFonts w:ascii="Cambria" w:eastAsia="Times New Roman" w:hAnsi="Cambria"/>
          <w:b/>
          <w:sz w:val="20"/>
          <w:szCs w:val="20"/>
          <w:bdr w:val="none" w:sz="0" w:space="0" w:color="auto"/>
          <w:lang w:val="es-ES_tradnl"/>
        </w:rPr>
        <w:t>Aná</w:t>
      </w:r>
      <w:r w:rsidR="00B401BC" w:rsidRPr="00DC278B">
        <w:rPr>
          <w:rFonts w:ascii="Cambria" w:eastAsia="Times New Roman" w:hAnsi="Cambria"/>
          <w:b/>
          <w:sz w:val="20"/>
          <w:szCs w:val="20"/>
          <w:bdr w:val="none" w:sz="0" w:space="0" w:color="auto"/>
          <w:lang w:val="es-ES_tradnl"/>
        </w:rPr>
        <w:t>lisis del presente caso</w:t>
      </w:r>
    </w:p>
    <w:p w:rsidR="00B401BC" w:rsidRPr="00DC278B" w:rsidRDefault="00B401BC" w:rsidP="00DC278B">
      <w:pPr>
        <w:pStyle w:val="MediumGrid1-Accent21"/>
        <w:ind w:left="0"/>
        <w:jc w:val="both"/>
        <w:rPr>
          <w:rFonts w:eastAsia="Times New Roman"/>
          <w:color w:val="auto"/>
          <w:sz w:val="20"/>
          <w:szCs w:val="20"/>
          <w:bdr w:val="none" w:sz="0" w:space="0" w:color="auto"/>
          <w:lang w:val="es-CO"/>
        </w:rPr>
      </w:pPr>
    </w:p>
    <w:p w:rsidR="00323FAD" w:rsidRPr="00DC278B" w:rsidRDefault="00C10DB6"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sz w:val="20"/>
          <w:szCs w:val="20"/>
          <w:bdr w:val="none" w:sz="0" w:space="0" w:color="auto"/>
          <w:lang w:val="es-ES_tradnl"/>
        </w:rPr>
      </w:pPr>
      <w:r w:rsidRPr="00DC278B">
        <w:rPr>
          <w:rFonts w:ascii="Cambria" w:eastAsia="Times New Roman" w:hAnsi="Cambria"/>
          <w:sz w:val="20"/>
          <w:szCs w:val="20"/>
          <w:bdr w:val="none" w:sz="0" w:space="0" w:color="auto"/>
          <w:lang w:val="es-ES_tradnl"/>
        </w:rPr>
        <w:t xml:space="preserve">Tomando en cuenta la consideraciones previas efectuadas </w:t>
      </w:r>
      <w:r w:rsidRPr="00DC278B">
        <w:rPr>
          <w:rFonts w:ascii="Cambria" w:eastAsia="Times New Roman" w:hAnsi="Cambria"/>
          <w:i/>
          <w:sz w:val="20"/>
          <w:szCs w:val="20"/>
          <w:bdr w:val="none" w:sz="0" w:space="0" w:color="auto"/>
          <w:lang w:val="es-ES_tradnl"/>
        </w:rPr>
        <w:t xml:space="preserve">supra </w:t>
      </w:r>
      <w:proofErr w:type="spellStart"/>
      <w:r w:rsidRPr="00DC278B">
        <w:rPr>
          <w:rFonts w:ascii="Cambria" w:eastAsia="Times New Roman" w:hAnsi="Cambria"/>
          <w:sz w:val="20"/>
          <w:szCs w:val="20"/>
          <w:bdr w:val="none" w:sz="0" w:space="0" w:color="auto"/>
          <w:lang w:val="es-ES_tradnl"/>
        </w:rPr>
        <w:t>párrs</w:t>
      </w:r>
      <w:proofErr w:type="spellEnd"/>
      <w:r w:rsidRPr="00DC278B">
        <w:rPr>
          <w:rFonts w:ascii="Cambria" w:eastAsia="Times New Roman" w:hAnsi="Cambria"/>
          <w:sz w:val="20"/>
          <w:szCs w:val="20"/>
          <w:bdr w:val="none" w:sz="0" w:space="0" w:color="auto"/>
          <w:lang w:val="es-ES_tradnl"/>
        </w:rPr>
        <w:t xml:space="preserve">. </w:t>
      </w:r>
      <w:r w:rsidR="00FE7B0C" w:rsidRPr="00DC278B">
        <w:rPr>
          <w:rFonts w:ascii="Cambria" w:eastAsia="Times New Roman" w:hAnsi="Cambria"/>
          <w:sz w:val="20"/>
          <w:szCs w:val="20"/>
          <w:bdr w:val="none" w:sz="0" w:space="0" w:color="auto"/>
          <w:lang w:val="es-ES_tradnl"/>
        </w:rPr>
        <w:t>94</w:t>
      </w:r>
      <w:r w:rsidRPr="00DC278B">
        <w:rPr>
          <w:rFonts w:ascii="Cambria" w:eastAsia="Times New Roman" w:hAnsi="Cambria"/>
          <w:sz w:val="20"/>
          <w:szCs w:val="20"/>
          <w:bdr w:val="none" w:sz="0" w:space="0" w:color="auto"/>
          <w:lang w:val="es-ES_tradnl"/>
        </w:rPr>
        <w:t xml:space="preserve"> – </w:t>
      </w:r>
      <w:r w:rsidR="00FE7B0C" w:rsidRPr="00DC278B">
        <w:rPr>
          <w:rFonts w:ascii="Cambria" w:eastAsia="Times New Roman" w:hAnsi="Cambria"/>
          <w:sz w:val="20"/>
          <w:szCs w:val="20"/>
          <w:bdr w:val="none" w:sz="0" w:space="0" w:color="auto"/>
          <w:lang w:val="es-ES_tradnl"/>
        </w:rPr>
        <w:t>104</w:t>
      </w:r>
      <w:r w:rsidR="007E001F" w:rsidRPr="00DC278B">
        <w:rPr>
          <w:rFonts w:ascii="Cambria" w:eastAsia="Times New Roman" w:hAnsi="Cambria"/>
          <w:sz w:val="20"/>
          <w:szCs w:val="20"/>
          <w:bdr w:val="none" w:sz="0" w:space="0" w:color="auto"/>
          <w:lang w:val="es-ES_tradnl"/>
        </w:rPr>
        <w:t xml:space="preserve"> respecto de la delimitación del objeto del presente caso, l</w:t>
      </w:r>
      <w:r w:rsidR="00332F4D" w:rsidRPr="00DC278B">
        <w:rPr>
          <w:rFonts w:ascii="Cambria" w:eastAsia="Times New Roman" w:hAnsi="Cambria"/>
          <w:sz w:val="20"/>
          <w:szCs w:val="20"/>
          <w:bdr w:val="none" w:sz="0" w:space="0" w:color="auto"/>
          <w:lang w:val="es-ES_tradnl"/>
        </w:rPr>
        <w:t xml:space="preserve">a Comisión observa que el recurso judicial disponible en la jurisdicción chilena para acceder a una indemnización por violaciones a los derechos humanos es la acción </w:t>
      </w:r>
      <w:r w:rsidR="00A217EC" w:rsidRPr="00DC278B">
        <w:rPr>
          <w:rFonts w:ascii="Cambria" w:eastAsia="Times New Roman" w:hAnsi="Cambria"/>
          <w:sz w:val="20"/>
          <w:szCs w:val="20"/>
          <w:bdr w:val="none" w:sz="0" w:space="0" w:color="auto"/>
          <w:lang w:val="es-ES_tradnl"/>
        </w:rPr>
        <w:t xml:space="preserve">civil </w:t>
      </w:r>
      <w:r w:rsidR="00332F4D" w:rsidRPr="00DC278B">
        <w:rPr>
          <w:rFonts w:ascii="Cambria" w:eastAsia="Times New Roman" w:hAnsi="Cambria"/>
          <w:sz w:val="20"/>
          <w:szCs w:val="20"/>
          <w:bdr w:val="none" w:sz="0" w:space="0" w:color="auto"/>
          <w:lang w:val="es-ES_tradnl"/>
        </w:rPr>
        <w:t xml:space="preserve">de indemnización. </w:t>
      </w:r>
      <w:r w:rsidR="00AC434B" w:rsidRPr="00DC278B">
        <w:rPr>
          <w:rFonts w:ascii="Cambria" w:eastAsia="Times New Roman" w:hAnsi="Cambria"/>
          <w:sz w:val="20"/>
          <w:szCs w:val="20"/>
          <w:bdr w:val="none" w:sz="0" w:space="0" w:color="auto"/>
          <w:lang w:val="es-ES_tradnl"/>
        </w:rPr>
        <w:t xml:space="preserve">En </w:t>
      </w:r>
      <w:r w:rsidR="008F1F8A" w:rsidRPr="00DC278B">
        <w:rPr>
          <w:rFonts w:ascii="Cambria" w:eastAsia="Times New Roman" w:hAnsi="Cambria"/>
          <w:sz w:val="20"/>
          <w:szCs w:val="20"/>
          <w:bdr w:val="none" w:sz="0" w:space="0" w:color="auto"/>
          <w:lang w:val="es-ES_tradnl"/>
        </w:rPr>
        <w:t xml:space="preserve">todos los casos </w:t>
      </w:r>
      <w:r w:rsidR="00937BCD" w:rsidRPr="00DC278B">
        <w:rPr>
          <w:rFonts w:ascii="Cambria" w:eastAsia="Times New Roman" w:hAnsi="Cambria"/>
          <w:sz w:val="20"/>
          <w:szCs w:val="20"/>
          <w:bdr w:val="none" w:sz="0" w:space="0" w:color="auto"/>
          <w:lang w:val="es-ES_tradnl"/>
        </w:rPr>
        <w:t xml:space="preserve">bajo análisis </w:t>
      </w:r>
      <w:r w:rsidR="008F1F8A" w:rsidRPr="00DC278B">
        <w:rPr>
          <w:rFonts w:ascii="Cambria" w:eastAsia="Times New Roman" w:hAnsi="Cambria"/>
          <w:sz w:val="20"/>
          <w:szCs w:val="20"/>
          <w:bdr w:val="none" w:sz="0" w:space="0" w:color="auto"/>
          <w:lang w:val="es-ES_tradnl"/>
        </w:rPr>
        <w:t xml:space="preserve">las </w:t>
      </w:r>
      <w:r w:rsidR="009C1254" w:rsidRPr="00DC278B">
        <w:rPr>
          <w:rFonts w:ascii="Cambria" w:eastAsia="Times New Roman" w:hAnsi="Cambria"/>
          <w:sz w:val="20"/>
          <w:szCs w:val="20"/>
          <w:bdr w:val="none" w:sz="0" w:space="0" w:color="auto"/>
          <w:lang w:val="es-ES_tradnl"/>
        </w:rPr>
        <w:t>decisiones de rechazo que quedaron en firme</w:t>
      </w:r>
      <w:r w:rsidR="00281999" w:rsidRPr="0000786D">
        <w:rPr>
          <w:rStyle w:val="Refdenotaalpie"/>
          <w:rFonts w:asciiTheme="majorHAnsi" w:eastAsia="Times New Roman" w:hAnsiTheme="majorHAnsi"/>
          <w:sz w:val="20"/>
          <w:szCs w:val="20"/>
          <w:bdr w:val="none" w:sz="0" w:space="0" w:color="auto"/>
          <w:lang w:val="es-ES_tradnl"/>
        </w:rPr>
        <w:footnoteReference w:id="159"/>
      </w:r>
      <w:r w:rsidR="009C1254" w:rsidRPr="00DC278B">
        <w:rPr>
          <w:rFonts w:ascii="Cambria" w:eastAsia="Times New Roman" w:hAnsi="Cambria"/>
          <w:sz w:val="20"/>
          <w:szCs w:val="20"/>
          <w:bdr w:val="none" w:sz="0" w:space="0" w:color="auto"/>
          <w:lang w:val="es-ES_tradnl"/>
        </w:rPr>
        <w:t xml:space="preserve"> </w:t>
      </w:r>
      <w:r w:rsidR="008F1F8A" w:rsidRPr="00DC278B">
        <w:rPr>
          <w:rFonts w:ascii="Cambria" w:eastAsia="Times New Roman" w:hAnsi="Cambria"/>
          <w:sz w:val="20"/>
          <w:szCs w:val="20"/>
          <w:bdr w:val="none" w:sz="0" w:space="0" w:color="auto"/>
          <w:lang w:val="es-ES_tradnl"/>
        </w:rPr>
        <w:t>aplicaron</w:t>
      </w:r>
      <w:r w:rsidR="00CF2B4C" w:rsidRPr="00DC278B">
        <w:rPr>
          <w:rFonts w:ascii="Cambria" w:eastAsia="Times New Roman" w:hAnsi="Cambria"/>
          <w:sz w:val="20"/>
          <w:szCs w:val="20"/>
          <w:bdr w:val="none" w:sz="0" w:space="0" w:color="auto"/>
          <w:lang w:val="es-ES_tradnl"/>
        </w:rPr>
        <w:t xml:space="preserve"> el instituto de la prescripción de la acción civil</w:t>
      </w:r>
      <w:r w:rsidR="00F51EC3" w:rsidRPr="00DC278B">
        <w:rPr>
          <w:rFonts w:ascii="Cambria" w:eastAsia="Times New Roman" w:hAnsi="Cambria"/>
          <w:sz w:val="20"/>
          <w:szCs w:val="20"/>
          <w:bdr w:val="none" w:sz="0" w:space="0" w:color="auto"/>
          <w:lang w:val="es-ES_tradnl"/>
        </w:rPr>
        <w:t>.</w:t>
      </w:r>
      <w:r w:rsidR="00323FAD" w:rsidRPr="00DC278B">
        <w:rPr>
          <w:rFonts w:ascii="Cambria" w:eastAsia="Times New Roman" w:hAnsi="Cambria"/>
          <w:sz w:val="20"/>
          <w:szCs w:val="20"/>
          <w:bdr w:val="none" w:sz="0" w:space="0" w:color="auto"/>
          <w:lang w:val="es-ES_tradnl"/>
        </w:rPr>
        <w:t xml:space="preserve"> </w:t>
      </w:r>
    </w:p>
    <w:p w:rsidR="00D97645" w:rsidRDefault="00D97645" w:rsidP="00D97645">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p>
    <w:p w:rsidR="00140950" w:rsidRPr="00D2628F" w:rsidRDefault="00140950" w:rsidP="00140950">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lang w:val="es-ES_tradnl"/>
        </w:rPr>
      </w:pPr>
      <w:r w:rsidRPr="00D2628F">
        <w:rPr>
          <w:rFonts w:ascii="Cambria" w:eastAsia="Times New Roman" w:hAnsi="Cambria"/>
          <w:sz w:val="20"/>
          <w:szCs w:val="20"/>
          <w:lang w:val="es-ES_tradnl"/>
        </w:rPr>
        <w:t xml:space="preserve">La Comisión estima que la aplicación de la figura de la prescripción de la acción civil en </w:t>
      </w:r>
      <w:r w:rsidR="00DF3094" w:rsidRPr="00D2628F">
        <w:rPr>
          <w:rFonts w:ascii="Cambria" w:eastAsia="Times New Roman" w:hAnsi="Cambria"/>
          <w:sz w:val="20"/>
          <w:szCs w:val="20"/>
          <w:lang w:val="es-ES_tradnl"/>
        </w:rPr>
        <w:t>los casos materia del presente asunto, constituyó una restricción en la posibil</w:t>
      </w:r>
      <w:r w:rsidR="00D2628F">
        <w:rPr>
          <w:rFonts w:ascii="Cambria" w:eastAsia="Times New Roman" w:hAnsi="Cambria"/>
          <w:sz w:val="20"/>
          <w:szCs w:val="20"/>
          <w:lang w:val="es-ES_tradnl"/>
        </w:rPr>
        <w:t>idad de obtener una reparación</w:t>
      </w:r>
      <w:r w:rsidR="00DF3094" w:rsidRPr="00D2628F">
        <w:rPr>
          <w:rFonts w:ascii="Cambria" w:eastAsia="Times New Roman" w:hAnsi="Cambria"/>
          <w:sz w:val="20"/>
          <w:szCs w:val="20"/>
          <w:lang w:val="es-ES_tradnl"/>
        </w:rPr>
        <w:t xml:space="preserve"> por los mismos. </w:t>
      </w:r>
    </w:p>
    <w:p w:rsidR="00140950" w:rsidRPr="00140950" w:rsidRDefault="00140950" w:rsidP="00DF3094">
      <w:pPr>
        <w:ind w:left="720"/>
        <w:jc w:val="both"/>
        <w:rPr>
          <w:rFonts w:ascii="Cambria" w:eastAsia="Times New Roman" w:hAnsi="Cambria"/>
          <w:sz w:val="20"/>
          <w:szCs w:val="20"/>
          <w:highlight w:val="yellow"/>
          <w:lang w:val="es-ES_tradnl"/>
        </w:rPr>
      </w:pPr>
    </w:p>
    <w:p w:rsidR="00140950" w:rsidRPr="00D2628F" w:rsidRDefault="00140950" w:rsidP="00140950">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lang w:val="es-ES_tradnl"/>
        </w:rPr>
      </w:pPr>
      <w:r w:rsidRPr="00D2628F">
        <w:rPr>
          <w:rFonts w:ascii="Cambria" w:eastAsia="Times New Roman" w:hAnsi="Cambria"/>
          <w:sz w:val="20"/>
          <w:szCs w:val="20"/>
          <w:lang w:val="es-ES_tradnl"/>
        </w:rPr>
        <w:t xml:space="preserve">Tomando en cuenta lo anterior, </w:t>
      </w:r>
      <w:r w:rsidR="005928B4" w:rsidRPr="00D2628F">
        <w:rPr>
          <w:rFonts w:ascii="Cambria" w:eastAsia="Times New Roman" w:hAnsi="Cambria"/>
          <w:sz w:val="20"/>
          <w:szCs w:val="20"/>
          <w:lang w:val="es-ES_tradnl"/>
        </w:rPr>
        <w:t xml:space="preserve">corresponde determinar si </w:t>
      </w:r>
      <w:r w:rsidR="00DF3094" w:rsidRPr="00D2628F">
        <w:rPr>
          <w:rFonts w:ascii="Cambria" w:eastAsia="Times New Roman" w:hAnsi="Cambria"/>
          <w:sz w:val="20"/>
          <w:szCs w:val="20"/>
          <w:lang w:val="es-ES_tradnl"/>
        </w:rPr>
        <w:t xml:space="preserve">esta restricción </w:t>
      </w:r>
      <w:r w:rsidRPr="00D2628F">
        <w:rPr>
          <w:rFonts w:ascii="Cambria" w:eastAsia="Times New Roman" w:hAnsi="Cambria"/>
          <w:sz w:val="20"/>
          <w:szCs w:val="20"/>
          <w:lang w:val="es-ES_tradnl"/>
        </w:rPr>
        <w:t>se ajusta a los estándares interamericanos. Para tal efecto, como en otros casos, la Comisión acudirá a un juicio de proporcionalidad que incluye los siguientes elementos: (i)</w:t>
      </w:r>
      <w:r w:rsidR="002B28B9" w:rsidRPr="00D2628F">
        <w:rPr>
          <w:rFonts w:ascii="Cambria" w:eastAsia="Times New Roman" w:hAnsi="Cambria"/>
          <w:sz w:val="20"/>
          <w:szCs w:val="20"/>
          <w:lang w:val="es-ES_tradnl"/>
        </w:rPr>
        <w:t xml:space="preserve"> </w:t>
      </w:r>
      <w:r w:rsidRPr="00D2628F">
        <w:rPr>
          <w:rFonts w:ascii="Cambria" w:eastAsia="Times New Roman" w:hAnsi="Cambria"/>
          <w:sz w:val="20"/>
          <w:szCs w:val="20"/>
          <w:lang w:val="es-ES_tradnl"/>
        </w:rPr>
        <w:t>la existencia de un fin legítimo; (ii) la idoneidad, es decir, la determinación de si existe una relación lógica de causalidad de medio a fin entre la distinción y el fin que se persigue; (iii) la necesidad, esto es, la determinación de si existen alternativas menos restrictivas e igualmente idóneas; y (iv) la proporcionalidad en sentido estricto, es decir, el balance de los intereses en juego y el grado de sacrifico de uno respecto del otro</w:t>
      </w:r>
      <w:r w:rsidRPr="00D2628F">
        <w:rPr>
          <w:rStyle w:val="Refdenotaalpie"/>
          <w:rFonts w:asciiTheme="majorHAnsi" w:eastAsia="Times New Roman" w:hAnsiTheme="majorHAnsi"/>
          <w:sz w:val="20"/>
          <w:szCs w:val="20"/>
          <w:lang w:val="es-ES_tradnl"/>
        </w:rPr>
        <w:footnoteReference w:id="160"/>
      </w:r>
      <w:r w:rsidRPr="00D2628F">
        <w:rPr>
          <w:rFonts w:ascii="Cambria" w:eastAsia="Times New Roman" w:hAnsi="Cambria"/>
          <w:sz w:val="20"/>
          <w:szCs w:val="20"/>
          <w:lang w:val="es-ES_tradnl"/>
        </w:rPr>
        <w:t xml:space="preserve">. </w:t>
      </w:r>
    </w:p>
    <w:p w:rsidR="00140950" w:rsidRPr="00CC5B9A" w:rsidRDefault="00140950" w:rsidP="00140950">
      <w:pPr>
        <w:jc w:val="both"/>
        <w:rPr>
          <w:rFonts w:ascii="Cambria" w:eastAsia="Times New Roman" w:hAnsi="Cambria"/>
          <w:sz w:val="20"/>
          <w:szCs w:val="20"/>
          <w:highlight w:val="yellow"/>
          <w:lang w:val="es-ES_tradnl"/>
        </w:rPr>
      </w:pPr>
    </w:p>
    <w:p w:rsidR="00CC5B9A" w:rsidRPr="00D2628F" w:rsidRDefault="00140950" w:rsidP="000D0406">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lang w:val="es-ES_tradnl"/>
        </w:rPr>
      </w:pPr>
      <w:r w:rsidRPr="00D2628F">
        <w:rPr>
          <w:rFonts w:ascii="Cambria" w:eastAsia="Times New Roman" w:hAnsi="Cambria"/>
          <w:sz w:val="20"/>
          <w:szCs w:val="20"/>
          <w:lang w:val="es-ES_tradnl"/>
        </w:rPr>
        <w:t xml:space="preserve">El Estado no </w:t>
      </w:r>
      <w:r w:rsidR="00CC5B9A" w:rsidRPr="00D2628F">
        <w:rPr>
          <w:rFonts w:ascii="Cambria" w:eastAsia="Times New Roman" w:hAnsi="Cambria"/>
          <w:sz w:val="20"/>
          <w:szCs w:val="20"/>
          <w:lang w:val="es-ES_tradnl"/>
        </w:rPr>
        <w:t xml:space="preserve">argumentó ante la Comisión sobre el fin legítimo perseguido con la restricción </w:t>
      </w:r>
      <w:r w:rsidR="00D2628F">
        <w:rPr>
          <w:rFonts w:ascii="Cambria" w:eastAsia="Times New Roman" w:hAnsi="Cambria"/>
          <w:sz w:val="20"/>
          <w:szCs w:val="20"/>
          <w:lang w:val="es-ES_tradnl"/>
        </w:rPr>
        <w:t>de</w:t>
      </w:r>
      <w:r w:rsidR="00CC5B9A" w:rsidRPr="00D2628F">
        <w:rPr>
          <w:rFonts w:ascii="Cambria" w:eastAsia="Times New Roman" w:hAnsi="Cambria"/>
          <w:sz w:val="20"/>
          <w:szCs w:val="20"/>
          <w:lang w:val="es-ES_tradnl"/>
        </w:rPr>
        <w:t xml:space="preserve"> la posibilidad de obtener una reparación</w:t>
      </w:r>
      <w:r w:rsidR="00D2628F">
        <w:rPr>
          <w:rFonts w:ascii="Cambria" w:eastAsia="Times New Roman" w:hAnsi="Cambria"/>
          <w:sz w:val="20"/>
          <w:szCs w:val="20"/>
          <w:lang w:val="es-ES_tradnl"/>
        </w:rPr>
        <w:t>,</w:t>
      </w:r>
      <w:r w:rsidR="00CC5B9A" w:rsidRPr="00D2628F">
        <w:rPr>
          <w:rFonts w:ascii="Cambria" w:eastAsia="Times New Roman" w:hAnsi="Cambria"/>
          <w:sz w:val="20"/>
          <w:szCs w:val="20"/>
          <w:lang w:val="es-ES_tradnl"/>
        </w:rPr>
        <w:t xml:space="preserve"> mediante la aplicación de la prescripción de la acción civil para hechos como los del presente caso, por lo que no </w:t>
      </w:r>
      <w:r w:rsidR="002B28B9" w:rsidRPr="00D2628F">
        <w:rPr>
          <w:rFonts w:ascii="Cambria" w:eastAsia="Times New Roman" w:hAnsi="Cambria"/>
          <w:sz w:val="20"/>
          <w:szCs w:val="20"/>
          <w:lang w:val="es-ES_tradnl"/>
        </w:rPr>
        <w:t>resultaría necesario continuar con los pasos subsiguientes de este análisis. Sin perjuicio de lo anterior, la Comisión estima útil formular algunas</w:t>
      </w:r>
      <w:r w:rsidR="002B190D" w:rsidRPr="00D2628F">
        <w:rPr>
          <w:rFonts w:ascii="Cambria" w:eastAsia="Times New Roman" w:hAnsi="Cambria"/>
          <w:sz w:val="20"/>
          <w:szCs w:val="20"/>
          <w:lang w:val="es-ES_tradnl"/>
        </w:rPr>
        <w:t xml:space="preserve"> consideraciones adicionales, entendiendo que la seguridad jurídica puede ser uno de los fines perseguidos mediante la prescripción de la acción civil. Estas consideraciones no implican un pronunciamiento </w:t>
      </w:r>
      <w:r w:rsidR="00BA15BA" w:rsidRPr="00D2628F">
        <w:rPr>
          <w:rFonts w:ascii="Cambria" w:eastAsia="Times New Roman" w:hAnsi="Cambria"/>
          <w:sz w:val="20"/>
          <w:szCs w:val="20"/>
          <w:lang w:val="es-ES_tradnl"/>
        </w:rPr>
        <w:t>genérico</w:t>
      </w:r>
      <w:r w:rsidR="002B190D" w:rsidRPr="00D2628F">
        <w:rPr>
          <w:rFonts w:ascii="Cambria" w:eastAsia="Times New Roman" w:hAnsi="Cambria"/>
          <w:sz w:val="20"/>
          <w:szCs w:val="20"/>
          <w:lang w:val="es-ES_tradnl"/>
        </w:rPr>
        <w:t xml:space="preserve"> sobre dicha figura sino que se limita a la aplicación de la misma a crímenes de lesa humanidad como los cometidos en el presente caso. </w:t>
      </w:r>
    </w:p>
    <w:p w:rsidR="00614867" w:rsidRPr="00614867" w:rsidRDefault="00614867" w:rsidP="00614867">
      <w:pPr>
        <w:rPr>
          <w:rFonts w:ascii="Cambria" w:eastAsia="Times New Roman" w:hAnsi="Cambria"/>
          <w:sz w:val="20"/>
          <w:szCs w:val="20"/>
          <w:highlight w:val="yellow"/>
          <w:lang w:val="es-ES_tradnl"/>
        </w:rPr>
      </w:pPr>
    </w:p>
    <w:p w:rsidR="00BA15BA" w:rsidRPr="00530051" w:rsidRDefault="00140950" w:rsidP="00BA15BA">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lang w:val="es-ES_tradnl"/>
        </w:rPr>
      </w:pPr>
      <w:r w:rsidRPr="00530051">
        <w:rPr>
          <w:rFonts w:ascii="Cambria" w:eastAsia="Times New Roman" w:hAnsi="Cambria"/>
          <w:sz w:val="20"/>
          <w:szCs w:val="20"/>
          <w:lang w:val="es-ES_tradnl"/>
        </w:rPr>
        <w:t>En cuanto al primer y segundo elementos del juicio de proporcionalidad, la CIDH con</w:t>
      </w:r>
      <w:r w:rsidR="00DC1048" w:rsidRPr="00530051">
        <w:rPr>
          <w:rFonts w:ascii="Cambria" w:eastAsia="Times New Roman" w:hAnsi="Cambria"/>
          <w:sz w:val="20"/>
          <w:szCs w:val="20"/>
          <w:lang w:val="es-ES_tradnl"/>
        </w:rPr>
        <w:t xml:space="preserve">sidera que </w:t>
      </w:r>
      <w:r w:rsidR="00C470D5" w:rsidRPr="00530051">
        <w:rPr>
          <w:rFonts w:ascii="Cambria" w:eastAsia="Times New Roman" w:hAnsi="Cambria"/>
          <w:sz w:val="20"/>
          <w:szCs w:val="20"/>
          <w:lang w:val="es-ES_tradnl"/>
        </w:rPr>
        <w:t xml:space="preserve">la seguridad jurídica puede </w:t>
      </w:r>
      <w:r w:rsidRPr="00530051">
        <w:rPr>
          <w:rFonts w:ascii="Cambria" w:eastAsia="Times New Roman" w:hAnsi="Cambria"/>
          <w:sz w:val="20"/>
          <w:szCs w:val="20"/>
          <w:lang w:val="es-ES_tradnl"/>
        </w:rPr>
        <w:t>constitu</w:t>
      </w:r>
      <w:r w:rsidR="00C470D5" w:rsidRPr="00530051">
        <w:rPr>
          <w:rFonts w:ascii="Cambria" w:eastAsia="Times New Roman" w:hAnsi="Cambria"/>
          <w:sz w:val="20"/>
          <w:szCs w:val="20"/>
          <w:lang w:val="es-ES_tradnl"/>
        </w:rPr>
        <w:t xml:space="preserve">ir </w:t>
      </w:r>
      <w:r w:rsidRPr="00530051">
        <w:rPr>
          <w:rFonts w:ascii="Cambria" w:eastAsia="Times New Roman" w:hAnsi="Cambria"/>
          <w:sz w:val="20"/>
          <w:szCs w:val="20"/>
          <w:lang w:val="es-ES_tradnl"/>
        </w:rPr>
        <w:t xml:space="preserve">un fin legítimo </w:t>
      </w:r>
      <w:r w:rsidR="00C470D5" w:rsidRPr="00530051">
        <w:rPr>
          <w:rFonts w:ascii="Cambria" w:eastAsia="Times New Roman" w:hAnsi="Cambria"/>
          <w:sz w:val="20"/>
          <w:szCs w:val="20"/>
          <w:lang w:val="es-ES_tradnl"/>
        </w:rPr>
        <w:t>y que puede existir</w:t>
      </w:r>
      <w:r w:rsidR="00BA15BA" w:rsidRPr="00530051">
        <w:rPr>
          <w:rFonts w:ascii="Cambria" w:eastAsia="Times New Roman" w:hAnsi="Cambria"/>
          <w:sz w:val="20"/>
          <w:szCs w:val="20"/>
          <w:lang w:val="es-ES_tradnl"/>
        </w:rPr>
        <w:t>, en abstracto,</w:t>
      </w:r>
      <w:r w:rsidR="00C470D5" w:rsidRPr="00530051">
        <w:rPr>
          <w:rFonts w:ascii="Cambria" w:eastAsia="Times New Roman" w:hAnsi="Cambria"/>
          <w:sz w:val="20"/>
          <w:szCs w:val="20"/>
          <w:lang w:val="es-ES_tradnl"/>
        </w:rPr>
        <w:t xml:space="preserve"> una relación de idoneidad entre dicha seguridad jurídica y el establecimiento de </w:t>
      </w:r>
      <w:r w:rsidRPr="00530051">
        <w:rPr>
          <w:rFonts w:ascii="Cambria" w:eastAsia="Times New Roman" w:hAnsi="Cambria"/>
          <w:sz w:val="20"/>
          <w:szCs w:val="20"/>
          <w:lang w:val="es-ES_tradnl"/>
        </w:rPr>
        <w:t>periodos de prescripción para</w:t>
      </w:r>
      <w:r w:rsidR="00BA15BA" w:rsidRPr="00530051">
        <w:rPr>
          <w:rFonts w:ascii="Cambria" w:eastAsia="Times New Roman" w:hAnsi="Cambria"/>
          <w:sz w:val="20"/>
          <w:szCs w:val="20"/>
          <w:lang w:val="es-ES_tradnl"/>
        </w:rPr>
        <w:t xml:space="preserve"> las acciones civiles de reparación. Sin embargo, respecto del </w:t>
      </w:r>
      <w:r w:rsidRPr="00530051">
        <w:rPr>
          <w:rFonts w:ascii="Cambria" w:eastAsia="Times New Roman" w:hAnsi="Cambria"/>
          <w:sz w:val="20"/>
          <w:szCs w:val="20"/>
          <w:lang w:val="es-ES_tradnl"/>
        </w:rPr>
        <w:t xml:space="preserve">requisito de necesidad, la Comisión estima que </w:t>
      </w:r>
      <w:r w:rsidR="00BA15BA" w:rsidRPr="00530051">
        <w:rPr>
          <w:rFonts w:ascii="Cambria" w:eastAsia="Times New Roman" w:hAnsi="Cambria"/>
          <w:sz w:val="20"/>
          <w:szCs w:val="20"/>
          <w:lang w:val="es-ES_tradnl"/>
        </w:rPr>
        <w:t xml:space="preserve">el Estado no demostró que </w:t>
      </w:r>
      <w:r w:rsidRPr="00530051">
        <w:rPr>
          <w:rFonts w:ascii="Cambria" w:eastAsia="Times New Roman" w:hAnsi="Cambria"/>
          <w:sz w:val="20"/>
          <w:szCs w:val="20"/>
          <w:lang w:val="es-ES_tradnl"/>
        </w:rPr>
        <w:t>resulta indispensable aplicar la prescripción a las acciones civiles de reparación por</w:t>
      </w:r>
      <w:r w:rsidR="00BA15BA" w:rsidRPr="00530051">
        <w:rPr>
          <w:rFonts w:ascii="Cambria" w:eastAsia="Times New Roman" w:hAnsi="Cambria"/>
          <w:sz w:val="20"/>
          <w:szCs w:val="20"/>
          <w:lang w:val="es-ES_tradnl"/>
        </w:rPr>
        <w:t xml:space="preserve"> crímenes de lesa humanidad </w:t>
      </w:r>
      <w:r w:rsidRPr="00530051">
        <w:rPr>
          <w:rFonts w:ascii="Cambria" w:eastAsia="Times New Roman" w:hAnsi="Cambria"/>
          <w:sz w:val="20"/>
          <w:szCs w:val="20"/>
          <w:lang w:val="es-ES_tradnl"/>
        </w:rPr>
        <w:t xml:space="preserve">para efectos de garantizar la seguridad jurídica. Por el contrario, si se entiende que el principio de seguridad jurídica busca coadyuvar al orden público y la paz </w:t>
      </w:r>
      <w:r w:rsidR="00614867" w:rsidRPr="00530051">
        <w:rPr>
          <w:rFonts w:ascii="Cambria" w:eastAsia="Times New Roman" w:hAnsi="Cambria"/>
          <w:sz w:val="20"/>
          <w:szCs w:val="20"/>
          <w:lang w:val="es-ES_tradnl"/>
        </w:rPr>
        <w:t xml:space="preserve">en las relaciones </w:t>
      </w:r>
      <w:r w:rsidRPr="00530051">
        <w:rPr>
          <w:rFonts w:ascii="Cambria" w:eastAsia="Times New Roman" w:hAnsi="Cambria"/>
          <w:sz w:val="20"/>
          <w:szCs w:val="20"/>
          <w:lang w:val="es-ES_tradnl"/>
        </w:rPr>
        <w:t>social</w:t>
      </w:r>
      <w:r w:rsidR="00614867" w:rsidRPr="00530051">
        <w:rPr>
          <w:rFonts w:ascii="Cambria" w:eastAsia="Times New Roman" w:hAnsi="Cambria"/>
          <w:sz w:val="20"/>
          <w:szCs w:val="20"/>
          <w:lang w:val="es-ES_tradnl"/>
        </w:rPr>
        <w:t>es</w:t>
      </w:r>
      <w:r w:rsidRPr="00530051">
        <w:rPr>
          <w:rFonts w:ascii="Cambria" w:eastAsia="Times New Roman" w:hAnsi="Cambria"/>
          <w:sz w:val="20"/>
          <w:szCs w:val="20"/>
          <w:lang w:val="es-ES_tradnl"/>
        </w:rPr>
        <w:t xml:space="preserve">, el derecho a un recurso judicial para obtener una reparación por </w:t>
      </w:r>
      <w:r w:rsidR="008C4CAA" w:rsidRPr="00530051">
        <w:rPr>
          <w:rFonts w:ascii="Cambria" w:eastAsia="Times New Roman" w:hAnsi="Cambria"/>
          <w:sz w:val="20"/>
          <w:szCs w:val="20"/>
          <w:lang w:val="es-ES_tradnl"/>
        </w:rPr>
        <w:t xml:space="preserve">crímenes de lesa humanidad </w:t>
      </w:r>
      <w:r w:rsidRPr="00530051">
        <w:rPr>
          <w:rFonts w:ascii="Cambria" w:eastAsia="Times New Roman" w:hAnsi="Cambria"/>
          <w:sz w:val="20"/>
          <w:szCs w:val="20"/>
          <w:lang w:val="es-ES_tradnl"/>
        </w:rPr>
        <w:t>no va en desmedro de este principio, sino</w:t>
      </w:r>
      <w:r w:rsidR="008C4CAA" w:rsidRPr="00530051">
        <w:rPr>
          <w:rFonts w:ascii="Cambria" w:eastAsia="Times New Roman" w:hAnsi="Cambria"/>
          <w:sz w:val="20"/>
          <w:szCs w:val="20"/>
          <w:lang w:val="es-ES_tradnl"/>
        </w:rPr>
        <w:t xml:space="preserve"> que</w:t>
      </w:r>
      <w:r w:rsidRPr="00530051">
        <w:rPr>
          <w:rFonts w:ascii="Cambria" w:eastAsia="Times New Roman" w:hAnsi="Cambria"/>
          <w:sz w:val="20"/>
          <w:szCs w:val="20"/>
          <w:lang w:val="es-ES_tradnl"/>
        </w:rPr>
        <w:t xml:space="preserve"> lo fortalece y contribuye a su optimización. </w:t>
      </w:r>
    </w:p>
    <w:p w:rsidR="00BA15BA" w:rsidRDefault="00BA15BA" w:rsidP="00BA15B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highlight w:val="yellow"/>
          <w:lang w:val="es-ES_tradnl"/>
        </w:rPr>
      </w:pPr>
    </w:p>
    <w:p w:rsidR="00140950" w:rsidRPr="00530051" w:rsidRDefault="00140950" w:rsidP="00BA15BA">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lang w:val="es-ES_tradnl"/>
        </w:rPr>
      </w:pPr>
      <w:r w:rsidRPr="00530051">
        <w:rPr>
          <w:rFonts w:ascii="Cambria" w:eastAsia="Times New Roman" w:hAnsi="Cambria"/>
          <w:sz w:val="20"/>
          <w:szCs w:val="20"/>
          <w:lang w:val="es-ES_tradnl"/>
        </w:rPr>
        <w:t>A</w:t>
      </w:r>
      <w:r w:rsidR="008C4CAA" w:rsidRPr="00530051">
        <w:rPr>
          <w:rFonts w:ascii="Cambria" w:eastAsia="Times New Roman" w:hAnsi="Cambria"/>
          <w:sz w:val="20"/>
          <w:szCs w:val="20"/>
          <w:lang w:val="es-ES_tradnl"/>
        </w:rPr>
        <w:t xml:space="preserve">demás, </w:t>
      </w:r>
      <w:r w:rsidR="00524E67" w:rsidRPr="00530051">
        <w:rPr>
          <w:rFonts w:ascii="Cambria" w:eastAsia="Times New Roman" w:hAnsi="Cambria"/>
          <w:sz w:val="20"/>
          <w:szCs w:val="20"/>
          <w:lang w:val="es-ES_tradnl"/>
        </w:rPr>
        <w:t xml:space="preserve">en términos de proporcionalidad en sentido estricto, la Comisión considera que a </w:t>
      </w:r>
      <w:r w:rsidR="008C4CAA" w:rsidRPr="00530051">
        <w:rPr>
          <w:rFonts w:ascii="Cambria" w:eastAsia="Times New Roman" w:hAnsi="Cambria"/>
          <w:sz w:val="20"/>
          <w:szCs w:val="20"/>
          <w:lang w:val="es-ES_tradnl"/>
        </w:rPr>
        <w:t xml:space="preserve">las reparaciones de crímenes de lesa humanidad, por la gravedad de tales crímenes y su impacto en la sociedad </w:t>
      </w:r>
      <w:r w:rsidR="00524E67" w:rsidRPr="00530051">
        <w:rPr>
          <w:rFonts w:ascii="Cambria" w:eastAsia="Times New Roman" w:hAnsi="Cambria"/>
          <w:sz w:val="20"/>
          <w:szCs w:val="20"/>
          <w:lang w:val="es-ES_tradnl"/>
        </w:rPr>
        <w:t xml:space="preserve">que trasciende a los </w:t>
      </w:r>
      <w:r w:rsidR="008C4CAA" w:rsidRPr="00530051">
        <w:rPr>
          <w:rFonts w:ascii="Cambria" w:eastAsia="Times New Roman" w:hAnsi="Cambria"/>
          <w:sz w:val="20"/>
          <w:szCs w:val="20"/>
          <w:lang w:val="es-ES_tradnl"/>
        </w:rPr>
        <w:t xml:space="preserve">individuos, debe atribuírsele un mayor peso </w:t>
      </w:r>
      <w:r w:rsidR="00130369" w:rsidRPr="00530051">
        <w:rPr>
          <w:rFonts w:ascii="Cambria" w:eastAsia="Times New Roman" w:hAnsi="Cambria"/>
          <w:sz w:val="20"/>
          <w:szCs w:val="20"/>
          <w:lang w:val="es-ES_tradnl"/>
        </w:rPr>
        <w:t>frente al atribuido a la seguridad jurídica.</w:t>
      </w:r>
    </w:p>
    <w:p w:rsidR="00E12799" w:rsidRDefault="00E12799" w:rsidP="00140950">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p>
    <w:p w:rsidR="00323FAD" w:rsidRPr="00DC278B" w:rsidRDefault="00140950"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r>
        <w:rPr>
          <w:rFonts w:ascii="Cambria" w:eastAsia="Times New Roman" w:hAnsi="Cambria"/>
          <w:sz w:val="20"/>
          <w:szCs w:val="20"/>
          <w:bdr w:val="none" w:sz="0" w:space="0" w:color="auto"/>
          <w:lang w:val="es-ES_tradnl"/>
        </w:rPr>
        <w:t>Asimismo, t</w:t>
      </w:r>
      <w:r w:rsidR="00323FAD" w:rsidRPr="00DC278B">
        <w:rPr>
          <w:rFonts w:ascii="Cambria" w:eastAsia="Times New Roman" w:hAnsi="Cambria"/>
          <w:sz w:val="20"/>
          <w:szCs w:val="20"/>
          <w:bdr w:val="none" w:sz="0" w:space="0" w:color="auto"/>
          <w:lang w:val="es-ES_tradnl"/>
        </w:rPr>
        <w:t xml:space="preserve">omando en cuenta los estándares descritos en las secciones anteriores, la Comisión considera que existe claridad en la jurisprudencia interamericana sobre la </w:t>
      </w:r>
      <w:proofErr w:type="spellStart"/>
      <w:r w:rsidR="00323FAD" w:rsidRPr="00DC278B">
        <w:rPr>
          <w:rFonts w:ascii="Cambria" w:eastAsia="Times New Roman" w:hAnsi="Cambria"/>
          <w:sz w:val="20"/>
          <w:szCs w:val="20"/>
          <w:bdr w:val="none" w:sz="0" w:space="0" w:color="auto"/>
          <w:lang w:val="es-ES_tradnl"/>
        </w:rPr>
        <w:t>inconvencionalidad</w:t>
      </w:r>
      <w:proofErr w:type="spellEnd"/>
      <w:r w:rsidR="00323FAD" w:rsidRPr="00DC278B">
        <w:rPr>
          <w:rFonts w:ascii="Cambria" w:eastAsia="Times New Roman" w:hAnsi="Cambria"/>
          <w:sz w:val="20"/>
          <w:szCs w:val="20"/>
          <w:bdr w:val="none" w:sz="0" w:space="0" w:color="auto"/>
          <w:lang w:val="es-ES_tradnl"/>
        </w:rPr>
        <w:t xml:space="preserve"> de la aplicación de la figura de prescripción de la acción penal en casos de graves violaciones de derechos humanos. La Comisión entiende que la razón de ser de dicha prohibición se relaciona con el carácter </w:t>
      </w:r>
      <w:r w:rsidR="00323FAD" w:rsidRPr="00DC278B">
        <w:rPr>
          <w:rFonts w:ascii="Cambria" w:eastAsia="Times New Roman" w:hAnsi="Cambria"/>
          <w:sz w:val="20"/>
          <w:szCs w:val="20"/>
          <w:bdr w:val="none" w:sz="0" w:space="0" w:color="auto"/>
          <w:lang w:val="es-ES_tradnl"/>
        </w:rPr>
        <w:lastRenderedPageBreak/>
        <w:t>fundamental que tiene para las víctimas de</w:t>
      </w:r>
      <w:r w:rsidR="00CE6E41" w:rsidRPr="00DC278B">
        <w:rPr>
          <w:rFonts w:ascii="Cambria" w:eastAsia="Times New Roman" w:hAnsi="Cambria"/>
          <w:sz w:val="20"/>
          <w:szCs w:val="20"/>
          <w:bdr w:val="none" w:sz="0" w:space="0" w:color="auto"/>
          <w:lang w:val="es-ES_tradnl"/>
        </w:rPr>
        <w:t xml:space="preserve"> graves </w:t>
      </w:r>
      <w:r w:rsidR="00323FAD" w:rsidRPr="00DC278B">
        <w:rPr>
          <w:rFonts w:ascii="Cambria" w:eastAsia="Times New Roman" w:hAnsi="Cambria"/>
          <w:sz w:val="20"/>
          <w:szCs w:val="20"/>
          <w:bdr w:val="none" w:sz="0" w:space="0" w:color="auto"/>
          <w:lang w:val="es-ES_tradnl"/>
        </w:rPr>
        <w:t>violaciones de derechos humanos, el esclarecimiento de los hechos y la obtención de justicia</w:t>
      </w:r>
      <w:r w:rsidR="009C1B1A" w:rsidRPr="00DC278B">
        <w:rPr>
          <w:rFonts w:ascii="Cambria" w:eastAsia="Times New Roman" w:hAnsi="Cambria"/>
          <w:sz w:val="20"/>
          <w:szCs w:val="20"/>
          <w:bdr w:val="none" w:sz="0" w:space="0" w:color="auto"/>
          <w:lang w:val="es-ES_tradnl"/>
        </w:rPr>
        <w:t xml:space="preserve">. La Comisión no encuentra razones para </w:t>
      </w:r>
      <w:r w:rsidR="00D91194" w:rsidRPr="00DC278B">
        <w:rPr>
          <w:rFonts w:ascii="Cambria" w:eastAsia="Times New Roman" w:hAnsi="Cambria"/>
          <w:sz w:val="20"/>
          <w:szCs w:val="20"/>
          <w:bdr w:val="none" w:sz="0" w:space="0" w:color="auto"/>
          <w:lang w:val="es-ES_tradnl"/>
        </w:rPr>
        <w:t>aplicar un estándar distinto a un aspecto igualmente fundamental como lo es la reparació</w:t>
      </w:r>
      <w:r w:rsidR="00160C68" w:rsidRPr="00DC278B">
        <w:rPr>
          <w:rFonts w:ascii="Cambria" w:eastAsia="Times New Roman" w:hAnsi="Cambria"/>
          <w:sz w:val="20"/>
          <w:szCs w:val="20"/>
          <w:bdr w:val="none" w:sz="0" w:space="0" w:color="auto"/>
          <w:lang w:val="es-ES_tradnl"/>
        </w:rPr>
        <w:t xml:space="preserve">n en este tipo de casos. </w:t>
      </w:r>
      <w:r w:rsidR="00E0789D" w:rsidRPr="00DC278B">
        <w:rPr>
          <w:rFonts w:ascii="Cambria" w:eastAsia="Times New Roman" w:hAnsi="Cambria"/>
          <w:sz w:val="20"/>
          <w:szCs w:val="20"/>
          <w:bdr w:val="none" w:sz="0" w:space="0" w:color="auto"/>
          <w:lang w:val="es-ES_tradnl"/>
        </w:rPr>
        <w:t>Esto resulta además consistente con los desarrollos citados en</w:t>
      </w:r>
      <w:r w:rsidR="005F2090" w:rsidRPr="00DC278B">
        <w:rPr>
          <w:rFonts w:ascii="Cambria" w:eastAsia="Times New Roman" w:hAnsi="Cambria"/>
          <w:sz w:val="20"/>
          <w:szCs w:val="20"/>
          <w:bdr w:val="none" w:sz="0" w:space="0" w:color="auto"/>
          <w:lang w:val="es-ES_tradnl"/>
        </w:rPr>
        <w:t xml:space="preserve"> el sistema de Naciones Unidas </w:t>
      </w:r>
      <w:r w:rsidR="001B4452" w:rsidRPr="00DC278B">
        <w:rPr>
          <w:rFonts w:ascii="Cambria" w:eastAsia="Times New Roman" w:hAnsi="Cambria"/>
          <w:sz w:val="20"/>
          <w:szCs w:val="20"/>
          <w:bdr w:val="none" w:sz="0" w:space="0" w:color="auto"/>
          <w:lang w:val="es-ES_tradnl"/>
        </w:rPr>
        <w:t xml:space="preserve">y en el derecho comparado </w:t>
      </w:r>
      <w:r w:rsidR="005F2090" w:rsidRPr="00DC278B">
        <w:rPr>
          <w:rFonts w:ascii="Cambria" w:eastAsia="Times New Roman" w:hAnsi="Cambria"/>
          <w:sz w:val="20"/>
          <w:szCs w:val="20"/>
          <w:bdr w:val="none" w:sz="0" w:space="0" w:color="auto"/>
          <w:lang w:val="es-ES_tradnl"/>
        </w:rPr>
        <w:t>que apuntan a que las acciones</w:t>
      </w:r>
      <w:r w:rsidR="00DD6425" w:rsidRPr="00DC278B">
        <w:rPr>
          <w:rFonts w:ascii="Cambria" w:eastAsia="Times New Roman" w:hAnsi="Cambria"/>
          <w:sz w:val="20"/>
          <w:szCs w:val="20"/>
          <w:bdr w:val="none" w:sz="0" w:space="0" w:color="auto"/>
          <w:lang w:val="es-ES_tradnl"/>
        </w:rPr>
        <w:t xml:space="preserve"> judiciales</w:t>
      </w:r>
      <w:r w:rsidR="005F2090" w:rsidRPr="00DC278B">
        <w:rPr>
          <w:rFonts w:ascii="Cambria" w:eastAsia="Times New Roman" w:hAnsi="Cambria"/>
          <w:sz w:val="20"/>
          <w:szCs w:val="20"/>
          <w:bdr w:val="none" w:sz="0" w:space="0" w:color="auto"/>
          <w:lang w:val="es-ES_tradnl"/>
        </w:rPr>
        <w:t xml:space="preserve"> de reparación de</w:t>
      </w:r>
      <w:r w:rsidR="00E3423E" w:rsidRPr="00DC278B">
        <w:rPr>
          <w:rFonts w:ascii="Cambria" w:eastAsia="Times New Roman" w:hAnsi="Cambria"/>
          <w:sz w:val="20"/>
          <w:szCs w:val="20"/>
          <w:bdr w:val="none" w:sz="0" w:space="0" w:color="auto"/>
          <w:lang w:val="es-ES_tradnl"/>
        </w:rPr>
        <w:t xml:space="preserve">l daño causado por </w:t>
      </w:r>
      <w:r w:rsidR="005F2090" w:rsidRPr="00DC278B">
        <w:rPr>
          <w:rFonts w:ascii="Cambria" w:eastAsia="Times New Roman" w:hAnsi="Cambria"/>
          <w:sz w:val="20"/>
          <w:szCs w:val="20"/>
          <w:bdr w:val="none" w:sz="0" w:space="0" w:color="auto"/>
          <w:lang w:val="es-ES_tradnl"/>
        </w:rPr>
        <w:t>crímenes internacionales</w:t>
      </w:r>
      <w:r w:rsidR="00BE5815" w:rsidRPr="00DC278B">
        <w:rPr>
          <w:rFonts w:ascii="Cambria" w:eastAsia="Times New Roman" w:hAnsi="Cambria"/>
          <w:sz w:val="20"/>
          <w:szCs w:val="20"/>
          <w:bdr w:val="none" w:sz="0" w:space="0" w:color="auto"/>
          <w:lang w:val="es-ES_tradnl"/>
        </w:rPr>
        <w:t>, como crímenes de lesa humanidad,</w:t>
      </w:r>
      <w:r w:rsidR="005F2090" w:rsidRPr="00DC278B">
        <w:rPr>
          <w:rFonts w:ascii="Cambria" w:eastAsia="Times New Roman" w:hAnsi="Cambria"/>
          <w:sz w:val="20"/>
          <w:szCs w:val="20"/>
          <w:bdr w:val="none" w:sz="0" w:space="0" w:color="auto"/>
          <w:lang w:val="es-ES_tradnl"/>
        </w:rPr>
        <w:t xml:space="preserve"> no deberían </w:t>
      </w:r>
      <w:r w:rsidR="002F16EA" w:rsidRPr="00DC278B">
        <w:rPr>
          <w:rFonts w:ascii="Cambria" w:eastAsia="Times New Roman" w:hAnsi="Cambria"/>
          <w:sz w:val="20"/>
          <w:szCs w:val="20"/>
          <w:bdr w:val="none" w:sz="0" w:space="0" w:color="auto"/>
          <w:lang w:val="es-ES_tradnl"/>
        </w:rPr>
        <w:t xml:space="preserve">estar </w:t>
      </w:r>
      <w:r w:rsidR="005F2090" w:rsidRPr="00DC278B">
        <w:rPr>
          <w:rFonts w:ascii="Cambria" w:eastAsia="Times New Roman" w:hAnsi="Cambria"/>
          <w:sz w:val="20"/>
          <w:szCs w:val="20"/>
          <w:bdr w:val="none" w:sz="0" w:space="0" w:color="auto"/>
          <w:lang w:val="es-ES_tradnl"/>
        </w:rPr>
        <w:t>su</w:t>
      </w:r>
      <w:r w:rsidR="00CE6E41" w:rsidRPr="00DC278B">
        <w:rPr>
          <w:rFonts w:ascii="Cambria" w:eastAsia="Times New Roman" w:hAnsi="Cambria"/>
          <w:sz w:val="20"/>
          <w:szCs w:val="20"/>
          <w:bdr w:val="none" w:sz="0" w:space="0" w:color="auto"/>
          <w:lang w:val="es-ES_tradnl"/>
        </w:rPr>
        <w:t>jetas a prescripción.</w:t>
      </w:r>
      <w:r w:rsidR="001459AD" w:rsidRPr="00DC278B">
        <w:rPr>
          <w:rFonts w:ascii="Cambria" w:eastAsia="Times New Roman" w:hAnsi="Cambria"/>
          <w:sz w:val="20"/>
          <w:szCs w:val="20"/>
          <w:bdr w:val="none" w:sz="0" w:space="0" w:color="auto"/>
          <w:lang w:val="es-ES_tradnl"/>
        </w:rPr>
        <w:t xml:space="preserve"> </w:t>
      </w:r>
    </w:p>
    <w:p w:rsidR="00323FAD" w:rsidRPr="00DC278B" w:rsidRDefault="00323FAD" w:rsidP="00DC278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CO"/>
        </w:rPr>
      </w:pPr>
    </w:p>
    <w:p w:rsidR="00332F4D" w:rsidRPr="00DC278B" w:rsidRDefault="006A501D"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r w:rsidRPr="00DC278B">
        <w:rPr>
          <w:rFonts w:ascii="Cambria" w:eastAsia="Times New Roman" w:hAnsi="Cambria"/>
          <w:sz w:val="20"/>
          <w:szCs w:val="20"/>
          <w:bdr w:val="none" w:sz="0" w:space="0" w:color="auto"/>
          <w:lang w:val="es-CO"/>
        </w:rPr>
        <w:t>L</w:t>
      </w:r>
      <w:r w:rsidR="00332F4D" w:rsidRPr="00DC278B">
        <w:rPr>
          <w:rFonts w:ascii="Cambria" w:eastAsia="Times New Roman" w:hAnsi="Cambria"/>
          <w:sz w:val="20"/>
          <w:szCs w:val="20"/>
          <w:bdr w:val="none" w:sz="0" w:space="0" w:color="auto"/>
          <w:lang w:val="es-CO"/>
        </w:rPr>
        <w:t xml:space="preserve">a Comisión destaca que en el caso </w:t>
      </w:r>
      <w:proofErr w:type="spellStart"/>
      <w:r w:rsidR="00332F4D" w:rsidRPr="00DC278B">
        <w:rPr>
          <w:rFonts w:ascii="Cambria" w:eastAsia="Times New Roman" w:hAnsi="Cambria"/>
          <w:i/>
          <w:sz w:val="20"/>
          <w:szCs w:val="20"/>
          <w:bdr w:val="none" w:sz="0" w:space="0" w:color="auto"/>
          <w:lang w:val="es-CO"/>
        </w:rPr>
        <w:t>Almonacid</w:t>
      </w:r>
      <w:proofErr w:type="spellEnd"/>
      <w:r w:rsidR="00332F4D" w:rsidRPr="00DC278B">
        <w:rPr>
          <w:rFonts w:ascii="Cambria" w:eastAsia="Times New Roman" w:hAnsi="Cambria"/>
          <w:i/>
          <w:sz w:val="20"/>
          <w:szCs w:val="20"/>
          <w:bdr w:val="none" w:sz="0" w:space="0" w:color="auto"/>
          <w:lang w:val="es-CO"/>
        </w:rPr>
        <w:t xml:space="preserve"> Arellano</w:t>
      </w:r>
      <w:r w:rsidR="00332F4D" w:rsidRPr="00DC278B">
        <w:rPr>
          <w:rFonts w:ascii="Cambria" w:eastAsia="Times New Roman" w:hAnsi="Cambria"/>
          <w:sz w:val="20"/>
          <w:szCs w:val="20"/>
          <w:bdr w:val="none" w:sz="0" w:space="0" w:color="auto"/>
          <w:lang w:val="es-CO"/>
        </w:rPr>
        <w:t xml:space="preserve"> </w:t>
      </w:r>
      <w:r w:rsidR="00332F4D" w:rsidRPr="00DC278B">
        <w:rPr>
          <w:rFonts w:ascii="Cambria" w:eastAsia="Times New Roman" w:hAnsi="Cambria"/>
          <w:i/>
          <w:sz w:val="20"/>
          <w:szCs w:val="20"/>
          <w:bdr w:val="none" w:sz="0" w:space="0" w:color="auto"/>
          <w:lang w:val="es-CO"/>
        </w:rPr>
        <w:t>y otros</w:t>
      </w:r>
      <w:r w:rsidR="00332F4D" w:rsidRPr="00DC278B">
        <w:rPr>
          <w:rFonts w:ascii="Cambria" w:eastAsia="Times New Roman" w:hAnsi="Cambria"/>
          <w:sz w:val="20"/>
          <w:szCs w:val="20"/>
          <w:bdr w:val="none" w:sz="0" w:space="0" w:color="auto"/>
          <w:lang w:val="es-CO"/>
        </w:rPr>
        <w:t>, la Corte</w:t>
      </w:r>
      <w:r w:rsidR="002D2BDD">
        <w:rPr>
          <w:rFonts w:ascii="Cambria" w:eastAsia="Times New Roman" w:hAnsi="Cambria"/>
          <w:sz w:val="20"/>
          <w:szCs w:val="20"/>
          <w:bdr w:val="none" w:sz="0" w:space="0" w:color="auto"/>
          <w:lang w:val="es-CO"/>
        </w:rPr>
        <w:t xml:space="preserve"> Interamericana estableció que</w:t>
      </w:r>
      <w:r w:rsidR="00332F4D" w:rsidRPr="00DC278B">
        <w:rPr>
          <w:rFonts w:ascii="Cambria" w:eastAsia="Times New Roman" w:hAnsi="Cambria"/>
          <w:sz w:val="20"/>
          <w:szCs w:val="20"/>
          <w:bdr w:val="none" w:sz="0" w:space="0" w:color="auto"/>
          <w:lang w:val="es-CO"/>
        </w:rPr>
        <w:t xml:space="preserve"> la dictadura militar estuvo caracterizada por la existencia de crímenes de lesa humanidad</w:t>
      </w:r>
      <w:r w:rsidR="00332F4D" w:rsidRPr="00DC278B">
        <w:rPr>
          <w:rFonts w:ascii="Cambria" w:hAnsi="Cambria"/>
          <w:sz w:val="20"/>
          <w:szCs w:val="20"/>
          <w:bdr w:val="none" w:sz="0" w:space="0" w:color="auto"/>
          <w:vertAlign w:val="superscript"/>
          <w:lang w:val="es-CO"/>
        </w:rPr>
        <w:footnoteReference w:id="161"/>
      </w:r>
      <w:r w:rsidR="00332F4D" w:rsidRPr="00DC278B">
        <w:rPr>
          <w:rFonts w:ascii="Cambria" w:eastAsia="Times New Roman" w:hAnsi="Cambria"/>
          <w:sz w:val="20"/>
          <w:szCs w:val="20"/>
          <w:bdr w:val="none" w:sz="0" w:space="0" w:color="auto"/>
          <w:lang w:val="es-CO"/>
        </w:rPr>
        <w:t xml:space="preserve">. En palabras de la Corte: </w:t>
      </w:r>
    </w:p>
    <w:p w:rsidR="00332F4D" w:rsidRPr="00DC278B" w:rsidRDefault="00332F4D" w:rsidP="00DC278B">
      <w:pPr>
        <w:pStyle w:val="MediumGrid1-Accent21"/>
        <w:rPr>
          <w:color w:val="auto"/>
          <w:sz w:val="20"/>
          <w:szCs w:val="20"/>
          <w:lang w:val="es-CO"/>
        </w:rPr>
      </w:pPr>
    </w:p>
    <w:p w:rsidR="00332F4D" w:rsidRPr="00DC278B" w:rsidRDefault="00332F4D" w:rsidP="00DC278B">
      <w:pPr>
        <w:pStyle w:val="MediumGrid1-Accent21"/>
        <w:autoSpaceDE w:val="0"/>
        <w:autoSpaceDN w:val="0"/>
        <w:adjustRightInd w:val="0"/>
        <w:ind w:right="720"/>
        <w:jc w:val="both"/>
        <w:rPr>
          <w:rFonts w:eastAsia="Times New Roman"/>
          <w:color w:val="auto"/>
          <w:sz w:val="20"/>
          <w:szCs w:val="20"/>
          <w:bdr w:val="none" w:sz="0" w:space="0" w:color="auto"/>
          <w:lang w:val="es-CO"/>
        </w:rPr>
      </w:pPr>
      <w:proofErr w:type="gramStart"/>
      <w:r w:rsidRPr="00DC278B">
        <w:rPr>
          <w:color w:val="auto"/>
          <w:sz w:val="20"/>
          <w:szCs w:val="20"/>
          <w:lang w:val="es-CO"/>
        </w:rPr>
        <w:t>encuentra</w:t>
      </w:r>
      <w:proofErr w:type="gramEnd"/>
      <w:r w:rsidRPr="00DC278B">
        <w:rPr>
          <w:color w:val="auto"/>
          <w:sz w:val="20"/>
          <w:szCs w:val="20"/>
          <w:lang w:val="es-CO"/>
        </w:rPr>
        <w:t xml:space="preserve"> que hay amplia evidencia para concluir que en 1973, </w:t>
      </w:r>
      <w:r w:rsidRPr="00DC278B">
        <w:rPr>
          <w:color w:val="auto"/>
          <w:sz w:val="20"/>
          <w:szCs w:val="20"/>
          <w:lang w:val="es-ES"/>
        </w:rPr>
        <w:t>[…]</w:t>
      </w:r>
      <w:r w:rsidRPr="00DC278B">
        <w:rPr>
          <w:color w:val="auto"/>
          <w:sz w:val="20"/>
          <w:szCs w:val="20"/>
          <w:lang w:val="es-CO"/>
        </w:rPr>
        <w:t xml:space="preserve">, la comisión de crímenes de lesa humanidad, incluido el asesinato ejecutado en un contexto de ataque generalizado o sistemático contra sectores de la población civil, era violatoria de una norma imperativa del derecho internacional. Dicha prohibición de cometer crímenes de lesa humanidad es una norma de </w:t>
      </w:r>
      <w:proofErr w:type="spellStart"/>
      <w:r w:rsidRPr="00DC278B">
        <w:rPr>
          <w:i/>
          <w:iCs/>
          <w:color w:val="auto"/>
          <w:sz w:val="20"/>
          <w:szCs w:val="20"/>
          <w:lang w:val="es-CO"/>
        </w:rPr>
        <w:t>ius</w:t>
      </w:r>
      <w:proofErr w:type="spellEnd"/>
      <w:r w:rsidRPr="00DC278B">
        <w:rPr>
          <w:i/>
          <w:iCs/>
          <w:color w:val="auto"/>
          <w:sz w:val="20"/>
          <w:szCs w:val="20"/>
          <w:lang w:val="es-CO"/>
        </w:rPr>
        <w:t xml:space="preserve"> </w:t>
      </w:r>
      <w:proofErr w:type="spellStart"/>
      <w:r w:rsidRPr="00DC278B">
        <w:rPr>
          <w:i/>
          <w:iCs/>
          <w:color w:val="auto"/>
          <w:sz w:val="20"/>
          <w:szCs w:val="20"/>
          <w:lang w:val="es-CO"/>
        </w:rPr>
        <w:t>cogens</w:t>
      </w:r>
      <w:proofErr w:type="spellEnd"/>
      <w:r w:rsidRPr="00DC278B">
        <w:rPr>
          <w:i/>
          <w:iCs/>
          <w:color w:val="auto"/>
          <w:sz w:val="20"/>
          <w:szCs w:val="20"/>
          <w:lang w:val="es-CO"/>
        </w:rPr>
        <w:t xml:space="preserve">, </w:t>
      </w:r>
      <w:r w:rsidRPr="00DC278B">
        <w:rPr>
          <w:color w:val="auto"/>
          <w:sz w:val="20"/>
          <w:szCs w:val="20"/>
          <w:lang w:val="es-CO"/>
        </w:rPr>
        <w:t>y la penalización de estos crímenes es obligatoria conforme al derecho internacional general</w:t>
      </w:r>
      <w:r w:rsidRPr="00DC278B">
        <w:rPr>
          <w:color w:val="auto"/>
          <w:sz w:val="20"/>
          <w:szCs w:val="20"/>
          <w:bdr w:val="none" w:sz="0" w:space="0" w:color="auto"/>
          <w:vertAlign w:val="superscript"/>
          <w:lang w:val="es-CO"/>
        </w:rPr>
        <w:footnoteReference w:id="162"/>
      </w:r>
      <w:r w:rsidRPr="00DC278B">
        <w:rPr>
          <w:color w:val="auto"/>
          <w:sz w:val="20"/>
          <w:szCs w:val="20"/>
          <w:lang w:val="es-CO"/>
        </w:rPr>
        <w:t>.</w:t>
      </w:r>
    </w:p>
    <w:p w:rsidR="00332F4D" w:rsidRPr="00DC278B" w:rsidRDefault="00332F4D" w:rsidP="00DC278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p>
    <w:p w:rsidR="00E7135B" w:rsidRPr="00DC278B" w:rsidRDefault="00332F4D"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r w:rsidRPr="00DC278B">
        <w:rPr>
          <w:rFonts w:ascii="Cambria" w:eastAsia="Times New Roman" w:hAnsi="Cambria"/>
          <w:sz w:val="20"/>
          <w:szCs w:val="20"/>
          <w:bdr w:val="none" w:sz="0" w:space="0" w:color="auto"/>
          <w:lang w:val="es-ES_tradnl"/>
        </w:rPr>
        <w:t xml:space="preserve">Conforme a lo hechos establecidos y las fechas en que ocurrieron o empezaron a ocurrir las violaciones primarias respecto de las cuales las presuntas víctimas del presente caso buscan una reparación, todas a partir de septiembre de 1973, la Comisión considera que </w:t>
      </w:r>
      <w:r w:rsidR="00322373" w:rsidRPr="00DC278B">
        <w:rPr>
          <w:rFonts w:ascii="Cambria" w:eastAsia="Times New Roman" w:hAnsi="Cambria"/>
          <w:sz w:val="20"/>
          <w:szCs w:val="20"/>
          <w:bdr w:val="none" w:sz="0" w:space="0" w:color="auto"/>
          <w:lang w:val="es-ES_tradnl"/>
        </w:rPr>
        <w:t xml:space="preserve">las mismas </w:t>
      </w:r>
      <w:r w:rsidRPr="00DC278B">
        <w:rPr>
          <w:rFonts w:ascii="Cambria" w:eastAsia="Times New Roman" w:hAnsi="Cambria"/>
          <w:sz w:val="20"/>
          <w:szCs w:val="20"/>
          <w:bdr w:val="none" w:sz="0" w:space="0" w:color="auto"/>
          <w:lang w:val="es-ES_tradnl"/>
        </w:rPr>
        <w:t>hacen parte de los crímenes de lesa humanidad cometido</w:t>
      </w:r>
      <w:r w:rsidR="00E7135B" w:rsidRPr="00DC278B">
        <w:rPr>
          <w:rFonts w:ascii="Cambria" w:eastAsia="Times New Roman" w:hAnsi="Cambria"/>
          <w:sz w:val="20"/>
          <w:szCs w:val="20"/>
          <w:bdr w:val="none" w:sz="0" w:space="0" w:color="auto"/>
          <w:lang w:val="es-ES_tradnl"/>
        </w:rPr>
        <w:t>s durante la dictadura militar.</w:t>
      </w:r>
      <w:r w:rsidR="00542C2F" w:rsidRPr="00DC278B">
        <w:rPr>
          <w:rFonts w:ascii="Cambria" w:eastAsia="Times New Roman" w:hAnsi="Cambria"/>
          <w:sz w:val="20"/>
          <w:szCs w:val="20"/>
          <w:bdr w:val="none" w:sz="0" w:space="0" w:color="auto"/>
          <w:lang w:val="es-ES_tradnl"/>
        </w:rPr>
        <w:t xml:space="preserve"> El Estado no controvirtió esta calificación de los hechos. </w:t>
      </w:r>
      <w:r w:rsidR="003D4F84" w:rsidRPr="00DC278B">
        <w:rPr>
          <w:rFonts w:ascii="Cambria" w:eastAsia="Times New Roman" w:hAnsi="Cambria"/>
          <w:sz w:val="20"/>
          <w:szCs w:val="20"/>
          <w:bdr w:val="none" w:sz="0" w:space="0" w:color="auto"/>
          <w:lang w:val="es-ES_tradnl"/>
        </w:rPr>
        <w:t xml:space="preserve">En ese sentido, la Comisión considera que </w:t>
      </w:r>
      <w:r w:rsidR="00810E0A" w:rsidRPr="00DC278B">
        <w:rPr>
          <w:rFonts w:ascii="Cambria" w:eastAsia="Times New Roman" w:hAnsi="Cambria"/>
          <w:sz w:val="20"/>
          <w:szCs w:val="20"/>
          <w:bdr w:val="none" w:sz="0" w:space="0" w:color="auto"/>
          <w:lang w:val="es-ES_tradnl"/>
        </w:rPr>
        <w:t>la aplicación de la figura de prescripción a las acciones</w:t>
      </w:r>
      <w:r w:rsidR="00D96D5B" w:rsidRPr="00DC278B">
        <w:rPr>
          <w:rFonts w:ascii="Cambria" w:eastAsia="Times New Roman" w:hAnsi="Cambria"/>
          <w:sz w:val="20"/>
          <w:szCs w:val="20"/>
          <w:bdr w:val="none" w:sz="0" w:space="0" w:color="auto"/>
          <w:lang w:val="es-ES_tradnl"/>
        </w:rPr>
        <w:t xml:space="preserve"> civiles de reparación interpuestas en el presente caso, </w:t>
      </w:r>
      <w:r w:rsidR="00810E0A" w:rsidRPr="00DC278B">
        <w:rPr>
          <w:rFonts w:ascii="Cambria" w:eastAsia="Times New Roman" w:hAnsi="Cambria"/>
          <w:sz w:val="20"/>
          <w:szCs w:val="20"/>
          <w:bdr w:val="none" w:sz="0" w:space="0" w:color="auto"/>
          <w:lang w:val="es-ES_tradnl"/>
        </w:rPr>
        <w:t>constituyó un obstáculo en el acceso</w:t>
      </w:r>
      <w:r w:rsidR="00EA2F70" w:rsidRPr="00DC278B">
        <w:rPr>
          <w:rFonts w:ascii="Cambria" w:eastAsia="Times New Roman" w:hAnsi="Cambria"/>
          <w:sz w:val="20"/>
          <w:szCs w:val="20"/>
          <w:bdr w:val="none" w:sz="0" w:space="0" w:color="auto"/>
          <w:lang w:val="es-ES_tradnl"/>
        </w:rPr>
        <w:t xml:space="preserve"> efectivo</w:t>
      </w:r>
      <w:r w:rsidR="00810E0A" w:rsidRPr="00DC278B">
        <w:rPr>
          <w:rFonts w:ascii="Cambria" w:eastAsia="Times New Roman" w:hAnsi="Cambria"/>
          <w:sz w:val="20"/>
          <w:szCs w:val="20"/>
          <w:bdr w:val="none" w:sz="0" w:space="0" w:color="auto"/>
          <w:lang w:val="es-ES_tradnl"/>
        </w:rPr>
        <w:t xml:space="preserve"> a la just</w:t>
      </w:r>
      <w:r w:rsidR="00270DB4" w:rsidRPr="00DC278B">
        <w:rPr>
          <w:rFonts w:ascii="Cambria" w:eastAsia="Times New Roman" w:hAnsi="Cambria"/>
          <w:sz w:val="20"/>
          <w:szCs w:val="20"/>
          <w:bdr w:val="none" w:sz="0" w:space="0" w:color="auto"/>
          <w:lang w:val="es-ES_tradnl"/>
        </w:rPr>
        <w:t>icia para hacer efectivo el derecho de las víctimas a ser reparadas</w:t>
      </w:r>
    </w:p>
    <w:p w:rsidR="00490384" w:rsidRPr="00DC278B" w:rsidRDefault="00490384" w:rsidP="00DC278B">
      <w:pPr>
        <w:pStyle w:val="MediumGrid1-Accent21"/>
        <w:ind w:left="0"/>
        <w:rPr>
          <w:rFonts w:eastAsia="Times New Roman"/>
          <w:color w:val="auto"/>
          <w:sz w:val="20"/>
          <w:szCs w:val="20"/>
          <w:bdr w:val="none" w:sz="0" w:space="0" w:color="auto"/>
          <w:lang w:val="es-ES_tradnl"/>
        </w:rPr>
      </w:pPr>
    </w:p>
    <w:p w:rsidR="00021607" w:rsidRDefault="00EA2F70" w:rsidP="002D2BDD">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r w:rsidRPr="00DC278B">
        <w:rPr>
          <w:rFonts w:ascii="Cambria" w:eastAsia="Times New Roman" w:hAnsi="Cambria"/>
          <w:sz w:val="20"/>
          <w:szCs w:val="20"/>
          <w:bdr w:val="none" w:sz="0" w:space="0" w:color="auto"/>
          <w:lang w:val="es-ES_tradnl"/>
        </w:rPr>
        <w:t>Con base e</w:t>
      </w:r>
      <w:r w:rsidR="0021687A" w:rsidRPr="00DC278B">
        <w:rPr>
          <w:rFonts w:ascii="Cambria" w:eastAsia="Times New Roman" w:hAnsi="Cambria"/>
          <w:sz w:val="20"/>
          <w:szCs w:val="20"/>
          <w:bdr w:val="none" w:sz="0" w:space="0" w:color="auto"/>
          <w:lang w:val="es-ES_tradnl"/>
        </w:rPr>
        <w:t>n las anteriores</w:t>
      </w:r>
      <w:r w:rsidR="00B723B5" w:rsidRPr="00DC278B">
        <w:rPr>
          <w:rFonts w:ascii="Cambria" w:eastAsia="Times New Roman" w:hAnsi="Cambria"/>
          <w:sz w:val="20"/>
          <w:szCs w:val="20"/>
          <w:bdr w:val="none" w:sz="0" w:space="0" w:color="auto"/>
          <w:lang w:val="es-ES_tradnl"/>
        </w:rPr>
        <w:t xml:space="preserve"> consideraciones</w:t>
      </w:r>
      <w:r w:rsidR="0021687A" w:rsidRPr="00DC278B">
        <w:rPr>
          <w:rFonts w:ascii="Cambria" w:eastAsia="Times New Roman" w:hAnsi="Cambria"/>
          <w:sz w:val="20"/>
          <w:szCs w:val="20"/>
          <w:bdr w:val="none" w:sz="0" w:space="0" w:color="auto"/>
          <w:lang w:val="es-ES_tradnl"/>
        </w:rPr>
        <w:t xml:space="preserve">, la Comisión concluye que </w:t>
      </w:r>
      <w:r w:rsidR="00C512B7" w:rsidRPr="00DC278B">
        <w:rPr>
          <w:rFonts w:ascii="Cambria" w:eastAsia="Times New Roman" w:hAnsi="Cambria"/>
          <w:sz w:val="20"/>
          <w:szCs w:val="20"/>
          <w:bdr w:val="none" w:sz="0" w:space="0" w:color="auto"/>
          <w:lang w:val="es-ES_tradnl"/>
        </w:rPr>
        <w:t xml:space="preserve">el Estado </w:t>
      </w:r>
      <w:r w:rsidRPr="00DC278B">
        <w:rPr>
          <w:rFonts w:ascii="Cambria" w:eastAsia="Times New Roman" w:hAnsi="Cambria"/>
          <w:sz w:val="20"/>
          <w:szCs w:val="20"/>
          <w:bdr w:val="none" w:sz="0" w:space="0" w:color="auto"/>
          <w:lang w:val="es-ES_tradnl"/>
        </w:rPr>
        <w:t xml:space="preserve">de Chile </w:t>
      </w:r>
      <w:r w:rsidR="001048C3" w:rsidRPr="00DC278B">
        <w:rPr>
          <w:rFonts w:ascii="Cambria" w:eastAsia="Times New Roman" w:hAnsi="Cambria"/>
          <w:sz w:val="20"/>
          <w:szCs w:val="20"/>
          <w:bdr w:val="none" w:sz="0" w:space="0" w:color="auto"/>
          <w:lang w:val="es-ES_tradnl"/>
        </w:rPr>
        <w:t xml:space="preserve">violó </w:t>
      </w:r>
      <w:r w:rsidR="0021687A" w:rsidRPr="00DC278B">
        <w:rPr>
          <w:rFonts w:ascii="Cambria" w:eastAsia="Times New Roman" w:hAnsi="Cambria"/>
          <w:sz w:val="20"/>
          <w:szCs w:val="20"/>
          <w:bdr w:val="none" w:sz="0" w:space="0" w:color="auto"/>
          <w:lang w:val="es-ES_tradnl"/>
        </w:rPr>
        <w:t xml:space="preserve">los derechos a las garantías judiciales y la protección judicial </w:t>
      </w:r>
      <w:r w:rsidR="001048C3" w:rsidRPr="00DC278B">
        <w:rPr>
          <w:rFonts w:ascii="Cambria" w:eastAsia="Times New Roman" w:hAnsi="Cambria"/>
          <w:sz w:val="20"/>
          <w:szCs w:val="20"/>
          <w:bdr w:val="none" w:sz="0" w:space="0" w:color="auto"/>
          <w:lang w:val="es-ES_tradnl"/>
        </w:rPr>
        <w:t>contemplado</w:t>
      </w:r>
      <w:r w:rsidR="0021687A" w:rsidRPr="00DC278B">
        <w:rPr>
          <w:rFonts w:ascii="Cambria" w:eastAsia="Times New Roman" w:hAnsi="Cambria"/>
          <w:sz w:val="20"/>
          <w:szCs w:val="20"/>
          <w:bdr w:val="none" w:sz="0" w:space="0" w:color="auto"/>
          <w:lang w:val="es-ES_tradnl"/>
        </w:rPr>
        <w:t>s en los artículos en los artículos 8.1 y 25</w:t>
      </w:r>
      <w:r w:rsidR="00B17949" w:rsidRPr="00DC278B">
        <w:rPr>
          <w:rFonts w:ascii="Cambria" w:eastAsia="Times New Roman" w:hAnsi="Cambria"/>
          <w:sz w:val="20"/>
          <w:szCs w:val="20"/>
          <w:bdr w:val="none" w:sz="0" w:space="0" w:color="auto"/>
          <w:lang w:val="es-ES_tradnl"/>
        </w:rPr>
        <w:t>.1</w:t>
      </w:r>
      <w:r w:rsidR="0021687A" w:rsidRPr="00DC278B">
        <w:rPr>
          <w:rFonts w:ascii="Cambria" w:eastAsia="Times New Roman" w:hAnsi="Cambria"/>
          <w:sz w:val="20"/>
          <w:szCs w:val="20"/>
          <w:bdr w:val="none" w:sz="0" w:space="0" w:color="auto"/>
          <w:lang w:val="es-ES_tradnl"/>
        </w:rPr>
        <w:t xml:space="preserve"> de la Convención Americana, en relación con</w:t>
      </w:r>
      <w:r w:rsidR="00B17949" w:rsidRPr="00DC278B">
        <w:rPr>
          <w:rFonts w:ascii="Cambria" w:eastAsia="Times New Roman" w:hAnsi="Cambria"/>
          <w:sz w:val="20"/>
          <w:szCs w:val="20"/>
          <w:bdr w:val="none" w:sz="0" w:space="0" w:color="auto"/>
          <w:lang w:val="es-ES_tradnl"/>
        </w:rPr>
        <w:t xml:space="preserve"> las obligaciones establecidas en los </w:t>
      </w:r>
      <w:r w:rsidR="0021687A" w:rsidRPr="00DC278B">
        <w:rPr>
          <w:rFonts w:ascii="Cambria" w:eastAsia="Times New Roman" w:hAnsi="Cambria"/>
          <w:sz w:val="20"/>
          <w:szCs w:val="20"/>
          <w:bdr w:val="none" w:sz="0" w:space="0" w:color="auto"/>
          <w:lang w:val="es-ES_tradnl"/>
        </w:rPr>
        <w:t>artículo</w:t>
      </w:r>
      <w:r w:rsidR="00627A84" w:rsidRPr="00DC278B">
        <w:rPr>
          <w:rFonts w:ascii="Cambria" w:eastAsia="Times New Roman" w:hAnsi="Cambria"/>
          <w:sz w:val="20"/>
          <w:szCs w:val="20"/>
          <w:bdr w:val="none" w:sz="0" w:space="0" w:color="auto"/>
          <w:lang w:val="es-ES_tradnl"/>
        </w:rPr>
        <w:t>s</w:t>
      </w:r>
      <w:r w:rsidR="0021687A" w:rsidRPr="00DC278B">
        <w:rPr>
          <w:rFonts w:ascii="Cambria" w:eastAsia="Times New Roman" w:hAnsi="Cambria"/>
          <w:sz w:val="20"/>
          <w:szCs w:val="20"/>
          <w:bdr w:val="none" w:sz="0" w:space="0" w:color="auto"/>
          <w:lang w:val="es-ES_tradnl"/>
        </w:rPr>
        <w:t xml:space="preserve"> 1.1</w:t>
      </w:r>
      <w:r w:rsidR="00627A84" w:rsidRPr="00DC278B">
        <w:rPr>
          <w:rFonts w:ascii="Cambria" w:eastAsia="Times New Roman" w:hAnsi="Cambria"/>
          <w:sz w:val="20"/>
          <w:szCs w:val="20"/>
          <w:bdr w:val="none" w:sz="0" w:space="0" w:color="auto"/>
          <w:lang w:val="es-ES_tradnl"/>
        </w:rPr>
        <w:t xml:space="preserve"> y 2</w:t>
      </w:r>
      <w:r w:rsidR="00842F50" w:rsidRPr="00DC278B">
        <w:rPr>
          <w:rFonts w:ascii="Cambria" w:eastAsia="Times New Roman" w:hAnsi="Cambria"/>
          <w:sz w:val="20"/>
          <w:szCs w:val="20"/>
          <w:bdr w:val="none" w:sz="0" w:space="0" w:color="auto"/>
          <w:lang w:val="es-ES_tradnl"/>
        </w:rPr>
        <w:t xml:space="preserve"> del mismo instrumento</w:t>
      </w:r>
      <w:r w:rsidR="001048C3" w:rsidRPr="00DC278B">
        <w:rPr>
          <w:rFonts w:ascii="Cambria" w:eastAsia="Times New Roman" w:hAnsi="Cambria"/>
          <w:sz w:val="20"/>
          <w:szCs w:val="20"/>
          <w:bdr w:val="none" w:sz="0" w:space="0" w:color="auto"/>
          <w:lang w:val="es-ES_tradnl"/>
        </w:rPr>
        <w:t>,</w:t>
      </w:r>
      <w:r w:rsidR="0021687A" w:rsidRPr="00DC278B">
        <w:rPr>
          <w:rFonts w:ascii="Cambria" w:eastAsia="Times New Roman" w:hAnsi="Cambria"/>
          <w:sz w:val="20"/>
          <w:szCs w:val="20"/>
          <w:bdr w:val="none" w:sz="0" w:space="0" w:color="auto"/>
          <w:lang w:val="es-ES_tradnl"/>
        </w:rPr>
        <w:t xml:space="preserve"> en perjuicio de </w:t>
      </w:r>
      <w:r w:rsidR="000A5CD6" w:rsidRPr="00DC278B">
        <w:rPr>
          <w:rFonts w:ascii="Cambria" w:eastAsia="Times New Roman" w:hAnsi="Cambria"/>
          <w:sz w:val="20"/>
          <w:szCs w:val="20"/>
          <w:bdr w:val="none" w:sz="0" w:space="0" w:color="auto"/>
          <w:lang w:val="es-ES_tradnl"/>
        </w:rPr>
        <w:t>Maria Laura Órdenes Guerra,</w:t>
      </w:r>
      <w:r w:rsidR="00A60DF4" w:rsidRPr="00DC278B">
        <w:rPr>
          <w:rFonts w:ascii="Cambria" w:eastAsia="Times New Roman" w:hAnsi="Cambria"/>
          <w:sz w:val="20"/>
          <w:szCs w:val="20"/>
          <w:bdr w:val="none" w:sz="0" w:space="0" w:color="auto"/>
          <w:lang w:val="es-ES_tradnl"/>
        </w:rPr>
        <w:t xml:space="preserve"> Ariel Luis Antonio, Marta Elizabeth, Augusto Oscar, Gloria Laura </w:t>
      </w:r>
      <w:proofErr w:type="spellStart"/>
      <w:r w:rsidR="00A60DF4" w:rsidRPr="00DC278B">
        <w:rPr>
          <w:rFonts w:ascii="Cambria" w:eastAsia="Times New Roman" w:hAnsi="Cambria"/>
          <w:sz w:val="20"/>
          <w:szCs w:val="20"/>
          <w:bdr w:val="none" w:sz="0" w:space="0" w:color="auto"/>
          <w:lang w:val="es-ES_tradnl"/>
        </w:rPr>
        <w:t>Astris</w:t>
      </w:r>
      <w:proofErr w:type="spellEnd"/>
      <w:r w:rsidR="00A60DF4" w:rsidRPr="00DC278B">
        <w:rPr>
          <w:rFonts w:ascii="Cambria" w:eastAsia="Times New Roman" w:hAnsi="Cambria"/>
          <w:sz w:val="20"/>
          <w:szCs w:val="20"/>
          <w:bdr w:val="none" w:sz="0" w:space="0" w:color="auto"/>
          <w:lang w:val="es-ES_tradnl"/>
        </w:rPr>
        <w:t xml:space="preserve"> y </w:t>
      </w:r>
      <w:proofErr w:type="spellStart"/>
      <w:r w:rsidR="00A60DF4" w:rsidRPr="00DC278B">
        <w:rPr>
          <w:rFonts w:ascii="Cambria" w:eastAsia="Times New Roman" w:hAnsi="Cambria"/>
          <w:sz w:val="20"/>
          <w:szCs w:val="20"/>
          <w:bdr w:val="none" w:sz="0" w:space="0" w:color="auto"/>
          <w:lang w:val="es-ES_tradnl"/>
        </w:rPr>
        <w:t>Maria</w:t>
      </w:r>
      <w:proofErr w:type="spellEnd"/>
      <w:r w:rsidR="00A60DF4" w:rsidRPr="00DC278B">
        <w:rPr>
          <w:rFonts w:ascii="Cambria" w:eastAsia="Times New Roman" w:hAnsi="Cambria"/>
          <w:sz w:val="20"/>
          <w:szCs w:val="20"/>
          <w:bdr w:val="none" w:sz="0" w:space="0" w:color="auto"/>
          <w:lang w:val="es-ES_tradnl"/>
        </w:rPr>
        <w:t xml:space="preserve"> Laura Elena </w:t>
      </w:r>
      <w:proofErr w:type="spellStart"/>
      <w:r w:rsidR="00A60DF4" w:rsidRPr="00DC278B">
        <w:rPr>
          <w:rFonts w:ascii="Cambria" w:eastAsia="Times New Roman" w:hAnsi="Cambria"/>
          <w:sz w:val="20"/>
          <w:szCs w:val="20"/>
          <w:bdr w:val="none" w:sz="0" w:space="0" w:color="auto"/>
          <w:lang w:val="es-ES_tradnl"/>
        </w:rPr>
        <w:t>Alcayaga</w:t>
      </w:r>
      <w:proofErr w:type="spellEnd"/>
      <w:r w:rsidR="00A60DF4" w:rsidRPr="00DC278B">
        <w:rPr>
          <w:rFonts w:ascii="Cambria" w:eastAsia="Times New Roman" w:hAnsi="Cambria"/>
          <w:sz w:val="20"/>
          <w:szCs w:val="20"/>
          <w:bdr w:val="none" w:sz="0" w:space="0" w:color="auto"/>
          <w:lang w:val="es-ES_tradnl"/>
        </w:rPr>
        <w:t xml:space="preserve"> Órdenes</w:t>
      </w:r>
      <w:r w:rsidR="000A5CD6" w:rsidRPr="00DC278B">
        <w:rPr>
          <w:rFonts w:ascii="Cambria" w:eastAsia="Times New Roman" w:hAnsi="Cambria"/>
          <w:sz w:val="20"/>
          <w:szCs w:val="20"/>
          <w:bdr w:val="none" w:sz="0" w:space="0" w:color="auto"/>
          <w:lang w:val="es-ES_tradnl"/>
        </w:rPr>
        <w:t xml:space="preserve">; Lucía Morales </w:t>
      </w:r>
      <w:proofErr w:type="spellStart"/>
      <w:r w:rsidR="000A5CD6" w:rsidRPr="00DC278B">
        <w:rPr>
          <w:rFonts w:ascii="Cambria" w:eastAsia="Times New Roman" w:hAnsi="Cambria"/>
          <w:sz w:val="20"/>
          <w:szCs w:val="20"/>
          <w:bdr w:val="none" w:sz="0" w:space="0" w:color="auto"/>
          <w:lang w:val="es-ES_tradnl"/>
        </w:rPr>
        <w:t>Compagnon</w:t>
      </w:r>
      <w:proofErr w:type="spellEnd"/>
      <w:r w:rsidR="000A5CD6" w:rsidRPr="00DC278B">
        <w:rPr>
          <w:rFonts w:ascii="Cambria" w:eastAsia="Times New Roman" w:hAnsi="Cambria"/>
          <w:sz w:val="20"/>
          <w:szCs w:val="20"/>
          <w:bdr w:val="none" w:sz="0" w:space="0" w:color="auto"/>
          <w:lang w:val="es-ES_tradnl"/>
        </w:rPr>
        <w:t xml:space="preserve">, Jorge Roberto, Carolina Andrea, Lucía </w:t>
      </w:r>
      <w:proofErr w:type="spellStart"/>
      <w:r w:rsidR="000A5CD6" w:rsidRPr="00DC278B">
        <w:rPr>
          <w:rFonts w:ascii="Cambria" w:eastAsia="Times New Roman" w:hAnsi="Cambria"/>
          <w:sz w:val="20"/>
          <w:szCs w:val="20"/>
          <w:bdr w:val="none" w:sz="0" w:space="0" w:color="auto"/>
          <w:lang w:val="es-ES_tradnl"/>
        </w:rPr>
        <w:t>Odette</w:t>
      </w:r>
      <w:proofErr w:type="spellEnd"/>
      <w:r w:rsidR="000A5CD6" w:rsidRPr="00DC278B">
        <w:rPr>
          <w:rFonts w:ascii="Cambria" w:eastAsia="Times New Roman" w:hAnsi="Cambria"/>
          <w:sz w:val="20"/>
          <w:szCs w:val="20"/>
          <w:bdr w:val="none" w:sz="0" w:space="0" w:color="auto"/>
          <w:lang w:val="es-ES_tradnl"/>
        </w:rPr>
        <w:t xml:space="preserve"> y María Teresa Morales Osorio; Alina María Barraza </w:t>
      </w:r>
      <w:proofErr w:type="spellStart"/>
      <w:r w:rsidR="000A5CD6" w:rsidRPr="00DC278B">
        <w:rPr>
          <w:rFonts w:ascii="Cambria" w:eastAsia="Times New Roman" w:hAnsi="Cambria"/>
          <w:sz w:val="20"/>
          <w:szCs w:val="20"/>
          <w:bdr w:val="none" w:sz="0" w:space="0" w:color="auto"/>
          <w:lang w:val="es-ES_tradnl"/>
        </w:rPr>
        <w:t>Codoceo</w:t>
      </w:r>
      <w:proofErr w:type="spellEnd"/>
      <w:r w:rsidR="000A5CD6" w:rsidRPr="00DC278B">
        <w:rPr>
          <w:rFonts w:ascii="Cambria" w:eastAsia="Times New Roman" w:hAnsi="Cambria"/>
          <w:sz w:val="20"/>
          <w:szCs w:val="20"/>
          <w:bdr w:val="none" w:sz="0" w:space="0" w:color="auto"/>
          <w:lang w:val="es-ES_tradnl"/>
        </w:rPr>
        <w:t xml:space="preserve">, Eduardo Patricio, Marcia Alejandra, Patricia </w:t>
      </w:r>
      <w:proofErr w:type="spellStart"/>
      <w:r w:rsidR="000A5CD6" w:rsidRPr="00DC278B">
        <w:rPr>
          <w:rFonts w:ascii="Cambria" w:eastAsia="Times New Roman" w:hAnsi="Cambria"/>
          <w:sz w:val="20"/>
          <w:szCs w:val="20"/>
          <w:bdr w:val="none" w:sz="0" w:space="0" w:color="auto"/>
          <w:lang w:val="es-ES_tradnl"/>
        </w:rPr>
        <w:t>Auristela</w:t>
      </w:r>
      <w:proofErr w:type="spellEnd"/>
      <w:r w:rsidR="000A5CD6" w:rsidRPr="00DC278B">
        <w:rPr>
          <w:rFonts w:ascii="Cambria" w:eastAsia="Times New Roman" w:hAnsi="Cambria"/>
          <w:sz w:val="20"/>
          <w:szCs w:val="20"/>
          <w:bdr w:val="none" w:sz="0" w:space="0" w:color="auto"/>
          <w:lang w:val="es-ES_tradnl"/>
        </w:rPr>
        <w:t xml:space="preserve">, Nora Isabel, Hernán Alejandro Cortés Barraza; Mario Melo Acuña, Ilia María </w:t>
      </w:r>
      <w:proofErr w:type="spellStart"/>
      <w:r w:rsidR="000A5CD6" w:rsidRPr="00DC278B">
        <w:rPr>
          <w:rFonts w:ascii="Cambria" w:eastAsia="Times New Roman" w:hAnsi="Cambria"/>
          <w:sz w:val="20"/>
          <w:szCs w:val="20"/>
          <w:bdr w:val="none" w:sz="0" w:space="0" w:color="auto"/>
          <w:lang w:val="es-ES_tradnl"/>
        </w:rPr>
        <w:t>Pradenas</w:t>
      </w:r>
      <w:proofErr w:type="spellEnd"/>
      <w:r w:rsidR="000A5CD6" w:rsidRPr="00DC278B">
        <w:rPr>
          <w:rFonts w:ascii="Cambria" w:eastAsia="Times New Roman" w:hAnsi="Cambria"/>
          <w:sz w:val="20"/>
          <w:szCs w:val="20"/>
          <w:bdr w:val="none" w:sz="0" w:space="0" w:color="auto"/>
          <w:lang w:val="es-ES_tradnl"/>
        </w:rPr>
        <w:t xml:space="preserve"> Pérez y Carlos Gustavo Melo; Pamela Adriana Vivanco; Elena Alejandrina Vargas; y Magdalena Mercedes Navarrete y Alberto, Patricio Hernán y Víctor Eduardo Reyes Navarrete.</w:t>
      </w:r>
      <w:r w:rsidR="0021687A" w:rsidRPr="00DC278B">
        <w:rPr>
          <w:rFonts w:ascii="Cambria" w:eastAsia="Times New Roman" w:hAnsi="Cambria"/>
          <w:sz w:val="20"/>
          <w:szCs w:val="20"/>
          <w:bdr w:val="none" w:sz="0" w:space="0" w:color="auto"/>
          <w:lang w:val="es-ES_tradnl"/>
        </w:rPr>
        <w:t xml:space="preserve"> </w:t>
      </w:r>
    </w:p>
    <w:p w:rsidR="00D33A9C" w:rsidRDefault="00D33A9C" w:rsidP="00D33A9C">
      <w:pPr>
        <w:pStyle w:val="Prrafodelista"/>
        <w:rPr>
          <w:rFonts w:ascii="Cambria" w:eastAsia="Times New Roman" w:hAnsi="Cambria"/>
          <w:sz w:val="20"/>
          <w:szCs w:val="20"/>
          <w:bdr w:val="none" w:sz="0" w:space="0" w:color="auto"/>
          <w:lang w:val="es-ES_tradnl"/>
        </w:rPr>
      </w:pPr>
    </w:p>
    <w:p w:rsidR="00A66A12" w:rsidRPr="002D2BDD" w:rsidRDefault="00A66A12" w:rsidP="00D33A9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p>
    <w:p w:rsidR="004B316C" w:rsidRPr="00DC278B" w:rsidRDefault="004B316C" w:rsidP="00DC278B">
      <w:pPr>
        <w:pStyle w:val="Ttulo1"/>
        <w:rPr>
          <w:bCs/>
        </w:rPr>
      </w:pPr>
      <w:bookmarkStart w:id="26" w:name="_Toc338425821"/>
      <w:bookmarkStart w:id="27" w:name="_Toc413397480"/>
      <w:r w:rsidRPr="00DC278B">
        <w:t>CONCLUSIONES</w:t>
      </w:r>
      <w:bookmarkEnd w:id="26"/>
      <w:bookmarkEnd w:id="27"/>
    </w:p>
    <w:p w:rsidR="004B316C" w:rsidRPr="00DC278B" w:rsidRDefault="004B316C" w:rsidP="00DC278B">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Times New Roman" w:hAnsi="Cambria"/>
          <w:sz w:val="20"/>
          <w:szCs w:val="20"/>
          <w:bdr w:val="none" w:sz="0" w:space="0" w:color="auto"/>
          <w:lang w:val="es-ES_tradnl"/>
        </w:rPr>
      </w:pPr>
    </w:p>
    <w:p w:rsidR="004B316C" w:rsidRPr="00DC278B" w:rsidRDefault="004B316C" w:rsidP="00DC278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r w:rsidRPr="00DC278B">
        <w:rPr>
          <w:rFonts w:ascii="Cambria" w:eastAsia="Times New Roman" w:hAnsi="Cambria"/>
          <w:sz w:val="20"/>
          <w:szCs w:val="20"/>
          <w:bdr w:val="none" w:sz="0" w:space="0" w:color="auto"/>
          <w:lang w:val="es-ES_tradnl"/>
        </w:rPr>
        <w:t xml:space="preserve">Con base en las consideraciones de hecho y de derecho contenidas en el presente informe, la Comisión concluye </w:t>
      </w:r>
      <w:r w:rsidR="00B473D0" w:rsidRPr="00DC278B">
        <w:rPr>
          <w:rFonts w:ascii="Cambria" w:eastAsia="Times New Roman" w:hAnsi="Cambria"/>
          <w:sz w:val="20"/>
          <w:szCs w:val="20"/>
          <w:bdr w:val="none" w:sz="0" w:space="0" w:color="auto"/>
          <w:lang w:val="es-ES_tradnl"/>
        </w:rPr>
        <w:t xml:space="preserve">que el Estado de </w:t>
      </w:r>
      <w:r w:rsidR="00C13D44" w:rsidRPr="00DC278B">
        <w:rPr>
          <w:rFonts w:ascii="Cambria" w:eastAsia="Times New Roman" w:hAnsi="Cambria"/>
          <w:sz w:val="20"/>
          <w:szCs w:val="20"/>
          <w:bdr w:val="none" w:sz="0" w:space="0" w:color="auto"/>
          <w:lang w:val="es-ES_tradnl"/>
        </w:rPr>
        <w:t>Chil</w:t>
      </w:r>
      <w:r w:rsidR="00B473D0" w:rsidRPr="00DC278B">
        <w:rPr>
          <w:rFonts w:ascii="Cambria" w:eastAsia="Times New Roman" w:hAnsi="Cambria"/>
          <w:sz w:val="20"/>
          <w:szCs w:val="20"/>
          <w:bdr w:val="none" w:sz="0" w:space="0" w:color="auto"/>
          <w:lang w:val="es-ES_tradnl"/>
        </w:rPr>
        <w:t>e</w:t>
      </w:r>
      <w:r w:rsidR="00C13D44" w:rsidRPr="00DC278B">
        <w:rPr>
          <w:rFonts w:ascii="Cambria" w:eastAsia="Times New Roman" w:hAnsi="Cambria"/>
          <w:sz w:val="20"/>
          <w:szCs w:val="20"/>
          <w:bdr w:val="none" w:sz="0" w:space="0" w:color="auto"/>
          <w:lang w:val="es-ES_tradnl"/>
        </w:rPr>
        <w:t xml:space="preserve"> e</w:t>
      </w:r>
      <w:r w:rsidR="00B473D0" w:rsidRPr="00DC278B">
        <w:rPr>
          <w:rFonts w:ascii="Cambria" w:eastAsia="Times New Roman" w:hAnsi="Cambria"/>
          <w:sz w:val="20"/>
          <w:szCs w:val="20"/>
          <w:bdr w:val="none" w:sz="0" w:space="0" w:color="auto"/>
          <w:lang w:val="es-ES_tradnl"/>
        </w:rPr>
        <w:t xml:space="preserve">s responsable por la violación </w:t>
      </w:r>
      <w:r w:rsidR="00DB330D" w:rsidRPr="00DC278B">
        <w:rPr>
          <w:rFonts w:ascii="Cambria" w:eastAsia="Times New Roman" w:hAnsi="Cambria"/>
          <w:sz w:val="20"/>
          <w:szCs w:val="20"/>
          <w:bdr w:val="none" w:sz="0" w:space="0" w:color="auto"/>
          <w:lang w:val="es-ES_tradnl"/>
        </w:rPr>
        <w:t>de lo</w:t>
      </w:r>
      <w:r w:rsidR="00B473D0" w:rsidRPr="00DC278B">
        <w:rPr>
          <w:rFonts w:ascii="Cambria" w:eastAsia="Times New Roman" w:hAnsi="Cambria"/>
          <w:sz w:val="20"/>
          <w:szCs w:val="20"/>
          <w:bdr w:val="none" w:sz="0" w:space="0" w:color="auto"/>
          <w:lang w:val="es-ES_tradnl"/>
        </w:rPr>
        <w:t>s derec</w:t>
      </w:r>
      <w:r w:rsidR="00C13D44" w:rsidRPr="00DC278B">
        <w:rPr>
          <w:rFonts w:ascii="Cambria" w:eastAsia="Times New Roman" w:hAnsi="Cambria"/>
          <w:sz w:val="20"/>
          <w:szCs w:val="20"/>
          <w:bdr w:val="none" w:sz="0" w:space="0" w:color="auto"/>
          <w:lang w:val="es-ES_tradnl"/>
        </w:rPr>
        <w:t>hos a las garantías judiciales y a la protección judicial</w:t>
      </w:r>
      <w:r w:rsidR="00B473D0" w:rsidRPr="00DC278B">
        <w:rPr>
          <w:rFonts w:ascii="Cambria" w:eastAsia="Times New Roman" w:hAnsi="Cambria"/>
          <w:sz w:val="20"/>
          <w:szCs w:val="20"/>
          <w:bdr w:val="none" w:sz="0" w:space="0" w:color="auto"/>
          <w:lang w:val="es-ES_tradnl"/>
        </w:rPr>
        <w:t>, co</w:t>
      </w:r>
      <w:r w:rsidR="009B6585" w:rsidRPr="00DC278B">
        <w:rPr>
          <w:rFonts w:ascii="Cambria" w:eastAsia="Times New Roman" w:hAnsi="Cambria"/>
          <w:sz w:val="20"/>
          <w:szCs w:val="20"/>
          <w:bdr w:val="none" w:sz="0" w:space="0" w:color="auto"/>
          <w:lang w:val="es-ES_tradnl"/>
        </w:rPr>
        <w:t xml:space="preserve">nsagrados en los artículos </w:t>
      </w:r>
      <w:r w:rsidR="00C13D44" w:rsidRPr="00DC278B">
        <w:rPr>
          <w:rFonts w:ascii="Cambria" w:eastAsia="Times New Roman" w:hAnsi="Cambria"/>
          <w:sz w:val="20"/>
          <w:szCs w:val="20"/>
          <w:bdr w:val="none" w:sz="0" w:space="0" w:color="auto"/>
          <w:lang w:val="es-ES_tradnl"/>
        </w:rPr>
        <w:t>8</w:t>
      </w:r>
      <w:r w:rsidR="00842F50" w:rsidRPr="00DC278B">
        <w:rPr>
          <w:rFonts w:ascii="Cambria" w:eastAsia="Times New Roman" w:hAnsi="Cambria"/>
          <w:sz w:val="20"/>
          <w:szCs w:val="20"/>
          <w:bdr w:val="none" w:sz="0" w:space="0" w:color="auto"/>
          <w:lang w:val="es-ES_tradnl"/>
        </w:rPr>
        <w:t>.1</w:t>
      </w:r>
      <w:r w:rsidR="005967AB" w:rsidRPr="00DC278B">
        <w:rPr>
          <w:rFonts w:ascii="Cambria" w:eastAsia="Times New Roman" w:hAnsi="Cambria"/>
          <w:sz w:val="20"/>
          <w:szCs w:val="20"/>
          <w:bdr w:val="none" w:sz="0" w:space="0" w:color="auto"/>
          <w:lang w:val="es-ES_tradnl"/>
        </w:rPr>
        <w:t xml:space="preserve"> </w:t>
      </w:r>
      <w:r w:rsidR="00B473D0" w:rsidRPr="00DC278B">
        <w:rPr>
          <w:rFonts w:ascii="Cambria" w:eastAsia="Times New Roman" w:hAnsi="Cambria"/>
          <w:sz w:val="20"/>
          <w:szCs w:val="20"/>
          <w:bdr w:val="none" w:sz="0" w:space="0" w:color="auto"/>
          <w:lang w:val="es-ES_tradnl"/>
        </w:rPr>
        <w:t>y 25</w:t>
      </w:r>
      <w:r w:rsidR="00842F50" w:rsidRPr="00DC278B">
        <w:rPr>
          <w:rFonts w:ascii="Cambria" w:eastAsia="Times New Roman" w:hAnsi="Cambria"/>
          <w:sz w:val="20"/>
          <w:szCs w:val="20"/>
          <w:bdr w:val="none" w:sz="0" w:space="0" w:color="auto"/>
          <w:lang w:val="es-ES_tradnl"/>
        </w:rPr>
        <w:t>.1</w:t>
      </w:r>
      <w:r w:rsidR="00B473D0" w:rsidRPr="00DC278B">
        <w:rPr>
          <w:rFonts w:ascii="Cambria" w:eastAsia="Times New Roman" w:hAnsi="Cambria"/>
          <w:sz w:val="20"/>
          <w:szCs w:val="20"/>
          <w:bdr w:val="none" w:sz="0" w:space="0" w:color="auto"/>
          <w:lang w:val="es-ES_tradnl"/>
        </w:rPr>
        <w:t xml:space="preserve"> de la Convención Americana,</w:t>
      </w:r>
      <w:r w:rsidR="00341959" w:rsidRPr="00DC278B">
        <w:rPr>
          <w:rFonts w:ascii="Cambria" w:eastAsia="Times New Roman" w:hAnsi="Cambria"/>
          <w:sz w:val="20"/>
          <w:szCs w:val="20"/>
          <w:bdr w:val="none" w:sz="0" w:space="0" w:color="auto"/>
          <w:lang w:val="es-ES_tradnl"/>
        </w:rPr>
        <w:t xml:space="preserve"> en conexión</w:t>
      </w:r>
      <w:r w:rsidR="00DB330D" w:rsidRPr="00DC278B">
        <w:rPr>
          <w:rFonts w:ascii="Cambria" w:eastAsia="Times New Roman" w:hAnsi="Cambria"/>
          <w:sz w:val="20"/>
          <w:szCs w:val="20"/>
          <w:bdr w:val="none" w:sz="0" w:space="0" w:color="auto"/>
          <w:lang w:val="es-ES_tradnl"/>
        </w:rPr>
        <w:t xml:space="preserve"> con la obligación general de respetar los derechos de la Convención Americana y el deber de adoptar disposiciones de derecho interno, </w:t>
      </w:r>
      <w:r w:rsidR="00B473D0" w:rsidRPr="00DC278B">
        <w:rPr>
          <w:rFonts w:ascii="Cambria" w:eastAsia="Times New Roman" w:hAnsi="Cambria"/>
          <w:sz w:val="20"/>
          <w:szCs w:val="20"/>
          <w:bdr w:val="none" w:sz="0" w:space="0" w:color="auto"/>
          <w:lang w:val="es-ES_tradnl"/>
        </w:rPr>
        <w:t>est</w:t>
      </w:r>
      <w:r w:rsidR="00834158" w:rsidRPr="00DC278B">
        <w:rPr>
          <w:rFonts w:ascii="Cambria" w:eastAsia="Times New Roman" w:hAnsi="Cambria"/>
          <w:sz w:val="20"/>
          <w:szCs w:val="20"/>
          <w:bdr w:val="none" w:sz="0" w:space="0" w:color="auto"/>
          <w:lang w:val="es-ES_tradnl"/>
        </w:rPr>
        <w:t>ablecidas en su</w:t>
      </w:r>
      <w:r w:rsidR="009B6585" w:rsidRPr="00DC278B">
        <w:rPr>
          <w:rFonts w:ascii="Cambria" w:eastAsia="Times New Roman" w:hAnsi="Cambria"/>
          <w:sz w:val="20"/>
          <w:szCs w:val="20"/>
          <w:bdr w:val="none" w:sz="0" w:space="0" w:color="auto"/>
          <w:lang w:val="es-ES_tradnl"/>
        </w:rPr>
        <w:t>s</w:t>
      </w:r>
      <w:r w:rsidR="00834158" w:rsidRPr="00DC278B">
        <w:rPr>
          <w:rFonts w:ascii="Cambria" w:eastAsia="Times New Roman" w:hAnsi="Cambria"/>
          <w:sz w:val="20"/>
          <w:szCs w:val="20"/>
          <w:bdr w:val="none" w:sz="0" w:space="0" w:color="auto"/>
          <w:lang w:val="es-ES_tradnl"/>
        </w:rPr>
        <w:t xml:space="preserve"> artículo</w:t>
      </w:r>
      <w:r w:rsidR="009B6585" w:rsidRPr="00DC278B">
        <w:rPr>
          <w:rFonts w:ascii="Cambria" w:eastAsia="Times New Roman" w:hAnsi="Cambria"/>
          <w:sz w:val="20"/>
          <w:szCs w:val="20"/>
          <w:bdr w:val="none" w:sz="0" w:space="0" w:color="auto"/>
          <w:lang w:val="es-ES_tradnl"/>
        </w:rPr>
        <w:t>s</w:t>
      </w:r>
      <w:r w:rsidR="00834158" w:rsidRPr="00DC278B">
        <w:rPr>
          <w:rFonts w:ascii="Cambria" w:eastAsia="Times New Roman" w:hAnsi="Cambria"/>
          <w:sz w:val="20"/>
          <w:szCs w:val="20"/>
          <w:bdr w:val="none" w:sz="0" w:space="0" w:color="auto"/>
          <w:lang w:val="es-ES_tradnl"/>
        </w:rPr>
        <w:t xml:space="preserve"> 1.1</w:t>
      </w:r>
      <w:r w:rsidR="009B6585" w:rsidRPr="00DC278B">
        <w:rPr>
          <w:rFonts w:ascii="Cambria" w:eastAsia="Times New Roman" w:hAnsi="Cambria"/>
          <w:sz w:val="20"/>
          <w:szCs w:val="20"/>
          <w:bdr w:val="none" w:sz="0" w:space="0" w:color="auto"/>
          <w:lang w:val="es-ES_tradnl"/>
        </w:rPr>
        <w:t xml:space="preserve"> y 2</w:t>
      </w:r>
      <w:r w:rsidR="00B473D0" w:rsidRPr="00DC278B">
        <w:rPr>
          <w:rFonts w:ascii="Cambria" w:eastAsia="Times New Roman" w:hAnsi="Cambria"/>
          <w:sz w:val="20"/>
          <w:szCs w:val="20"/>
          <w:bdr w:val="none" w:sz="0" w:space="0" w:color="auto"/>
          <w:lang w:val="es-ES_tradnl"/>
        </w:rPr>
        <w:t xml:space="preserve"> en perjuicio de</w:t>
      </w:r>
      <w:r w:rsidR="00C13D44" w:rsidRPr="00DC278B">
        <w:rPr>
          <w:rFonts w:ascii="Cambria" w:eastAsia="Times New Roman" w:hAnsi="Cambria"/>
          <w:sz w:val="20"/>
          <w:szCs w:val="20"/>
          <w:bdr w:val="none" w:sz="0" w:space="0" w:color="auto"/>
          <w:lang w:val="es-ES_tradnl"/>
        </w:rPr>
        <w:t xml:space="preserve"> las víctimas</w:t>
      </w:r>
      <w:r w:rsidR="00642011" w:rsidRPr="00DC278B">
        <w:rPr>
          <w:rFonts w:ascii="Cambria" w:eastAsia="Times New Roman" w:hAnsi="Cambria"/>
          <w:sz w:val="20"/>
          <w:szCs w:val="20"/>
          <w:bdr w:val="none" w:sz="0" w:space="0" w:color="auto"/>
          <w:lang w:val="es-ES_tradnl"/>
        </w:rPr>
        <w:t xml:space="preserve"> del presente caso</w:t>
      </w:r>
      <w:r w:rsidR="00B473D0" w:rsidRPr="00DC278B">
        <w:rPr>
          <w:rFonts w:ascii="Cambria" w:eastAsia="Times New Roman" w:hAnsi="Cambria"/>
          <w:sz w:val="20"/>
          <w:szCs w:val="20"/>
          <w:bdr w:val="none" w:sz="0" w:space="0" w:color="auto"/>
          <w:lang w:val="es-ES_tradnl"/>
        </w:rPr>
        <w:t>.</w:t>
      </w:r>
    </w:p>
    <w:p w:rsidR="00B473D0" w:rsidRDefault="00B473D0" w:rsidP="00DC278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p>
    <w:p w:rsidR="00530051" w:rsidRPr="00DC278B" w:rsidRDefault="00530051" w:rsidP="00DC278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p>
    <w:p w:rsidR="004B316C" w:rsidRPr="00DC278B" w:rsidRDefault="004B316C" w:rsidP="00DC278B">
      <w:pPr>
        <w:pStyle w:val="Ttulo1"/>
      </w:pPr>
      <w:bookmarkStart w:id="28" w:name="_Toc338425822"/>
      <w:bookmarkStart w:id="29" w:name="_Toc413397481"/>
      <w:r w:rsidRPr="00DC278B">
        <w:lastRenderedPageBreak/>
        <w:t>RECOMENDACIONES</w:t>
      </w:r>
      <w:bookmarkEnd w:id="28"/>
      <w:bookmarkEnd w:id="29"/>
    </w:p>
    <w:p w:rsidR="004B316C" w:rsidRPr="00DC278B" w:rsidRDefault="004B316C" w:rsidP="00DC278B">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Cambria" w:eastAsia="Times New Roman" w:hAnsi="Cambria"/>
          <w:sz w:val="20"/>
          <w:szCs w:val="20"/>
          <w:bdr w:val="none" w:sz="0" w:space="0" w:color="auto"/>
          <w:lang w:val="es-ES_tradnl"/>
        </w:rPr>
      </w:pPr>
    </w:p>
    <w:p w:rsidR="004B316C" w:rsidRPr="00DC278B" w:rsidRDefault="004B316C" w:rsidP="00DC278B">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r w:rsidRPr="00DC278B">
        <w:rPr>
          <w:rFonts w:ascii="Cambria" w:eastAsia="Times New Roman" w:hAnsi="Cambria"/>
          <w:sz w:val="20"/>
          <w:szCs w:val="20"/>
          <w:bdr w:val="none" w:sz="0" w:space="0" w:color="auto"/>
          <w:lang w:val="es-ES_tradnl"/>
        </w:rPr>
        <w:t>Con fundamento en los argumentos de hecho y de derecho antes expuestos,</w:t>
      </w:r>
    </w:p>
    <w:p w:rsidR="004B316C" w:rsidRPr="00DC278B" w:rsidRDefault="004B316C" w:rsidP="00DC278B">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Cambria" w:eastAsia="Times New Roman" w:hAnsi="Cambria"/>
          <w:sz w:val="20"/>
          <w:szCs w:val="20"/>
          <w:bdr w:val="none" w:sz="0" w:space="0" w:color="auto"/>
          <w:lang w:val="es-ES_tradnl"/>
        </w:rPr>
      </w:pPr>
    </w:p>
    <w:p w:rsidR="004B316C" w:rsidRPr="00DC278B" w:rsidRDefault="004B316C" w:rsidP="00DC278B">
      <w:pPr>
        <w:pBdr>
          <w:top w:val="none" w:sz="0" w:space="0" w:color="auto"/>
          <w:left w:val="none" w:sz="0" w:space="0" w:color="auto"/>
          <w:bottom w:val="none" w:sz="0" w:space="0" w:color="auto"/>
          <w:right w:val="none" w:sz="0" w:space="0" w:color="auto"/>
          <w:between w:val="none" w:sz="0" w:space="0" w:color="auto"/>
          <w:bar w:val="none" w:sz="0" w:color="auto"/>
        </w:pBdr>
        <w:ind w:firstLine="720"/>
        <w:jc w:val="center"/>
        <w:rPr>
          <w:rFonts w:ascii="Cambria" w:eastAsia="Times New Roman" w:hAnsi="Cambria"/>
          <w:b/>
          <w:sz w:val="20"/>
          <w:szCs w:val="20"/>
          <w:bdr w:val="none" w:sz="0" w:space="0" w:color="auto"/>
          <w:lang w:val="es-ES_tradnl"/>
        </w:rPr>
      </w:pPr>
      <w:r w:rsidRPr="00DC278B">
        <w:rPr>
          <w:rFonts w:ascii="Cambria" w:eastAsia="Times New Roman" w:hAnsi="Cambria"/>
          <w:b/>
          <w:sz w:val="20"/>
          <w:szCs w:val="20"/>
          <w:bdr w:val="none" w:sz="0" w:space="0" w:color="auto"/>
          <w:lang w:val="es-ES_tradnl"/>
        </w:rPr>
        <w:t>LA COMISIÓN INTERAMERICANA DE DERECHOS HUMANOS</w:t>
      </w:r>
    </w:p>
    <w:p w:rsidR="00C54035" w:rsidRPr="00140950" w:rsidRDefault="00F67C38" w:rsidP="00140950">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b/>
          <w:sz w:val="20"/>
          <w:szCs w:val="20"/>
          <w:bdr w:val="none" w:sz="0" w:space="0" w:color="auto"/>
          <w:lang w:val="es-ES_tradnl"/>
        </w:rPr>
      </w:pPr>
      <w:r w:rsidRPr="00DC278B">
        <w:rPr>
          <w:rFonts w:ascii="Cambria" w:eastAsia="Times New Roman" w:hAnsi="Cambria"/>
          <w:b/>
          <w:sz w:val="20"/>
          <w:szCs w:val="20"/>
          <w:bdr w:val="none" w:sz="0" w:space="0" w:color="auto"/>
          <w:lang w:val="es-ES_tradnl"/>
        </w:rPr>
        <w:t>RECOMIENDA:</w:t>
      </w:r>
    </w:p>
    <w:p w:rsidR="00E73F34" w:rsidRPr="00DC278B" w:rsidRDefault="00FC3D2C" w:rsidP="00DC278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1440"/>
        </w:tabs>
        <w:ind w:left="0" w:firstLine="720"/>
        <w:jc w:val="both"/>
        <w:rPr>
          <w:rFonts w:ascii="Cambria" w:eastAsia="Times New Roman" w:hAnsi="Cambria"/>
          <w:sz w:val="20"/>
          <w:szCs w:val="20"/>
          <w:bdr w:val="none" w:sz="0" w:space="0" w:color="auto"/>
          <w:lang w:val="es-ES_tradnl"/>
        </w:rPr>
      </w:pPr>
      <w:r w:rsidRPr="00DC278B">
        <w:rPr>
          <w:rFonts w:ascii="Cambria" w:eastAsia="Times New Roman" w:hAnsi="Cambria"/>
          <w:sz w:val="20"/>
          <w:szCs w:val="20"/>
          <w:bdr w:val="none" w:sz="0" w:space="0" w:color="auto"/>
          <w:lang w:val="es-ES_tradnl"/>
        </w:rPr>
        <w:t>Reparar a las víctimas por las violaciones declaradas en el presente informe. Como parte de esta reparación, el Estado debe a</w:t>
      </w:r>
      <w:r w:rsidR="00B73061" w:rsidRPr="00DC278B">
        <w:rPr>
          <w:rFonts w:ascii="Cambria" w:eastAsia="Times New Roman" w:hAnsi="Cambria"/>
          <w:sz w:val="20"/>
          <w:szCs w:val="20"/>
          <w:bdr w:val="none" w:sz="0" w:space="0" w:color="auto"/>
          <w:lang w:val="es-ES_tradnl"/>
        </w:rPr>
        <w:t>doptar</w:t>
      </w:r>
      <w:r w:rsidR="00E73F34" w:rsidRPr="00DC278B">
        <w:rPr>
          <w:rFonts w:ascii="Cambria" w:eastAsia="Times New Roman" w:hAnsi="Cambria"/>
          <w:sz w:val="20"/>
          <w:szCs w:val="20"/>
          <w:bdr w:val="none" w:sz="0" w:space="0" w:color="auto"/>
          <w:lang w:val="es-ES_tradnl"/>
        </w:rPr>
        <w:t xml:space="preserve"> las medidas necesarias para </w:t>
      </w:r>
      <w:r w:rsidR="00E7044F" w:rsidRPr="00DC278B">
        <w:rPr>
          <w:rFonts w:ascii="Cambria" w:eastAsia="Times New Roman" w:hAnsi="Cambria"/>
          <w:sz w:val="20"/>
          <w:szCs w:val="20"/>
          <w:bdr w:val="none" w:sz="0" w:space="0" w:color="auto"/>
          <w:lang w:val="es-ES_tradnl"/>
        </w:rPr>
        <w:t xml:space="preserve">ofrecer un </w:t>
      </w:r>
      <w:r w:rsidR="00E73F34" w:rsidRPr="00DC278B">
        <w:rPr>
          <w:rFonts w:ascii="Cambria" w:eastAsia="Times New Roman" w:hAnsi="Cambria"/>
          <w:sz w:val="20"/>
          <w:szCs w:val="20"/>
          <w:bdr w:val="none" w:sz="0" w:space="0" w:color="auto"/>
          <w:lang w:val="es-ES_tradnl"/>
        </w:rPr>
        <w:t>recurso judicial efectivo</w:t>
      </w:r>
      <w:r w:rsidR="00E7044F" w:rsidRPr="00DC278B">
        <w:rPr>
          <w:rFonts w:ascii="Cambria" w:eastAsia="Times New Roman" w:hAnsi="Cambria"/>
          <w:sz w:val="20"/>
          <w:szCs w:val="20"/>
          <w:bdr w:val="none" w:sz="0" w:space="0" w:color="auto"/>
          <w:lang w:val="es-ES_tradnl"/>
        </w:rPr>
        <w:t xml:space="preserve"> </w:t>
      </w:r>
      <w:r w:rsidR="00E73F34" w:rsidRPr="00DC278B">
        <w:rPr>
          <w:rFonts w:ascii="Cambria" w:eastAsia="Times New Roman" w:hAnsi="Cambria"/>
          <w:sz w:val="20"/>
          <w:szCs w:val="20"/>
          <w:bdr w:val="none" w:sz="0" w:space="0" w:color="auto"/>
          <w:lang w:val="es-ES_tradnl"/>
        </w:rPr>
        <w:t>para</w:t>
      </w:r>
      <w:r w:rsidR="00E7044F" w:rsidRPr="00DC278B">
        <w:rPr>
          <w:rFonts w:ascii="Cambria" w:eastAsia="Times New Roman" w:hAnsi="Cambria"/>
          <w:sz w:val="20"/>
          <w:szCs w:val="20"/>
          <w:bdr w:val="none" w:sz="0" w:space="0" w:color="auto"/>
          <w:lang w:val="es-ES_tradnl"/>
        </w:rPr>
        <w:t xml:space="preserve"> que las víctimas puedan presentar sus reclamos y obtener una decisión en materia de reparaciones. El cumplimiento de esta recomendación es independiente del programa de reparaciones administrativas. </w:t>
      </w:r>
    </w:p>
    <w:p w:rsidR="00387E8F" w:rsidRPr="00DC278B" w:rsidRDefault="00387E8F" w:rsidP="00DC278B">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sz w:val="20"/>
          <w:szCs w:val="20"/>
          <w:bdr w:val="none" w:sz="0" w:space="0" w:color="auto"/>
          <w:lang w:val="es-ES_tradnl"/>
        </w:rPr>
      </w:pPr>
    </w:p>
    <w:p w:rsidR="00906E40" w:rsidRPr="00DC278B" w:rsidRDefault="0035729D" w:rsidP="00DC278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1440"/>
        </w:tabs>
        <w:ind w:left="0" w:firstLine="720"/>
        <w:jc w:val="both"/>
        <w:rPr>
          <w:rFonts w:ascii="Cambria" w:eastAsia="Times New Roman" w:hAnsi="Cambria"/>
          <w:sz w:val="20"/>
          <w:szCs w:val="20"/>
          <w:bdr w:val="none" w:sz="0" w:space="0" w:color="auto"/>
          <w:lang w:val="es-ES_tradnl"/>
        </w:rPr>
      </w:pPr>
      <w:r w:rsidRPr="00DC278B">
        <w:rPr>
          <w:rFonts w:ascii="Cambria" w:eastAsia="Times New Roman" w:hAnsi="Cambria"/>
          <w:sz w:val="20"/>
          <w:szCs w:val="20"/>
          <w:bdr w:val="none" w:sz="0" w:space="0" w:color="auto"/>
          <w:lang w:val="es-ES_tradnl"/>
        </w:rPr>
        <w:t>Adoptar</w:t>
      </w:r>
      <w:r w:rsidR="00906E40" w:rsidRPr="00DC278B">
        <w:rPr>
          <w:rFonts w:ascii="Cambria" w:eastAsia="Times New Roman" w:hAnsi="Cambria"/>
          <w:sz w:val="20"/>
          <w:szCs w:val="20"/>
          <w:bdr w:val="none" w:sz="0" w:space="0" w:color="auto"/>
          <w:lang w:val="es-ES_tradnl"/>
        </w:rPr>
        <w:t xml:space="preserve"> medidas</w:t>
      </w:r>
      <w:r w:rsidR="00A51FFA" w:rsidRPr="00DC278B">
        <w:rPr>
          <w:rFonts w:ascii="Cambria" w:eastAsia="Times New Roman" w:hAnsi="Cambria"/>
          <w:sz w:val="20"/>
          <w:szCs w:val="20"/>
          <w:bdr w:val="none" w:sz="0" w:space="0" w:color="auto"/>
          <w:lang w:val="es-ES_tradnl"/>
        </w:rPr>
        <w:t xml:space="preserve"> de no repetición. En particular,</w:t>
      </w:r>
      <w:r w:rsidR="00906E40" w:rsidRPr="00DC278B">
        <w:rPr>
          <w:rFonts w:ascii="Cambria" w:eastAsia="Times New Roman" w:hAnsi="Cambria"/>
          <w:sz w:val="20"/>
          <w:szCs w:val="20"/>
          <w:bdr w:val="none" w:sz="0" w:space="0" w:color="auto"/>
          <w:lang w:val="es-ES_tradnl"/>
        </w:rPr>
        <w:t xml:space="preserve"> </w:t>
      </w:r>
      <w:r w:rsidR="00A51FFA" w:rsidRPr="00DC278B">
        <w:rPr>
          <w:rFonts w:ascii="Cambria" w:eastAsia="Times New Roman" w:hAnsi="Cambria"/>
          <w:sz w:val="20"/>
          <w:szCs w:val="20"/>
          <w:bdr w:val="none" w:sz="0" w:space="0" w:color="auto"/>
          <w:lang w:val="es-ES_tradnl"/>
        </w:rPr>
        <w:t xml:space="preserve">medidas </w:t>
      </w:r>
      <w:r w:rsidR="00906E40" w:rsidRPr="00DC278B">
        <w:rPr>
          <w:rFonts w:ascii="Cambria" w:eastAsia="Times New Roman" w:hAnsi="Cambria"/>
          <w:sz w:val="20"/>
          <w:szCs w:val="20"/>
          <w:bdr w:val="none" w:sz="0" w:space="0" w:color="auto"/>
          <w:lang w:val="es-ES_tradnl"/>
        </w:rPr>
        <w:t xml:space="preserve">legislativas, administrativas y de cualquier otra índole, con el objeto de adecuar la legislación y las prácticas </w:t>
      </w:r>
      <w:r w:rsidR="00842F50" w:rsidRPr="00DC278B">
        <w:rPr>
          <w:rFonts w:ascii="Cambria" w:eastAsia="Times New Roman" w:hAnsi="Cambria"/>
          <w:sz w:val="20"/>
          <w:szCs w:val="20"/>
          <w:bdr w:val="none" w:sz="0" w:space="0" w:color="auto"/>
          <w:lang w:val="es-ES_tradnl"/>
        </w:rPr>
        <w:t xml:space="preserve">judiciales </w:t>
      </w:r>
      <w:r w:rsidR="00906E40" w:rsidRPr="00DC278B">
        <w:rPr>
          <w:rFonts w:ascii="Cambria" w:eastAsia="Times New Roman" w:hAnsi="Cambria"/>
          <w:sz w:val="20"/>
          <w:szCs w:val="20"/>
          <w:bdr w:val="none" w:sz="0" w:space="0" w:color="auto"/>
          <w:lang w:val="es-ES_tradnl"/>
        </w:rPr>
        <w:t xml:space="preserve">chilenas a los estándares </w:t>
      </w:r>
      <w:r w:rsidR="00842F50" w:rsidRPr="00DC278B">
        <w:rPr>
          <w:rFonts w:ascii="Cambria" w:eastAsia="Times New Roman" w:hAnsi="Cambria"/>
          <w:sz w:val="20"/>
          <w:szCs w:val="20"/>
          <w:bdr w:val="none" w:sz="0" w:space="0" w:color="auto"/>
          <w:lang w:val="es-ES_tradnl"/>
        </w:rPr>
        <w:t xml:space="preserve">descritos en el presente informe respecto </w:t>
      </w:r>
      <w:r w:rsidR="00347342" w:rsidRPr="00DC278B">
        <w:rPr>
          <w:rFonts w:ascii="Cambria" w:eastAsia="Times New Roman" w:hAnsi="Cambria"/>
          <w:sz w:val="20"/>
          <w:szCs w:val="20"/>
          <w:bdr w:val="none" w:sz="0" w:space="0" w:color="auto"/>
          <w:lang w:val="es-ES_tradnl"/>
        </w:rPr>
        <w:t>de la</w:t>
      </w:r>
      <w:r w:rsidR="00842F50" w:rsidRPr="00DC278B">
        <w:rPr>
          <w:rFonts w:ascii="Cambria" w:eastAsia="Times New Roman" w:hAnsi="Cambria"/>
          <w:sz w:val="20"/>
          <w:szCs w:val="20"/>
          <w:bdr w:val="none" w:sz="0" w:space="0" w:color="auto"/>
          <w:lang w:val="es-ES_tradnl"/>
        </w:rPr>
        <w:t xml:space="preserve"> prohibición de aplicar la</w:t>
      </w:r>
      <w:r w:rsidR="00347342" w:rsidRPr="00DC278B">
        <w:rPr>
          <w:rFonts w:ascii="Cambria" w:eastAsia="Times New Roman" w:hAnsi="Cambria"/>
          <w:sz w:val="20"/>
          <w:szCs w:val="20"/>
          <w:bdr w:val="none" w:sz="0" w:space="0" w:color="auto"/>
          <w:lang w:val="es-ES_tradnl"/>
        </w:rPr>
        <w:t xml:space="preserve"> prescripción a las acciones civiles </w:t>
      </w:r>
      <w:r w:rsidR="00842F50" w:rsidRPr="00DC278B">
        <w:rPr>
          <w:rFonts w:ascii="Cambria" w:eastAsia="Times New Roman" w:hAnsi="Cambria"/>
          <w:sz w:val="20"/>
          <w:szCs w:val="20"/>
          <w:bdr w:val="none" w:sz="0" w:space="0" w:color="auto"/>
          <w:lang w:val="es-ES_tradnl"/>
        </w:rPr>
        <w:t xml:space="preserve">de reparaciones en casos como el presente. </w:t>
      </w:r>
    </w:p>
    <w:p w:rsidR="0054575C" w:rsidRPr="00DC278B" w:rsidRDefault="0054575C" w:rsidP="00DC278B">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sz w:val="20"/>
          <w:szCs w:val="20"/>
          <w:bdr w:val="none" w:sz="0" w:space="0" w:color="auto"/>
          <w:lang w:val="es-ES_tradnl"/>
        </w:rPr>
      </w:pPr>
    </w:p>
    <w:p w:rsidR="0006606E" w:rsidRPr="000A19C9" w:rsidRDefault="0006606E" w:rsidP="0006606E">
      <w:pPr>
        <w:ind w:firstLine="720"/>
        <w:jc w:val="both"/>
        <w:rPr>
          <w:rFonts w:ascii="Cambria" w:hAnsi="Cambria" w:cs="Arial"/>
          <w:noProof/>
          <w:spacing w:val="-2"/>
          <w:sz w:val="20"/>
          <w:szCs w:val="20"/>
          <w:lang w:val="es-CL"/>
        </w:rPr>
      </w:pPr>
      <w:r w:rsidRPr="000A19C9">
        <w:rPr>
          <w:rFonts w:ascii="Cambria" w:hAnsi="Cambria" w:cs="Arial"/>
          <w:noProof/>
          <w:spacing w:val="-2"/>
          <w:sz w:val="20"/>
          <w:szCs w:val="20"/>
          <w:lang w:val="es-CL"/>
        </w:rPr>
        <w:t xml:space="preserve">Dado y firmado en la ciudad de Panamá, a los </w:t>
      </w:r>
      <w:r>
        <w:rPr>
          <w:rFonts w:ascii="Cambria" w:hAnsi="Cambria" w:cs="Arial"/>
          <w:noProof/>
          <w:spacing w:val="-2"/>
          <w:sz w:val="20"/>
          <w:szCs w:val="20"/>
          <w:lang w:val="es-CL"/>
        </w:rPr>
        <w:t>30</w:t>
      </w:r>
      <w:r w:rsidRPr="000A19C9">
        <w:rPr>
          <w:rFonts w:ascii="Cambria" w:hAnsi="Cambria" w:cs="Arial"/>
          <w:noProof/>
          <w:spacing w:val="-2"/>
          <w:sz w:val="20"/>
          <w:szCs w:val="20"/>
          <w:lang w:val="es-CL"/>
        </w:rPr>
        <w:t xml:space="preserve"> días del mes de noviembre de 2016.  (Firmado): James Cavallaro, Presidente; Francisco José Eguiguren, Primer Vicepresidente; Margarette May Macaulay, Segunda Vicepresidenta; José de Jesús Orozco Henríquez, Paulo Vannuchi, Esmeralda E. Arosema Bernal de Troitiño</w:t>
      </w:r>
      <w:r>
        <w:rPr>
          <w:rFonts w:ascii="Cambria" w:hAnsi="Cambria" w:cs="Arial"/>
          <w:noProof/>
          <w:spacing w:val="-2"/>
          <w:sz w:val="20"/>
          <w:szCs w:val="20"/>
          <w:lang w:val="es-CL"/>
        </w:rPr>
        <w:t>,</w:t>
      </w:r>
      <w:r w:rsidRPr="000A19C9">
        <w:rPr>
          <w:rFonts w:ascii="Cambria" w:hAnsi="Cambria" w:cs="Arial"/>
          <w:noProof/>
          <w:spacing w:val="-2"/>
          <w:sz w:val="20"/>
          <w:szCs w:val="20"/>
          <w:lang w:val="es-CL"/>
        </w:rPr>
        <w:t xml:space="preserve"> y Enrique Gil Botero, Miembros de la Comisión.</w:t>
      </w:r>
      <w:r w:rsidRPr="000A19C9">
        <w:rPr>
          <w:rFonts w:ascii="Cambria" w:hAnsi="Cambria" w:cs="Arial"/>
          <w:noProof/>
          <w:sz w:val="20"/>
          <w:szCs w:val="20"/>
          <w:lang w:val="es-CL"/>
        </w:rPr>
        <w:t xml:space="preserve"> </w:t>
      </w:r>
    </w:p>
    <w:p w:rsidR="0006606E" w:rsidRPr="000A19C9" w:rsidRDefault="0006606E" w:rsidP="0006606E">
      <w:pPr>
        <w:ind w:firstLine="720"/>
        <w:jc w:val="both"/>
        <w:rPr>
          <w:rFonts w:ascii="Cambria" w:hAnsi="Cambria" w:cs="Arial"/>
          <w:noProof/>
          <w:sz w:val="20"/>
          <w:szCs w:val="20"/>
          <w:lang w:val="es-CL"/>
        </w:rPr>
      </w:pPr>
    </w:p>
    <w:p w:rsidR="0006606E" w:rsidRPr="000A19C9" w:rsidRDefault="00A82D33" w:rsidP="0006606E">
      <w:pPr>
        <w:ind w:firstLine="720"/>
        <w:jc w:val="both"/>
        <w:rPr>
          <w:rFonts w:ascii="Cambria" w:hAnsi="Cambria" w:cs="Arial"/>
          <w:noProof/>
          <w:sz w:val="20"/>
          <w:szCs w:val="20"/>
          <w:lang w:val="es-CL"/>
        </w:rPr>
      </w:pPr>
      <w:r>
        <w:rPr>
          <w:rFonts w:ascii="Cambria" w:hAnsi="Cambria" w:cs="Arial"/>
          <w:noProof/>
          <w:sz w:val="20"/>
          <w:szCs w:val="20"/>
          <w:lang w:val="es-CL"/>
        </w:rPr>
        <w:t>El</w:t>
      </w:r>
      <w:r w:rsidR="0006606E" w:rsidRPr="000A19C9">
        <w:rPr>
          <w:rFonts w:ascii="Cambria" w:hAnsi="Cambria" w:cs="Arial"/>
          <w:noProof/>
          <w:sz w:val="20"/>
          <w:szCs w:val="20"/>
          <w:lang w:val="es-CL"/>
        </w:rPr>
        <w:t xml:space="preserve"> que suscribe, </w:t>
      </w:r>
      <w:r w:rsidRPr="00A82D33">
        <w:rPr>
          <w:rFonts w:ascii="Cambria" w:hAnsi="Cambria"/>
          <w:sz w:val="20"/>
          <w:lang w:val="es-ES"/>
        </w:rPr>
        <w:t xml:space="preserve">Paulo </w:t>
      </w:r>
      <w:proofErr w:type="spellStart"/>
      <w:r w:rsidRPr="00A82D33">
        <w:rPr>
          <w:rFonts w:ascii="Cambria" w:hAnsi="Cambria"/>
          <w:sz w:val="20"/>
          <w:lang w:val="es-ES"/>
        </w:rPr>
        <w:t>Abrão</w:t>
      </w:r>
      <w:proofErr w:type="spellEnd"/>
      <w:r w:rsidRPr="00A82D33">
        <w:rPr>
          <w:rFonts w:ascii="Cambria" w:hAnsi="Cambria"/>
          <w:sz w:val="20"/>
          <w:lang w:val="es-ES"/>
        </w:rPr>
        <w:t>,</w:t>
      </w:r>
      <w:r w:rsidR="0006606E" w:rsidRPr="000A19C9">
        <w:rPr>
          <w:rFonts w:ascii="Cambria" w:hAnsi="Cambria" w:cs="Arial"/>
          <w:noProof/>
          <w:sz w:val="20"/>
          <w:szCs w:val="20"/>
          <w:lang w:val="es-CL"/>
        </w:rPr>
        <w:t xml:space="preserve"> en su carácter de Secretari</w:t>
      </w:r>
      <w:r>
        <w:rPr>
          <w:rFonts w:ascii="Cambria" w:hAnsi="Cambria" w:cs="Arial"/>
          <w:noProof/>
          <w:sz w:val="20"/>
          <w:szCs w:val="20"/>
          <w:lang w:val="es-CL"/>
        </w:rPr>
        <w:t>o</w:t>
      </w:r>
      <w:r w:rsidR="0006606E" w:rsidRPr="000A19C9">
        <w:rPr>
          <w:rFonts w:ascii="Cambria" w:hAnsi="Cambria" w:cs="Arial"/>
          <w:noProof/>
          <w:sz w:val="20"/>
          <w:szCs w:val="20"/>
          <w:lang w:val="es-CL"/>
        </w:rPr>
        <w:t xml:space="preserve"> Ejecutiv</w:t>
      </w:r>
      <w:r>
        <w:rPr>
          <w:rFonts w:ascii="Cambria" w:hAnsi="Cambria" w:cs="Arial"/>
          <w:noProof/>
          <w:sz w:val="20"/>
          <w:szCs w:val="20"/>
          <w:lang w:val="es-CL"/>
        </w:rPr>
        <w:t>o</w:t>
      </w:r>
      <w:r w:rsidR="0006606E">
        <w:rPr>
          <w:rFonts w:ascii="Cambria" w:hAnsi="Cambria" w:cs="Arial"/>
          <w:noProof/>
          <w:sz w:val="20"/>
          <w:szCs w:val="20"/>
          <w:lang w:val="es-CL"/>
        </w:rPr>
        <w:t xml:space="preserve"> </w:t>
      </w:r>
      <w:r w:rsidR="0006606E" w:rsidRPr="000A19C9">
        <w:rPr>
          <w:rFonts w:ascii="Cambria" w:hAnsi="Cambria" w:cs="Arial"/>
          <w:noProof/>
          <w:sz w:val="20"/>
          <w:szCs w:val="20"/>
          <w:lang w:val="es-CL"/>
        </w:rPr>
        <w:t>de la Comisión Interamericana de Derechos Humanos, de conformidad con el artículo 49 del Reglamento de la Comisión, certifica que es copia fiel del original depositado en los archivos de la Secretaría de la CIDH.</w:t>
      </w:r>
    </w:p>
    <w:p w:rsidR="0006606E" w:rsidRPr="000A19C9" w:rsidRDefault="0006606E" w:rsidP="0006606E">
      <w:pPr>
        <w:suppressAutoHyphens/>
        <w:jc w:val="both"/>
        <w:rPr>
          <w:rFonts w:ascii="Cambria" w:hAnsi="Cambria" w:cs="Arial"/>
          <w:noProof/>
          <w:spacing w:val="-2"/>
          <w:sz w:val="20"/>
          <w:szCs w:val="20"/>
          <w:lang w:val="es-CL"/>
        </w:rPr>
      </w:pPr>
    </w:p>
    <w:p w:rsidR="0006606E" w:rsidRPr="000A19C9" w:rsidRDefault="0006606E" w:rsidP="0006606E">
      <w:pPr>
        <w:ind w:left="720" w:hanging="720"/>
        <w:jc w:val="center"/>
        <w:rPr>
          <w:rFonts w:ascii="Cambria" w:hAnsi="Cambria" w:cs="Arial"/>
          <w:sz w:val="20"/>
          <w:szCs w:val="20"/>
          <w:lang w:val="es-SV"/>
        </w:rPr>
      </w:pPr>
    </w:p>
    <w:p w:rsidR="0006606E" w:rsidRPr="000A19C9" w:rsidRDefault="0006606E" w:rsidP="0006606E">
      <w:pPr>
        <w:ind w:left="720" w:hanging="720"/>
        <w:jc w:val="center"/>
        <w:rPr>
          <w:rFonts w:ascii="Cambria" w:hAnsi="Cambria" w:cs="Arial"/>
          <w:sz w:val="20"/>
          <w:szCs w:val="20"/>
          <w:lang w:val="es-SV"/>
        </w:rPr>
      </w:pPr>
    </w:p>
    <w:p w:rsidR="0006606E" w:rsidRPr="000A19C9" w:rsidRDefault="0006606E" w:rsidP="0006606E">
      <w:pPr>
        <w:ind w:left="720" w:hanging="720"/>
        <w:jc w:val="center"/>
        <w:rPr>
          <w:rFonts w:ascii="Cambria" w:hAnsi="Cambria" w:cs="Arial"/>
          <w:sz w:val="20"/>
          <w:szCs w:val="20"/>
          <w:lang w:val="es-SV"/>
        </w:rPr>
      </w:pPr>
    </w:p>
    <w:p w:rsidR="0006606E" w:rsidRPr="000A19C9" w:rsidRDefault="0006606E" w:rsidP="0006606E">
      <w:pPr>
        <w:ind w:left="720" w:hanging="720"/>
        <w:jc w:val="center"/>
        <w:rPr>
          <w:rFonts w:ascii="Cambria" w:hAnsi="Cambria" w:cs="Arial"/>
          <w:sz w:val="20"/>
          <w:szCs w:val="20"/>
          <w:lang w:val="es-SV"/>
        </w:rPr>
      </w:pPr>
    </w:p>
    <w:p w:rsidR="00A82D33" w:rsidRDefault="00A82D33" w:rsidP="0006606E">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center"/>
        <w:rPr>
          <w:rFonts w:ascii="Cambria" w:hAnsi="Cambria"/>
          <w:sz w:val="20"/>
        </w:rPr>
      </w:pPr>
      <w:r>
        <w:rPr>
          <w:rFonts w:ascii="Cambria" w:hAnsi="Cambria"/>
          <w:sz w:val="20"/>
        </w:rPr>
        <w:t xml:space="preserve">Paulo </w:t>
      </w:r>
      <w:proofErr w:type="spellStart"/>
      <w:r>
        <w:rPr>
          <w:rFonts w:ascii="Cambria" w:hAnsi="Cambria"/>
          <w:sz w:val="20"/>
        </w:rPr>
        <w:t>Abrão</w:t>
      </w:r>
      <w:proofErr w:type="spellEnd"/>
    </w:p>
    <w:p w:rsidR="0006606E" w:rsidRPr="000A19C9" w:rsidRDefault="00A82D33" w:rsidP="0006606E">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center"/>
        <w:rPr>
          <w:rFonts w:ascii="Cambria" w:hAnsi="Cambria"/>
          <w:color w:val="auto"/>
          <w:sz w:val="20"/>
          <w:szCs w:val="20"/>
          <w:lang w:val="es-ES"/>
        </w:rPr>
      </w:pPr>
      <w:r w:rsidRPr="000A19C9">
        <w:rPr>
          <w:rFonts w:ascii="Cambria" w:hAnsi="Cambria" w:cs="Arial"/>
          <w:noProof/>
          <w:sz w:val="20"/>
          <w:szCs w:val="20"/>
          <w:lang w:val="es-CL"/>
        </w:rPr>
        <w:t>Secretari</w:t>
      </w:r>
      <w:r>
        <w:rPr>
          <w:rFonts w:ascii="Cambria" w:hAnsi="Cambria" w:cs="Arial"/>
          <w:noProof/>
          <w:sz w:val="20"/>
          <w:szCs w:val="20"/>
          <w:lang w:val="es-CL"/>
        </w:rPr>
        <w:t>o</w:t>
      </w:r>
      <w:r w:rsidRPr="000A19C9">
        <w:rPr>
          <w:rFonts w:ascii="Cambria" w:hAnsi="Cambria" w:cs="Arial"/>
          <w:noProof/>
          <w:sz w:val="20"/>
          <w:szCs w:val="20"/>
          <w:lang w:val="es-CL"/>
        </w:rPr>
        <w:t xml:space="preserve"> Ejecutiv</w:t>
      </w:r>
      <w:r>
        <w:rPr>
          <w:rFonts w:ascii="Cambria" w:hAnsi="Cambria" w:cs="Arial"/>
          <w:noProof/>
          <w:sz w:val="20"/>
          <w:szCs w:val="20"/>
          <w:lang w:val="es-CL"/>
        </w:rPr>
        <w:t>o</w:t>
      </w:r>
    </w:p>
    <w:p w:rsidR="004B316C" w:rsidRPr="00DC278B" w:rsidRDefault="004B316C" w:rsidP="00DC278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p>
    <w:sectPr w:rsidR="004B316C" w:rsidRPr="00DC278B" w:rsidSect="00934A2C">
      <w:headerReference w:type="even" r:id="rId9"/>
      <w:headerReference w:type="default" r:id="rId10"/>
      <w:footerReference w:type="default" r:id="rId11"/>
      <w:footerReference w:type="first" r:id="rId12"/>
      <w:type w:val="oddPage"/>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6713" w:rsidRDefault="00596713">
      <w:r>
        <w:separator/>
      </w:r>
    </w:p>
  </w:endnote>
  <w:endnote w:type="continuationSeparator" w:id="0">
    <w:p w:rsidR="00596713" w:rsidRDefault="005967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Unicode MS">
    <w:altName w:val="Arial"/>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00000007" w:usb1="00000000" w:usb2="00000000" w:usb3="00000000" w:csb0="00000093" w:csb1="00000000"/>
  </w:font>
  <w:font w:name="Universal">
    <w:altName w:val="Courier New"/>
    <w:charset w:val="00"/>
    <w:family w:val="auto"/>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20002A87" w:usb1="00000000" w:usb2="00000000" w:usb3="00000000" w:csb0="000001FF" w:csb1="00000000"/>
  </w:font>
  <w:font w:name="Verdana-Bold">
    <w:altName w:val="Verdana"/>
    <w:panose1 w:val="00000000000000000000"/>
    <w:charset w:val="4D"/>
    <w:family w:val="auto"/>
    <w:notTrueType/>
    <w:pitch w:val="default"/>
    <w:sig w:usb0="03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606E" w:rsidRPr="00934A2C" w:rsidRDefault="0006606E">
    <w:pPr>
      <w:pStyle w:val="Piedepgina"/>
      <w:jc w:val="center"/>
      <w:rPr>
        <w:sz w:val="16"/>
        <w:szCs w:val="22"/>
      </w:rPr>
    </w:pPr>
    <w:r w:rsidRPr="00934A2C">
      <w:rPr>
        <w:sz w:val="16"/>
        <w:szCs w:val="22"/>
      </w:rPr>
      <w:fldChar w:fldCharType="begin"/>
    </w:r>
    <w:r w:rsidRPr="00934A2C">
      <w:rPr>
        <w:sz w:val="16"/>
        <w:szCs w:val="22"/>
      </w:rPr>
      <w:instrText xml:space="preserve"> PAGE   \* MERGEFORMAT </w:instrText>
    </w:r>
    <w:r w:rsidRPr="00934A2C">
      <w:rPr>
        <w:sz w:val="16"/>
        <w:szCs w:val="22"/>
      </w:rPr>
      <w:fldChar w:fldCharType="separate"/>
    </w:r>
    <w:r w:rsidR="00DC16EC">
      <w:rPr>
        <w:noProof/>
        <w:sz w:val="16"/>
        <w:szCs w:val="22"/>
      </w:rPr>
      <w:t>29</w:t>
    </w:r>
    <w:r w:rsidRPr="00934A2C">
      <w:rPr>
        <w:noProof/>
        <w:sz w:val="16"/>
        <w:szCs w:val="22"/>
      </w:rPr>
      <w:fldChar w:fldCharType="end"/>
    </w:r>
  </w:p>
  <w:p w:rsidR="0006606E" w:rsidRDefault="0006606E">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606E" w:rsidRPr="00934A2C" w:rsidRDefault="0006606E">
    <w:pPr>
      <w:pStyle w:val="Piedepgina"/>
      <w:jc w:val="center"/>
      <w:rPr>
        <w:sz w:val="16"/>
        <w:szCs w:val="22"/>
      </w:rPr>
    </w:pPr>
  </w:p>
  <w:p w:rsidR="0006606E" w:rsidRDefault="0006606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6713" w:rsidRDefault="00596713">
      <w:r>
        <w:separator/>
      </w:r>
    </w:p>
  </w:footnote>
  <w:footnote w:type="continuationSeparator" w:id="0">
    <w:p w:rsidR="00596713" w:rsidRDefault="00596713">
      <w:r>
        <w:continuationSeparator/>
      </w:r>
    </w:p>
  </w:footnote>
  <w:footnote w:type="continuationNotice" w:id="1">
    <w:p w:rsidR="00596713" w:rsidRDefault="00596713"/>
  </w:footnote>
  <w:footnote w:id="2">
    <w:p w:rsidR="0006606E" w:rsidRPr="007877A3" w:rsidRDefault="0006606E" w:rsidP="00DC278B">
      <w:pPr>
        <w:pStyle w:val="Textonotapie"/>
        <w:tabs>
          <w:tab w:val="left" w:pos="360"/>
        </w:tabs>
        <w:spacing w:after="120"/>
        <w:ind w:firstLine="720"/>
        <w:jc w:val="both"/>
        <w:rPr>
          <w:rFonts w:ascii="Cambria" w:hAnsi="Cambria"/>
          <w:sz w:val="16"/>
          <w:szCs w:val="16"/>
          <w:lang w:val="pt-BR"/>
        </w:rPr>
      </w:pPr>
      <w:r w:rsidRPr="007877A3">
        <w:rPr>
          <w:rStyle w:val="Refdenotaalpie"/>
          <w:rFonts w:ascii="Cambria" w:hAnsi="Cambria"/>
          <w:sz w:val="16"/>
          <w:szCs w:val="16"/>
        </w:rPr>
        <w:footnoteRef/>
      </w:r>
      <w:r w:rsidRPr="007877A3">
        <w:rPr>
          <w:rFonts w:ascii="Cambria" w:hAnsi="Cambria"/>
          <w:sz w:val="16"/>
          <w:szCs w:val="16"/>
          <w:lang w:val="pt-BR"/>
        </w:rPr>
        <w:t xml:space="preserve"> Familiares de Augusto Alcayaga. </w:t>
      </w:r>
    </w:p>
  </w:footnote>
  <w:footnote w:id="3">
    <w:p w:rsidR="0006606E" w:rsidRPr="007877A3" w:rsidRDefault="0006606E" w:rsidP="00DC278B">
      <w:pPr>
        <w:pStyle w:val="Textonotapie"/>
        <w:tabs>
          <w:tab w:val="left" w:pos="360"/>
        </w:tabs>
        <w:spacing w:after="120"/>
        <w:ind w:firstLine="720"/>
        <w:jc w:val="both"/>
        <w:rPr>
          <w:rFonts w:ascii="Cambria" w:hAnsi="Cambria"/>
          <w:sz w:val="16"/>
          <w:szCs w:val="16"/>
          <w:lang w:val="pt-BR"/>
        </w:rPr>
      </w:pPr>
      <w:r w:rsidRPr="007877A3">
        <w:rPr>
          <w:rStyle w:val="Refdenotaalpie"/>
          <w:rFonts w:ascii="Cambria" w:hAnsi="Cambria"/>
          <w:sz w:val="16"/>
          <w:szCs w:val="16"/>
        </w:rPr>
        <w:footnoteRef/>
      </w:r>
      <w:r w:rsidRPr="007877A3">
        <w:rPr>
          <w:rFonts w:ascii="Cambria" w:hAnsi="Cambria"/>
          <w:sz w:val="16"/>
          <w:szCs w:val="16"/>
          <w:lang w:val="pt-BR"/>
        </w:rPr>
        <w:t xml:space="preserve"> Familiares de Jorge Osorio.</w:t>
      </w:r>
    </w:p>
  </w:footnote>
  <w:footnote w:id="4">
    <w:p w:rsidR="0006606E" w:rsidRPr="007877A3" w:rsidRDefault="0006606E" w:rsidP="00DC278B">
      <w:pPr>
        <w:pStyle w:val="Textonotapie"/>
        <w:tabs>
          <w:tab w:val="left" w:pos="360"/>
        </w:tabs>
        <w:spacing w:after="120"/>
        <w:ind w:firstLine="720"/>
        <w:jc w:val="both"/>
        <w:rPr>
          <w:rFonts w:ascii="Cambria" w:hAnsi="Cambria"/>
          <w:sz w:val="16"/>
          <w:szCs w:val="16"/>
          <w:lang w:val="pt-BR"/>
        </w:rPr>
      </w:pPr>
      <w:r w:rsidRPr="007877A3">
        <w:rPr>
          <w:rStyle w:val="Refdenotaalpie"/>
          <w:rFonts w:ascii="Cambria" w:hAnsi="Cambria"/>
          <w:sz w:val="16"/>
          <w:szCs w:val="16"/>
        </w:rPr>
        <w:footnoteRef/>
      </w:r>
      <w:r w:rsidRPr="007877A3">
        <w:rPr>
          <w:rFonts w:ascii="Cambria" w:hAnsi="Cambria"/>
          <w:sz w:val="16"/>
          <w:szCs w:val="16"/>
          <w:lang w:val="pt-BR"/>
        </w:rPr>
        <w:t xml:space="preserve"> Familiares de Hipólito Cortés.</w:t>
      </w:r>
    </w:p>
  </w:footnote>
  <w:footnote w:id="5">
    <w:p w:rsidR="0006606E" w:rsidRPr="007877A3" w:rsidRDefault="0006606E" w:rsidP="00DC278B">
      <w:pPr>
        <w:pStyle w:val="Textonotapie"/>
        <w:tabs>
          <w:tab w:val="left" w:pos="360"/>
        </w:tabs>
        <w:spacing w:after="120"/>
        <w:ind w:firstLine="720"/>
        <w:jc w:val="both"/>
        <w:rPr>
          <w:rFonts w:ascii="Cambria" w:hAnsi="Cambria"/>
          <w:sz w:val="16"/>
          <w:szCs w:val="16"/>
          <w:lang w:val="pt-BR"/>
        </w:rPr>
      </w:pPr>
      <w:r w:rsidRPr="007877A3">
        <w:rPr>
          <w:rStyle w:val="Refdenotaalpie"/>
          <w:rFonts w:ascii="Cambria" w:hAnsi="Cambria"/>
          <w:sz w:val="16"/>
          <w:szCs w:val="16"/>
        </w:rPr>
        <w:footnoteRef/>
      </w:r>
      <w:r w:rsidRPr="007877A3">
        <w:rPr>
          <w:rFonts w:ascii="Cambria" w:hAnsi="Cambria"/>
          <w:sz w:val="16"/>
          <w:szCs w:val="16"/>
          <w:lang w:val="pt-BR"/>
        </w:rPr>
        <w:t xml:space="preserve"> Familiares de Mario Melo. </w:t>
      </w:r>
    </w:p>
  </w:footnote>
  <w:footnote w:id="6">
    <w:p w:rsidR="0006606E" w:rsidRPr="007877A3" w:rsidRDefault="0006606E" w:rsidP="00DC278B">
      <w:pPr>
        <w:pStyle w:val="Textonotapie"/>
        <w:tabs>
          <w:tab w:val="left" w:pos="360"/>
        </w:tabs>
        <w:spacing w:after="120"/>
        <w:ind w:firstLine="720"/>
        <w:jc w:val="both"/>
        <w:rPr>
          <w:rFonts w:ascii="Cambria" w:hAnsi="Cambria"/>
          <w:sz w:val="16"/>
          <w:szCs w:val="16"/>
          <w:lang w:val="pt-BR"/>
        </w:rPr>
      </w:pPr>
      <w:r w:rsidRPr="007877A3">
        <w:rPr>
          <w:rStyle w:val="Refdenotaalpie"/>
          <w:rFonts w:ascii="Cambria" w:hAnsi="Cambria"/>
          <w:sz w:val="16"/>
          <w:szCs w:val="16"/>
        </w:rPr>
        <w:footnoteRef/>
      </w:r>
      <w:r w:rsidRPr="007877A3">
        <w:rPr>
          <w:rFonts w:ascii="Cambria" w:hAnsi="Cambria"/>
          <w:sz w:val="16"/>
          <w:szCs w:val="16"/>
          <w:lang w:val="pt-BR"/>
        </w:rPr>
        <w:t xml:space="preserve"> Familiar de Ramón Vivanco. </w:t>
      </w:r>
    </w:p>
  </w:footnote>
  <w:footnote w:id="7">
    <w:p w:rsidR="0006606E" w:rsidRPr="007877A3" w:rsidRDefault="0006606E" w:rsidP="00DC278B">
      <w:pPr>
        <w:pStyle w:val="Textonotapie"/>
        <w:tabs>
          <w:tab w:val="left" w:pos="360"/>
        </w:tabs>
        <w:spacing w:after="120"/>
        <w:ind w:firstLine="720"/>
        <w:jc w:val="both"/>
        <w:rPr>
          <w:rFonts w:ascii="Cambria" w:hAnsi="Cambria"/>
          <w:sz w:val="16"/>
          <w:szCs w:val="16"/>
          <w:lang w:val="pt-BR"/>
        </w:rPr>
      </w:pPr>
      <w:r w:rsidRPr="007877A3">
        <w:rPr>
          <w:rStyle w:val="Refdenotaalpie"/>
          <w:rFonts w:ascii="Cambria" w:hAnsi="Cambria"/>
          <w:sz w:val="16"/>
          <w:szCs w:val="16"/>
        </w:rPr>
        <w:footnoteRef/>
      </w:r>
      <w:r w:rsidRPr="007877A3">
        <w:rPr>
          <w:rFonts w:ascii="Cambria" w:hAnsi="Cambria"/>
          <w:sz w:val="16"/>
          <w:szCs w:val="16"/>
          <w:lang w:val="pt-BR"/>
        </w:rPr>
        <w:t xml:space="preserve"> Familiar de Rodolfo Espejo. </w:t>
      </w:r>
      <w:r w:rsidRPr="007877A3">
        <w:rPr>
          <w:rFonts w:ascii="Cambria" w:hAnsi="Cambria"/>
          <w:sz w:val="16"/>
          <w:szCs w:val="16"/>
          <w:lang w:val="pt-BR"/>
        </w:rPr>
        <w:tab/>
        <w:t xml:space="preserve"> </w:t>
      </w:r>
    </w:p>
  </w:footnote>
  <w:footnote w:id="8">
    <w:p w:rsidR="0006606E" w:rsidRPr="007877A3" w:rsidRDefault="0006606E" w:rsidP="00DC278B">
      <w:pPr>
        <w:pStyle w:val="Textonotapie"/>
        <w:tabs>
          <w:tab w:val="left" w:pos="360"/>
        </w:tabs>
        <w:spacing w:after="120"/>
        <w:ind w:firstLine="720"/>
        <w:jc w:val="both"/>
        <w:rPr>
          <w:rFonts w:ascii="Cambria" w:hAnsi="Cambria"/>
          <w:sz w:val="16"/>
          <w:szCs w:val="16"/>
          <w:lang w:val="pt-BR"/>
        </w:rPr>
      </w:pPr>
      <w:r w:rsidRPr="007877A3">
        <w:rPr>
          <w:rFonts w:ascii="Cambria" w:hAnsi="Cambria"/>
          <w:sz w:val="16"/>
          <w:szCs w:val="16"/>
          <w:vertAlign w:val="superscript"/>
          <w:lang w:val="es-CO"/>
        </w:rPr>
        <w:footnoteRef/>
      </w:r>
      <w:r w:rsidRPr="007877A3">
        <w:rPr>
          <w:rFonts w:ascii="Cambria" w:hAnsi="Cambria"/>
          <w:sz w:val="16"/>
          <w:szCs w:val="16"/>
          <w:lang w:val="pt-BR"/>
        </w:rPr>
        <w:t xml:space="preserve"> Familiares de Sergio Reyes.</w:t>
      </w:r>
    </w:p>
  </w:footnote>
  <w:footnote w:id="9">
    <w:p w:rsidR="0006606E" w:rsidRPr="007877A3" w:rsidRDefault="0006606E" w:rsidP="00DC278B">
      <w:pPr>
        <w:tabs>
          <w:tab w:val="left" w:pos="360"/>
        </w:tabs>
        <w:spacing w:after="120"/>
        <w:ind w:firstLine="720"/>
        <w:jc w:val="both"/>
        <w:rPr>
          <w:rFonts w:ascii="Cambria" w:hAnsi="Cambria"/>
          <w:sz w:val="16"/>
          <w:szCs w:val="16"/>
          <w:lang w:val="es-ES"/>
        </w:rPr>
      </w:pPr>
      <w:r w:rsidRPr="007877A3">
        <w:rPr>
          <w:rStyle w:val="Refdenotaalpie"/>
          <w:rFonts w:ascii="Cambria" w:hAnsi="Cambria"/>
          <w:sz w:val="16"/>
          <w:szCs w:val="16"/>
        </w:rPr>
        <w:footnoteRef/>
      </w:r>
      <w:r w:rsidRPr="007877A3">
        <w:rPr>
          <w:rFonts w:ascii="Cambria" w:hAnsi="Cambria"/>
          <w:sz w:val="16"/>
          <w:szCs w:val="16"/>
          <w:lang w:val="es-ES"/>
        </w:rPr>
        <w:t xml:space="preserve"> CIDH, Informe No. 60/05 (Admisibilidad), Petición 511-03, María Ordenes Guerra; Chile, 12 de octubre de 2005.</w:t>
      </w:r>
    </w:p>
  </w:footnote>
  <w:footnote w:id="10">
    <w:p w:rsidR="0006606E" w:rsidRPr="007877A3" w:rsidRDefault="0006606E" w:rsidP="00DC278B">
      <w:pPr>
        <w:tabs>
          <w:tab w:val="left" w:pos="360"/>
        </w:tabs>
        <w:spacing w:after="120"/>
        <w:ind w:firstLine="720"/>
        <w:jc w:val="both"/>
        <w:rPr>
          <w:rFonts w:ascii="Cambria" w:hAnsi="Cambria"/>
          <w:sz w:val="16"/>
          <w:szCs w:val="16"/>
          <w:lang w:val="es-ES"/>
        </w:rPr>
      </w:pPr>
      <w:r w:rsidRPr="007877A3">
        <w:rPr>
          <w:rStyle w:val="Refdenotaalpie"/>
          <w:rFonts w:ascii="Cambria" w:hAnsi="Cambria"/>
          <w:sz w:val="16"/>
          <w:szCs w:val="16"/>
        </w:rPr>
        <w:footnoteRef/>
      </w:r>
      <w:r w:rsidRPr="007877A3">
        <w:rPr>
          <w:rFonts w:ascii="Cambria" w:hAnsi="Cambria"/>
          <w:sz w:val="16"/>
          <w:szCs w:val="16"/>
          <w:lang w:val="es-ES"/>
        </w:rPr>
        <w:t xml:space="preserve"> CIDH, Informe No. 61/05 (Admisibilidad), Petición 698-03, Lucía Morales </w:t>
      </w:r>
      <w:proofErr w:type="spellStart"/>
      <w:r w:rsidRPr="007877A3">
        <w:rPr>
          <w:rFonts w:ascii="Cambria" w:hAnsi="Cambria"/>
          <w:sz w:val="16"/>
          <w:szCs w:val="16"/>
          <w:lang w:val="es-ES"/>
        </w:rPr>
        <w:t>Compagnon</w:t>
      </w:r>
      <w:proofErr w:type="spellEnd"/>
      <w:r w:rsidRPr="007877A3">
        <w:rPr>
          <w:rFonts w:ascii="Cambria" w:hAnsi="Cambria"/>
          <w:sz w:val="16"/>
          <w:szCs w:val="16"/>
          <w:lang w:val="es-ES"/>
        </w:rPr>
        <w:t xml:space="preserve"> y otros; Chile, 12 de octubre de 2005.</w:t>
      </w:r>
    </w:p>
  </w:footnote>
  <w:footnote w:id="11">
    <w:p w:rsidR="0006606E" w:rsidRPr="007877A3" w:rsidRDefault="0006606E" w:rsidP="00DC278B">
      <w:pPr>
        <w:tabs>
          <w:tab w:val="left" w:pos="360"/>
        </w:tabs>
        <w:spacing w:after="120"/>
        <w:ind w:firstLine="720"/>
        <w:jc w:val="both"/>
        <w:rPr>
          <w:rFonts w:ascii="Cambria" w:hAnsi="Cambria"/>
          <w:sz w:val="16"/>
          <w:szCs w:val="16"/>
          <w:lang w:val="es-ES"/>
        </w:rPr>
      </w:pPr>
      <w:r w:rsidRPr="007877A3">
        <w:rPr>
          <w:rStyle w:val="Refdenotaalpie"/>
          <w:rFonts w:ascii="Cambria" w:hAnsi="Cambria"/>
          <w:sz w:val="16"/>
          <w:szCs w:val="16"/>
        </w:rPr>
        <w:footnoteRef/>
      </w:r>
      <w:r w:rsidRPr="007877A3">
        <w:rPr>
          <w:rFonts w:ascii="Cambria" w:hAnsi="Cambria"/>
          <w:sz w:val="16"/>
          <w:szCs w:val="16"/>
          <w:lang w:val="es-ES"/>
        </w:rPr>
        <w:t xml:space="preserve"> CIDH, Informe No. 62/05 (Admisibilidad), Petición 862-03, Alina María Barraza </w:t>
      </w:r>
      <w:proofErr w:type="spellStart"/>
      <w:r w:rsidRPr="007877A3">
        <w:rPr>
          <w:rFonts w:ascii="Cambria" w:hAnsi="Cambria"/>
          <w:sz w:val="16"/>
          <w:szCs w:val="16"/>
          <w:lang w:val="es-ES"/>
        </w:rPr>
        <w:t>Codoceo</w:t>
      </w:r>
      <w:proofErr w:type="spellEnd"/>
      <w:r w:rsidRPr="007877A3">
        <w:rPr>
          <w:rFonts w:ascii="Cambria" w:hAnsi="Cambria"/>
          <w:sz w:val="16"/>
          <w:szCs w:val="16"/>
          <w:lang w:val="es-ES"/>
        </w:rPr>
        <w:t xml:space="preserve"> y otros; Chile, 12 de octubre de 2005.</w:t>
      </w:r>
    </w:p>
  </w:footnote>
  <w:footnote w:id="12">
    <w:p w:rsidR="0006606E" w:rsidRPr="007877A3" w:rsidRDefault="0006606E" w:rsidP="00DC278B">
      <w:pPr>
        <w:tabs>
          <w:tab w:val="left" w:pos="360"/>
        </w:tabs>
        <w:spacing w:after="120"/>
        <w:ind w:firstLine="720"/>
        <w:jc w:val="both"/>
        <w:rPr>
          <w:rFonts w:ascii="Cambria" w:hAnsi="Cambria"/>
          <w:sz w:val="16"/>
          <w:szCs w:val="16"/>
          <w:lang w:val="es-ES"/>
        </w:rPr>
      </w:pPr>
      <w:r w:rsidRPr="007877A3">
        <w:rPr>
          <w:rStyle w:val="Refdenotaalpie"/>
          <w:rFonts w:ascii="Cambria" w:hAnsi="Cambria"/>
          <w:sz w:val="16"/>
          <w:szCs w:val="16"/>
        </w:rPr>
        <w:footnoteRef/>
      </w:r>
      <w:r w:rsidRPr="007877A3">
        <w:rPr>
          <w:rFonts w:ascii="Cambria" w:hAnsi="Cambria"/>
          <w:sz w:val="16"/>
          <w:szCs w:val="16"/>
          <w:lang w:val="es-ES"/>
        </w:rPr>
        <w:t xml:space="preserve"> CIDH, Informe No. 59/05 (Admisibilidad), Petición </w:t>
      </w:r>
      <w:r w:rsidRPr="007877A3">
        <w:rPr>
          <w:rFonts w:ascii="Cambria" w:hAnsi="Cambria"/>
          <w:sz w:val="16"/>
          <w:szCs w:val="16"/>
          <w:lang w:val="es-ES_tradnl"/>
        </w:rPr>
        <w:t>381-04</w:t>
      </w:r>
      <w:r w:rsidRPr="007877A3">
        <w:rPr>
          <w:rFonts w:ascii="Cambria" w:hAnsi="Cambria"/>
          <w:sz w:val="16"/>
          <w:szCs w:val="16"/>
          <w:lang w:val="es-ES"/>
        </w:rPr>
        <w:t>, Mercedes Magdalena Navarrete y otros; Chile, 12 de octubre de 2005.</w:t>
      </w:r>
    </w:p>
  </w:footnote>
  <w:footnote w:id="13">
    <w:p w:rsidR="0006606E" w:rsidRPr="007877A3" w:rsidRDefault="0006606E" w:rsidP="00DC278B">
      <w:pPr>
        <w:pStyle w:val="Textonotapie"/>
        <w:tabs>
          <w:tab w:val="left" w:pos="360"/>
        </w:tabs>
        <w:spacing w:after="120"/>
        <w:ind w:firstLine="720"/>
        <w:jc w:val="both"/>
        <w:rPr>
          <w:rFonts w:ascii="Cambria" w:hAnsi="Cambria"/>
          <w:sz w:val="16"/>
          <w:szCs w:val="16"/>
          <w:lang w:val="es-CO"/>
        </w:rPr>
      </w:pPr>
      <w:r w:rsidRPr="007877A3">
        <w:rPr>
          <w:rStyle w:val="Refdenotaalpie"/>
          <w:rFonts w:ascii="Cambria" w:hAnsi="Cambria"/>
          <w:sz w:val="16"/>
          <w:szCs w:val="16"/>
        </w:rPr>
        <w:footnoteRef/>
      </w:r>
      <w:r w:rsidRPr="007877A3">
        <w:rPr>
          <w:rFonts w:ascii="Cambria" w:hAnsi="Cambria"/>
          <w:sz w:val="16"/>
          <w:szCs w:val="16"/>
          <w:lang w:val="es-CO"/>
        </w:rPr>
        <w:t xml:space="preserve"> El Estado señala que el monto recibido mensualmente desde el mes de julio de 1991 hasta noviembre de 2007 suma $36.627.798 de pesos chilenos. Escrito del Estado de 21 de noviembre de 2008.</w:t>
      </w:r>
    </w:p>
  </w:footnote>
  <w:footnote w:id="14">
    <w:p w:rsidR="0006606E" w:rsidRPr="007877A3" w:rsidRDefault="0006606E" w:rsidP="00DC278B">
      <w:pPr>
        <w:pStyle w:val="Textonotapie"/>
        <w:tabs>
          <w:tab w:val="left" w:pos="360"/>
        </w:tabs>
        <w:spacing w:after="120"/>
        <w:ind w:firstLine="720"/>
        <w:jc w:val="both"/>
        <w:rPr>
          <w:rFonts w:ascii="Cambria" w:hAnsi="Cambria"/>
          <w:sz w:val="16"/>
          <w:szCs w:val="16"/>
          <w:lang w:val="es-ES"/>
        </w:rPr>
      </w:pPr>
      <w:r w:rsidRPr="007877A3">
        <w:rPr>
          <w:rFonts w:ascii="Cambria" w:hAnsi="Cambria"/>
          <w:sz w:val="16"/>
          <w:szCs w:val="16"/>
          <w:vertAlign w:val="superscript"/>
          <w:lang w:val="es-CO"/>
        </w:rPr>
        <w:footnoteRef/>
      </w:r>
      <w:r w:rsidRPr="007877A3">
        <w:rPr>
          <w:rFonts w:ascii="Cambria" w:hAnsi="Cambria"/>
          <w:sz w:val="16"/>
          <w:szCs w:val="16"/>
          <w:lang w:val="es-CO"/>
        </w:rPr>
        <w:t xml:space="preserve"> Audiencia pública sostenida ante la CIDH durante su 134 Periodo de Sesiones. Casos 12.520 Katia Ximena del Carmen Espejo Gómez y otros, y 12.521 Alina María Barraza </w:t>
      </w:r>
      <w:proofErr w:type="spellStart"/>
      <w:r w:rsidRPr="007877A3">
        <w:rPr>
          <w:rFonts w:ascii="Cambria" w:hAnsi="Cambria"/>
          <w:sz w:val="16"/>
          <w:szCs w:val="16"/>
          <w:lang w:val="es-CO"/>
        </w:rPr>
        <w:t>Codoceo</w:t>
      </w:r>
      <w:proofErr w:type="spellEnd"/>
      <w:r w:rsidRPr="007877A3">
        <w:rPr>
          <w:rFonts w:ascii="Cambria" w:hAnsi="Cambria"/>
          <w:sz w:val="16"/>
          <w:szCs w:val="16"/>
          <w:lang w:val="es-CO"/>
        </w:rPr>
        <w:t xml:space="preserve"> y otros (Chile), 21 de marzo de 2009.</w:t>
      </w:r>
    </w:p>
  </w:footnote>
  <w:footnote w:id="15">
    <w:p w:rsidR="0006606E" w:rsidRPr="007877A3" w:rsidRDefault="0006606E" w:rsidP="00DC278B">
      <w:pPr>
        <w:pStyle w:val="Textonotapie"/>
        <w:tabs>
          <w:tab w:val="left" w:pos="360"/>
        </w:tabs>
        <w:spacing w:after="120"/>
        <w:ind w:firstLine="720"/>
        <w:jc w:val="both"/>
        <w:rPr>
          <w:rFonts w:ascii="Cambria" w:hAnsi="Cambria"/>
          <w:sz w:val="16"/>
          <w:szCs w:val="16"/>
          <w:lang w:val="es-CO"/>
        </w:rPr>
      </w:pPr>
      <w:r w:rsidRPr="007877A3">
        <w:rPr>
          <w:rStyle w:val="Refdenotaalpie"/>
          <w:rFonts w:ascii="Cambria" w:hAnsi="Cambria"/>
          <w:sz w:val="16"/>
          <w:szCs w:val="16"/>
        </w:rPr>
        <w:footnoteRef/>
      </w:r>
      <w:r w:rsidRPr="007877A3">
        <w:rPr>
          <w:rFonts w:ascii="Cambria" w:hAnsi="Cambria"/>
          <w:sz w:val="16"/>
          <w:szCs w:val="16"/>
          <w:lang w:val="es-CO"/>
        </w:rPr>
        <w:t xml:space="preserve"> El Estado señala que el monto recibido mensualmente desde el mes de julio de 1991 hasta noviembre de 2007 suma $36.175.000 de pesos chilenos. Escrito del Estado de 21 de noviembre de 2008.</w:t>
      </w:r>
    </w:p>
  </w:footnote>
  <w:footnote w:id="16">
    <w:p w:rsidR="0006606E" w:rsidRPr="007877A3" w:rsidRDefault="0006606E" w:rsidP="00DC278B">
      <w:pPr>
        <w:pStyle w:val="Textonotapie"/>
        <w:tabs>
          <w:tab w:val="left" w:pos="360"/>
        </w:tabs>
        <w:spacing w:after="120"/>
        <w:ind w:firstLine="720"/>
        <w:jc w:val="both"/>
        <w:rPr>
          <w:rFonts w:ascii="Cambria" w:hAnsi="Cambria"/>
          <w:sz w:val="16"/>
          <w:szCs w:val="16"/>
          <w:lang w:val="es-ES"/>
        </w:rPr>
      </w:pPr>
      <w:r w:rsidRPr="007877A3">
        <w:rPr>
          <w:rStyle w:val="Refdenotaalpie"/>
          <w:rFonts w:ascii="Cambria" w:hAnsi="Cambria"/>
          <w:sz w:val="16"/>
          <w:szCs w:val="16"/>
        </w:rPr>
        <w:footnoteRef/>
      </w:r>
      <w:r w:rsidRPr="007877A3">
        <w:rPr>
          <w:rFonts w:ascii="Cambria" w:hAnsi="Cambria"/>
          <w:sz w:val="16"/>
          <w:szCs w:val="16"/>
          <w:lang w:val="es-UY"/>
        </w:rPr>
        <w:t xml:space="preserve"> </w:t>
      </w:r>
      <w:r w:rsidRPr="007877A3">
        <w:rPr>
          <w:rFonts w:ascii="Cambria" w:hAnsi="Cambria"/>
          <w:sz w:val="16"/>
          <w:szCs w:val="16"/>
          <w:lang w:val="es-ES"/>
        </w:rPr>
        <w:t xml:space="preserve">CIDH, Audiencia, 131˚ Período de Sesiones, Casos “Comuna 13”, 12.596 – Luz Dary Ospina Bastidas, 12.595 – Miriam Eugenia Rúa Figueroa, y 12.621 – Teresa </w:t>
      </w:r>
      <w:proofErr w:type="spellStart"/>
      <w:r w:rsidRPr="007877A3">
        <w:rPr>
          <w:rFonts w:ascii="Cambria" w:hAnsi="Cambria"/>
          <w:sz w:val="16"/>
          <w:szCs w:val="16"/>
          <w:lang w:val="es-ES"/>
        </w:rPr>
        <w:t>Yarce</w:t>
      </w:r>
      <w:proofErr w:type="spellEnd"/>
      <w:r w:rsidRPr="007877A3">
        <w:rPr>
          <w:rFonts w:ascii="Cambria" w:hAnsi="Cambria"/>
          <w:sz w:val="16"/>
          <w:szCs w:val="16"/>
          <w:lang w:val="es-ES"/>
        </w:rPr>
        <w:t xml:space="preserve">, Mery Naranjo y Socorro Mosquera, Colombia, 12 de marzo de 2008, disponible en: </w:t>
      </w:r>
      <w:hyperlink r:id="rId1" w:history="1">
        <w:r w:rsidRPr="007877A3">
          <w:rPr>
            <w:rStyle w:val="Hipervnculo"/>
            <w:rFonts w:ascii="Cambria" w:hAnsi="Cambria"/>
            <w:sz w:val="16"/>
            <w:szCs w:val="16"/>
            <w:u w:val="none"/>
            <w:lang w:val="es-ES"/>
          </w:rPr>
          <w:t>http://www.oas.org/es/cidh/audiencias/Hearings.aspx?Lang=es&amp;Session=12&amp;page=2</w:t>
        </w:r>
      </w:hyperlink>
      <w:r w:rsidRPr="007877A3">
        <w:rPr>
          <w:rFonts w:ascii="Cambria" w:hAnsi="Cambria"/>
          <w:sz w:val="16"/>
          <w:szCs w:val="16"/>
          <w:lang w:val="es-ES"/>
        </w:rPr>
        <w:t>.</w:t>
      </w:r>
    </w:p>
  </w:footnote>
  <w:footnote w:id="17">
    <w:p w:rsidR="0006606E" w:rsidRPr="007877A3" w:rsidRDefault="0006606E" w:rsidP="00DC278B">
      <w:pPr>
        <w:pStyle w:val="Textoindependiente2"/>
        <w:tabs>
          <w:tab w:val="left" w:pos="360"/>
        </w:tabs>
        <w:spacing w:line="240" w:lineRule="auto"/>
        <w:ind w:firstLine="720"/>
        <w:jc w:val="both"/>
        <w:rPr>
          <w:rFonts w:ascii="Cambria" w:hAnsi="Cambria"/>
          <w:sz w:val="16"/>
          <w:szCs w:val="16"/>
          <w:lang w:val="es-ES"/>
        </w:rPr>
      </w:pPr>
      <w:r w:rsidRPr="007877A3">
        <w:rPr>
          <w:rStyle w:val="Refdenotaalpie"/>
          <w:rFonts w:ascii="Cambria" w:hAnsi="Cambria"/>
          <w:sz w:val="16"/>
          <w:szCs w:val="16"/>
        </w:rPr>
        <w:footnoteRef/>
      </w:r>
      <w:r w:rsidRPr="007877A3">
        <w:rPr>
          <w:rFonts w:ascii="Cambria" w:hAnsi="Cambria"/>
          <w:sz w:val="16"/>
          <w:szCs w:val="16"/>
          <w:lang w:val="es-ES"/>
        </w:rPr>
        <w:t xml:space="preserve"> </w:t>
      </w:r>
      <w:r w:rsidRPr="007877A3">
        <w:rPr>
          <w:rFonts w:ascii="Cambria" w:eastAsia="Calibri" w:hAnsi="Cambria" w:cs="Calibri"/>
          <w:color w:val="000000"/>
          <w:sz w:val="16"/>
          <w:szCs w:val="16"/>
          <w:u w:color="000000"/>
          <w:lang w:val="es-ES" w:eastAsia="es-ES"/>
        </w:rPr>
        <w:t>Art. 43.1 del Reglamento de la CIDH: ”La Comisión deliberará sobre el fondo del caso, a cuyo efecto preparará un informe en el cual examinará los alegatos, las pruebas suministradas por las partes, y la información obtenida durante audiencias y observaciones in loco.  Asimismo, la Comisión podrá tener en cuenta otra información de público conocimiento”.</w:t>
      </w:r>
      <w:r>
        <w:rPr>
          <w:rFonts w:ascii="Cambria" w:hAnsi="Cambria"/>
          <w:sz w:val="16"/>
          <w:szCs w:val="16"/>
          <w:lang w:val="es-ES"/>
        </w:rPr>
        <w:t xml:space="preserve"> </w:t>
      </w:r>
    </w:p>
  </w:footnote>
  <w:footnote w:id="18">
    <w:p w:rsidR="0006606E" w:rsidRPr="007877A3" w:rsidRDefault="0006606E" w:rsidP="00DC278B">
      <w:pPr>
        <w:pStyle w:val="Textonotapie"/>
        <w:tabs>
          <w:tab w:val="left" w:pos="360"/>
        </w:tabs>
        <w:spacing w:after="120"/>
        <w:ind w:firstLine="720"/>
        <w:jc w:val="both"/>
        <w:rPr>
          <w:rFonts w:ascii="Cambria" w:hAnsi="Cambria"/>
          <w:sz w:val="16"/>
          <w:szCs w:val="16"/>
          <w:lang w:val="es-ES"/>
        </w:rPr>
      </w:pPr>
      <w:r w:rsidRPr="007877A3">
        <w:rPr>
          <w:rFonts w:ascii="Cambria" w:hAnsi="Cambria"/>
          <w:sz w:val="16"/>
          <w:szCs w:val="16"/>
          <w:vertAlign w:val="superscript"/>
          <w:lang w:val="es-ES"/>
        </w:rPr>
        <w:footnoteRef/>
      </w:r>
      <w:r w:rsidRPr="007877A3">
        <w:rPr>
          <w:rFonts w:ascii="Cambria" w:hAnsi="Cambria"/>
          <w:sz w:val="16"/>
          <w:szCs w:val="16"/>
          <w:lang w:val="es-ES"/>
        </w:rPr>
        <w:t xml:space="preserve"> Cor</w:t>
      </w:r>
      <w:r>
        <w:rPr>
          <w:rFonts w:ascii="Cambria" w:hAnsi="Cambria"/>
          <w:sz w:val="16"/>
          <w:szCs w:val="16"/>
          <w:lang w:val="es-ES"/>
        </w:rPr>
        <w:t>te IDH.</w:t>
      </w:r>
      <w:r w:rsidRPr="007877A3">
        <w:rPr>
          <w:rFonts w:ascii="Cambria" w:hAnsi="Cambria"/>
          <w:sz w:val="16"/>
          <w:szCs w:val="16"/>
          <w:lang w:val="es-ES"/>
        </w:rPr>
        <w:t xml:space="preserve"> Caso </w:t>
      </w:r>
      <w:proofErr w:type="spellStart"/>
      <w:r w:rsidRPr="007877A3">
        <w:rPr>
          <w:rFonts w:ascii="Cambria" w:hAnsi="Cambria"/>
          <w:sz w:val="16"/>
          <w:szCs w:val="16"/>
          <w:lang w:val="es-ES"/>
        </w:rPr>
        <w:t>Almonacid</w:t>
      </w:r>
      <w:proofErr w:type="spellEnd"/>
      <w:r w:rsidRPr="007877A3">
        <w:rPr>
          <w:rFonts w:ascii="Cambria" w:hAnsi="Cambria"/>
          <w:sz w:val="16"/>
          <w:szCs w:val="16"/>
          <w:lang w:val="es-ES"/>
        </w:rPr>
        <w:t xml:space="preserve"> Arellano y otros vs. Chile.</w:t>
      </w:r>
      <w:r>
        <w:rPr>
          <w:rFonts w:ascii="Cambria" w:hAnsi="Cambria"/>
          <w:sz w:val="16"/>
          <w:szCs w:val="16"/>
          <w:lang w:val="es-ES"/>
        </w:rPr>
        <w:t xml:space="preserve"> Excepciones Preliminares, Fondo, Reparaciones y Costas.</w:t>
      </w:r>
      <w:r w:rsidRPr="007877A3">
        <w:rPr>
          <w:rFonts w:ascii="Cambria" w:hAnsi="Cambria"/>
          <w:sz w:val="16"/>
          <w:szCs w:val="16"/>
          <w:lang w:val="es-ES"/>
        </w:rPr>
        <w:t xml:space="preserve"> Sentencia de 26 de septiembre de 2006. Serie C No. 154, párr. 82.</w:t>
      </w:r>
    </w:p>
  </w:footnote>
  <w:footnote w:id="19">
    <w:p w:rsidR="0006606E" w:rsidRPr="007877A3" w:rsidRDefault="0006606E" w:rsidP="00DC278B">
      <w:pPr>
        <w:pStyle w:val="Textonotapie"/>
        <w:tabs>
          <w:tab w:val="left" w:pos="360"/>
        </w:tabs>
        <w:spacing w:after="120"/>
        <w:ind w:firstLine="720"/>
        <w:jc w:val="both"/>
        <w:rPr>
          <w:rFonts w:ascii="Cambria" w:hAnsi="Cambria"/>
          <w:sz w:val="16"/>
          <w:szCs w:val="16"/>
          <w:lang w:val="es-ES"/>
        </w:rPr>
      </w:pPr>
      <w:r w:rsidRPr="007877A3">
        <w:rPr>
          <w:rStyle w:val="Refdenotaalpie"/>
          <w:rFonts w:ascii="Cambria" w:hAnsi="Cambria"/>
          <w:sz w:val="16"/>
          <w:szCs w:val="16"/>
        </w:rPr>
        <w:footnoteRef/>
      </w:r>
      <w:r w:rsidRPr="007877A3">
        <w:rPr>
          <w:rFonts w:ascii="Cambria" w:hAnsi="Cambria"/>
          <w:sz w:val="16"/>
          <w:szCs w:val="16"/>
          <w:lang w:val="es-ES"/>
        </w:rPr>
        <w:t xml:space="preserve"> CIDH. Informes de 12 de octubre de 2005: No. 60/05, Petición 511-03, María Ordenes Guerra (Chile), párr. 20; No. 61/05, Petición 698-03, Lucía Morales </w:t>
      </w:r>
      <w:proofErr w:type="spellStart"/>
      <w:r w:rsidRPr="007877A3">
        <w:rPr>
          <w:rFonts w:ascii="Cambria" w:hAnsi="Cambria"/>
          <w:sz w:val="16"/>
          <w:szCs w:val="16"/>
          <w:lang w:val="es-ES"/>
        </w:rPr>
        <w:t>Compagnon</w:t>
      </w:r>
      <w:proofErr w:type="spellEnd"/>
      <w:r w:rsidRPr="007877A3">
        <w:rPr>
          <w:rFonts w:ascii="Cambria" w:hAnsi="Cambria"/>
          <w:sz w:val="16"/>
          <w:szCs w:val="16"/>
          <w:lang w:val="es-ES"/>
        </w:rPr>
        <w:t xml:space="preserve"> y otros (Chile), párr.19; No. 62/05, Petición 862-03, Alina María Barraza </w:t>
      </w:r>
      <w:proofErr w:type="spellStart"/>
      <w:r w:rsidRPr="007877A3">
        <w:rPr>
          <w:rFonts w:ascii="Cambria" w:hAnsi="Cambria"/>
          <w:sz w:val="16"/>
          <w:szCs w:val="16"/>
          <w:lang w:val="es-ES"/>
        </w:rPr>
        <w:t>Codoceo</w:t>
      </w:r>
      <w:proofErr w:type="spellEnd"/>
      <w:r w:rsidRPr="007877A3">
        <w:rPr>
          <w:rFonts w:ascii="Cambria" w:hAnsi="Cambria"/>
          <w:sz w:val="16"/>
          <w:szCs w:val="16"/>
          <w:lang w:val="es-ES"/>
        </w:rPr>
        <w:t xml:space="preserve"> y otros; (Chile), párr. 17; y No. 59/05, Petición </w:t>
      </w:r>
      <w:r w:rsidRPr="007877A3">
        <w:rPr>
          <w:rFonts w:ascii="Cambria" w:hAnsi="Cambria"/>
          <w:sz w:val="16"/>
          <w:szCs w:val="16"/>
          <w:lang w:val="es-ES_tradnl"/>
        </w:rPr>
        <w:t>381-04</w:t>
      </w:r>
      <w:r w:rsidRPr="007877A3">
        <w:rPr>
          <w:rFonts w:ascii="Cambria" w:hAnsi="Cambria"/>
          <w:sz w:val="16"/>
          <w:szCs w:val="16"/>
          <w:lang w:val="es-ES"/>
        </w:rPr>
        <w:t>, Mercedes Magdalena Navarrete y otros (Chile), párr. 19.</w:t>
      </w:r>
    </w:p>
  </w:footnote>
  <w:footnote w:id="20">
    <w:p w:rsidR="0006606E" w:rsidRPr="007877A3" w:rsidRDefault="0006606E" w:rsidP="00DC278B">
      <w:pPr>
        <w:pStyle w:val="Textonotapie"/>
        <w:tabs>
          <w:tab w:val="left" w:pos="360"/>
        </w:tabs>
        <w:spacing w:after="120"/>
        <w:ind w:firstLine="720"/>
        <w:jc w:val="both"/>
        <w:rPr>
          <w:rFonts w:ascii="Cambria" w:hAnsi="Cambria"/>
          <w:sz w:val="16"/>
          <w:szCs w:val="16"/>
          <w:lang w:val="es-ES"/>
        </w:rPr>
      </w:pPr>
      <w:r w:rsidRPr="007877A3">
        <w:rPr>
          <w:rStyle w:val="Refdenotaalpie"/>
          <w:rFonts w:ascii="Cambria" w:hAnsi="Cambria"/>
          <w:sz w:val="16"/>
          <w:szCs w:val="16"/>
        </w:rPr>
        <w:footnoteRef/>
      </w:r>
      <w:r w:rsidRPr="007877A3">
        <w:rPr>
          <w:rFonts w:ascii="Cambria" w:hAnsi="Cambria"/>
          <w:sz w:val="16"/>
          <w:szCs w:val="16"/>
          <w:lang w:val="es-ES"/>
        </w:rPr>
        <w:t xml:space="preserve"> CIDH. Informes de 12 de octubre de 2005: No. 60/05, Petición 511-03, María Ordenes Guerra (Chile), párr. 23; No. 61/05, Petición 698-03, Lucía Morales </w:t>
      </w:r>
      <w:proofErr w:type="spellStart"/>
      <w:r w:rsidRPr="007877A3">
        <w:rPr>
          <w:rFonts w:ascii="Cambria" w:hAnsi="Cambria"/>
          <w:sz w:val="16"/>
          <w:szCs w:val="16"/>
          <w:lang w:val="es-ES"/>
        </w:rPr>
        <w:t>Compagnon</w:t>
      </w:r>
      <w:proofErr w:type="spellEnd"/>
      <w:r w:rsidRPr="007877A3">
        <w:rPr>
          <w:rFonts w:ascii="Cambria" w:hAnsi="Cambria"/>
          <w:sz w:val="16"/>
          <w:szCs w:val="16"/>
          <w:lang w:val="es-ES"/>
        </w:rPr>
        <w:t xml:space="preserve"> y otros (Chile), párr.20; No. 62/05, Petición 862-03, Alina María Barraza </w:t>
      </w:r>
      <w:proofErr w:type="spellStart"/>
      <w:r w:rsidRPr="007877A3">
        <w:rPr>
          <w:rFonts w:ascii="Cambria" w:hAnsi="Cambria"/>
          <w:sz w:val="16"/>
          <w:szCs w:val="16"/>
          <w:lang w:val="es-ES"/>
        </w:rPr>
        <w:t>Codoceo</w:t>
      </w:r>
      <w:proofErr w:type="spellEnd"/>
      <w:r w:rsidRPr="007877A3">
        <w:rPr>
          <w:rFonts w:ascii="Cambria" w:hAnsi="Cambria"/>
          <w:sz w:val="16"/>
          <w:szCs w:val="16"/>
          <w:lang w:val="es-ES"/>
        </w:rPr>
        <w:t xml:space="preserve"> y otros; (Chile), párr. 20; y No. 59/05, Petición </w:t>
      </w:r>
      <w:r w:rsidRPr="007877A3">
        <w:rPr>
          <w:rFonts w:ascii="Cambria" w:hAnsi="Cambria"/>
          <w:sz w:val="16"/>
          <w:szCs w:val="16"/>
          <w:lang w:val="es-ES_tradnl"/>
        </w:rPr>
        <w:t>381-04</w:t>
      </w:r>
      <w:r w:rsidRPr="007877A3">
        <w:rPr>
          <w:rFonts w:ascii="Cambria" w:hAnsi="Cambria"/>
          <w:sz w:val="16"/>
          <w:szCs w:val="16"/>
          <w:lang w:val="es-ES"/>
        </w:rPr>
        <w:t>, Mercedes Magdalena Navarrete y otros (Chile), párr. 22.</w:t>
      </w:r>
    </w:p>
  </w:footnote>
  <w:footnote w:id="21">
    <w:p w:rsidR="0006606E" w:rsidRPr="007877A3" w:rsidRDefault="0006606E" w:rsidP="00DC278B">
      <w:pPr>
        <w:tabs>
          <w:tab w:val="left" w:pos="360"/>
        </w:tabs>
        <w:autoSpaceDE w:val="0"/>
        <w:autoSpaceDN w:val="0"/>
        <w:adjustRightInd w:val="0"/>
        <w:spacing w:after="120"/>
        <w:ind w:firstLine="720"/>
        <w:jc w:val="both"/>
        <w:rPr>
          <w:rFonts w:ascii="Cambria" w:hAnsi="Cambria" w:cs="Verdana"/>
          <w:sz w:val="16"/>
          <w:szCs w:val="16"/>
          <w:lang w:val="es-ES"/>
        </w:rPr>
      </w:pPr>
      <w:r w:rsidRPr="007877A3">
        <w:rPr>
          <w:rStyle w:val="Refdenotaalpie"/>
          <w:rFonts w:ascii="Cambria" w:hAnsi="Cambria"/>
          <w:sz w:val="16"/>
          <w:szCs w:val="16"/>
        </w:rPr>
        <w:footnoteRef/>
      </w:r>
      <w:r w:rsidRPr="007877A3">
        <w:rPr>
          <w:rFonts w:ascii="Cambria" w:hAnsi="Cambria"/>
          <w:sz w:val="16"/>
          <w:szCs w:val="16"/>
          <w:lang w:val="es-ES"/>
        </w:rPr>
        <w:t xml:space="preserve"> </w:t>
      </w:r>
      <w:r w:rsidRPr="007877A3">
        <w:rPr>
          <w:rFonts w:ascii="Cambria" w:hAnsi="Cambria" w:cs="Verdana"/>
          <w:sz w:val="16"/>
          <w:szCs w:val="16"/>
          <w:lang w:val="es-ES"/>
        </w:rPr>
        <w:t xml:space="preserve">Considerando Primero del D.S. No. 355 de 25 de abril de 1990. En: Informe de la </w:t>
      </w:r>
      <w:r w:rsidRPr="007877A3">
        <w:rPr>
          <w:rFonts w:ascii="Cambria" w:hAnsi="Cambria"/>
          <w:sz w:val="16"/>
          <w:szCs w:val="16"/>
          <w:lang w:val="es-ES"/>
        </w:rPr>
        <w:t xml:space="preserve">Comisión </w:t>
      </w:r>
      <w:proofErr w:type="spellStart"/>
      <w:r w:rsidRPr="007877A3">
        <w:rPr>
          <w:rFonts w:ascii="Cambria" w:hAnsi="Cambria"/>
          <w:sz w:val="16"/>
          <w:szCs w:val="16"/>
          <w:lang w:val="es-ES"/>
        </w:rPr>
        <w:t>Rettig</w:t>
      </w:r>
      <w:proofErr w:type="spellEnd"/>
      <w:r w:rsidRPr="007877A3">
        <w:rPr>
          <w:rFonts w:ascii="Cambria" w:hAnsi="Cambria"/>
          <w:sz w:val="16"/>
          <w:szCs w:val="16"/>
          <w:lang w:val="es-ES"/>
        </w:rPr>
        <w:t>, Tomo I, págs. XI a XIV.</w:t>
      </w:r>
    </w:p>
  </w:footnote>
  <w:footnote w:id="22">
    <w:p w:rsidR="0006606E" w:rsidRPr="007877A3" w:rsidRDefault="0006606E" w:rsidP="00DC278B">
      <w:pPr>
        <w:tabs>
          <w:tab w:val="left" w:pos="360"/>
        </w:tabs>
        <w:autoSpaceDE w:val="0"/>
        <w:autoSpaceDN w:val="0"/>
        <w:adjustRightInd w:val="0"/>
        <w:spacing w:after="120"/>
        <w:ind w:firstLine="720"/>
        <w:jc w:val="both"/>
        <w:rPr>
          <w:rFonts w:ascii="Cambria" w:hAnsi="Cambria"/>
          <w:sz w:val="16"/>
          <w:szCs w:val="16"/>
          <w:lang w:val="es-CO"/>
        </w:rPr>
      </w:pPr>
      <w:r w:rsidRPr="007877A3">
        <w:rPr>
          <w:rStyle w:val="Refdenotaalpie"/>
          <w:rFonts w:ascii="Cambria" w:hAnsi="Cambria"/>
          <w:sz w:val="16"/>
          <w:szCs w:val="16"/>
        </w:rPr>
        <w:footnoteRef/>
      </w:r>
      <w:r w:rsidRPr="007877A3">
        <w:rPr>
          <w:rFonts w:ascii="Cambria" w:hAnsi="Cambria"/>
          <w:sz w:val="16"/>
          <w:szCs w:val="16"/>
          <w:lang w:val="es-ES"/>
        </w:rPr>
        <w:t xml:space="preserve"> </w:t>
      </w:r>
      <w:r w:rsidRPr="007877A3">
        <w:rPr>
          <w:rFonts w:ascii="Cambria" w:hAnsi="Cambria" w:cs="Verdana"/>
          <w:iCs/>
          <w:sz w:val="16"/>
          <w:szCs w:val="16"/>
          <w:lang w:val="es-ES"/>
        </w:rPr>
        <w:t>C</w:t>
      </w:r>
      <w:r w:rsidRPr="007877A3">
        <w:rPr>
          <w:rFonts w:ascii="Cambria" w:hAnsi="Cambria" w:cs="Verdana"/>
          <w:sz w:val="16"/>
          <w:szCs w:val="16"/>
          <w:lang w:val="es-ES"/>
        </w:rPr>
        <w:t xml:space="preserve">onsiderando Primero del D.S. No. 355 de 25 de abril de 1990. En: Informe de la </w:t>
      </w:r>
      <w:r w:rsidRPr="007877A3">
        <w:rPr>
          <w:rFonts w:ascii="Cambria" w:hAnsi="Cambria" w:cs="Verdana"/>
          <w:sz w:val="16"/>
          <w:szCs w:val="16"/>
          <w:lang w:val="es-CO"/>
        </w:rPr>
        <w:t xml:space="preserve">Comisión </w:t>
      </w:r>
      <w:proofErr w:type="spellStart"/>
      <w:r w:rsidRPr="007877A3">
        <w:rPr>
          <w:rFonts w:ascii="Cambria" w:hAnsi="Cambria" w:cs="Verdana"/>
          <w:sz w:val="16"/>
          <w:szCs w:val="16"/>
          <w:lang w:val="es-CO"/>
        </w:rPr>
        <w:t>Rettig</w:t>
      </w:r>
      <w:proofErr w:type="spellEnd"/>
      <w:r w:rsidRPr="007877A3">
        <w:rPr>
          <w:rFonts w:ascii="Cambria" w:hAnsi="Cambria" w:cs="Verdana"/>
          <w:sz w:val="16"/>
          <w:szCs w:val="16"/>
          <w:lang w:val="es-CO"/>
        </w:rPr>
        <w:t>, Tomo I, págs. XI a XIV.</w:t>
      </w:r>
    </w:p>
  </w:footnote>
  <w:footnote w:id="23">
    <w:p w:rsidR="0006606E" w:rsidRPr="007877A3" w:rsidRDefault="0006606E" w:rsidP="00DC278B">
      <w:pPr>
        <w:pStyle w:val="Textonotapie"/>
        <w:tabs>
          <w:tab w:val="left" w:pos="360"/>
        </w:tabs>
        <w:spacing w:after="120"/>
        <w:ind w:firstLine="720"/>
        <w:jc w:val="both"/>
        <w:rPr>
          <w:rFonts w:ascii="Cambria" w:hAnsi="Cambria"/>
          <w:sz w:val="16"/>
          <w:szCs w:val="16"/>
          <w:lang w:val="es-CO"/>
        </w:rPr>
      </w:pPr>
      <w:r w:rsidRPr="007877A3">
        <w:rPr>
          <w:rStyle w:val="Refdenotaalpie"/>
          <w:rFonts w:ascii="Cambria" w:hAnsi="Cambria"/>
          <w:sz w:val="16"/>
          <w:szCs w:val="16"/>
        </w:rPr>
        <w:footnoteRef/>
      </w:r>
      <w:r w:rsidRPr="007877A3">
        <w:rPr>
          <w:rFonts w:ascii="Cambria" w:hAnsi="Cambria"/>
          <w:sz w:val="16"/>
          <w:szCs w:val="16"/>
          <w:lang w:val="es-CO"/>
        </w:rPr>
        <w:t xml:space="preserve"> </w:t>
      </w:r>
      <w:r>
        <w:rPr>
          <w:rFonts w:ascii="Cambria" w:hAnsi="Cambria" w:cs="Verdana"/>
          <w:iCs/>
          <w:sz w:val="16"/>
          <w:szCs w:val="16"/>
          <w:lang w:val="es-CO"/>
        </w:rPr>
        <w:t>Corte IDH.</w:t>
      </w:r>
      <w:r w:rsidRPr="007877A3">
        <w:rPr>
          <w:rFonts w:ascii="Cambria" w:hAnsi="Cambria" w:cs="Verdana"/>
          <w:iCs/>
          <w:sz w:val="16"/>
          <w:szCs w:val="16"/>
          <w:lang w:val="es-CO"/>
        </w:rPr>
        <w:t xml:space="preserve"> </w:t>
      </w:r>
      <w:r w:rsidRPr="007877A3">
        <w:rPr>
          <w:rFonts w:ascii="Cambria" w:hAnsi="Cambria"/>
          <w:iCs/>
          <w:sz w:val="16"/>
          <w:szCs w:val="16"/>
          <w:lang w:val="es-ES_tradnl"/>
        </w:rPr>
        <w:t>Caso “</w:t>
      </w:r>
      <w:proofErr w:type="spellStart"/>
      <w:r w:rsidRPr="007877A3">
        <w:rPr>
          <w:rFonts w:ascii="Cambria" w:hAnsi="Cambria"/>
          <w:iCs/>
          <w:sz w:val="16"/>
          <w:szCs w:val="16"/>
          <w:lang w:val="es-ES_tradnl"/>
        </w:rPr>
        <w:t>Almonacid</w:t>
      </w:r>
      <w:proofErr w:type="spellEnd"/>
      <w:r w:rsidRPr="007877A3">
        <w:rPr>
          <w:rFonts w:ascii="Cambria" w:hAnsi="Cambria"/>
          <w:iCs/>
          <w:sz w:val="16"/>
          <w:szCs w:val="16"/>
          <w:lang w:val="es-ES_tradnl"/>
        </w:rPr>
        <w:t xml:space="preserve"> Arellano y otros”.</w:t>
      </w:r>
      <w:r w:rsidRPr="007877A3">
        <w:rPr>
          <w:rFonts w:ascii="Cambria" w:hAnsi="Cambria"/>
          <w:sz w:val="16"/>
          <w:szCs w:val="16"/>
          <w:lang w:val="es-ES_tradnl"/>
        </w:rPr>
        <w:t xml:space="preserve"> </w:t>
      </w:r>
      <w:r>
        <w:rPr>
          <w:rFonts w:ascii="Cambria" w:hAnsi="Cambria"/>
          <w:sz w:val="16"/>
          <w:szCs w:val="16"/>
          <w:lang w:val="es-ES_tradnl"/>
        </w:rPr>
        <w:t xml:space="preserve">Excepciones Preliminares, Fondo, Reparaciones y Costas. </w:t>
      </w:r>
      <w:r w:rsidRPr="007877A3">
        <w:rPr>
          <w:rFonts w:ascii="Cambria" w:hAnsi="Cambria"/>
          <w:sz w:val="16"/>
          <w:szCs w:val="16"/>
          <w:lang w:val="es-ES_tradnl"/>
        </w:rPr>
        <w:t>Sentencia de 26 de septiembre de 2006. Serie C No. 154, párr. 82.26.</w:t>
      </w:r>
    </w:p>
  </w:footnote>
  <w:footnote w:id="24">
    <w:p w:rsidR="0006606E" w:rsidRPr="007877A3" w:rsidRDefault="0006606E" w:rsidP="00DC278B">
      <w:pPr>
        <w:tabs>
          <w:tab w:val="left" w:pos="360"/>
        </w:tabs>
        <w:autoSpaceDE w:val="0"/>
        <w:autoSpaceDN w:val="0"/>
        <w:adjustRightInd w:val="0"/>
        <w:spacing w:after="120"/>
        <w:ind w:firstLine="720"/>
        <w:jc w:val="both"/>
        <w:rPr>
          <w:rFonts w:ascii="Cambria" w:hAnsi="Cambria" w:cs="Verdana"/>
          <w:sz w:val="16"/>
          <w:szCs w:val="16"/>
          <w:lang w:val="es-ES"/>
        </w:rPr>
      </w:pPr>
      <w:r w:rsidRPr="007877A3">
        <w:rPr>
          <w:rStyle w:val="Refdenotaalpie"/>
          <w:rFonts w:ascii="Cambria" w:hAnsi="Cambria"/>
          <w:sz w:val="16"/>
          <w:szCs w:val="16"/>
        </w:rPr>
        <w:footnoteRef/>
      </w:r>
      <w:r w:rsidRPr="007877A3">
        <w:rPr>
          <w:rFonts w:ascii="Cambria" w:hAnsi="Cambria"/>
          <w:sz w:val="16"/>
          <w:szCs w:val="16"/>
          <w:lang w:val="es-ES"/>
        </w:rPr>
        <w:t xml:space="preserve"> </w:t>
      </w:r>
      <w:r w:rsidRPr="007877A3">
        <w:rPr>
          <w:rFonts w:ascii="Cambria" w:hAnsi="Cambria" w:cs="Verdana"/>
          <w:sz w:val="16"/>
          <w:szCs w:val="16"/>
          <w:lang w:val="es-ES"/>
        </w:rPr>
        <w:t xml:space="preserve">Art. Primero del D.S. No. 355 de 25 de abril de 1990. En: Informe de la Comisión </w:t>
      </w:r>
      <w:proofErr w:type="spellStart"/>
      <w:r w:rsidRPr="007877A3">
        <w:rPr>
          <w:rFonts w:ascii="Cambria" w:hAnsi="Cambria" w:cs="Verdana"/>
          <w:sz w:val="16"/>
          <w:szCs w:val="16"/>
          <w:lang w:val="es-ES"/>
        </w:rPr>
        <w:t>Rettig</w:t>
      </w:r>
      <w:proofErr w:type="spellEnd"/>
      <w:r w:rsidRPr="007877A3">
        <w:rPr>
          <w:rFonts w:ascii="Cambria" w:hAnsi="Cambria"/>
          <w:sz w:val="16"/>
          <w:szCs w:val="16"/>
          <w:lang w:val="es-ES"/>
        </w:rPr>
        <w:t xml:space="preserve">, Tomo I, págs. XI a XIV. </w:t>
      </w:r>
    </w:p>
  </w:footnote>
  <w:footnote w:id="25">
    <w:p w:rsidR="0006606E" w:rsidRPr="007877A3" w:rsidRDefault="0006606E" w:rsidP="00DC278B">
      <w:pPr>
        <w:tabs>
          <w:tab w:val="left" w:pos="360"/>
        </w:tabs>
        <w:autoSpaceDE w:val="0"/>
        <w:autoSpaceDN w:val="0"/>
        <w:adjustRightInd w:val="0"/>
        <w:spacing w:after="120"/>
        <w:ind w:firstLine="720"/>
        <w:jc w:val="both"/>
        <w:rPr>
          <w:rFonts w:ascii="Cambria" w:hAnsi="Cambria"/>
          <w:sz w:val="16"/>
          <w:szCs w:val="16"/>
          <w:lang w:val="es-CO"/>
        </w:rPr>
      </w:pPr>
      <w:r w:rsidRPr="007877A3">
        <w:rPr>
          <w:rStyle w:val="Refdenotaalpie"/>
          <w:rFonts w:ascii="Cambria" w:hAnsi="Cambria"/>
          <w:sz w:val="16"/>
          <w:szCs w:val="16"/>
        </w:rPr>
        <w:footnoteRef/>
      </w:r>
      <w:r w:rsidRPr="007877A3">
        <w:rPr>
          <w:rFonts w:ascii="Cambria" w:hAnsi="Cambria"/>
          <w:sz w:val="16"/>
          <w:szCs w:val="16"/>
          <w:lang w:val="es-ES"/>
        </w:rPr>
        <w:t xml:space="preserve"> </w:t>
      </w:r>
      <w:r w:rsidRPr="007877A3">
        <w:rPr>
          <w:rFonts w:ascii="Cambria" w:hAnsi="Cambria" w:cs="Verdana"/>
          <w:iCs/>
          <w:sz w:val="16"/>
          <w:szCs w:val="16"/>
          <w:lang w:val="es-ES"/>
        </w:rPr>
        <w:t>M</w:t>
      </w:r>
      <w:r w:rsidRPr="007877A3">
        <w:rPr>
          <w:rFonts w:ascii="Cambria" w:hAnsi="Cambria" w:cs="Verdana"/>
          <w:sz w:val="16"/>
          <w:szCs w:val="16"/>
          <w:lang w:val="es-ES"/>
        </w:rPr>
        <w:t xml:space="preserve">ensaje a la Nación del Presidente Patricio Aylwin al dar a conocer el Informe de la Comisión </w:t>
      </w:r>
      <w:proofErr w:type="spellStart"/>
      <w:r w:rsidRPr="007877A3">
        <w:rPr>
          <w:rFonts w:ascii="Cambria" w:hAnsi="Cambria" w:cs="Verdana"/>
          <w:sz w:val="16"/>
          <w:szCs w:val="16"/>
          <w:lang w:val="es-ES"/>
        </w:rPr>
        <w:t>Rettig</w:t>
      </w:r>
      <w:proofErr w:type="spellEnd"/>
      <w:r w:rsidRPr="007877A3">
        <w:rPr>
          <w:rFonts w:ascii="Cambria" w:hAnsi="Cambria" w:cs="Verdana"/>
          <w:sz w:val="16"/>
          <w:szCs w:val="16"/>
          <w:lang w:val="es-ES"/>
        </w:rPr>
        <w:t>, 4 de marzo de 1991</w:t>
      </w:r>
      <w:r w:rsidRPr="007877A3">
        <w:rPr>
          <w:rFonts w:ascii="Cambria" w:hAnsi="Cambria" w:cs="Verdana"/>
          <w:sz w:val="16"/>
          <w:szCs w:val="16"/>
          <w:lang w:val="es-CO"/>
        </w:rPr>
        <w:t>, Tomo II, págs. 887 a 894.</w:t>
      </w:r>
      <w:r w:rsidRPr="007877A3">
        <w:rPr>
          <w:rFonts w:ascii="Cambria" w:hAnsi="Cambria"/>
          <w:sz w:val="16"/>
          <w:szCs w:val="16"/>
          <w:lang w:val="es-ES"/>
        </w:rPr>
        <w:t xml:space="preserve"> </w:t>
      </w:r>
    </w:p>
  </w:footnote>
  <w:footnote w:id="26">
    <w:p w:rsidR="0006606E" w:rsidRPr="007877A3" w:rsidRDefault="0006606E" w:rsidP="00DC278B">
      <w:pPr>
        <w:tabs>
          <w:tab w:val="left" w:pos="360"/>
        </w:tabs>
        <w:autoSpaceDE w:val="0"/>
        <w:autoSpaceDN w:val="0"/>
        <w:adjustRightInd w:val="0"/>
        <w:spacing w:after="120"/>
        <w:ind w:firstLine="720"/>
        <w:jc w:val="both"/>
        <w:rPr>
          <w:rFonts w:ascii="Cambria" w:hAnsi="Cambria"/>
          <w:sz w:val="16"/>
          <w:szCs w:val="16"/>
          <w:lang w:val="es-CO"/>
        </w:rPr>
      </w:pPr>
      <w:r w:rsidRPr="007877A3">
        <w:rPr>
          <w:rStyle w:val="Refdenotaalpie"/>
          <w:rFonts w:ascii="Cambria" w:hAnsi="Cambria"/>
          <w:sz w:val="16"/>
          <w:szCs w:val="16"/>
        </w:rPr>
        <w:footnoteRef/>
      </w:r>
      <w:r w:rsidRPr="007877A3">
        <w:rPr>
          <w:rFonts w:ascii="Cambria" w:hAnsi="Cambria"/>
          <w:sz w:val="16"/>
          <w:szCs w:val="16"/>
          <w:lang w:val="es-ES"/>
        </w:rPr>
        <w:t xml:space="preserve"> </w:t>
      </w:r>
      <w:r w:rsidRPr="007877A3">
        <w:rPr>
          <w:rFonts w:ascii="Cambria" w:hAnsi="Cambria" w:cs="Verdana"/>
          <w:iCs/>
          <w:sz w:val="16"/>
          <w:szCs w:val="16"/>
          <w:lang w:val="es-ES"/>
        </w:rPr>
        <w:t>M</w:t>
      </w:r>
      <w:r w:rsidRPr="007877A3">
        <w:rPr>
          <w:rFonts w:ascii="Cambria" w:hAnsi="Cambria" w:cs="Verdana"/>
          <w:sz w:val="16"/>
          <w:szCs w:val="16"/>
          <w:lang w:val="es-ES"/>
        </w:rPr>
        <w:t xml:space="preserve">ensaje a la Nación del Presidente Patricio Aylwin al dar a conocer el Informe de la Comisión </w:t>
      </w:r>
      <w:proofErr w:type="spellStart"/>
      <w:r w:rsidRPr="007877A3">
        <w:rPr>
          <w:rFonts w:ascii="Cambria" w:hAnsi="Cambria" w:cs="Verdana"/>
          <w:sz w:val="16"/>
          <w:szCs w:val="16"/>
          <w:lang w:val="es-ES"/>
        </w:rPr>
        <w:t>Rettig</w:t>
      </w:r>
      <w:proofErr w:type="spellEnd"/>
      <w:r w:rsidRPr="007877A3">
        <w:rPr>
          <w:rFonts w:ascii="Cambria" w:hAnsi="Cambria" w:cs="Verdana"/>
          <w:sz w:val="16"/>
          <w:szCs w:val="16"/>
          <w:lang w:val="es-ES"/>
        </w:rPr>
        <w:t>, 4 de marzo de 1991</w:t>
      </w:r>
      <w:r w:rsidRPr="007877A3">
        <w:rPr>
          <w:rFonts w:ascii="Cambria" w:hAnsi="Cambria" w:cs="Verdana"/>
          <w:sz w:val="16"/>
          <w:szCs w:val="16"/>
          <w:lang w:val="es-CO"/>
        </w:rPr>
        <w:t>, Tomo II, págs. 887 a 894.</w:t>
      </w:r>
      <w:r w:rsidRPr="007877A3">
        <w:rPr>
          <w:rFonts w:ascii="Cambria" w:hAnsi="Cambria"/>
          <w:sz w:val="16"/>
          <w:szCs w:val="16"/>
          <w:lang w:val="es-ES"/>
        </w:rPr>
        <w:t xml:space="preserve"> </w:t>
      </w:r>
    </w:p>
  </w:footnote>
  <w:footnote w:id="27">
    <w:p w:rsidR="0006606E" w:rsidRPr="007877A3" w:rsidRDefault="0006606E" w:rsidP="00DC278B">
      <w:pPr>
        <w:tabs>
          <w:tab w:val="left" w:pos="360"/>
        </w:tabs>
        <w:autoSpaceDE w:val="0"/>
        <w:autoSpaceDN w:val="0"/>
        <w:adjustRightInd w:val="0"/>
        <w:spacing w:after="120"/>
        <w:ind w:firstLine="720"/>
        <w:jc w:val="both"/>
        <w:rPr>
          <w:rFonts w:ascii="Cambria" w:hAnsi="Cambria" w:cs="Verdana"/>
          <w:sz w:val="16"/>
          <w:szCs w:val="16"/>
          <w:lang w:val="es-ES"/>
        </w:rPr>
      </w:pPr>
      <w:r w:rsidRPr="007877A3">
        <w:rPr>
          <w:rStyle w:val="Refdenotaalpie"/>
          <w:rFonts w:ascii="Cambria" w:hAnsi="Cambria"/>
          <w:sz w:val="16"/>
          <w:szCs w:val="16"/>
        </w:rPr>
        <w:footnoteRef/>
      </w:r>
      <w:r w:rsidRPr="007877A3">
        <w:rPr>
          <w:rFonts w:ascii="Cambria" w:hAnsi="Cambria"/>
          <w:sz w:val="16"/>
          <w:szCs w:val="16"/>
          <w:lang w:val="es-ES"/>
        </w:rPr>
        <w:t xml:space="preserve"> Informe de la Comisión </w:t>
      </w:r>
      <w:proofErr w:type="spellStart"/>
      <w:r w:rsidRPr="007877A3">
        <w:rPr>
          <w:rFonts w:ascii="Cambria" w:hAnsi="Cambria"/>
          <w:sz w:val="16"/>
          <w:szCs w:val="16"/>
          <w:lang w:val="es-ES"/>
        </w:rPr>
        <w:t>Rettig</w:t>
      </w:r>
      <w:proofErr w:type="spellEnd"/>
      <w:r w:rsidRPr="007877A3">
        <w:rPr>
          <w:rFonts w:ascii="Cambria" w:hAnsi="Cambria"/>
          <w:sz w:val="16"/>
          <w:szCs w:val="16"/>
          <w:lang w:val="es-ES"/>
        </w:rPr>
        <w:t xml:space="preserve">, Tomo II, págs. 1254-1256. </w:t>
      </w:r>
    </w:p>
  </w:footnote>
  <w:footnote w:id="28">
    <w:p w:rsidR="0006606E" w:rsidRPr="007877A3" w:rsidRDefault="0006606E" w:rsidP="00DC278B">
      <w:pPr>
        <w:tabs>
          <w:tab w:val="left" w:pos="360"/>
        </w:tabs>
        <w:autoSpaceDE w:val="0"/>
        <w:autoSpaceDN w:val="0"/>
        <w:adjustRightInd w:val="0"/>
        <w:spacing w:after="120"/>
        <w:ind w:firstLine="720"/>
        <w:jc w:val="both"/>
        <w:rPr>
          <w:rFonts w:ascii="Cambria" w:hAnsi="Cambria" w:cs="Verdana"/>
          <w:sz w:val="16"/>
          <w:szCs w:val="16"/>
          <w:lang w:val="es-ES"/>
        </w:rPr>
      </w:pPr>
      <w:r w:rsidRPr="007877A3">
        <w:rPr>
          <w:rStyle w:val="Refdenotaalpie"/>
          <w:rFonts w:ascii="Cambria" w:hAnsi="Cambria"/>
          <w:sz w:val="16"/>
          <w:szCs w:val="16"/>
        </w:rPr>
        <w:footnoteRef/>
      </w:r>
      <w:r w:rsidRPr="007877A3">
        <w:rPr>
          <w:rFonts w:ascii="Cambria" w:hAnsi="Cambria"/>
          <w:sz w:val="16"/>
          <w:szCs w:val="16"/>
          <w:lang w:val="es-ES"/>
        </w:rPr>
        <w:t xml:space="preserve"> Informe de la Comisión </w:t>
      </w:r>
      <w:proofErr w:type="spellStart"/>
      <w:r w:rsidRPr="007877A3">
        <w:rPr>
          <w:rFonts w:ascii="Cambria" w:hAnsi="Cambria"/>
          <w:sz w:val="16"/>
          <w:szCs w:val="16"/>
          <w:lang w:val="es-ES"/>
        </w:rPr>
        <w:t>Rettig</w:t>
      </w:r>
      <w:proofErr w:type="spellEnd"/>
      <w:r w:rsidRPr="007877A3">
        <w:rPr>
          <w:rFonts w:ascii="Cambria" w:hAnsi="Cambria"/>
          <w:sz w:val="16"/>
          <w:szCs w:val="16"/>
          <w:lang w:val="es-ES"/>
        </w:rPr>
        <w:t xml:space="preserve"> Tomo II, págs. 1256 a 1257. </w:t>
      </w:r>
    </w:p>
  </w:footnote>
  <w:footnote w:id="29">
    <w:p w:rsidR="0006606E" w:rsidRPr="007877A3" w:rsidRDefault="0006606E" w:rsidP="00DC278B">
      <w:pPr>
        <w:tabs>
          <w:tab w:val="left" w:pos="360"/>
        </w:tabs>
        <w:autoSpaceDE w:val="0"/>
        <w:autoSpaceDN w:val="0"/>
        <w:adjustRightInd w:val="0"/>
        <w:spacing w:after="120"/>
        <w:ind w:firstLine="720"/>
        <w:jc w:val="both"/>
        <w:rPr>
          <w:rFonts w:ascii="Cambria" w:hAnsi="Cambria" w:cs="Verdana"/>
          <w:sz w:val="16"/>
          <w:szCs w:val="16"/>
          <w:lang w:val="es-ES"/>
        </w:rPr>
      </w:pPr>
      <w:r w:rsidRPr="007877A3">
        <w:rPr>
          <w:rStyle w:val="Refdenotaalpie"/>
          <w:rFonts w:ascii="Cambria" w:hAnsi="Cambria"/>
          <w:sz w:val="16"/>
          <w:szCs w:val="16"/>
        </w:rPr>
        <w:footnoteRef/>
      </w:r>
      <w:r w:rsidRPr="007877A3">
        <w:rPr>
          <w:rFonts w:ascii="Cambria" w:hAnsi="Cambria"/>
          <w:sz w:val="16"/>
          <w:szCs w:val="16"/>
          <w:lang w:val="es-ES"/>
        </w:rPr>
        <w:t xml:space="preserve"> Informe de la Comisión </w:t>
      </w:r>
      <w:proofErr w:type="spellStart"/>
      <w:r w:rsidRPr="007877A3">
        <w:rPr>
          <w:rFonts w:ascii="Cambria" w:hAnsi="Cambria"/>
          <w:sz w:val="16"/>
          <w:szCs w:val="16"/>
          <w:lang w:val="es-ES"/>
        </w:rPr>
        <w:t>Rettig</w:t>
      </w:r>
      <w:proofErr w:type="spellEnd"/>
      <w:r w:rsidRPr="007877A3">
        <w:rPr>
          <w:rFonts w:ascii="Cambria" w:hAnsi="Cambria"/>
          <w:sz w:val="16"/>
          <w:szCs w:val="16"/>
          <w:lang w:val="es-ES"/>
        </w:rPr>
        <w:t xml:space="preserve">, Tomo II, págs. 1258 a 1266. </w:t>
      </w:r>
    </w:p>
  </w:footnote>
  <w:footnote w:id="30">
    <w:p w:rsidR="0006606E" w:rsidRPr="007877A3" w:rsidRDefault="0006606E" w:rsidP="00DC278B">
      <w:pPr>
        <w:pStyle w:val="Textonotapie"/>
        <w:tabs>
          <w:tab w:val="left" w:pos="360"/>
        </w:tabs>
        <w:spacing w:after="120"/>
        <w:ind w:firstLine="720"/>
        <w:jc w:val="both"/>
        <w:rPr>
          <w:rFonts w:ascii="Cambria" w:hAnsi="Cambria"/>
          <w:sz w:val="16"/>
          <w:szCs w:val="16"/>
          <w:lang w:val="es-CO"/>
        </w:rPr>
      </w:pPr>
      <w:r w:rsidRPr="007877A3">
        <w:rPr>
          <w:rStyle w:val="Refdenotaalpie"/>
          <w:rFonts w:ascii="Cambria" w:hAnsi="Cambria"/>
          <w:sz w:val="16"/>
          <w:szCs w:val="16"/>
        </w:rPr>
        <w:footnoteRef/>
      </w:r>
      <w:r w:rsidRPr="007877A3">
        <w:rPr>
          <w:rFonts w:ascii="Cambria" w:hAnsi="Cambria"/>
          <w:sz w:val="16"/>
          <w:szCs w:val="16"/>
          <w:lang w:val="es-CO"/>
        </w:rPr>
        <w:t xml:space="preserve"> </w:t>
      </w:r>
      <w:r w:rsidRPr="007877A3">
        <w:rPr>
          <w:rFonts w:ascii="Cambria" w:hAnsi="Cambria" w:cs="Verdana"/>
          <w:iCs/>
          <w:sz w:val="16"/>
          <w:szCs w:val="16"/>
          <w:lang w:val="es-CO"/>
        </w:rPr>
        <w:t>Art.</w:t>
      </w:r>
      <w:r w:rsidRPr="007877A3">
        <w:rPr>
          <w:rFonts w:ascii="Cambria" w:hAnsi="Cambria" w:cs="Verdana"/>
          <w:sz w:val="16"/>
          <w:szCs w:val="16"/>
          <w:lang w:val="es-CO"/>
        </w:rPr>
        <w:t xml:space="preserve"> 1 de la Ley No. 19.123, publicada en el Diario Oficial el 8 de febrero de 1993.</w:t>
      </w:r>
    </w:p>
  </w:footnote>
  <w:footnote w:id="31">
    <w:p w:rsidR="0006606E" w:rsidRPr="007877A3" w:rsidRDefault="0006606E" w:rsidP="00DC278B">
      <w:pPr>
        <w:pStyle w:val="Textonotapie"/>
        <w:tabs>
          <w:tab w:val="left" w:pos="360"/>
        </w:tabs>
        <w:spacing w:after="120"/>
        <w:ind w:firstLine="720"/>
        <w:jc w:val="both"/>
        <w:rPr>
          <w:rFonts w:ascii="Cambria" w:hAnsi="Cambria"/>
          <w:sz w:val="16"/>
          <w:szCs w:val="16"/>
          <w:lang w:val="es-CO"/>
        </w:rPr>
      </w:pPr>
      <w:r w:rsidRPr="007877A3">
        <w:rPr>
          <w:rStyle w:val="Refdenotaalpie"/>
          <w:rFonts w:ascii="Cambria" w:hAnsi="Cambria"/>
          <w:sz w:val="16"/>
          <w:szCs w:val="16"/>
        </w:rPr>
        <w:footnoteRef/>
      </w:r>
      <w:r w:rsidRPr="007877A3">
        <w:rPr>
          <w:rFonts w:ascii="Cambria" w:hAnsi="Cambria"/>
          <w:sz w:val="16"/>
          <w:szCs w:val="16"/>
          <w:lang w:val="es-CO"/>
        </w:rPr>
        <w:t xml:space="preserve"> </w:t>
      </w:r>
      <w:r w:rsidRPr="007877A3">
        <w:rPr>
          <w:rFonts w:ascii="Cambria" w:hAnsi="Cambria" w:cs="Verdana"/>
          <w:iCs/>
          <w:sz w:val="16"/>
          <w:szCs w:val="16"/>
          <w:lang w:val="es-CO"/>
        </w:rPr>
        <w:t>Art.</w:t>
      </w:r>
      <w:r w:rsidRPr="007877A3">
        <w:rPr>
          <w:rFonts w:ascii="Cambria" w:hAnsi="Cambria" w:cs="Verdana"/>
          <w:sz w:val="16"/>
          <w:szCs w:val="16"/>
          <w:lang w:val="es-CO"/>
        </w:rPr>
        <w:t xml:space="preserve"> 2.1 de la Ley No. 19.123, publicada en el Diario Oficial el 8 de febrero de 1993.</w:t>
      </w:r>
    </w:p>
  </w:footnote>
  <w:footnote w:id="32">
    <w:p w:rsidR="0006606E" w:rsidRPr="007877A3" w:rsidRDefault="0006606E" w:rsidP="00DC278B">
      <w:pPr>
        <w:pStyle w:val="Textonotapie"/>
        <w:tabs>
          <w:tab w:val="left" w:pos="360"/>
        </w:tabs>
        <w:spacing w:after="120"/>
        <w:ind w:firstLine="720"/>
        <w:jc w:val="both"/>
        <w:rPr>
          <w:rFonts w:ascii="Cambria" w:hAnsi="Cambria"/>
          <w:sz w:val="16"/>
          <w:szCs w:val="16"/>
          <w:lang w:val="es-CO"/>
        </w:rPr>
      </w:pPr>
      <w:r w:rsidRPr="007877A3">
        <w:rPr>
          <w:rStyle w:val="Refdenotaalpie"/>
          <w:rFonts w:ascii="Cambria" w:hAnsi="Cambria"/>
          <w:sz w:val="16"/>
          <w:szCs w:val="16"/>
        </w:rPr>
        <w:footnoteRef/>
      </w:r>
      <w:r w:rsidRPr="007877A3">
        <w:rPr>
          <w:rFonts w:ascii="Cambria" w:hAnsi="Cambria"/>
          <w:sz w:val="16"/>
          <w:szCs w:val="16"/>
          <w:lang w:val="es-CO"/>
        </w:rPr>
        <w:t xml:space="preserve"> </w:t>
      </w:r>
      <w:r w:rsidRPr="007877A3">
        <w:rPr>
          <w:rFonts w:ascii="Cambria" w:hAnsi="Cambria" w:cs="Verdana"/>
          <w:iCs/>
          <w:sz w:val="16"/>
          <w:szCs w:val="16"/>
          <w:lang w:val="es-CO"/>
        </w:rPr>
        <w:t>Art.</w:t>
      </w:r>
      <w:r w:rsidRPr="007877A3">
        <w:rPr>
          <w:rFonts w:ascii="Cambria" w:hAnsi="Cambria" w:cs="Verdana"/>
          <w:sz w:val="16"/>
          <w:szCs w:val="16"/>
          <w:lang w:val="es-CO"/>
        </w:rPr>
        <w:t xml:space="preserve"> 17 a 27 de la Ley No. 19.123, publicada en el Diario Oficial el 8 de febrero de 1993.</w:t>
      </w:r>
    </w:p>
  </w:footnote>
  <w:footnote w:id="33">
    <w:p w:rsidR="0006606E" w:rsidRPr="007877A3" w:rsidRDefault="0006606E" w:rsidP="00DC278B">
      <w:pPr>
        <w:pStyle w:val="Textonotapie"/>
        <w:tabs>
          <w:tab w:val="left" w:pos="360"/>
        </w:tabs>
        <w:spacing w:after="120"/>
        <w:ind w:firstLine="720"/>
        <w:jc w:val="both"/>
        <w:rPr>
          <w:rFonts w:ascii="Cambria" w:hAnsi="Cambria"/>
          <w:sz w:val="16"/>
          <w:szCs w:val="16"/>
          <w:lang w:val="es-ES"/>
        </w:rPr>
      </w:pPr>
      <w:r w:rsidRPr="007877A3">
        <w:rPr>
          <w:rFonts w:ascii="Cambria" w:hAnsi="Cambria"/>
          <w:sz w:val="16"/>
          <w:szCs w:val="16"/>
          <w:vertAlign w:val="superscript"/>
          <w:lang w:val="es-ES"/>
        </w:rPr>
        <w:footnoteRef/>
      </w:r>
      <w:r w:rsidRPr="007877A3">
        <w:rPr>
          <w:rFonts w:ascii="Cambria" w:hAnsi="Cambria"/>
          <w:sz w:val="16"/>
          <w:szCs w:val="16"/>
          <w:lang w:val="es-ES"/>
        </w:rPr>
        <w:t xml:space="preserve"> Arts. 28 de la Ley No. 19.123, publicada en el Diario Oficial el 8 de febrero de 1993.</w:t>
      </w:r>
    </w:p>
  </w:footnote>
  <w:footnote w:id="34">
    <w:p w:rsidR="0006606E" w:rsidRPr="007877A3" w:rsidRDefault="0006606E" w:rsidP="00DC278B">
      <w:pPr>
        <w:pStyle w:val="Textonotapie"/>
        <w:tabs>
          <w:tab w:val="left" w:pos="360"/>
        </w:tabs>
        <w:spacing w:after="120"/>
        <w:ind w:firstLine="720"/>
        <w:jc w:val="both"/>
        <w:rPr>
          <w:rFonts w:ascii="Cambria" w:hAnsi="Cambria"/>
          <w:sz w:val="16"/>
          <w:szCs w:val="16"/>
          <w:lang w:val="es-ES"/>
        </w:rPr>
      </w:pPr>
      <w:r w:rsidRPr="007877A3">
        <w:rPr>
          <w:rFonts w:ascii="Cambria" w:hAnsi="Cambria"/>
          <w:sz w:val="16"/>
          <w:szCs w:val="16"/>
          <w:vertAlign w:val="superscript"/>
          <w:lang w:val="es-ES"/>
        </w:rPr>
        <w:footnoteRef/>
      </w:r>
      <w:r w:rsidRPr="007877A3">
        <w:rPr>
          <w:rFonts w:ascii="Cambria" w:hAnsi="Cambria"/>
          <w:sz w:val="16"/>
          <w:szCs w:val="16"/>
          <w:lang w:val="es-ES"/>
        </w:rPr>
        <w:t xml:space="preserve"> Arts. 29 a 31 de la Ley No. 19.123, publicada en el Diario Oficial el 8 de febrero de 1993.</w:t>
      </w:r>
    </w:p>
  </w:footnote>
  <w:footnote w:id="35">
    <w:p w:rsidR="0006606E" w:rsidRPr="007877A3" w:rsidRDefault="0006606E" w:rsidP="00DC278B">
      <w:pPr>
        <w:pStyle w:val="Textonotapie"/>
        <w:tabs>
          <w:tab w:val="left" w:pos="360"/>
        </w:tabs>
        <w:spacing w:after="120"/>
        <w:ind w:firstLine="720"/>
        <w:jc w:val="both"/>
        <w:rPr>
          <w:rFonts w:ascii="Cambria" w:hAnsi="Cambria"/>
          <w:sz w:val="16"/>
          <w:szCs w:val="16"/>
          <w:lang w:val="es-ES"/>
        </w:rPr>
      </w:pPr>
      <w:r w:rsidRPr="007877A3">
        <w:rPr>
          <w:rFonts w:ascii="Cambria" w:hAnsi="Cambria"/>
          <w:sz w:val="16"/>
          <w:szCs w:val="16"/>
          <w:vertAlign w:val="superscript"/>
          <w:lang w:val="es-ES"/>
        </w:rPr>
        <w:footnoteRef/>
      </w:r>
      <w:r w:rsidRPr="007877A3">
        <w:rPr>
          <w:rFonts w:ascii="Cambria" w:hAnsi="Cambria"/>
          <w:sz w:val="16"/>
          <w:szCs w:val="16"/>
          <w:lang w:val="es-ES"/>
        </w:rPr>
        <w:t xml:space="preserve"> Art. 32 de la Ley No. 19.123, publicada en el Diario Oficial el 8 de febrero de 1993.</w:t>
      </w:r>
    </w:p>
  </w:footnote>
  <w:footnote w:id="36">
    <w:p w:rsidR="0006606E" w:rsidRPr="007877A3" w:rsidRDefault="0006606E" w:rsidP="00DC278B">
      <w:pPr>
        <w:pStyle w:val="Textonotapie"/>
        <w:tabs>
          <w:tab w:val="left" w:pos="360"/>
        </w:tabs>
        <w:spacing w:after="120"/>
        <w:ind w:firstLine="720"/>
        <w:jc w:val="both"/>
        <w:rPr>
          <w:rFonts w:ascii="Cambria" w:hAnsi="Cambria"/>
          <w:sz w:val="16"/>
          <w:szCs w:val="16"/>
          <w:lang w:val="es-ES"/>
        </w:rPr>
      </w:pPr>
      <w:r w:rsidRPr="007877A3">
        <w:rPr>
          <w:rFonts w:ascii="Cambria" w:hAnsi="Cambria"/>
          <w:sz w:val="16"/>
          <w:szCs w:val="16"/>
          <w:vertAlign w:val="superscript"/>
          <w:lang w:val="es-ES"/>
        </w:rPr>
        <w:footnoteRef/>
      </w:r>
      <w:r w:rsidRPr="007877A3">
        <w:rPr>
          <w:rFonts w:ascii="Cambria" w:hAnsi="Cambria"/>
          <w:sz w:val="16"/>
          <w:szCs w:val="16"/>
          <w:lang w:val="es-ES"/>
        </w:rPr>
        <w:t xml:space="preserve"> Cfr. Arts. Primero y Segundo D.S. No. 1.040 de 26 de septiembre de 2003. </w:t>
      </w:r>
    </w:p>
  </w:footnote>
  <w:footnote w:id="37">
    <w:p w:rsidR="0006606E" w:rsidRPr="007877A3" w:rsidRDefault="0006606E" w:rsidP="00DC278B">
      <w:pPr>
        <w:pStyle w:val="Textonotapie"/>
        <w:tabs>
          <w:tab w:val="left" w:pos="360"/>
        </w:tabs>
        <w:spacing w:after="120"/>
        <w:ind w:firstLine="720"/>
        <w:jc w:val="both"/>
        <w:rPr>
          <w:rFonts w:ascii="Cambria" w:hAnsi="Cambria"/>
          <w:sz w:val="16"/>
          <w:szCs w:val="16"/>
          <w:lang w:val="es-ES"/>
        </w:rPr>
      </w:pPr>
      <w:r w:rsidRPr="007877A3">
        <w:rPr>
          <w:rFonts w:ascii="Cambria" w:hAnsi="Cambria"/>
          <w:sz w:val="16"/>
          <w:szCs w:val="16"/>
          <w:vertAlign w:val="superscript"/>
          <w:lang w:val="es-ES"/>
        </w:rPr>
        <w:footnoteRef/>
      </w:r>
      <w:r>
        <w:rPr>
          <w:rFonts w:ascii="Cambria" w:hAnsi="Cambria"/>
          <w:sz w:val="16"/>
          <w:szCs w:val="16"/>
          <w:lang w:val="es-ES"/>
        </w:rPr>
        <w:t xml:space="preserve"> Corte IDH.</w:t>
      </w:r>
      <w:r w:rsidRPr="007877A3">
        <w:rPr>
          <w:rFonts w:ascii="Cambria" w:hAnsi="Cambria"/>
          <w:sz w:val="16"/>
          <w:szCs w:val="16"/>
          <w:lang w:val="es-ES"/>
        </w:rPr>
        <w:t xml:space="preserve"> Caso </w:t>
      </w:r>
      <w:proofErr w:type="spellStart"/>
      <w:r w:rsidRPr="007877A3">
        <w:rPr>
          <w:rFonts w:ascii="Cambria" w:hAnsi="Cambria"/>
          <w:sz w:val="16"/>
          <w:szCs w:val="16"/>
          <w:lang w:val="es-ES"/>
        </w:rPr>
        <w:t>Almonacid</w:t>
      </w:r>
      <w:proofErr w:type="spellEnd"/>
      <w:r w:rsidRPr="007877A3">
        <w:rPr>
          <w:rFonts w:ascii="Cambria" w:hAnsi="Cambria"/>
          <w:sz w:val="16"/>
          <w:szCs w:val="16"/>
          <w:lang w:val="es-ES"/>
        </w:rPr>
        <w:t xml:space="preserve"> Arellano y otros Vs. Chile. </w:t>
      </w:r>
      <w:r>
        <w:rPr>
          <w:rFonts w:ascii="Cambria" w:hAnsi="Cambria"/>
          <w:sz w:val="16"/>
          <w:szCs w:val="16"/>
          <w:lang w:val="es-ES"/>
        </w:rPr>
        <w:t xml:space="preserve">Excepciones Preliminares, Fondo, Reparaciones y Costas. </w:t>
      </w:r>
      <w:r w:rsidRPr="007877A3">
        <w:rPr>
          <w:rFonts w:ascii="Cambria" w:hAnsi="Cambria"/>
          <w:sz w:val="16"/>
          <w:szCs w:val="16"/>
          <w:lang w:val="es-ES"/>
        </w:rPr>
        <w:t>Sentencia de 26 de septiembre de 2006. Serie C No. 154, párr. 82.30.</w:t>
      </w:r>
    </w:p>
  </w:footnote>
  <w:footnote w:id="38">
    <w:p w:rsidR="0006606E" w:rsidRPr="007877A3" w:rsidRDefault="0006606E" w:rsidP="00DC278B">
      <w:pPr>
        <w:pStyle w:val="Textonotapie"/>
        <w:tabs>
          <w:tab w:val="left" w:pos="360"/>
        </w:tabs>
        <w:spacing w:after="120"/>
        <w:ind w:firstLine="720"/>
        <w:jc w:val="both"/>
        <w:rPr>
          <w:rFonts w:ascii="Cambria" w:hAnsi="Cambria"/>
          <w:sz w:val="16"/>
          <w:szCs w:val="16"/>
          <w:lang w:val="es-ES"/>
        </w:rPr>
      </w:pPr>
      <w:r w:rsidRPr="007877A3">
        <w:rPr>
          <w:rFonts w:ascii="Cambria" w:hAnsi="Cambria"/>
          <w:sz w:val="16"/>
          <w:szCs w:val="16"/>
          <w:vertAlign w:val="superscript"/>
          <w:lang w:val="es-ES"/>
        </w:rPr>
        <w:footnoteRef/>
      </w:r>
      <w:r w:rsidRPr="007877A3">
        <w:rPr>
          <w:rFonts w:ascii="Cambria" w:hAnsi="Cambria"/>
          <w:sz w:val="16"/>
          <w:szCs w:val="16"/>
          <w:lang w:val="es-ES"/>
        </w:rPr>
        <w:t xml:space="preserve"> Art. Quinto: Tendrán derecho a este beneficio los hijos que, existiendo a la fecha de publicación de la presente ley, no estén en goce de la pensión de reparación a que se refiere el artículo 17 de la ley Nº 19.123, y siempre que lo soliciten dentro del plazo de un año, a contar de la fecha de publicación de esta ley. No tendrán derecho a este beneficio los hijos que estén percibiendo pensión de reparación vitalicia en su calidad de discapacitados. Ley No. 19.980 de 2004.</w:t>
      </w:r>
    </w:p>
  </w:footnote>
  <w:footnote w:id="39">
    <w:p w:rsidR="0006606E" w:rsidRPr="007877A3" w:rsidRDefault="0006606E" w:rsidP="00DC278B">
      <w:pPr>
        <w:pStyle w:val="Textonotapie"/>
        <w:tabs>
          <w:tab w:val="left" w:pos="360"/>
        </w:tabs>
        <w:spacing w:after="120"/>
        <w:ind w:firstLine="720"/>
        <w:jc w:val="both"/>
        <w:rPr>
          <w:rFonts w:ascii="Cambria" w:hAnsi="Cambria"/>
          <w:sz w:val="16"/>
          <w:szCs w:val="16"/>
          <w:lang w:val="es-ES"/>
        </w:rPr>
      </w:pPr>
      <w:r w:rsidRPr="007877A3">
        <w:rPr>
          <w:rFonts w:ascii="Cambria" w:hAnsi="Cambria"/>
          <w:sz w:val="16"/>
          <w:szCs w:val="16"/>
          <w:vertAlign w:val="superscript"/>
          <w:lang w:val="es-ES"/>
        </w:rPr>
        <w:footnoteRef/>
      </w:r>
      <w:r>
        <w:rPr>
          <w:rFonts w:ascii="Cambria" w:hAnsi="Cambria"/>
          <w:sz w:val="16"/>
          <w:szCs w:val="16"/>
          <w:lang w:val="es-ES"/>
        </w:rPr>
        <w:t xml:space="preserve"> Corte IDH.</w:t>
      </w:r>
      <w:r w:rsidRPr="007877A3">
        <w:rPr>
          <w:rFonts w:ascii="Cambria" w:hAnsi="Cambria"/>
          <w:sz w:val="16"/>
          <w:szCs w:val="16"/>
          <w:lang w:val="es-ES"/>
        </w:rPr>
        <w:t xml:space="preserve"> Caso </w:t>
      </w:r>
      <w:proofErr w:type="spellStart"/>
      <w:r w:rsidRPr="007877A3">
        <w:rPr>
          <w:rFonts w:ascii="Cambria" w:hAnsi="Cambria"/>
          <w:sz w:val="16"/>
          <w:szCs w:val="16"/>
          <w:lang w:val="es-ES"/>
        </w:rPr>
        <w:t>Almonacid</w:t>
      </w:r>
      <w:proofErr w:type="spellEnd"/>
      <w:r w:rsidRPr="007877A3">
        <w:rPr>
          <w:rFonts w:ascii="Cambria" w:hAnsi="Cambria"/>
          <w:sz w:val="16"/>
          <w:szCs w:val="16"/>
          <w:lang w:val="es-ES"/>
        </w:rPr>
        <w:t xml:space="preserve"> Arellano y otros Vs. Chile. </w:t>
      </w:r>
      <w:r>
        <w:rPr>
          <w:rFonts w:ascii="Cambria" w:hAnsi="Cambria"/>
          <w:sz w:val="16"/>
          <w:szCs w:val="16"/>
          <w:lang w:val="es-ES"/>
        </w:rPr>
        <w:t>Excepciones Preliminares, Fondo, Reparaciones y Costas.</w:t>
      </w:r>
      <w:r w:rsidRPr="007877A3">
        <w:rPr>
          <w:rFonts w:ascii="Cambria" w:hAnsi="Cambria"/>
          <w:sz w:val="16"/>
          <w:szCs w:val="16"/>
          <w:lang w:val="es-ES"/>
        </w:rPr>
        <w:t xml:space="preserve"> Sentencia de 26 de septiembre de 2006. Serie C No. 154, párr. 82.31.</w:t>
      </w:r>
    </w:p>
  </w:footnote>
  <w:footnote w:id="40">
    <w:p w:rsidR="0006606E" w:rsidRPr="007877A3" w:rsidRDefault="0006606E" w:rsidP="00DC278B">
      <w:pPr>
        <w:pStyle w:val="Textonotapie"/>
        <w:tabs>
          <w:tab w:val="left" w:pos="360"/>
        </w:tabs>
        <w:spacing w:after="120"/>
        <w:ind w:firstLine="720"/>
        <w:jc w:val="both"/>
        <w:rPr>
          <w:rFonts w:ascii="Cambria" w:hAnsi="Cambria"/>
          <w:sz w:val="16"/>
          <w:szCs w:val="16"/>
          <w:lang w:val="es-CO"/>
        </w:rPr>
      </w:pPr>
      <w:r w:rsidRPr="007877A3">
        <w:rPr>
          <w:rFonts w:ascii="Cambria" w:hAnsi="Cambria"/>
          <w:sz w:val="16"/>
          <w:szCs w:val="16"/>
          <w:vertAlign w:val="superscript"/>
          <w:lang w:val="es-ES"/>
        </w:rPr>
        <w:footnoteRef/>
      </w:r>
      <w:r>
        <w:rPr>
          <w:rFonts w:ascii="Cambria" w:hAnsi="Cambria"/>
          <w:sz w:val="16"/>
          <w:szCs w:val="16"/>
          <w:lang w:val="es-ES"/>
        </w:rPr>
        <w:t xml:space="preserve"> Escrito de observaciones del Estado de</w:t>
      </w:r>
      <w:r w:rsidRPr="007877A3">
        <w:rPr>
          <w:rFonts w:ascii="Cambria" w:hAnsi="Cambria"/>
          <w:sz w:val="16"/>
          <w:szCs w:val="16"/>
          <w:lang w:val="es-ES"/>
        </w:rPr>
        <w:t xml:space="preserve"> 21 de noviembre de 2008, no controvertido por el peticionario.</w:t>
      </w:r>
    </w:p>
  </w:footnote>
  <w:footnote w:id="41">
    <w:p w:rsidR="0006606E" w:rsidRPr="007877A3" w:rsidRDefault="0006606E" w:rsidP="00DC278B">
      <w:pPr>
        <w:pStyle w:val="Textonotapie"/>
        <w:tabs>
          <w:tab w:val="left" w:pos="360"/>
        </w:tabs>
        <w:spacing w:after="120"/>
        <w:ind w:firstLine="720"/>
        <w:jc w:val="both"/>
        <w:rPr>
          <w:rFonts w:ascii="Cambria" w:hAnsi="Cambria"/>
          <w:sz w:val="16"/>
          <w:szCs w:val="16"/>
          <w:lang w:val="es-ES"/>
        </w:rPr>
      </w:pPr>
      <w:r w:rsidRPr="007877A3">
        <w:rPr>
          <w:rStyle w:val="Refdenotaalpie"/>
          <w:rFonts w:ascii="Cambria" w:hAnsi="Cambria"/>
          <w:sz w:val="16"/>
          <w:szCs w:val="16"/>
        </w:rPr>
        <w:footnoteRef/>
      </w:r>
      <w:r w:rsidRPr="007877A3">
        <w:rPr>
          <w:rFonts w:ascii="Cambria" w:hAnsi="Cambria"/>
          <w:sz w:val="16"/>
          <w:szCs w:val="16"/>
          <w:lang w:val="es-ES"/>
        </w:rPr>
        <w:t xml:space="preserve"> Decreto con Fuerza de Ley 1. Publicado el 30 de mayo de 2000.</w:t>
      </w:r>
    </w:p>
  </w:footnote>
  <w:footnote w:id="42">
    <w:p w:rsidR="0006606E" w:rsidRPr="007877A3" w:rsidRDefault="0006606E" w:rsidP="00DC278B">
      <w:pPr>
        <w:pStyle w:val="Textonotapie"/>
        <w:tabs>
          <w:tab w:val="left" w:pos="360"/>
        </w:tabs>
        <w:spacing w:after="120"/>
        <w:ind w:firstLine="720"/>
        <w:jc w:val="both"/>
        <w:rPr>
          <w:rFonts w:ascii="Cambria" w:hAnsi="Cambria"/>
          <w:sz w:val="16"/>
          <w:szCs w:val="16"/>
          <w:lang w:val="es-ES"/>
        </w:rPr>
      </w:pPr>
      <w:r w:rsidRPr="007877A3">
        <w:rPr>
          <w:rFonts w:ascii="Cambria" w:hAnsi="Cambria"/>
          <w:sz w:val="16"/>
          <w:szCs w:val="16"/>
          <w:vertAlign w:val="superscript"/>
          <w:lang w:val="es-ES"/>
        </w:rPr>
        <w:footnoteRef/>
      </w:r>
      <w:r w:rsidRPr="007877A3">
        <w:rPr>
          <w:rFonts w:ascii="Cambria" w:hAnsi="Cambria"/>
          <w:sz w:val="16"/>
          <w:szCs w:val="16"/>
          <w:lang w:val="es-ES"/>
        </w:rPr>
        <w:t xml:space="preserve"> Informe de la Comi</w:t>
      </w:r>
      <w:r>
        <w:rPr>
          <w:rFonts w:ascii="Cambria" w:hAnsi="Cambria"/>
          <w:sz w:val="16"/>
          <w:szCs w:val="16"/>
          <w:lang w:val="es-ES"/>
        </w:rPr>
        <w:t xml:space="preserve">sión </w:t>
      </w:r>
      <w:proofErr w:type="spellStart"/>
      <w:r>
        <w:rPr>
          <w:rFonts w:ascii="Cambria" w:hAnsi="Cambria"/>
          <w:sz w:val="16"/>
          <w:szCs w:val="16"/>
          <w:lang w:val="es-ES"/>
        </w:rPr>
        <w:t>Rettig</w:t>
      </w:r>
      <w:proofErr w:type="spellEnd"/>
      <w:r>
        <w:rPr>
          <w:rFonts w:ascii="Cambria" w:hAnsi="Cambria"/>
          <w:sz w:val="16"/>
          <w:szCs w:val="16"/>
          <w:lang w:val="es-ES"/>
        </w:rPr>
        <w:t>, Tomo I, pág. 144.</w:t>
      </w:r>
      <w:r w:rsidRPr="007877A3">
        <w:rPr>
          <w:rFonts w:ascii="Cambria" w:hAnsi="Cambria"/>
          <w:sz w:val="16"/>
          <w:szCs w:val="16"/>
          <w:lang w:val="es-ES"/>
        </w:rPr>
        <w:t xml:space="preserve"> En igual sentido, </w:t>
      </w:r>
      <w:r>
        <w:rPr>
          <w:rFonts w:ascii="Cambria" w:hAnsi="Cambria"/>
          <w:sz w:val="16"/>
          <w:szCs w:val="16"/>
          <w:lang w:val="es-ES"/>
        </w:rPr>
        <w:t>Anexo 1. S</w:t>
      </w:r>
      <w:r w:rsidRPr="007877A3">
        <w:rPr>
          <w:rFonts w:ascii="Cambria" w:hAnsi="Cambria"/>
          <w:sz w:val="16"/>
          <w:szCs w:val="16"/>
          <w:lang w:val="es-ES"/>
        </w:rPr>
        <w:t>entencia del 8º Juzgado Civil, Ordenes María contra el Fisco de Chile, del 28 de enero de 1999, Rol C: 4954-97. Considerando Sexto, foja 111.</w:t>
      </w:r>
      <w:r w:rsidRPr="007877A3">
        <w:rPr>
          <w:rFonts w:ascii="Cambria" w:hAnsi="Cambria" w:cs="Verdana"/>
          <w:sz w:val="16"/>
          <w:szCs w:val="16"/>
          <w:lang w:val="es-CO"/>
        </w:rPr>
        <w:t xml:space="preserve"> </w:t>
      </w:r>
      <w:r w:rsidRPr="007877A3">
        <w:rPr>
          <w:rFonts w:ascii="Cambria" w:hAnsi="Cambria"/>
          <w:sz w:val="16"/>
          <w:szCs w:val="16"/>
          <w:lang w:val="es-ES"/>
        </w:rPr>
        <w:t>Anexo a la petición presentada el 14 de julio de 2003.</w:t>
      </w:r>
    </w:p>
  </w:footnote>
  <w:footnote w:id="43">
    <w:p w:rsidR="0006606E" w:rsidRPr="007877A3" w:rsidRDefault="0006606E" w:rsidP="00DC278B">
      <w:pPr>
        <w:pStyle w:val="Textonotapie"/>
        <w:tabs>
          <w:tab w:val="left" w:pos="360"/>
        </w:tabs>
        <w:spacing w:after="120"/>
        <w:ind w:firstLine="720"/>
        <w:jc w:val="both"/>
        <w:rPr>
          <w:rFonts w:ascii="Cambria" w:hAnsi="Cambria"/>
          <w:sz w:val="16"/>
          <w:szCs w:val="16"/>
          <w:lang w:val="es-ES"/>
        </w:rPr>
      </w:pPr>
      <w:r w:rsidRPr="007877A3">
        <w:rPr>
          <w:rFonts w:ascii="Cambria" w:hAnsi="Cambria"/>
          <w:sz w:val="16"/>
          <w:szCs w:val="16"/>
          <w:vertAlign w:val="superscript"/>
          <w:lang w:val="es-ES"/>
        </w:rPr>
        <w:footnoteRef/>
      </w:r>
      <w:r w:rsidRPr="007877A3">
        <w:rPr>
          <w:rFonts w:ascii="Cambria" w:hAnsi="Cambria"/>
          <w:sz w:val="16"/>
          <w:szCs w:val="16"/>
          <w:lang w:val="es-ES"/>
        </w:rPr>
        <w:t xml:space="preserve"> Informe de la Comisi</w:t>
      </w:r>
      <w:r>
        <w:rPr>
          <w:rFonts w:ascii="Cambria" w:hAnsi="Cambria"/>
          <w:sz w:val="16"/>
          <w:szCs w:val="16"/>
          <w:lang w:val="es-ES"/>
        </w:rPr>
        <w:t xml:space="preserve">ón </w:t>
      </w:r>
      <w:proofErr w:type="spellStart"/>
      <w:r>
        <w:rPr>
          <w:rFonts w:ascii="Cambria" w:hAnsi="Cambria"/>
          <w:sz w:val="16"/>
          <w:szCs w:val="16"/>
          <w:lang w:val="es-ES"/>
        </w:rPr>
        <w:t>Rettig</w:t>
      </w:r>
      <w:proofErr w:type="spellEnd"/>
      <w:r>
        <w:rPr>
          <w:rFonts w:ascii="Cambria" w:hAnsi="Cambria"/>
          <w:sz w:val="16"/>
          <w:szCs w:val="16"/>
          <w:lang w:val="es-ES"/>
        </w:rPr>
        <w:t>, Tomo I, pág. 144.</w:t>
      </w:r>
      <w:r w:rsidRPr="007877A3">
        <w:rPr>
          <w:rFonts w:ascii="Cambria" w:hAnsi="Cambria"/>
          <w:sz w:val="16"/>
          <w:szCs w:val="16"/>
          <w:lang w:val="es-ES"/>
        </w:rPr>
        <w:t xml:space="preserve"> </w:t>
      </w:r>
    </w:p>
  </w:footnote>
  <w:footnote w:id="44">
    <w:p w:rsidR="0006606E" w:rsidRPr="007877A3" w:rsidRDefault="0006606E" w:rsidP="00DC278B">
      <w:pPr>
        <w:pStyle w:val="Textonotapie"/>
        <w:tabs>
          <w:tab w:val="left" w:pos="360"/>
        </w:tabs>
        <w:spacing w:after="120"/>
        <w:ind w:firstLine="720"/>
        <w:jc w:val="both"/>
        <w:rPr>
          <w:rFonts w:ascii="Cambria" w:hAnsi="Cambria"/>
          <w:sz w:val="16"/>
          <w:szCs w:val="16"/>
          <w:lang w:val="es-CO"/>
        </w:rPr>
      </w:pPr>
      <w:r w:rsidRPr="007877A3">
        <w:rPr>
          <w:rStyle w:val="Refdenotaalpie"/>
          <w:rFonts w:ascii="Cambria" w:hAnsi="Cambria"/>
          <w:sz w:val="16"/>
          <w:szCs w:val="16"/>
        </w:rPr>
        <w:footnoteRef/>
      </w:r>
      <w:r w:rsidRPr="007877A3">
        <w:rPr>
          <w:rFonts w:ascii="Cambria" w:hAnsi="Cambria"/>
          <w:sz w:val="16"/>
          <w:szCs w:val="16"/>
          <w:lang w:val="es-CO"/>
        </w:rPr>
        <w:t xml:space="preserve"> </w:t>
      </w:r>
      <w:r>
        <w:rPr>
          <w:rFonts w:ascii="Cambria" w:hAnsi="Cambria"/>
          <w:sz w:val="16"/>
          <w:szCs w:val="16"/>
          <w:lang w:val="es-ES"/>
        </w:rPr>
        <w:t>Escrito de observaciones del Estado de</w:t>
      </w:r>
      <w:r w:rsidRPr="007877A3">
        <w:rPr>
          <w:rFonts w:ascii="Cambria" w:hAnsi="Cambria"/>
          <w:sz w:val="16"/>
          <w:szCs w:val="16"/>
          <w:lang w:val="es-ES"/>
        </w:rPr>
        <w:t xml:space="preserve"> 21 de noviembre de 2008</w:t>
      </w:r>
      <w:r w:rsidRPr="007877A3">
        <w:rPr>
          <w:rFonts w:ascii="Cambria" w:hAnsi="Cambria"/>
          <w:sz w:val="16"/>
          <w:szCs w:val="16"/>
          <w:lang w:val="es-CO"/>
        </w:rPr>
        <w:t>, no controvertido por el peticionario.</w:t>
      </w:r>
    </w:p>
  </w:footnote>
  <w:footnote w:id="45">
    <w:p w:rsidR="0006606E" w:rsidRPr="007877A3" w:rsidRDefault="0006606E" w:rsidP="00DC278B">
      <w:pPr>
        <w:pStyle w:val="Textonotapie"/>
        <w:tabs>
          <w:tab w:val="left" w:pos="360"/>
        </w:tabs>
        <w:spacing w:after="120"/>
        <w:ind w:firstLine="720"/>
        <w:jc w:val="both"/>
        <w:rPr>
          <w:rFonts w:ascii="Cambria" w:hAnsi="Cambria"/>
          <w:sz w:val="16"/>
          <w:szCs w:val="16"/>
          <w:lang w:val="es-CO"/>
        </w:rPr>
      </w:pPr>
      <w:r w:rsidRPr="007877A3">
        <w:rPr>
          <w:rStyle w:val="Refdenotaalpie"/>
          <w:rFonts w:ascii="Cambria" w:hAnsi="Cambria"/>
          <w:sz w:val="16"/>
          <w:szCs w:val="16"/>
        </w:rPr>
        <w:footnoteRef/>
      </w:r>
      <w:r w:rsidRPr="007877A3">
        <w:rPr>
          <w:rFonts w:ascii="Cambria" w:hAnsi="Cambria"/>
          <w:sz w:val="16"/>
          <w:szCs w:val="16"/>
          <w:lang w:val="es-CO"/>
        </w:rPr>
        <w:t xml:space="preserve"> Dicho monto ascendía a 504.943 Pesos Chilenos a 21 de noviembre de 2008. </w:t>
      </w:r>
      <w:r>
        <w:rPr>
          <w:rFonts w:ascii="Cambria" w:hAnsi="Cambria"/>
          <w:sz w:val="16"/>
          <w:szCs w:val="16"/>
          <w:lang w:val="es-ES"/>
        </w:rPr>
        <w:t>Escrito de observaciones del Estado de</w:t>
      </w:r>
      <w:r w:rsidRPr="007877A3">
        <w:rPr>
          <w:rFonts w:ascii="Cambria" w:hAnsi="Cambria"/>
          <w:sz w:val="16"/>
          <w:szCs w:val="16"/>
          <w:lang w:val="es-ES"/>
        </w:rPr>
        <w:t xml:space="preserve"> 21 de noviembre de 2008</w:t>
      </w:r>
      <w:r w:rsidRPr="007877A3">
        <w:rPr>
          <w:rFonts w:ascii="Cambria" w:hAnsi="Cambria"/>
          <w:sz w:val="16"/>
          <w:szCs w:val="16"/>
          <w:lang w:val="es-CO"/>
        </w:rPr>
        <w:t>, no controvertido por el peticionario.</w:t>
      </w:r>
    </w:p>
  </w:footnote>
  <w:footnote w:id="46">
    <w:p w:rsidR="0006606E" w:rsidRPr="007877A3" w:rsidRDefault="0006606E" w:rsidP="0046102F">
      <w:pPr>
        <w:pStyle w:val="Textonotapie"/>
        <w:tabs>
          <w:tab w:val="left" w:pos="360"/>
        </w:tabs>
        <w:spacing w:after="120"/>
        <w:ind w:firstLine="720"/>
        <w:jc w:val="both"/>
        <w:rPr>
          <w:rFonts w:ascii="Cambria" w:hAnsi="Cambria"/>
          <w:sz w:val="16"/>
          <w:szCs w:val="16"/>
          <w:lang w:val="es-ES"/>
        </w:rPr>
      </w:pPr>
      <w:r w:rsidRPr="007877A3">
        <w:rPr>
          <w:rFonts w:ascii="Cambria" w:hAnsi="Cambria"/>
          <w:sz w:val="16"/>
          <w:szCs w:val="16"/>
          <w:vertAlign w:val="superscript"/>
          <w:lang w:val="es-ES"/>
        </w:rPr>
        <w:footnoteRef/>
      </w:r>
      <w:r w:rsidRPr="007877A3">
        <w:rPr>
          <w:rFonts w:ascii="Cambria" w:hAnsi="Cambria"/>
          <w:sz w:val="16"/>
          <w:szCs w:val="16"/>
          <w:vertAlign w:val="superscript"/>
          <w:lang w:val="es-ES"/>
        </w:rPr>
        <w:t xml:space="preserve"> </w:t>
      </w:r>
      <w:r>
        <w:rPr>
          <w:rFonts w:ascii="Cambria" w:hAnsi="Cambria"/>
          <w:sz w:val="16"/>
          <w:szCs w:val="16"/>
          <w:lang w:val="es-ES"/>
        </w:rPr>
        <w:t>Anexo 1. S</w:t>
      </w:r>
      <w:r w:rsidRPr="007877A3">
        <w:rPr>
          <w:rFonts w:ascii="Cambria" w:hAnsi="Cambria"/>
          <w:sz w:val="16"/>
          <w:szCs w:val="16"/>
          <w:lang w:val="es-ES"/>
        </w:rPr>
        <w:t>entencia del 8º Juzgado Civil, Ordenes María contra el Fisco de Chile, del 28 de enero de 1999, Rol C: 4954-</w:t>
      </w:r>
      <w:r>
        <w:rPr>
          <w:rFonts w:ascii="Cambria" w:hAnsi="Cambria"/>
          <w:sz w:val="16"/>
          <w:szCs w:val="16"/>
          <w:lang w:val="es-ES"/>
        </w:rPr>
        <w:t>97</w:t>
      </w:r>
      <w:r w:rsidRPr="007877A3">
        <w:rPr>
          <w:rFonts w:ascii="Cambria" w:hAnsi="Cambria"/>
          <w:sz w:val="16"/>
          <w:szCs w:val="16"/>
          <w:lang w:val="es-ES"/>
        </w:rPr>
        <w:t>.</w:t>
      </w:r>
      <w:r w:rsidRPr="007877A3">
        <w:rPr>
          <w:rFonts w:ascii="Cambria" w:hAnsi="Cambria" w:cs="Verdana"/>
          <w:sz w:val="16"/>
          <w:szCs w:val="16"/>
          <w:lang w:val="es-CO"/>
        </w:rPr>
        <w:t xml:space="preserve"> </w:t>
      </w:r>
      <w:r w:rsidRPr="007877A3">
        <w:rPr>
          <w:rFonts w:ascii="Cambria" w:hAnsi="Cambria"/>
          <w:sz w:val="16"/>
          <w:szCs w:val="16"/>
          <w:lang w:val="es-ES"/>
        </w:rPr>
        <w:t>Anexo a la petición presentada el 14 de julio de 2003.</w:t>
      </w:r>
    </w:p>
  </w:footnote>
  <w:footnote w:id="47">
    <w:p w:rsidR="0006606E" w:rsidRPr="007877A3" w:rsidRDefault="0006606E" w:rsidP="007F79C4">
      <w:pPr>
        <w:pStyle w:val="Textonotapie"/>
        <w:tabs>
          <w:tab w:val="left" w:pos="360"/>
        </w:tabs>
        <w:spacing w:after="120"/>
        <w:ind w:firstLine="720"/>
        <w:jc w:val="both"/>
        <w:rPr>
          <w:rFonts w:ascii="Cambria" w:hAnsi="Cambria"/>
          <w:sz w:val="16"/>
          <w:szCs w:val="16"/>
          <w:lang w:val="es-ES"/>
        </w:rPr>
      </w:pPr>
      <w:r w:rsidRPr="007877A3">
        <w:rPr>
          <w:rFonts w:ascii="Cambria" w:hAnsi="Cambria"/>
          <w:sz w:val="16"/>
          <w:szCs w:val="16"/>
          <w:vertAlign w:val="superscript"/>
          <w:lang w:val="es-ES"/>
        </w:rPr>
        <w:footnoteRef/>
      </w:r>
      <w:r w:rsidRPr="007877A3">
        <w:rPr>
          <w:rFonts w:ascii="Cambria" w:hAnsi="Cambria"/>
          <w:sz w:val="16"/>
          <w:szCs w:val="16"/>
          <w:lang w:val="es-ES"/>
        </w:rPr>
        <w:t xml:space="preserve"> </w:t>
      </w:r>
      <w:r>
        <w:rPr>
          <w:rFonts w:ascii="Cambria" w:hAnsi="Cambria"/>
          <w:sz w:val="16"/>
          <w:szCs w:val="16"/>
          <w:lang w:val="es-ES"/>
        </w:rPr>
        <w:t>Anexo 1. S</w:t>
      </w:r>
      <w:r w:rsidRPr="007877A3">
        <w:rPr>
          <w:rFonts w:ascii="Cambria" w:hAnsi="Cambria"/>
          <w:sz w:val="16"/>
          <w:szCs w:val="16"/>
          <w:lang w:val="es-ES"/>
        </w:rPr>
        <w:t>entencia del 8º Juzgado Civil, Ordenes María contra el Fisco de Chile, del 28 de enero de 1999, Ro</w:t>
      </w:r>
      <w:r>
        <w:rPr>
          <w:rFonts w:ascii="Cambria" w:hAnsi="Cambria"/>
          <w:sz w:val="16"/>
          <w:szCs w:val="16"/>
          <w:lang w:val="es-ES"/>
        </w:rPr>
        <w:t>l C: 4954-97. Considerando Undécimo</w:t>
      </w:r>
      <w:r w:rsidRPr="007877A3">
        <w:rPr>
          <w:rFonts w:ascii="Cambria" w:hAnsi="Cambria"/>
          <w:sz w:val="16"/>
          <w:szCs w:val="16"/>
          <w:lang w:val="es-ES"/>
        </w:rPr>
        <w:t>.</w:t>
      </w:r>
      <w:r w:rsidRPr="007877A3">
        <w:rPr>
          <w:rFonts w:ascii="Cambria" w:hAnsi="Cambria" w:cs="Verdana"/>
          <w:sz w:val="16"/>
          <w:szCs w:val="16"/>
          <w:lang w:val="es-CO"/>
        </w:rPr>
        <w:t xml:space="preserve"> </w:t>
      </w:r>
      <w:r w:rsidRPr="007877A3">
        <w:rPr>
          <w:rFonts w:ascii="Cambria" w:hAnsi="Cambria"/>
          <w:sz w:val="16"/>
          <w:szCs w:val="16"/>
          <w:lang w:val="es-ES"/>
        </w:rPr>
        <w:t>Anexo a la petición presentada el 14 de julio de 2003.</w:t>
      </w:r>
    </w:p>
  </w:footnote>
  <w:footnote w:id="48">
    <w:p w:rsidR="0006606E" w:rsidRPr="0046102F" w:rsidRDefault="0006606E" w:rsidP="00DC278B">
      <w:pPr>
        <w:pStyle w:val="Textonotapie"/>
        <w:tabs>
          <w:tab w:val="left" w:pos="360"/>
        </w:tabs>
        <w:spacing w:after="120"/>
        <w:ind w:firstLine="720"/>
        <w:jc w:val="both"/>
        <w:rPr>
          <w:rFonts w:ascii="Cambria" w:hAnsi="Cambria"/>
          <w:sz w:val="16"/>
          <w:szCs w:val="16"/>
          <w:lang w:val="es-ES"/>
        </w:rPr>
      </w:pPr>
      <w:r w:rsidRPr="007877A3">
        <w:rPr>
          <w:rFonts w:ascii="Cambria" w:hAnsi="Cambria"/>
          <w:sz w:val="16"/>
          <w:szCs w:val="16"/>
          <w:vertAlign w:val="superscript"/>
          <w:lang w:val="es-ES"/>
        </w:rPr>
        <w:footnoteRef/>
      </w:r>
      <w:r w:rsidRPr="007877A3">
        <w:rPr>
          <w:rFonts w:ascii="Cambria" w:hAnsi="Cambria"/>
          <w:sz w:val="16"/>
          <w:szCs w:val="16"/>
          <w:lang w:val="es-ES"/>
        </w:rPr>
        <w:t xml:space="preserve"> </w:t>
      </w:r>
      <w:r>
        <w:rPr>
          <w:rFonts w:ascii="Cambria" w:hAnsi="Cambria"/>
          <w:sz w:val="16"/>
          <w:szCs w:val="16"/>
          <w:lang w:val="es-ES"/>
        </w:rPr>
        <w:t>Anexo 1. S</w:t>
      </w:r>
      <w:r w:rsidRPr="007877A3">
        <w:rPr>
          <w:rFonts w:ascii="Cambria" w:hAnsi="Cambria"/>
          <w:sz w:val="16"/>
          <w:szCs w:val="16"/>
          <w:lang w:val="es-ES"/>
        </w:rPr>
        <w:t>entencia del 8º Juzgado Civil, Ordenes María contra el Fisco de Chile, del 28 de enero de 1999, Ro</w:t>
      </w:r>
      <w:r>
        <w:rPr>
          <w:rFonts w:ascii="Cambria" w:hAnsi="Cambria"/>
          <w:sz w:val="16"/>
          <w:szCs w:val="16"/>
          <w:lang w:val="es-ES"/>
        </w:rPr>
        <w:t>l C: 4954-97. Considerando Undécimo</w:t>
      </w:r>
      <w:r w:rsidRPr="007877A3">
        <w:rPr>
          <w:rFonts w:ascii="Cambria" w:hAnsi="Cambria"/>
          <w:sz w:val="16"/>
          <w:szCs w:val="16"/>
          <w:lang w:val="es-ES"/>
        </w:rPr>
        <w:t>.</w:t>
      </w:r>
      <w:r w:rsidRPr="007877A3">
        <w:rPr>
          <w:rFonts w:ascii="Cambria" w:hAnsi="Cambria" w:cs="Verdana"/>
          <w:sz w:val="16"/>
          <w:szCs w:val="16"/>
          <w:lang w:val="es-CO"/>
        </w:rPr>
        <w:t xml:space="preserve"> </w:t>
      </w:r>
      <w:r w:rsidRPr="007877A3">
        <w:rPr>
          <w:rFonts w:ascii="Cambria" w:hAnsi="Cambria"/>
          <w:sz w:val="16"/>
          <w:szCs w:val="16"/>
          <w:lang w:val="es-ES"/>
        </w:rPr>
        <w:t>Anexo a la petición presentada el 14 de julio de 2003.</w:t>
      </w:r>
    </w:p>
  </w:footnote>
  <w:footnote w:id="49">
    <w:p w:rsidR="0006606E" w:rsidRPr="007877A3" w:rsidRDefault="0006606E" w:rsidP="00DC278B">
      <w:pPr>
        <w:pStyle w:val="Textonotapie"/>
        <w:tabs>
          <w:tab w:val="left" w:pos="360"/>
        </w:tabs>
        <w:spacing w:after="120"/>
        <w:ind w:firstLine="720"/>
        <w:jc w:val="both"/>
        <w:rPr>
          <w:rFonts w:ascii="Cambria" w:hAnsi="Cambria"/>
          <w:sz w:val="16"/>
          <w:szCs w:val="16"/>
          <w:lang w:val="es-ES"/>
        </w:rPr>
      </w:pPr>
      <w:r w:rsidRPr="007877A3">
        <w:rPr>
          <w:rFonts w:ascii="Cambria" w:hAnsi="Cambria"/>
          <w:sz w:val="16"/>
          <w:szCs w:val="16"/>
          <w:vertAlign w:val="superscript"/>
          <w:lang w:val="es-ES"/>
        </w:rPr>
        <w:footnoteRef/>
      </w:r>
      <w:r w:rsidRPr="007877A3">
        <w:rPr>
          <w:rFonts w:ascii="Cambria" w:hAnsi="Cambria"/>
          <w:sz w:val="16"/>
          <w:szCs w:val="16"/>
          <w:lang w:val="es-ES"/>
        </w:rPr>
        <w:t xml:space="preserve"> </w:t>
      </w:r>
      <w:r>
        <w:rPr>
          <w:rFonts w:ascii="Cambria" w:hAnsi="Cambria"/>
          <w:sz w:val="16"/>
          <w:szCs w:val="16"/>
          <w:lang w:val="es-ES"/>
        </w:rPr>
        <w:t>Anexo 1. S</w:t>
      </w:r>
      <w:r w:rsidRPr="007877A3">
        <w:rPr>
          <w:rFonts w:ascii="Cambria" w:hAnsi="Cambria"/>
          <w:sz w:val="16"/>
          <w:szCs w:val="16"/>
          <w:lang w:val="es-ES"/>
        </w:rPr>
        <w:t>entencia del 8º Juzgado Civil, Ordenes María contra el Fisco de Chile, del 28 de enero de 1999, Ro</w:t>
      </w:r>
      <w:r>
        <w:rPr>
          <w:rFonts w:ascii="Cambria" w:hAnsi="Cambria"/>
          <w:sz w:val="16"/>
          <w:szCs w:val="16"/>
          <w:lang w:val="es-ES"/>
        </w:rPr>
        <w:t>l C: 4954-97. Considerando Décimo Quinto</w:t>
      </w:r>
      <w:r w:rsidRPr="007877A3">
        <w:rPr>
          <w:rFonts w:ascii="Cambria" w:hAnsi="Cambria"/>
          <w:sz w:val="16"/>
          <w:szCs w:val="16"/>
          <w:lang w:val="es-ES"/>
        </w:rPr>
        <w:t>.</w:t>
      </w:r>
      <w:r w:rsidRPr="007877A3">
        <w:rPr>
          <w:rFonts w:ascii="Cambria" w:hAnsi="Cambria" w:cs="Verdana"/>
          <w:sz w:val="16"/>
          <w:szCs w:val="16"/>
          <w:lang w:val="es-CO"/>
        </w:rPr>
        <w:t xml:space="preserve"> </w:t>
      </w:r>
      <w:r w:rsidRPr="007877A3">
        <w:rPr>
          <w:rFonts w:ascii="Cambria" w:hAnsi="Cambria"/>
          <w:sz w:val="16"/>
          <w:szCs w:val="16"/>
          <w:lang w:val="es-ES"/>
        </w:rPr>
        <w:t>Anexo a la petición presentada el 14 de julio de 2003.</w:t>
      </w:r>
    </w:p>
  </w:footnote>
  <w:footnote w:id="50">
    <w:p w:rsidR="0006606E" w:rsidRPr="007877A3" w:rsidRDefault="0006606E" w:rsidP="00DC278B">
      <w:pPr>
        <w:pStyle w:val="Textonotapie"/>
        <w:tabs>
          <w:tab w:val="left" w:pos="360"/>
        </w:tabs>
        <w:spacing w:after="120"/>
        <w:ind w:firstLine="720"/>
        <w:jc w:val="both"/>
        <w:rPr>
          <w:rFonts w:ascii="Cambria" w:hAnsi="Cambria"/>
          <w:sz w:val="16"/>
          <w:szCs w:val="16"/>
          <w:lang w:val="es-CO"/>
        </w:rPr>
      </w:pPr>
      <w:r w:rsidRPr="007877A3">
        <w:rPr>
          <w:rFonts w:ascii="Cambria" w:hAnsi="Cambria"/>
          <w:sz w:val="16"/>
          <w:szCs w:val="16"/>
          <w:vertAlign w:val="superscript"/>
          <w:lang w:val="es-ES"/>
        </w:rPr>
        <w:footnoteRef/>
      </w:r>
      <w:r w:rsidRPr="007877A3">
        <w:rPr>
          <w:rFonts w:ascii="Cambria" w:hAnsi="Cambria"/>
          <w:sz w:val="16"/>
          <w:szCs w:val="16"/>
          <w:lang w:val="es-ES"/>
        </w:rPr>
        <w:t xml:space="preserve"> </w:t>
      </w:r>
      <w:r>
        <w:rPr>
          <w:rFonts w:ascii="Cambria" w:hAnsi="Cambria"/>
          <w:sz w:val="16"/>
          <w:szCs w:val="16"/>
          <w:lang w:val="es-ES"/>
        </w:rPr>
        <w:t>Anexo 1. S</w:t>
      </w:r>
      <w:r w:rsidRPr="007877A3">
        <w:rPr>
          <w:rFonts w:ascii="Cambria" w:hAnsi="Cambria"/>
          <w:sz w:val="16"/>
          <w:szCs w:val="16"/>
          <w:lang w:val="es-ES"/>
        </w:rPr>
        <w:t>entencia del 8º Juzgado Civil, Ordenes María contra el Fisco de Chile, del 28 de enero de 1999, Ro</w:t>
      </w:r>
      <w:r>
        <w:rPr>
          <w:rFonts w:ascii="Cambria" w:hAnsi="Cambria"/>
          <w:sz w:val="16"/>
          <w:szCs w:val="16"/>
          <w:lang w:val="es-ES"/>
        </w:rPr>
        <w:t>l C: 4954-97. Considerando Décimo Quinto</w:t>
      </w:r>
      <w:r w:rsidRPr="007877A3">
        <w:rPr>
          <w:rFonts w:ascii="Cambria" w:hAnsi="Cambria"/>
          <w:sz w:val="16"/>
          <w:szCs w:val="16"/>
          <w:lang w:val="es-ES"/>
        </w:rPr>
        <w:t>.</w:t>
      </w:r>
      <w:r w:rsidRPr="007877A3">
        <w:rPr>
          <w:rFonts w:ascii="Cambria" w:hAnsi="Cambria" w:cs="Verdana"/>
          <w:sz w:val="16"/>
          <w:szCs w:val="16"/>
          <w:lang w:val="es-CO"/>
        </w:rPr>
        <w:t xml:space="preserve"> </w:t>
      </w:r>
      <w:r w:rsidRPr="007877A3">
        <w:rPr>
          <w:rFonts w:ascii="Cambria" w:hAnsi="Cambria"/>
          <w:sz w:val="16"/>
          <w:szCs w:val="16"/>
          <w:lang w:val="es-ES"/>
        </w:rPr>
        <w:t>Anexo a la petición presentada el 14 de julio de 2003.</w:t>
      </w:r>
    </w:p>
  </w:footnote>
  <w:footnote w:id="51">
    <w:p w:rsidR="0006606E" w:rsidRPr="007877A3" w:rsidRDefault="0006606E" w:rsidP="00DC278B">
      <w:pPr>
        <w:pStyle w:val="Textonotapie"/>
        <w:tabs>
          <w:tab w:val="left" w:pos="360"/>
        </w:tabs>
        <w:spacing w:after="120"/>
        <w:ind w:firstLine="720"/>
        <w:jc w:val="both"/>
        <w:rPr>
          <w:rFonts w:ascii="Cambria" w:hAnsi="Cambria"/>
          <w:sz w:val="16"/>
          <w:szCs w:val="16"/>
          <w:lang w:val="es-CO"/>
        </w:rPr>
      </w:pPr>
      <w:r w:rsidRPr="007877A3">
        <w:rPr>
          <w:rStyle w:val="Refdenotaalpie"/>
          <w:rFonts w:ascii="Cambria" w:hAnsi="Cambria"/>
          <w:sz w:val="16"/>
          <w:szCs w:val="16"/>
        </w:rPr>
        <w:footnoteRef/>
      </w:r>
      <w:r w:rsidRPr="007877A3">
        <w:rPr>
          <w:rFonts w:ascii="Cambria" w:hAnsi="Cambria"/>
          <w:sz w:val="16"/>
          <w:szCs w:val="16"/>
          <w:lang w:val="es-CO"/>
        </w:rPr>
        <w:t xml:space="preserve"> </w:t>
      </w:r>
      <w:r>
        <w:rPr>
          <w:rFonts w:ascii="Cambria" w:hAnsi="Cambria"/>
          <w:sz w:val="16"/>
          <w:szCs w:val="16"/>
          <w:lang w:val="es-CO"/>
        </w:rPr>
        <w:t xml:space="preserve">Anexo 2. </w:t>
      </w:r>
      <w:r w:rsidRPr="007877A3">
        <w:rPr>
          <w:rFonts w:ascii="Cambria" w:hAnsi="Cambria"/>
          <w:sz w:val="16"/>
          <w:szCs w:val="16"/>
          <w:lang w:val="es-CO"/>
        </w:rPr>
        <w:t xml:space="preserve">CAS, Sentencia de 24 de octubre de 2002. Anexo a la petición de 14 de julio de 2003. </w:t>
      </w:r>
    </w:p>
  </w:footnote>
  <w:footnote w:id="52">
    <w:p w:rsidR="0006606E" w:rsidRPr="007877A3" w:rsidRDefault="0006606E" w:rsidP="00DC278B">
      <w:pPr>
        <w:pStyle w:val="Textonotapie"/>
        <w:tabs>
          <w:tab w:val="left" w:pos="360"/>
        </w:tabs>
        <w:spacing w:after="120"/>
        <w:ind w:firstLine="720"/>
        <w:jc w:val="both"/>
        <w:rPr>
          <w:rFonts w:ascii="Cambria" w:hAnsi="Cambria"/>
          <w:sz w:val="16"/>
          <w:szCs w:val="16"/>
          <w:lang w:val="es-CO"/>
        </w:rPr>
      </w:pPr>
      <w:r w:rsidRPr="007877A3">
        <w:rPr>
          <w:rStyle w:val="Refdenotaalpie"/>
          <w:rFonts w:ascii="Cambria" w:hAnsi="Cambria"/>
          <w:sz w:val="16"/>
          <w:szCs w:val="16"/>
        </w:rPr>
        <w:footnoteRef/>
      </w:r>
      <w:r w:rsidRPr="007877A3">
        <w:rPr>
          <w:rFonts w:ascii="Cambria" w:hAnsi="Cambria"/>
          <w:sz w:val="16"/>
          <w:szCs w:val="16"/>
          <w:lang w:val="es-CO"/>
        </w:rPr>
        <w:t xml:space="preserve"> </w:t>
      </w:r>
      <w:r>
        <w:rPr>
          <w:rFonts w:ascii="Cambria" w:hAnsi="Cambria"/>
          <w:sz w:val="16"/>
          <w:szCs w:val="16"/>
          <w:lang w:val="es-CO"/>
        </w:rPr>
        <w:t xml:space="preserve">Anexo 3. </w:t>
      </w:r>
      <w:r w:rsidRPr="007877A3">
        <w:rPr>
          <w:rFonts w:ascii="Cambria" w:hAnsi="Cambria"/>
          <w:sz w:val="16"/>
          <w:szCs w:val="16"/>
          <w:lang w:val="es-CO"/>
        </w:rPr>
        <w:t xml:space="preserve">CSJ, Resolución de 7 de enero de 2003. Anexo a la petición de 14 de julio de 2003. </w:t>
      </w:r>
    </w:p>
  </w:footnote>
  <w:footnote w:id="53">
    <w:p w:rsidR="0006606E" w:rsidRPr="007877A3" w:rsidRDefault="0006606E" w:rsidP="00DC278B">
      <w:pPr>
        <w:pStyle w:val="Textonotapie"/>
        <w:tabs>
          <w:tab w:val="left" w:pos="360"/>
        </w:tabs>
        <w:spacing w:after="120"/>
        <w:ind w:firstLine="720"/>
        <w:jc w:val="both"/>
        <w:rPr>
          <w:rFonts w:ascii="Cambria" w:hAnsi="Cambria"/>
          <w:sz w:val="16"/>
          <w:szCs w:val="16"/>
          <w:lang w:val="es-ES"/>
        </w:rPr>
      </w:pPr>
      <w:r w:rsidRPr="007877A3">
        <w:rPr>
          <w:rStyle w:val="Refdenotaalpie"/>
          <w:rFonts w:ascii="Cambria" w:hAnsi="Cambria"/>
          <w:sz w:val="16"/>
          <w:szCs w:val="16"/>
        </w:rPr>
        <w:footnoteRef/>
      </w:r>
      <w:r w:rsidRPr="007877A3">
        <w:rPr>
          <w:rFonts w:ascii="Cambria" w:hAnsi="Cambria"/>
          <w:sz w:val="16"/>
          <w:szCs w:val="16"/>
          <w:lang w:val="es-ES"/>
        </w:rPr>
        <w:t xml:space="preserve"> </w:t>
      </w:r>
      <w:r>
        <w:rPr>
          <w:rFonts w:ascii="Cambria" w:hAnsi="Cambria"/>
          <w:sz w:val="16"/>
          <w:szCs w:val="16"/>
          <w:lang w:val="es-ES"/>
        </w:rPr>
        <w:t xml:space="preserve">Anexo 4. </w:t>
      </w:r>
      <w:r w:rsidRPr="007877A3">
        <w:rPr>
          <w:rFonts w:ascii="Cambria" w:hAnsi="Cambria"/>
          <w:sz w:val="16"/>
          <w:szCs w:val="16"/>
          <w:lang w:val="es-ES"/>
        </w:rPr>
        <w:t>8º Juzgad</w:t>
      </w:r>
      <w:r>
        <w:rPr>
          <w:rFonts w:ascii="Cambria" w:hAnsi="Cambria"/>
          <w:sz w:val="16"/>
          <w:szCs w:val="16"/>
          <w:lang w:val="es-ES"/>
        </w:rPr>
        <w:t xml:space="preserve">o </w:t>
      </w:r>
      <w:r w:rsidRPr="007F79C4">
        <w:rPr>
          <w:rFonts w:ascii="Cambria" w:hAnsi="Cambria"/>
          <w:sz w:val="16"/>
          <w:szCs w:val="16"/>
          <w:lang w:val="es-ES"/>
        </w:rPr>
        <w:t>Ci</w:t>
      </w:r>
      <w:r>
        <w:rPr>
          <w:rFonts w:ascii="Cambria" w:hAnsi="Cambria"/>
          <w:sz w:val="16"/>
          <w:szCs w:val="16"/>
          <w:lang w:val="es-ES"/>
        </w:rPr>
        <w:t>vil. O</w:t>
      </w:r>
      <w:r w:rsidRPr="007877A3">
        <w:rPr>
          <w:rFonts w:ascii="Cambria" w:hAnsi="Cambria"/>
          <w:sz w:val="16"/>
          <w:szCs w:val="16"/>
          <w:lang w:val="es-ES"/>
        </w:rPr>
        <w:t>rden de cúmplase. 17 de mayo de 2003.</w:t>
      </w:r>
    </w:p>
  </w:footnote>
  <w:footnote w:id="54">
    <w:p w:rsidR="0006606E" w:rsidRPr="007877A3" w:rsidRDefault="0006606E" w:rsidP="00DC278B">
      <w:pPr>
        <w:pStyle w:val="Textonotapie"/>
        <w:tabs>
          <w:tab w:val="left" w:pos="360"/>
        </w:tabs>
        <w:spacing w:after="120"/>
        <w:ind w:firstLine="720"/>
        <w:jc w:val="both"/>
        <w:rPr>
          <w:rFonts w:ascii="Cambria" w:hAnsi="Cambria"/>
          <w:sz w:val="16"/>
          <w:szCs w:val="16"/>
          <w:lang w:val="es-CO"/>
        </w:rPr>
      </w:pPr>
      <w:r w:rsidRPr="007877A3">
        <w:rPr>
          <w:rStyle w:val="Refdenotaalpie"/>
          <w:rFonts w:ascii="Cambria" w:hAnsi="Cambria"/>
          <w:sz w:val="16"/>
          <w:szCs w:val="16"/>
        </w:rPr>
        <w:footnoteRef/>
      </w:r>
      <w:r w:rsidRPr="007877A3">
        <w:rPr>
          <w:rFonts w:ascii="Cambria" w:hAnsi="Cambria"/>
          <w:sz w:val="16"/>
          <w:szCs w:val="16"/>
          <w:lang w:val="es-CO"/>
        </w:rPr>
        <w:t xml:space="preserve"> </w:t>
      </w:r>
      <w:r>
        <w:rPr>
          <w:rFonts w:ascii="Cambria" w:hAnsi="Cambria"/>
          <w:sz w:val="16"/>
          <w:szCs w:val="16"/>
          <w:lang w:val="es-ES"/>
        </w:rPr>
        <w:t>Escrito de observaciones del Estado de</w:t>
      </w:r>
      <w:r w:rsidRPr="007877A3">
        <w:rPr>
          <w:rFonts w:ascii="Cambria" w:hAnsi="Cambria"/>
          <w:sz w:val="16"/>
          <w:szCs w:val="16"/>
          <w:lang w:val="es-ES"/>
        </w:rPr>
        <w:t xml:space="preserve"> 21 de noviembre de 2008</w:t>
      </w:r>
      <w:r w:rsidRPr="007877A3">
        <w:rPr>
          <w:rFonts w:ascii="Cambria" w:hAnsi="Cambria"/>
          <w:sz w:val="16"/>
          <w:szCs w:val="16"/>
          <w:lang w:val="es-CO"/>
        </w:rPr>
        <w:t>, no controvertido por el peticionario.</w:t>
      </w:r>
    </w:p>
  </w:footnote>
  <w:footnote w:id="55">
    <w:p w:rsidR="0006606E" w:rsidRPr="007877A3" w:rsidRDefault="0006606E" w:rsidP="00DC278B">
      <w:pPr>
        <w:pStyle w:val="Textonotapie"/>
        <w:tabs>
          <w:tab w:val="left" w:pos="360"/>
        </w:tabs>
        <w:spacing w:after="120"/>
        <w:ind w:firstLine="720"/>
        <w:jc w:val="both"/>
        <w:rPr>
          <w:rFonts w:ascii="Cambria" w:hAnsi="Cambria"/>
          <w:sz w:val="16"/>
          <w:szCs w:val="16"/>
          <w:lang w:val="es-ES"/>
        </w:rPr>
      </w:pPr>
      <w:r w:rsidRPr="007877A3">
        <w:rPr>
          <w:rFonts w:ascii="Cambria" w:hAnsi="Cambria"/>
          <w:sz w:val="16"/>
          <w:szCs w:val="16"/>
          <w:vertAlign w:val="superscript"/>
          <w:lang w:val="es-ES"/>
        </w:rPr>
        <w:footnoteRef/>
      </w:r>
      <w:r w:rsidRPr="007877A3">
        <w:rPr>
          <w:rFonts w:ascii="Cambria" w:hAnsi="Cambria"/>
          <w:sz w:val="16"/>
          <w:szCs w:val="16"/>
          <w:lang w:val="es-ES"/>
        </w:rPr>
        <w:t xml:space="preserve"> Informe de la Co</w:t>
      </w:r>
      <w:r>
        <w:rPr>
          <w:rFonts w:ascii="Cambria" w:hAnsi="Cambria"/>
          <w:sz w:val="16"/>
          <w:szCs w:val="16"/>
          <w:lang w:val="es-ES"/>
        </w:rPr>
        <w:t xml:space="preserve">misión </w:t>
      </w:r>
      <w:proofErr w:type="spellStart"/>
      <w:r>
        <w:rPr>
          <w:rFonts w:ascii="Cambria" w:hAnsi="Cambria"/>
          <w:sz w:val="16"/>
          <w:szCs w:val="16"/>
          <w:lang w:val="es-ES"/>
        </w:rPr>
        <w:t>Rettig</w:t>
      </w:r>
      <w:proofErr w:type="spellEnd"/>
      <w:r>
        <w:rPr>
          <w:rFonts w:ascii="Cambria" w:hAnsi="Cambria"/>
          <w:sz w:val="16"/>
          <w:szCs w:val="16"/>
          <w:lang w:val="es-ES"/>
        </w:rPr>
        <w:t>, Tomo I, pág. 274 y</w:t>
      </w:r>
      <w:r w:rsidRPr="007877A3">
        <w:rPr>
          <w:rFonts w:ascii="Cambria" w:hAnsi="Cambria"/>
          <w:sz w:val="16"/>
          <w:szCs w:val="16"/>
          <w:lang w:val="es-ES"/>
        </w:rPr>
        <w:t xml:space="preserve">. 8º Juzgado Civil de Santiago, Sentencia del 27 de enero de 1999. </w:t>
      </w:r>
    </w:p>
  </w:footnote>
  <w:footnote w:id="56">
    <w:p w:rsidR="0006606E" w:rsidRPr="007877A3" w:rsidRDefault="0006606E" w:rsidP="00DC278B">
      <w:pPr>
        <w:pStyle w:val="Textonotapie"/>
        <w:tabs>
          <w:tab w:val="left" w:pos="360"/>
        </w:tabs>
        <w:spacing w:after="120"/>
        <w:ind w:firstLine="720"/>
        <w:jc w:val="both"/>
        <w:rPr>
          <w:rFonts w:ascii="Cambria" w:hAnsi="Cambria"/>
          <w:sz w:val="16"/>
          <w:szCs w:val="16"/>
          <w:lang w:val="es-CO"/>
        </w:rPr>
      </w:pPr>
      <w:r w:rsidRPr="007877A3">
        <w:rPr>
          <w:rStyle w:val="Refdenotaalpie"/>
          <w:rFonts w:ascii="Cambria" w:hAnsi="Cambria"/>
          <w:sz w:val="16"/>
          <w:szCs w:val="16"/>
        </w:rPr>
        <w:footnoteRef/>
      </w:r>
      <w:r w:rsidRPr="007877A3">
        <w:rPr>
          <w:rFonts w:ascii="Cambria" w:hAnsi="Cambria"/>
          <w:sz w:val="16"/>
          <w:szCs w:val="16"/>
          <w:lang w:val="es-CO"/>
        </w:rPr>
        <w:t xml:space="preserve"> Informe </w:t>
      </w:r>
      <w:r w:rsidRPr="007877A3">
        <w:rPr>
          <w:rFonts w:ascii="Cambria" w:hAnsi="Cambria"/>
          <w:sz w:val="16"/>
          <w:szCs w:val="16"/>
          <w:lang w:val="es-ES"/>
        </w:rPr>
        <w:t xml:space="preserve">de la Comisión </w:t>
      </w:r>
      <w:proofErr w:type="spellStart"/>
      <w:r w:rsidRPr="007877A3">
        <w:rPr>
          <w:rFonts w:ascii="Cambria" w:hAnsi="Cambria"/>
          <w:sz w:val="16"/>
          <w:szCs w:val="16"/>
          <w:lang w:val="es-ES"/>
        </w:rPr>
        <w:t>Rettig</w:t>
      </w:r>
      <w:proofErr w:type="spellEnd"/>
      <w:r w:rsidRPr="007877A3">
        <w:rPr>
          <w:rFonts w:ascii="Cambria" w:hAnsi="Cambria"/>
          <w:sz w:val="16"/>
          <w:szCs w:val="16"/>
          <w:lang w:val="es-ES"/>
        </w:rPr>
        <w:t xml:space="preserve">, Tomo I, pág. 273. </w:t>
      </w:r>
    </w:p>
  </w:footnote>
  <w:footnote w:id="57">
    <w:p w:rsidR="0006606E" w:rsidRPr="007877A3" w:rsidRDefault="0006606E" w:rsidP="00DC278B">
      <w:pPr>
        <w:pStyle w:val="Textonotapie"/>
        <w:tabs>
          <w:tab w:val="left" w:pos="360"/>
        </w:tabs>
        <w:spacing w:after="120"/>
        <w:ind w:firstLine="720"/>
        <w:jc w:val="both"/>
        <w:rPr>
          <w:rFonts w:ascii="Cambria" w:hAnsi="Cambria"/>
          <w:sz w:val="16"/>
          <w:szCs w:val="16"/>
          <w:lang w:val="es-CO"/>
        </w:rPr>
      </w:pPr>
      <w:r w:rsidRPr="007877A3">
        <w:rPr>
          <w:rStyle w:val="Refdenotaalpie"/>
          <w:rFonts w:ascii="Cambria" w:hAnsi="Cambria"/>
          <w:sz w:val="16"/>
          <w:szCs w:val="16"/>
        </w:rPr>
        <w:footnoteRef/>
      </w:r>
      <w:r w:rsidRPr="007877A3">
        <w:rPr>
          <w:rFonts w:ascii="Cambria" w:hAnsi="Cambria"/>
          <w:sz w:val="16"/>
          <w:szCs w:val="16"/>
          <w:lang w:val="es-CO"/>
        </w:rPr>
        <w:t xml:space="preserve"> </w:t>
      </w:r>
      <w:r>
        <w:rPr>
          <w:rFonts w:ascii="Cambria" w:hAnsi="Cambria"/>
          <w:sz w:val="16"/>
          <w:szCs w:val="16"/>
          <w:lang w:val="es-CO"/>
        </w:rPr>
        <w:t xml:space="preserve">Anexo 5. </w:t>
      </w:r>
      <w:r w:rsidRPr="007877A3">
        <w:rPr>
          <w:rFonts w:ascii="Cambria" w:hAnsi="Cambria"/>
          <w:sz w:val="16"/>
          <w:szCs w:val="16"/>
          <w:lang w:val="es-CO"/>
        </w:rPr>
        <w:t xml:space="preserve">Sentencia del </w:t>
      </w:r>
      <w:r w:rsidRPr="007877A3">
        <w:rPr>
          <w:rFonts w:ascii="Cambria" w:hAnsi="Cambria"/>
          <w:color w:val="auto"/>
          <w:sz w:val="16"/>
          <w:szCs w:val="16"/>
          <w:lang w:val="es-CO"/>
        </w:rPr>
        <w:t>2</w:t>
      </w:r>
      <w:r w:rsidRPr="007877A3">
        <w:rPr>
          <w:rFonts w:ascii="Cambria" w:hAnsi="Cambria"/>
          <w:sz w:val="16"/>
          <w:szCs w:val="16"/>
          <w:lang w:val="es-ES"/>
        </w:rPr>
        <w:t>º</w:t>
      </w:r>
      <w:r w:rsidRPr="007877A3">
        <w:rPr>
          <w:rFonts w:ascii="Cambria" w:hAnsi="Cambria"/>
          <w:sz w:val="16"/>
          <w:szCs w:val="16"/>
          <w:lang w:val="es-CO"/>
        </w:rPr>
        <w:t xml:space="preserve"> Juzgado Civil de la Serena, Patricia Cortés contra el Fisco de Chile, 9 de marzo de 2001, Considerando Segundo</w:t>
      </w:r>
      <w:r>
        <w:rPr>
          <w:rFonts w:ascii="Cambria" w:hAnsi="Cambria"/>
          <w:sz w:val="16"/>
          <w:szCs w:val="16"/>
          <w:lang w:val="es-CO"/>
        </w:rPr>
        <w:t xml:space="preserve"> y</w:t>
      </w:r>
      <w:r w:rsidRPr="007877A3">
        <w:rPr>
          <w:rFonts w:ascii="Cambria" w:hAnsi="Cambria"/>
          <w:sz w:val="16"/>
          <w:szCs w:val="16"/>
          <w:lang w:val="es-CO"/>
        </w:rPr>
        <w:t xml:space="preserve"> Sexto. Testimonio de Nicolás Emilio Fuentes Rivera. Anexo a la petición de 16 de octubre de 2003.</w:t>
      </w:r>
    </w:p>
  </w:footnote>
  <w:footnote w:id="58">
    <w:p w:rsidR="0006606E" w:rsidRPr="007877A3" w:rsidRDefault="0006606E" w:rsidP="00DC278B">
      <w:pPr>
        <w:pStyle w:val="Textonotapie"/>
        <w:tabs>
          <w:tab w:val="left" w:pos="360"/>
        </w:tabs>
        <w:spacing w:after="120"/>
        <w:ind w:firstLine="720"/>
        <w:jc w:val="both"/>
        <w:rPr>
          <w:rFonts w:ascii="Cambria" w:hAnsi="Cambria"/>
          <w:sz w:val="16"/>
          <w:szCs w:val="16"/>
          <w:lang w:val="es-ES"/>
        </w:rPr>
      </w:pPr>
      <w:r w:rsidRPr="007877A3">
        <w:rPr>
          <w:rStyle w:val="Refdenotaalpie"/>
          <w:rFonts w:ascii="Cambria" w:hAnsi="Cambria"/>
          <w:sz w:val="16"/>
          <w:szCs w:val="16"/>
        </w:rPr>
        <w:footnoteRef/>
      </w:r>
      <w:r>
        <w:rPr>
          <w:rFonts w:ascii="Cambria" w:hAnsi="Cambria"/>
          <w:sz w:val="16"/>
          <w:szCs w:val="16"/>
          <w:lang w:val="es-ES"/>
        </w:rPr>
        <w:t xml:space="preserve"> </w:t>
      </w:r>
      <w:r w:rsidRPr="007877A3">
        <w:rPr>
          <w:rFonts w:ascii="Cambria" w:hAnsi="Cambria"/>
          <w:sz w:val="16"/>
          <w:szCs w:val="16"/>
          <w:lang w:val="es-ES"/>
        </w:rPr>
        <w:t xml:space="preserve">Informe de la Comisión </w:t>
      </w:r>
      <w:proofErr w:type="spellStart"/>
      <w:r w:rsidRPr="007877A3">
        <w:rPr>
          <w:rFonts w:ascii="Cambria" w:hAnsi="Cambria"/>
          <w:sz w:val="16"/>
          <w:szCs w:val="16"/>
          <w:lang w:val="es-ES"/>
        </w:rPr>
        <w:t>Rettig</w:t>
      </w:r>
      <w:proofErr w:type="spellEnd"/>
      <w:r w:rsidRPr="007877A3">
        <w:rPr>
          <w:rFonts w:ascii="Cambria" w:hAnsi="Cambria"/>
          <w:sz w:val="16"/>
          <w:szCs w:val="16"/>
          <w:lang w:val="es-ES"/>
        </w:rPr>
        <w:t xml:space="preserve">, Tomo I, pág. 274. </w:t>
      </w:r>
    </w:p>
  </w:footnote>
  <w:footnote w:id="59">
    <w:p w:rsidR="0006606E" w:rsidRPr="007877A3" w:rsidRDefault="0006606E" w:rsidP="00DC278B">
      <w:pPr>
        <w:pStyle w:val="Textonotapie"/>
        <w:tabs>
          <w:tab w:val="left" w:pos="360"/>
        </w:tabs>
        <w:spacing w:after="120"/>
        <w:ind w:firstLine="720"/>
        <w:jc w:val="both"/>
        <w:rPr>
          <w:rFonts w:ascii="Cambria" w:hAnsi="Cambria"/>
          <w:sz w:val="16"/>
          <w:szCs w:val="16"/>
          <w:lang w:val="es-CO"/>
        </w:rPr>
      </w:pPr>
      <w:r w:rsidRPr="007877A3">
        <w:rPr>
          <w:rStyle w:val="Refdenotaalpie"/>
          <w:rFonts w:ascii="Cambria" w:hAnsi="Cambria"/>
          <w:sz w:val="16"/>
          <w:szCs w:val="16"/>
        </w:rPr>
        <w:footnoteRef/>
      </w:r>
      <w:r w:rsidRPr="007877A3">
        <w:rPr>
          <w:rFonts w:ascii="Cambria" w:hAnsi="Cambria"/>
          <w:sz w:val="16"/>
          <w:szCs w:val="16"/>
          <w:lang w:val="es-CO"/>
        </w:rPr>
        <w:t xml:space="preserve"> </w:t>
      </w:r>
      <w:r w:rsidRPr="007877A3">
        <w:rPr>
          <w:rFonts w:ascii="Cambria" w:hAnsi="Cambria"/>
          <w:sz w:val="16"/>
          <w:szCs w:val="16"/>
          <w:lang w:val="es-ES"/>
        </w:rPr>
        <w:t xml:space="preserve">Informe de la Comisión </w:t>
      </w:r>
      <w:proofErr w:type="spellStart"/>
      <w:r w:rsidRPr="007877A3">
        <w:rPr>
          <w:rFonts w:ascii="Cambria" w:hAnsi="Cambria"/>
          <w:sz w:val="16"/>
          <w:szCs w:val="16"/>
          <w:lang w:val="es-ES"/>
        </w:rPr>
        <w:t>Rettig</w:t>
      </w:r>
      <w:proofErr w:type="spellEnd"/>
      <w:r w:rsidRPr="007877A3">
        <w:rPr>
          <w:rFonts w:ascii="Cambria" w:hAnsi="Cambria"/>
          <w:sz w:val="16"/>
          <w:szCs w:val="16"/>
          <w:lang w:val="es-ES"/>
        </w:rPr>
        <w:t>, Tomo I, pág. 274. y Cfr. 8º Juzgado Civil de Santiago, Sentencia de 27 de enero de 1999.</w:t>
      </w:r>
      <w:r w:rsidRPr="007877A3">
        <w:rPr>
          <w:rFonts w:ascii="Cambria" w:hAnsi="Cambria"/>
          <w:sz w:val="16"/>
          <w:szCs w:val="16"/>
          <w:lang w:val="es-CO"/>
        </w:rPr>
        <w:t xml:space="preserve"> </w:t>
      </w:r>
    </w:p>
  </w:footnote>
  <w:footnote w:id="60">
    <w:p w:rsidR="0006606E" w:rsidRPr="007877A3" w:rsidRDefault="0006606E" w:rsidP="00DC278B">
      <w:pPr>
        <w:pStyle w:val="Textonotapie"/>
        <w:tabs>
          <w:tab w:val="left" w:pos="360"/>
        </w:tabs>
        <w:spacing w:after="120"/>
        <w:ind w:firstLine="720"/>
        <w:jc w:val="both"/>
        <w:rPr>
          <w:rFonts w:ascii="Cambria" w:hAnsi="Cambria"/>
          <w:sz w:val="16"/>
          <w:szCs w:val="16"/>
          <w:lang w:val="es-CO"/>
        </w:rPr>
      </w:pPr>
      <w:r w:rsidRPr="007877A3">
        <w:rPr>
          <w:rStyle w:val="Refdenotaalpie"/>
          <w:rFonts w:ascii="Cambria" w:hAnsi="Cambria"/>
          <w:sz w:val="16"/>
          <w:szCs w:val="16"/>
        </w:rPr>
        <w:footnoteRef/>
      </w:r>
      <w:r w:rsidRPr="007877A3">
        <w:rPr>
          <w:rFonts w:ascii="Cambria" w:hAnsi="Cambria"/>
          <w:sz w:val="16"/>
          <w:szCs w:val="16"/>
          <w:lang w:val="es-CO"/>
        </w:rPr>
        <w:t xml:space="preserve"> El monto recibido mensualmente desde el mes de julio de 1991 hasta noviembre de 2007 suma $36.175.000 de Pesos chilenos. Ella continúa recibiendo la pensión. Escrito del Estado de 21 de noviembre de 2008.</w:t>
      </w:r>
    </w:p>
  </w:footnote>
  <w:footnote w:id="61">
    <w:p w:rsidR="0006606E" w:rsidRPr="007877A3" w:rsidRDefault="0006606E" w:rsidP="00DC278B">
      <w:pPr>
        <w:pStyle w:val="Textonotapie"/>
        <w:tabs>
          <w:tab w:val="left" w:pos="360"/>
        </w:tabs>
        <w:spacing w:after="120"/>
        <w:ind w:firstLine="720"/>
        <w:jc w:val="both"/>
        <w:rPr>
          <w:rFonts w:ascii="Cambria" w:hAnsi="Cambria"/>
          <w:sz w:val="16"/>
          <w:szCs w:val="16"/>
          <w:lang w:val="es-CO"/>
        </w:rPr>
      </w:pPr>
      <w:r w:rsidRPr="007877A3">
        <w:rPr>
          <w:rStyle w:val="Refdenotaalpie"/>
          <w:rFonts w:ascii="Cambria" w:hAnsi="Cambria"/>
          <w:sz w:val="16"/>
          <w:szCs w:val="16"/>
        </w:rPr>
        <w:footnoteRef/>
      </w:r>
      <w:r w:rsidRPr="007877A3">
        <w:rPr>
          <w:rFonts w:ascii="Cambria" w:hAnsi="Cambria"/>
          <w:sz w:val="16"/>
          <w:szCs w:val="16"/>
          <w:lang w:val="es-CO"/>
        </w:rPr>
        <w:t xml:space="preserve"> El monto recibido mensualmente desde julio de 1991 hasta noviembre de 2007 suma $36.627.798 de pesos chilenos. Ella continúa re</w:t>
      </w:r>
      <w:r>
        <w:rPr>
          <w:rFonts w:ascii="Cambria" w:hAnsi="Cambria"/>
          <w:sz w:val="16"/>
          <w:szCs w:val="16"/>
          <w:lang w:val="es-CO"/>
        </w:rPr>
        <w:t>cibiendo la pensión. Escrito de observaciones del</w:t>
      </w:r>
      <w:r w:rsidRPr="007877A3">
        <w:rPr>
          <w:rFonts w:ascii="Cambria" w:hAnsi="Cambria"/>
          <w:sz w:val="16"/>
          <w:szCs w:val="16"/>
          <w:lang w:val="es-CO"/>
        </w:rPr>
        <w:t xml:space="preserve"> Estado de 21 de noviembre de 2008.</w:t>
      </w:r>
    </w:p>
  </w:footnote>
  <w:footnote w:id="62">
    <w:p w:rsidR="0006606E" w:rsidRPr="007877A3" w:rsidRDefault="0006606E" w:rsidP="00DC278B">
      <w:pPr>
        <w:pStyle w:val="Textonotapie"/>
        <w:tabs>
          <w:tab w:val="left" w:pos="360"/>
        </w:tabs>
        <w:spacing w:after="120"/>
        <w:ind w:firstLine="720"/>
        <w:jc w:val="both"/>
        <w:rPr>
          <w:rFonts w:ascii="Cambria" w:hAnsi="Cambria"/>
          <w:sz w:val="16"/>
          <w:szCs w:val="16"/>
          <w:lang w:val="es-CO"/>
        </w:rPr>
      </w:pPr>
      <w:r w:rsidRPr="007877A3">
        <w:rPr>
          <w:rStyle w:val="Refdenotaalpie"/>
          <w:rFonts w:ascii="Cambria" w:hAnsi="Cambria"/>
          <w:sz w:val="16"/>
          <w:szCs w:val="16"/>
        </w:rPr>
        <w:footnoteRef/>
      </w:r>
      <w:r w:rsidRPr="007877A3">
        <w:rPr>
          <w:rFonts w:ascii="Cambria" w:hAnsi="Cambria"/>
          <w:sz w:val="16"/>
          <w:szCs w:val="16"/>
          <w:lang w:val="es-CO"/>
        </w:rPr>
        <w:t xml:space="preserve"> </w:t>
      </w:r>
      <w:r>
        <w:rPr>
          <w:rFonts w:ascii="Cambria" w:hAnsi="Cambria"/>
          <w:sz w:val="16"/>
          <w:szCs w:val="16"/>
          <w:lang w:val="es-CO"/>
        </w:rPr>
        <w:t xml:space="preserve">Anexo 5. </w:t>
      </w:r>
      <w:r w:rsidRPr="007877A3">
        <w:rPr>
          <w:rFonts w:ascii="Cambria" w:hAnsi="Cambria"/>
          <w:sz w:val="16"/>
          <w:szCs w:val="16"/>
          <w:lang w:val="es-CO"/>
        </w:rPr>
        <w:t>Sentencia del 2</w:t>
      </w:r>
      <w:r w:rsidRPr="007877A3">
        <w:rPr>
          <w:rFonts w:ascii="Cambria" w:hAnsi="Cambria"/>
          <w:sz w:val="16"/>
          <w:szCs w:val="16"/>
          <w:lang w:val="es-ES"/>
        </w:rPr>
        <w:t>º</w:t>
      </w:r>
      <w:r w:rsidRPr="007877A3">
        <w:rPr>
          <w:rFonts w:ascii="Cambria" w:hAnsi="Cambria"/>
          <w:sz w:val="16"/>
          <w:szCs w:val="16"/>
          <w:lang w:val="es-CO"/>
        </w:rPr>
        <w:t xml:space="preserve"> Juzgado Civil de la Serena, Patricia Cortés contra el Fisco de Chile, 9 de marzo de 2001, Considerando Quinto. Anexo a la petición </w:t>
      </w:r>
      <w:r>
        <w:rPr>
          <w:rFonts w:ascii="Cambria" w:hAnsi="Cambria"/>
          <w:sz w:val="16"/>
          <w:szCs w:val="16"/>
          <w:lang w:val="es-CO"/>
        </w:rPr>
        <w:t>de</w:t>
      </w:r>
      <w:r w:rsidRPr="007877A3">
        <w:rPr>
          <w:rFonts w:ascii="Cambria" w:hAnsi="Cambria"/>
          <w:sz w:val="16"/>
          <w:szCs w:val="16"/>
          <w:lang w:val="es-CO"/>
        </w:rPr>
        <w:t xml:space="preserve"> 16 de octubre de 2003.</w:t>
      </w:r>
    </w:p>
  </w:footnote>
  <w:footnote w:id="63">
    <w:p w:rsidR="0006606E" w:rsidRPr="007877A3" w:rsidRDefault="0006606E" w:rsidP="00DC278B">
      <w:pPr>
        <w:pStyle w:val="Textonotapie"/>
        <w:tabs>
          <w:tab w:val="left" w:pos="360"/>
        </w:tabs>
        <w:spacing w:after="120"/>
        <w:ind w:firstLine="720"/>
        <w:jc w:val="both"/>
        <w:rPr>
          <w:rFonts w:ascii="Cambria" w:hAnsi="Cambria"/>
          <w:sz w:val="16"/>
          <w:szCs w:val="16"/>
          <w:lang w:val="es-ES"/>
        </w:rPr>
      </w:pPr>
      <w:r w:rsidRPr="007877A3">
        <w:rPr>
          <w:rStyle w:val="Refdenotaalpie"/>
          <w:rFonts w:ascii="Cambria" w:hAnsi="Cambria"/>
          <w:sz w:val="16"/>
          <w:szCs w:val="16"/>
        </w:rPr>
        <w:footnoteRef/>
      </w:r>
      <w:r w:rsidRPr="007877A3">
        <w:rPr>
          <w:rFonts w:ascii="Cambria" w:hAnsi="Cambria"/>
          <w:sz w:val="16"/>
          <w:szCs w:val="16"/>
          <w:lang w:val="es-ES"/>
        </w:rPr>
        <w:t xml:space="preserve"> </w:t>
      </w:r>
      <w:r w:rsidRPr="007877A3">
        <w:rPr>
          <w:rFonts w:ascii="Cambria" w:hAnsi="Cambria"/>
          <w:sz w:val="16"/>
          <w:szCs w:val="16"/>
          <w:lang w:val="es-CO"/>
        </w:rPr>
        <w:t xml:space="preserve">Comisión </w:t>
      </w:r>
      <w:proofErr w:type="spellStart"/>
      <w:r w:rsidRPr="007877A3">
        <w:rPr>
          <w:rFonts w:ascii="Cambria" w:hAnsi="Cambria"/>
          <w:sz w:val="16"/>
          <w:szCs w:val="16"/>
          <w:lang w:val="es-CO"/>
        </w:rPr>
        <w:t>Valech</w:t>
      </w:r>
      <w:proofErr w:type="spellEnd"/>
      <w:r w:rsidRPr="007877A3">
        <w:rPr>
          <w:rFonts w:ascii="Cambria" w:hAnsi="Cambria"/>
          <w:sz w:val="16"/>
          <w:szCs w:val="16"/>
          <w:lang w:val="es-CO"/>
        </w:rPr>
        <w:t xml:space="preserve">. Nómina de Personas Reconocidas como Víctimas. En: </w:t>
      </w:r>
      <w:hyperlink r:id="rId2" w:history="1">
        <w:r w:rsidRPr="00611778">
          <w:rPr>
            <w:rStyle w:val="Hipervnculo"/>
            <w:rFonts w:ascii="Cambria" w:hAnsi="Cambria"/>
            <w:sz w:val="16"/>
            <w:szCs w:val="16"/>
            <w:lang w:val="es-CO"/>
          </w:rPr>
          <w:t>http://www.indh.cl/wp-content/uploads/2011/10/Valech-1.pdf</w:t>
        </w:r>
      </w:hyperlink>
      <w:r>
        <w:rPr>
          <w:rFonts w:ascii="Cambria" w:hAnsi="Cambria"/>
          <w:sz w:val="16"/>
          <w:szCs w:val="16"/>
          <w:lang w:val="es-CO"/>
        </w:rPr>
        <w:t xml:space="preserve"> </w:t>
      </w:r>
    </w:p>
  </w:footnote>
  <w:footnote w:id="64">
    <w:p w:rsidR="0006606E" w:rsidRPr="007877A3" w:rsidRDefault="0006606E" w:rsidP="00DC278B">
      <w:pPr>
        <w:pStyle w:val="Textonotapie"/>
        <w:tabs>
          <w:tab w:val="left" w:pos="360"/>
        </w:tabs>
        <w:spacing w:after="120"/>
        <w:ind w:firstLine="720"/>
        <w:jc w:val="both"/>
        <w:rPr>
          <w:rFonts w:ascii="Cambria" w:hAnsi="Cambria"/>
          <w:sz w:val="16"/>
          <w:szCs w:val="16"/>
          <w:lang w:val="es-CO"/>
        </w:rPr>
      </w:pPr>
      <w:r w:rsidRPr="007877A3">
        <w:rPr>
          <w:rStyle w:val="Refdenotaalpie"/>
          <w:rFonts w:ascii="Cambria" w:hAnsi="Cambria"/>
          <w:sz w:val="16"/>
          <w:szCs w:val="16"/>
        </w:rPr>
        <w:footnoteRef/>
      </w:r>
      <w:r w:rsidRPr="007877A3">
        <w:rPr>
          <w:rFonts w:ascii="Cambria" w:hAnsi="Cambria"/>
          <w:sz w:val="16"/>
          <w:szCs w:val="16"/>
          <w:lang w:val="es-CO"/>
        </w:rPr>
        <w:t xml:space="preserve"> </w:t>
      </w:r>
      <w:r>
        <w:rPr>
          <w:rFonts w:ascii="Cambria" w:hAnsi="Cambria"/>
          <w:sz w:val="16"/>
          <w:szCs w:val="16"/>
          <w:lang w:val="es-CO"/>
        </w:rPr>
        <w:t xml:space="preserve">Anexo 6. </w:t>
      </w:r>
      <w:r w:rsidRPr="007877A3">
        <w:rPr>
          <w:rFonts w:ascii="Cambria" w:hAnsi="Cambria"/>
          <w:sz w:val="16"/>
          <w:szCs w:val="16"/>
          <w:lang w:val="es-CO"/>
        </w:rPr>
        <w:t>8</w:t>
      </w:r>
      <w:r w:rsidRPr="007877A3">
        <w:rPr>
          <w:rFonts w:ascii="Cambria" w:hAnsi="Cambria"/>
          <w:sz w:val="16"/>
          <w:szCs w:val="16"/>
          <w:lang w:val="es-ES"/>
        </w:rPr>
        <w:t>º</w:t>
      </w:r>
      <w:r w:rsidRPr="007877A3">
        <w:rPr>
          <w:rFonts w:ascii="Cambria" w:hAnsi="Cambria"/>
          <w:sz w:val="16"/>
          <w:szCs w:val="16"/>
          <w:lang w:val="es-CO"/>
        </w:rPr>
        <w:t xml:space="preserve"> Juzgado Civil. Sentencia de 27 de enero de 1999, Morales Lucía/Fisco de Chile, Rol 4720-97, Considerando Duodécimo y Décimo Quinto. Anexo a la petición de 1</w:t>
      </w:r>
      <w:r w:rsidRPr="007877A3">
        <w:rPr>
          <w:rFonts w:ascii="Cambria" w:hAnsi="Cambria" w:cs="Arial"/>
          <w:sz w:val="16"/>
          <w:szCs w:val="16"/>
          <w:lang w:val="es-CO"/>
        </w:rPr>
        <w:t>˚</w:t>
      </w:r>
      <w:r w:rsidRPr="007877A3">
        <w:rPr>
          <w:rFonts w:ascii="Cambria" w:hAnsi="Cambria"/>
          <w:sz w:val="16"/>
          <w:szCs w:val="16"/>
          <w:lang w:val="es-CO"/>
        </w:rPr>
        <w:t xml:space="preserve"> de septiembre de 2003.</w:t>
      </w:r>
    </w:p>
  </w:footnote>
  <w:footnote w:id="65">
    <w:p w:rsidR="0006606E" w:rsidRPr="007877A3" w:rsidRDefault="0006606E" w:rsidP="00DC278B">
      <w:pPr>
        <w:pStyle w:val="Textonotapie"/>
        <w:tabs>
          <w:tab w:val="left" w:pos="360"/>
        </w:tabs>
        <w:spacing w:after="120"/>
        <w:ind w:firstLine="720"/>
        <w:jc w:val="both"/>
        <w:rPr>
          <w:rFonts w:ascii="Cambria" w:hAnsi="Cambria"/>
          <w:sz w:val="16"/>
          <w:szCs w:val="16"/>
          <w:lang w:val="es-CO"/>
        </w:rPr>
      </w:pPr>
      <w:r w:rsidRPr="007877A3">
        <w:rPr>
          <w:rStyle w:val="Refdenotaalpie"/>
          <w:rFonts w:ascii="Cambria" w:hAnsi="Cambria"/>
          <w:sz w:val="16"/>
          <w:szCs w:val="16"/>
        </w:rPr>
        <w:footnoteRef/>
      </w:r>
      <w:r w:rsidRPr="007877A3">
        <w:rPr>
          <w:rFonts w:ascii="Cambria" w:hAnsi="Cambria"/>
          <w:sz w:val="16"/>
          <w:szCs w:val="16"/>
          <w:lang w:val="es-CO"/>
        </w:rPr>
        <w:t xml:space="preserve"> </w:t>
      </w:r>
      <w:r>
        <w:rPr>
          <w:rFonts w:ascii="Cambria" w:hAnsi="Cambria"/>
          <w:sz w:val="16"/>
          <w:szCs w:val="16"/>
          <w:lang w:val="es-CO"/>
        </w:rPr>
        <w:t xml:space="preserve">Anexo 7. </w:t>
      </w:r>
      <w:r w:rsidRPr="007877A3">
        <w:rPr>
          <w:rFonts w:ascii="Cambria" w:hAnsi="Cambria"/>
          <w:sz w:val="16"/>
          <w:szCs w:val="16"/>
          <w:lang w:val="es-CO"/>
        </w:rPr>
        <w:t>CAS, Sentencia de 10 de diciembre de 2002. Anexo a la petición de 1</w:t>
      </w:r>
      <w:r w:rsidRPr="007877A3">
        <w:rPr>
          <w:rFonts w:ascii="Cambria" w:hAnsi="Cambria" w:cs="Arial"/>
          <w:sz w:val="16"/>
          <w:szCs w:val="16"/>
          <w:lang w:val="es-CO"/>
        </w:rPr>
        <w:t>˚</w:t>
      </w:r>
      <w:r w:rsidRPr="007877A3">
        <w:rPr>
          <w:rFonts w:ascii="Cambria" w:hAnsi="Cambria"/>
          <w:sz w:val="16"/>
          <w:szCs w:val="16"/>
          <w:lang w:val="es-CO"/>
        </w:rPr>
        <w:t xml:space="preserve"> de septiembre de 2003.</w:t>
      </w:r>
    </w:p>
  </w:footnote>
  <w:footnote w:id="66">
    <w:p w:rsidR="0006606E" w:rsidRPr="007877A3" w:rsidRDefault="0006606E" w:rsidP="00DC278B">
      <w:pPr>
        <w:pStyle w:val="Textonotapie"/>
        <w:tabs>
          <w:tab w:val="left" w:pos="360"/>
        </w:tabs>
        <w:spacing w:after="120"/>
        <w:ind w:firstLine="720"/>
        <w:jc w:val="both"/>
        <w:rPr>
          <w:rFonts w:ascii="Cambria" w:hAnsi="Cambria"/>
          <w:sz w:val="16"/>
          <w:szCs w:val="16"/>
          <w:lang w:val="es-CO"/>
        </w:rPr>
      </w:pPr>
      <w:r w:rsidRPr="007877A3">
        <w:rPr>
          <w:rStyle w:val="Refdenotaalpie"/>
          <w:rFonts w:ascii="Cambria" w:hAnsi="Cambria"/>
          <w:sz w:val="16"/>
          <w:szCs w:val="16"/>
        </w:rPr>
        <w:footnoteRef/>
      </w:r>
      <w:r w:rsidRPr="007877A3">
        <w:rPr>
          <w:rFonts w:ascii="Cambria" w:hAnsi="Cambria"/>
          <w:sz w:val="16"/>
          <w:szCs w:val="16"/>
          <w:lang w:val="es-CO"/>
        </w:rPr>
        <w:t xml:space="preserve"> </w:t>
      </w:r>
      <w:r>
        <w:rPr>
          <w:rFonts w:ascii="Cambria" w:hAnsi="Cambria"/>
          <w:sz w:val="16"/>
          <w:szCs w:val="16"/>
          <w:lang w:val="es-CO"/>
        </w:rPr>
        <w:t xml:space="preserve">Anexo 8. </w:t>
      </w:r>
      <w:r w:rsidRPr="007877A3">
        <w:rPr>
          <w:rFonts w:ascii="Cambria" w:hAnsi="Cambria"/>
          <w:sz w:val="16"/>
          <w:szCs w:val="16"/>
          <w:lang w:val="es-CO"/>
        </w:rPr>
        <w:t>Resolución del 25 de marzo de 2003. Anexo a la petición presentada el 3 de septiembre de 2003.</w:t>
      </w:r>
    </w:p>
  </w:footnote>
  <w:footnote w:id="67">
    <w:p w:rsidR="0006606E" w:rsidRPr="007877A3" w:rsidRDefault="0006606E" w:rsidP="00DC278B">
      <w:pPr>
        <w:pStyle w:val="Textonotapie"/>
        <w:tabs>
          <w:tab w:val="left" w:pos="360"/>
        </w:tabs>
        <w:spacing w:after="120"/>
        <w:ind w:firstLine="720"/>
        <w:jc w:val="both"/>
        <w:rPr>
          <w:rFonts w:ascii="Cambria" w:hAnsi="Cambria"/>
          <w:sz w:val="16"/>
          <w:szCs w:val="16"/>
          <w:lang w:val="es-CO"/>
        </w:rPr>
      </w:pPr>
      <w:r w:rsidRPr="007877A3">
        <w:rPr>
          <w:rStyle w:val="Refdenotaalpie"/>
          <w:rFonts w:ascii="Cambria" w:hAnsi="Cambria"/>
          <w:sz w:val="16"/>
          <w:szCs w:val="16"/>
        </w:rPr>
        <w:footnoteRef/>
      </w:r>
      <w:r w:rsidRPr="007877A3">
        <w:rPr>
          <w:rFonts w:ascii="Cambria" w:hAnsi="Cambria"/>
          <w:sz w:val="16"/>
          <w:szCs w:val="16"/>
          <w:lang w:val="es-CO"/>
        </w:rPr>
        <w:t xml:space="preserve"> </w:t>
      </w:r>
      <w:r>
        <w:rPr>
          <w:rFonts w:ascii="Cambria" w:hAnsi="Cambria"/>
          <w:sz w:val="16"/>
          <w:szCs w:val="16"/>
          <w:lang w:val="es-CO"/>
        </w:rPr>
        <w:t xml:space="preserve">Anexo 5. </w:t>
      </w:r>
      <w:r w:rsidRPr="007877A3">
        <w:rPr>
          <w:rFonts w:ascii="Cambria" w:hAnsi="Cambria"/>
          <w:sz w:val="16"/>
          <w:szCs w:val="16"/>
          <w:lang w:val="es-CO"/>
        </w:rPr>
        <w:t xml:space="preserve">Sentencia del </w:t>
      </w:r>
      <w:r w:rsidRPr="007877A3">
        <w:rPr>
          <w:rFonts w:ascii="Cambria" w:hAnsi="Cambria"/>
          <w:color w:val="auto"/>
          <w:sz w:val="16"/>
          <w:szCs w:val="16"/>
          <w:lang w:val="es-CO"/>
        </w:rPr>
        <w:t>2</w:t>
      </w:r>
      <w:r w:rsidRPr="007877A3">
        <w:rPr>
          <w:rFonts w:ascii="Cambria" w:hAnsi="Cambria"/>
          <w:sz w:val="16"/>
          <w:szCs w:val="16"/>
          <w:lang w:val="es-ES"/>
        </w:rPr>
        <w:t>º</w:t>
      </w:r>
      <w:r w:rsidRPr="007877A3">
        <w:rPr>
          <w:rFonts w:ascii="Cambria" w:hAnsi="Cambria"/>
          <w:sz w:val="16"/>
          <w:szCs w:val="16"/>
          <w:lang w:val="es-CO"/>
        </w:rPr>
        <w:t xml:space="preserve"> Juzgado Civil de la Serena, Patricia Cortés contra el Fisco de Chile, 9 de</w:t>
      </w:r>
      <w:r>
        <w:rPr>
          <w:rFonts w:ascii="Cambria" w:hAnsi="Cambria"/>
          <w:sz w:val="16"/>
          <w:szCs w:val="16"/>
          <w:lang w:val="es-CO"/>
        </w:rPr>
        <w:t xml:space="preserve"> marzo de 2001, </w:t>
      </w:r>
      <w:r w:rsidRPr="007877A3">
        <w:rPr>
          <w:rFonts w:ascii="Cambria" w:hAnsi="Cambria"/>
          <w:sz w:val="16"/>
          <w:szCs w:val="16"/>
          <w:lang w:val="es-CO"/>
        </w:rPr>
        <w:t xml:space="preserve">Considerando </w:t>
      </w:r>
      <w:r>
        <w:rPr>
          <w:rFonts w:ascii="Cambria" w:hAnsi="Cambria"/>
          <w:sz w:val="16"/>
          <w:szCs w:val="16"/>
          <w:lang w:val="es-VE"/>
        </w:rPr>
        <w:t>Undécimo y Vigésimo</w:t>
      </w:r>
      <w:r w:rsidRPr="007877A3">
        <w:rPr>
          <w:rFonts w:ascii="Cambria" w:hAnsi="Cambria"/>
          <w:sz w:val="16"/>
          <w:szCs w:val="16"/>
          <w:lang w:val="es-CO"/>
        </w:rPr>
        <w:t>. Anexo a la petición de 16 de octubre de 2003.</w:t>
      </w:r>
    </w:p>
  </w:footnote>
  <w:footnote w:id="68">
    <w:p w:rsidR="0006606E" w:rsidRPr="007877A3" w:rsidRDefault="0006606E" w:rsidP="00601BF0">
      <w:pPr>
        <w:pStyle w:val="Textonotapie"/>
        <w:tabs>
          <w:tab w:val="left" w:pos="360"/>
        </w:tabs>
        <w:spacing w:after="120"/>
        <w:ind w:firstLine="720"/>
        <w:jc w:val="both"/>
        <w:rPr>
          <w:rFonts w:ascii="Cambria" w:hAnsi="Cambria"/>
          <w:sz w:val="16"/>
          <w:szCs w:val="16"/>
          <w:lang w:val="es-CO"/>
        </w:rPr>
      </w:pPr>
      <w:r w:rsidRPr="007877A3">
        <w:rPr>
          <w:rStyle w:val="Refdenotaalpie"/>
          <w:rFonts w:ascii="Cambria" w:hAnsi="Cambria"/>
          <w:sz w:val="16"/>
          <w:szCs w:val="16"/>
        </w:rPr>
        <w:footnoteRef/>
      </w:r>
      <w:r>
        <w:rPr>
          <w:rFonts w:ascii="Cambria" w:hAnsi="Cambria"/>
          <w:sz w:val="16"/>
          <w:szCs w:val="16"/>
          <w:lang w:val="es-CO"/>
        </w:rPr>
        <w:t xml:space="preserve">Anexo 5. </w:t>
      </w:r>
      <w:r w:rsidRPr="007877A3">
        <w:rPr>
          <w:rFonts w:ascii="Cambria" w:hAnsi="Cambria"/>
          <w:sz w:val="16"/>
          <w:szCs w:val="16"/>
          <w:lang w:val="es-CO"/>
        </w:rPr>
        <w:t xml:space="preserve">Sentencia del </w:t>
      </w:r>
      <w:r w:rsidRPr="007877A3">
        <w:rPr>
          <w:rFonts w:ascii="Cambria" w:hAnsi="Cambria"/>
          <w:color w:val="auto"/>
          <w:sz w:val="16"/>
          <w:szCs w:val="16"/>
          <w:lang w:val="es-CO"/>
        </w:rPr>
        <w:t>2</w:t>
      </w:r>
      <w:r w:rsidRPr="007877A3">
        <w:rPr>
          <w:rFonts w:ascii="Cambria" w:hAnsi="Cambria"/>
          <w:sz w:val="16"/>
          <w:szCs w:val="16"/>
          <w:lang w:val="es-ES"/>
        </w:rPr>
        <w:t>º</w:t>
      </w:r>
      <w:r w:rsidRPr="007877A3">
        <w:rPr>
          <w:rFonts w:ascii="Cambria" w:hAnsi="Cambria"/>
          <w:sz w:val="16"/>
          <w:szCs w:val="16"/>
          <w:lang w:val="es-CO"/>
        </w:rPr>
        <w:t xml:space="preserve"> Juzgado Civil de la Serena, Patricia Cortés contra el Fisco de Chile, 9 de</w:t>
      </w:r>
      <w:r>
        <w:rPr>
          <w:rFonts w:ascii="Cambria" w:hAnsi="Cambria"/>
          <w:sz w:val="16"/>
          <w:szCs w:val="16"/>
          <w:lang w:val="es-CO"/>
        </w:rPr>
        <w:t xml:space="preserve"> marzo de 2001, </w:t>
      </w:r>
      <w:r w:rsidRPr="007877A3">
        <w:rPr>
          <w:rFonts w:ascii="Cambria" w:hAnsi="Cambria"/>
          <w:sz w:val="16"/>
          <w:szCs w:val="16"/>
          <w:lang w:val="es-CO"/>
        </w:rPr>
        <w:t xml:space="preserve">Considerando </w:t>
      </w:r>
      <w:r>
        <w:rPr>
          <w:rFonts w:ascii="Cambria" w:hAnsi="Cambria"/>
          <w:sz w:val="16"/>
          <w:szCs w:val="16"/>
          <w:lang w:val="es-VE"/>
        </w:rPr>
        <w:t>Undécimo y Vigésimo</w:t>
      </w:r>
      <w:r w:rsidRPr="007877A3">
        <w:rPr>
          <w:rFonts w:ascii="Cambria" w:hAnsi="Cambria"/>
          <w:sz w:val="16"/>
          <w:szCs w:val="16"/>
          <w:lang w:val="es-CO"/>
        </w:rPr>
        <w:t>. Anexo a la petición de 16 de octubre de 2003.</w:t>
      </w:r>
    </w:p>
  </w:footnote>
  <w:footnote w:id="69">
    <w:p w:rsidR="0006606E" w:rsidRPr="007877A3" w:rsidRDefault="0006606E" w:rsidP="00601BF0">
      <w:pPr>
        <w:pStyle w:val="Textonotapie"/>
        <w:tabs>
          <w:tab w:val="left" w:pos="360"/>
        </w:tabs>
        <w:spacing w:after="120"/>
        <w:ind w:firstLine="720"/>
        <w:jc w:val="both"/>
        <w:rPr>
          <w:rFonts w:ascii="Cambria" w:hAnsi="Cambria"/>
          <w:sz w:val="16"/>
          <w:szCs w:val="16"/>
          <w:lang w:val="es-CO"/>
        </w:rPr>
      </w:pPr>
      <w:r w:rsidRPr="007877A3">
        <w:rPr>
          <w:rStyle w:val="Refdenotaalpie"/>
          <w:rFonts w:ascii="Cambria" w:hAnsi="Cambria"/>
          <w:sz w:val="16"/>
          <w:szCs w:val="16"/>
        </w:rPr>
        <w:footnoteRef/>
      </w:r>
      <w:r>
        <w:rPr>
          <w:rFonts w:ascii="Cambria" w:hAnsi="Cambria"/>
          <w:sz w:val="16"/>
          <w:szCs w:val="16"/>
          <w:lang w:val="es-CO"/>
        </w:rPr>
        <w:t xml:space="preserve">Anexo 5. </w:t>
      </w:r>
      <w:r w:rsidRPr="007877A3">
        <w:rPr>
          <w:rFonts w:ascii="Cambria" w:hAnsi="Cambria"/>
          <w:sz w:val="16"/>
          <w:szCs w:val="16"/>
          <w:lang w:val="es-CO"/>
        </w:rPr>
        <w:t xml:space="preserve">Sentencia del </w:t>
      </w:r>
      <w:r w:rsidRPr="007877A3">
        <w:rPr>
          <w:rFonts w:ascii="Cambria" w:hAnsi="Cambria"/>
          <w:color w:val="auto"/>
          <w:sz w:val="16"/>
          <w:szCs w:val="16"/>
          <w:lang w:val="es-CO"/>
        </w:rPr>
        <w:t>2</w:t>
      </w:r>
      <w:r w:rsidRPr="007877A3">
        <w:rPr>
          <w:rFonts w:ascii="Cambria" w:hAnsi="Cambria"/>
          <w:sz w:val="16"/>
          <w:szCs w:val="16"/>
          <w:lang w:val="es-ES"/>
        </w:rPr>
        <w:t>º</w:t>
      </w:r>
      <w:r w:rsidRPr="007877A3">
        <w:rPr>
          <w:rFonts w:ascii="Cambria" w:hAnsi="Cambria"/>
          <w:sz w:val="16"/>
          <w:szCs w:val="16"/>
          <w:lang w:val="es-CO"/>
        </w:rPr>
        <w:t xml:space="preserve"> Juzgado Civil de la Serena, Patricia Cortés contra el Fisco de Chile, </w:t>
      </w:r>
      <w:r>
        <w:rPr>
          <w:rFonts w:ascii="Cambria" w:hAnsi="Cambria"/>
          <w:sz w:val="16"/>
          <w:szCs w:val="16"/>
          <w:lang w:val="es-CO"/>
        </w:rPr>
        <w:t xml:space="preserve">9 de marzo de 2001, </w:t>
      </w:r>
      <w:r w:rsidRPr="007877A3">
        <w:rPr>
          <w:rFonts w:ascii="Cambria" w:hAnsi="Cambria"/>
          <w:sz w:val="16"/>
          <w:szCs w:val="16"/>
          <w:lang w:val="es-CO"/>
        </w:rPr>
        <w:t xml:space="preserve">Considerando </w:t>
      </w:r>
      <w:r>
        <w:rPr>
          <w:rFonts w:ascii="Cambria" w:hAnsi="Cambria"/>
          <w:sz w:val="16"/>
          <w:szCs w:val="16"/>
          <w:lang w:val="es-CO"/>
        </w:rPr>
        <w:t>Décimo Sexto</w:t>
      </w:r>
      <w:r w:rsidRPr="007877A3">
        <w:rPr>
          <w:rFonts w:ascii="Cambria" w:hAnsi="Cambria"/>
          <w:sz w:val="16"/>
          <w:szCs w:val="16"/>
          <w:lang w:val="es-CO"/>
        </w:rPr>
        <w:t>. Anexo a la petición de 16 de octubre de 2003.</w:t>
      </w:r>
    </w:p>
  </w:footnote>
  <w:footnote w:id="70">
    <w:p w:rsidR="0006606E" w:rsidRPr="007877A3" w:rsidRDefault="0006606E" w:rsidP="00601BF0">
      <w:pPr>
        <w:pStyle w:val="Textonotapie"/>
        <w:tabs>
          <w:tab w:val="left" w:pos="360"/>
        </w:tabs>
        <w:spacing w:after="120"/>
        <w:ind w:firstLine="720"/>
        <w:jc w:val="both"/>
        <w:rPr>
          <w:rFonts w:ascii="Cambria" w:hAnsi="Cambria"/>
          <w:sz w:val="16"/>
          <w:szCs w:val="16"/>
          <w:lang w:val="es-CO"/>
        </w:rPr>
      </w:pPr>
      <w:r w:rsidRPr="007877A3">
        <w:rPr>
          <w:rStyle w:val="Refdenotaalpie"/>
          <w:rFonts w:ascii="Cambria" w:hAnsi="Cambria"/>
          <w:sz w:val="16"/>
          <w:szCs w:val="16"/>
        </w:rPr>
        <w:footnoteRef/>
      </w:r>
      <w:r w:rsidRPr="007877A3">
        <w:rPr>
          <w:rFonts w:ascii="Cambria" w:hAnsi="Cambria"/>
          <w:sz w:val="16"/>
          <w:szCs w:val="16"/>
          <w:lang w:val="es-CO"/>
        </w:rPr>
        <w:t xml:space="preserve"> </w:t>
      </w:r>
      <w:r>
        <w:rPr>
          <w:rFonts w:ascii="Cambria" w:hAnsi="Cambria"/>
          <w:sz w:val="16"/>
          <w:szCs w:val="16"/>
          <w:lang w:val="es-CO"/>
        </w:rPr>
        <w:t xml:space="preserve">Anexo 5. </w:t>
      </w:r>
      <w:r w:rsidRPr="007877A3">
        <w:rPr>
          <w:rFonts w:ascii="Cambria" w:hAnsi="Cambria"/>
          <w:sz w:val="16"/>
          <w:szCs w:val="16"/>
          <w:lang w:val="es-CO"/>
        </w:rPr>
        <w:t xml:space="preserve">Sentencia del </w:t>
      </w:r>
      <w:r w:rsidRPr="007877A3">
        <w:rPr>
          <w:rFonts w:ascii="Cambria" w:hAnsi="Cambria"/>
          <w:color w:val="auto"/>
          <w:sz w:val="16"/>
          <w:szCs w:val="16"/>
          <w:lang w:val="es-CO"/>
        </w:rPr>
        <w:t>2</w:t>
      </w:r>
      <w:r w:rsidRPr="007877A3">
        <w:rPr>
          <w:rFonts w:ascii="Cambria" w:hAnsi="Cambria"/>
          <w:sz w:val="16"/>
          <w:szCs w:val="16"/>
          <w:lang w:val="es-ES"/>
        </w:rPr>
        <w:t>º</w:t>
      </w:r>
      <w:r w:rsidRPr="007877A3">
        <w:rPr>
          <w:rFonts w:ascii="Cambria" w:hAnsi="Cambria"/>
          <w:sz w:val="16"/>
          <w:szCs w:val="16"/>
          <w:lang w:val="es-CO"/>
        </w:rPr>
        <w:t xml:space="preserve"> Juzgado Civil de la Serena, Patricia Cortés contra el Fisco de Chile, 9 de marzo de 2001, Considerando </w:t>
      </w:r>
      <w:r>
        <w:rPr>
          <w:rFonts w:ascii="Cambria" w:hAnsi="Cambria"/>
          <w:sz w:val="16"/>
          <w:szCs w:val="16"/>
          <w:lang w:val="es-CO"/>
        </w:rPr>
        <w:t>Vigésimo Primero</w:t>
      </w:r>
      <w:r w:rsidRPr="007877A3">
        <w:rPr>
          <w:rFonts w:ascii="Cambria" w:hAnsi="Cambria"/>
          <w:sz w:val="16"/>
          <w:szCs w:val="16"/>
          <w:lang w:val="es-CO"/>
        </w:rPr>
        <w:t>. Anexo a la petición de 16 de octubre de 2003.</w:t>
      </w:r>
    </w:p>
  </w:footnote>
  <w:footnote w:id="71">
    <w:p w:rsidR="0006606E" w:rsidRPr="007877A3" w:rsidRDefault="0006606E" w:rsidP="00B5011B">
      <w:pPr>
        <w:pStyle w:val="Textonotapie"/>
        <w:tabs>
          <w:tab w:val="left" w:pos="360"/>
        </w:tabs>
        <w:spacing w:after="120"/>
        <w:ind w:firstLine="720"/>
        <w:jc w:val="both"/>
        <w:rPr>
          <w:rFonts w:ascii="Cambria" w:hAnsi="Cambria"/>
          <w:sz w:val="16"/>
          <w:szCs w:val="16"/>
          <w:lang w:val="es-CO"/>
        </w:rPr>
      </w:pPr>
      <w:r w:rsidRPr="007877A3">
        <w:rPr>
          <w:rStyle w:val="Refdenotaalpie"/>
          <w:rFonts w:ascii="Cambria" w:hAnsi="Cambria"/>
          <w:sz w:val="16"/>
          <w:szCs w:val="16"/>
        </w:rPr>
        <w:footnoteRef/>
      </w:r>
      <w:r w:rsidRPr="007877A3">
        <w:rPr>
          <w:rFonts w:ascii="Cambria" w:hAnsi="Cambria"/>
          <w:sz w:val="16"/>
          <w:szCs w:val="16"/>
          <w:lang w:val="es-CO"/>
        </w:rPr>
        <w:t xml:space="preserve"> </w:t>
      </w:r>
      <w:r>
        <w:rPr>
          <w:rFonts w:ascii="Cambria" w:hAnsi="Cambria"/>
          <w:sz w:val="16"/>
          <w:szCs w:val="16"/>
          <w:lang w:val="es-CO"/>
        </w:rPr>
        <w:t xml:space="preserve">Anexo 5. </w:t>
      </w:r>
      <w:r w:rsidRPr="007877A3">
        <w:rPr>
          <w:rFonts w:ascii="Cambria" w:hAnsi="Cambria"/>
          <w:sz w:val="16"/>
          <w:szCs w:val="16"/>
          <w:lang w:val="es-CO"/>
        </w:rPr>
        <w:t xml:space="preserve">Sentencia del </w:t>
      </w:r>
      <w:r w:rsidRPr="007877A3">
        <w:rPr>
          <w:rFonts w:ascii="Cambria" w:hAnsi="Cambria"/>
          <w:color w:val="auto"/>
          <w:sz w:val="16"/>
          <w:szCs w:val="16"/>
          <w:lang w:val="es-CO"/>
        </w:rPr>
        <w:t>2</w:t>
      </w:r>
      <w:r w:rsidRPr="007877A3">
        <w:rPr>
          <w:rFonts w:ascii="Cambria" w:hAnsi="Cambria"/>
          <w:sz w:val="16"/>
          <w:szCs w:val="16"/>
          <w:lang w:val="es-ES"/>
        </w:rPr>
        <w:t>º</w:t>
      </w:r>
      <w:r w:rsidRPr="007877A3">
        <w:rPr>
          <w:rFonts w:ascii="Cambria" w:hAnsi="Cambria"/>
          <w:sz w:val="16"/>
          <w:szCs w:val="16"/>
          <w:lang w:val="es-CO"/>
        </w:rPr>
        <w:t xml:space="preserve"> Juzgado Civil de la Serena, Patricia Cortés contra el Fisco de Chile, 9 de marzo de 2001, </w:t>
      </w:r>
      <w:r>
        <w:rPr>
          <w:rFonts w:ascii="Cambria" w:hAnsi="Cambria"/>
          <w:sz w:val="16"/>
          <w:szCs w:val="16"/>
          <w:lang w:val="es-CO"/>
        </w:rPr>
        <w:t>Punto Declarativo Primero.</w:t>
      </w:r>
      <w:r w:rsidRPr="007877A3">
        <w:rPr>
          <w:rFonts w:ascii="Cambria" w:hAnsi="Cambria"/>
          <w:sz w:val="16"/>
          <w:szCs w:val="16"/>
          <w:lang w:val="es-CO"/>
        </w:rPr>
        <w:t xml:space="preserve"> Anexo a la petición de 16 de octubre de 2003.</w:t>
      </w:r>
    </w:p>
  </w:footnote>
  <w:footnote w:id="72">
    <w:p w:rsidR="0006606E" w:rsidRPr="007877A3" w:rsidRDefault="0006606E" w:rsidP="00DC278B">
      <w:pPr>
        <w:pStyle w:val="Textonotapie"/>
        <w:tabs>
          <w:tab w:val="left" w:pos="360"/>
        </w:tabs>
        <w:spacing w:after="120"/>
        <w:ind w:firstLine="720"/>
        <w:jc w:val="both"/>
        <w:rPr>
          <w:rFonts w:ascii="Cambria" w:hAnsi="Cambria"/>
          <w:sz w:val="16"/>
          <w:szCs w:val="16"/>
          <w:lang w:val="es-CO"/>
        </w:rPr>
      </w:pPr>
      <w:r w:rsidRPr="007877A3">
        <w:rPr>
          <w:rStyle w:val="Refdenotaalpie"/>
          <w:rFonts w:ascii="Cambria" w:hAnsi="Cambria"/>
          <w:sz w:val="16"/>
          <w:szCs w:val="16"/>
        </w:rPr>
        <w:footnoteRef/>
      </w:r>
      <w:r w:rsidRPr="007877A3">
        <w:rPr>
          <w:rFonts w:ascii="Cambria" w:hAnsi="Cambria"/>
          <w:sz w:val="16"/>
          <w:szCs w:val="16"/>
          <w:lang w:val="es-CO"/>
        </w:rPr>
        <w:t xml:space="preserve"> </w:t>
      </w:r>
      <w:r>
        <w:rPr>
          <w:rFonts w:ascii="Cambria" w:hAnsi="Cambria"/>
          <w:sz w:val="16"/>
          <w:szCs w:val="16"/>
          <w:lang w:val="es-CO"/>
        </w:rPr>
        <w:t xml:space="preserve">Anexo 9. </w:t>
      </w:r>
      <w:r w:rsidRPr="007877A3">
        <w:rPr>
          <w:rFonts w:ascii="Cambria" w:hAnsi="Cambria"/>
          <w:sz w:val="16"/>
          <w:szCs w:val="16"/>
          <w:lang w:val="es-CO"/>
        </w:rPr>
        <w:t xml:space="preserve">Corte de Apelaciones de La Serena. Sentencia de </w:t>
      </w:r>
      <w:r>
        <w:rPr>
          <w:rFonts w:ascii="Cambria" w:hAnsi="Cambria"/>
          <w:sz w:val="16"/>
          <w:szCs w:val="16"/>
          <w:lang w:val="es-CO"/>
        </w:rPr>
        <w:t>9 de abril del 2002. Considerando</w:t>
      </w:r>
      <w:r w:rsidRPr="007877A3">
        <w:rPr>
          <w:rFonts w:ascii="Cambria" w:hAnsi="Cambria"/>
          <w:sz w:val="16"/>
          <w:szCs w:val="16"/>
          <w:lang w:val="es-CO"/>
        </w:rPr>
        <w:t xml:space="preserve"> Octavo.</w:t>
      </w:r>
    </w:p>
  </w:footnote>
  <w:footnote w:id="73">
    <w:p w:rsidR="0006606E" w:rsidRPr="007877A3" w:rsidRDefault="0006606E" w:rsidP="00DC278B">
      <w:pPr>
        <w:pStyle w:val="Textosinformato"/>
        <w:tabs>
          <w:tab w:val="left" w:pos="360"/>
        </w:tabs>
        <w:spacing w:after="120"/>
        <w:ind w:firstLine="720"/>
        <w:jc w:val="both"/>
        <w:rPr>
          <w:rFonts w:ascii="Cambria" w:hAnsi="Cambria"/>
          <w:sz w:val="16"/>
          <w:szCs w:val="16"/>
          <w:lang w:val="es-CO"/>
        </w:rPr>
      </w:pPr>
      <w:r w:rsidRPr="007877A3">
        <w:rPr>
          <w:rStyle w:val="Refdenotaalpie"/>
          <w:rFonts w:ascii="Cambria" w:hAnsi="Cambria"/>
          <w:sz w:val="16"/>
          <w:szCs w:val="16"/>
        </w:rPr>
        <w:footnoteRef/>
      </w:r>
      <w:r w:rsidRPr="007877A3">
        <w:rPr>
          <w:rFonts w:ascii="Cambria" w:hAnsi="Cambria"/>
          <w:sz w:val="16"/>
          <w:szCs w:val="16"/>
          <w:lang w:val="es-CO"/>
        </w:rPr>
        <w:t xml:space="preserve"> Art. 2332</w:t>
      </w:r>
      <w:r>
        <w:rPr>
          <w:rFonts w:ascii="Cambria" w:hAnsi="Cambria"/>
          <w:sz w:val="16"/>
          <w:szCs w:val="16"/>
          <w:lang w:val="es-CO"/>
        </w:rPr>
        <w:t xml:space="preserve"> del Código Civil</w:t>
      </w:r>
      <w:r w:rsidRPr="007877A3">
        <w:rPr>
          <w:rFonts w:ascii="Cambria" w:hAnsi="Cambria"/>
          <w:sz w:val="16"/>
          <w:szCs w:val="16"/>
          <w:lang w:val="es-CO"/>
        </w:rPr>
        <w:t>: “</w:t>
      </w:r>
      <w:r w:rsidRPr="007877A3">
        <w:rPr>
          <w:rFonts w:ascii="Cambria" w:eastAsia="MS Mincho" w:hAnsi="Cambria"/>
          <w:sz w:val="16"/>
          <w:szCs w:val="16"/>
          <w:lang w:val="es-CL"/>
        </w:rPr>
        <w:t>Las acciones que concede este título por daño o dolo, prescriben en cuatro años contados desde la perpetración del acto”.</w:t>
      </w:r>
    </w:p>
  </w:footnote>
  <w:footnote w:id="74">
    <w:p w:rsidR="0006606E" w:rsidRPr="007877A3" w:rsidRDefault="0006606E" w:rsidP="00DC278B">
      <w:pPr>
        <w:pStyle w:val="Textonotapie"/>
        <w:tabs>
          <w:tab w:val="left" w:pos="360"/>
        </w:tabs>
        <w:spacing w:after="120"/>
        <w:ind w:firstLine="720"/>
        <w:jc w:val="both"/>
        <w:rPr>
          <w:rFonts w:ascii="Cambria" w:hAnsi="Cambria"/>
          <w:sz w:val="16"/>
          <w:szCs w:val="16"/>
          <w:lang w:val="es-CO"/>
        </w:rPr>
      </w:pPr>
      <w:r w:rsidRPr="007877A3">
        <w:rPr>
          <w:rFonts w:ascii="Cambria" w:hAnsi="Cambria"/>
          <w:sz w:val="16"/>
          <w:szCs w:val="16"/>
          <w:vertAlign w:val="superscript"/>
          <w:lang w:val="es-CO"/>
        </w:rPr>
        <w:footnoteRef/>
      </w:r>
      <w:r w:rsidRPr="007877A3">
        <w:rPr>
          <w:rFonts w:ascii="Cambria" w:hAnsi="Cambria"/>
          <w:sz w:val="16"/>
          <w:szCs w:val="16"/>
          <w:lang w:val="es-CO"/>
        </w:rPr>
        <w:t xml:space="preserve"> </w:t>
      </w:r>
      <w:r>
        <w:rPr>
          <w:rFonts w:ascii="Cambria" w:hAnsi="Cambria"/>
          <w:sz w:val="16"/>
          <w:szCs w:val="16"/>
          <w:lang w:val="es-CO"/>
        </w:rPr>
        <w:t xml:space="preserve">Anexo 10. </w:t>
      </w:r>
      <w:r w:rsidRPr="007877A3">
        <w:rPr>
          <w:rFonts w:ascii="Cambria" w:hAnsi="Cambria"/>
          <w:sz w:val="16"/>
          <w:szCs w:val="16"/>
          <w:lang w:val="es-CO"/>
        </w:rPr>
        <w:t>CSJ. Sentencia de 7 de mayo del 2003 Considerando Cuarto. Anexo a la petición de 3 de septiembre de 2003.</w:t>
      </w:r>
    </w:p>
  </w:footnote>
  <w:footnote w:id="75">
    <w:p w:rsidR="0006606E" w:rsidRPr="007877A3" w:rsidRDefault="0006606E" w:rsidP="00DC278B">
      <w:pPr>
        <w:pStyle w:val="Textonotapie"/>
        <w:tabs>
          <w:tab w:val="left" w:pos="360"/>
        </w:tabs>
        <w:spacing w:after="120"/>
        <w:ind w:firstLine="720"/>
        <w:jc w:val="both"/>
        <w:rPr>
          <w:rFonts w:ascii="Cambria" w:hAnsi="Cambria"/>
          <w:sz w:val="16"/>
          <w:szCs w:val="16"/>
          <w:lang w:val="es-CO"/>
        </w:rPr>
      </w:pPr>
      <w:r w:rsidRPr="007877A3">
        <w:rPr>
          <w:rStyle w:val="Refdenotaalpie"/>
          <w:rFonts w:ascii="Cambria" w:hAnsi="Cambria"/>
          <w:sz w:val="16"/>
          <w:szCs w:val="16"/>
        </w:rPr>
        <w:footnoteRef/>
      </w:r>
      <w:r>
        <w:rPr>
          <w:rFonts w:ascii="Cambria" w:hAnsi="Cambria"/>
          <w:sz w:val="16"/>
          <w:szCs w:val="16"/>
          <w:lang w:val="es-CO"/>
        </w:rPr>
        <w:t xml:space="preserve"> Anexo 10.</w:t>
      </w:r>
      <w:r w:rsidRPr="007877A3">
        <w:rPr>
          <w:rFonts w:ascii="Cambria" w:hAnsi="Cambria"/>
          <w:sz w:val="16"/>
          <w:szCs w:val="16"/>
          <w:lang w:val="es-CO"/>
        </w:rPr>
        <w:t xml:space="preserve"> CSJ. Sentencia de 7 de mayo del 2003. Considerando Cuarto. Anexo a la petición de 3 de septiembre de 2003.</w:t>
      </w:r>
    </w:p>
  </w:footnote>
  <w:footnote w:id="76">
    <w:p w:rsidR="0006606E" w:rsidRPr="007877A3" w:rsidRDefault="0006606E" w:rsidP="00DC278B">
      <w:pPr>
        <w:pStyle w:val="Textonotapie"/>
        <w:tabs>
          <w:tab w:val="left" w:pos="360"/>
        </w:tabs>
        <w:spacing w:after="120"/>
        <w:ind w:firstLine="720"/>
        <w:jc w:val="both"/>
        <w:rPr>
          <w:rFonts w:ascii="Cambria" w:hAnsi="Cambria"/>
          <w:sz w:val="16"/>
          <w:szCs w:val="16"/>
          <w:lang w:val="es-CO"/>
        </w:rPr>
      </w:pPr>
      <w:r w:rsidRPr="007877A3">
        <w:rPr>
          <w:rStyle w:val="Refdenotaalpie"/>
          <w:rFonts w:ascii="Cambria" w:hAnsi="Cambria"/>
          <w:sz w:val="16"/>
          <w:szCs w:val="16"/>
        </w:rPr>
        <w:footnoteRef/>
      </w:r>
      <w:r>
        <w:rPr>
          <w:rFonts w:ascii="Cambria" w:hAnsi="Cambria"/>
          <w:sz w:val="16"/>
          <w:szCs w:val="16"/>
          <w:lang w:val="es-CO"/>
        </w:rPr>
        <w:t xml:space="preserve"> Anexo 10.</w:t>
      </w:r>
      <w:r w:rsidRPr="007877A3">
        <w:rPr>
          <w:rFonts w:ascii="Cambria" w:hAnsi="Cambria"/>
          <w:sz w:val="16"/>
          <w:szCs w:val="16"/>
          <w:lang w:val="es-CO"/>
        </w:rPr>
        <w:t xml:space="preserve"> CSJ. Sentencia de 7 de mayo del 2003. Considerando Octavo. Anexo a la petición de 3 de septiembre de 2003.</w:t>
      </w:r>
    </w:p>
  </w:footnote>
  <w:footnote w:id="77">
    <w:p w:rsidR="0006606E" w:rsidRPr="007877A3" w:rsidRDefault="0006606E" w:rsidP="00DC278B">
      <w:pPr>
        <w:pStyle w:val="Textonotapie"/>
        <w:tabs>
          <w:tab w:val="left" w:pos="360"/>
        </w:tabs>
        <w:spacing w:after="120"/>
        <w:ind w:firstLine="720"/>
        <w:jc w:val="both"/>
        <w:rPr>
          <w:rFonts w:ascii="Cambria" w:hAnsi="Cambria"/>
          <w:sz w:val="16"/>
          <w:szCs w:val="16"/>
          <w:lang w:val="es-CO"/>
        </w:rPr>
      </w:pPr>
      <w:r w:rsidRPr="007877A3">
        <w:rPr>
          <w:rStyle w:val="Refdenotaalpie"/>
          <w:rFonts w:ascii="Cambria" w:hAnsi="Cambria"/>
          <w:sz w:val="16"/>
          <w:szCs w:val="16"/>
        </w:rPr>
        <w:footnoteRef/>
      </w:r>
      <w:r w:rsidRPr="007877A3">
        <w:rPr>
          <w:rFonts w:ascii="Cambria" w:hAnsi="Cambria" w:cs="Verdana"/>
          <w:iCs/>
          <w:sz w:val="16"/>
          <w:szCs w:val="16"/>
          <w:lang w:val="es-CO"/>
        </w:rPr>
        <w:t xml:space="preserve"> </w:t>
      </w:r>
      <w:r>
        <w:rPr>
          <w:rFonts w:ascii="Cambria" w:hAnsi="Cambria"/>
          <w:sz w:val="16"/>
          <w:szCs w:val="16"/>
          <w:lang w:val="es-CO"/>
        </w:rPr>
        <w:t>Anexo 10</w:t>
      </w:r>
      <w:r w:rsidRPr="007877A3">
        <w:rPr>
          <w:rFonts w:ascii="Cambria" w:hAnsi="Cambria" w:cs="Verdana"/>
          <w:iCs/>
          <w:sz w:val="16"/>
          <w:szCs w:val="16"/>
          <w:lang w:val="es-CO"/>
        </w:rPr>
        <w:t xml:space="preserve"> </w:t>
      </w:r>
      <w:r>
        <w:rPr>
          <w:rFonts w:ascii="Cambria" w:hAnsi="Cambria" w:cs="Verdana"/>
          <w:iCs/>
          <w:sz w:val="16"/>
          <w:szCs w:val="16"/>
          <w:lang w:val="es-CO"/>
        </w:rPr>
        <w:t>.</w:t>
      </w:r>
      <w:r w:rsidRPr="007877A3">
        <w:rPr>
          <w:rFonts w:ascii="Cambria" w:hAnsi="Cambria" w:cs="Verdana"/>
          <w:iCs/>
          <w:sz w:val="16"/>
          <w:szCs w:val="16"/>
          <w:lang w:val="es-CO"/>
        </w:rPr>
        <w:t xml:space="preserve">CSJ. </w:t>
      </w:r>
      <w:r w:rsidRPr="007877A3">
        <w:rPr>
          <w:rFonts w:ascii="Cambria" w:hAnsi="Cambria"/>
          <w:sz w:val="16"/>
          <w:szCs w:val="16"/>
          <w:lang w:val="es-CO"/>
        </w:rPr>
        <w:t>Sentencia de 7 de mayo del 2003. Considerando Octavo.</w:t>
      </w:r>
      <w:r w:rsidRPr="0027745A">
        <w:rPr>
          <w:rFonts w:ascii="Cambria" w:hAnsi="Cambria"/>
          <w:sz w:val="16"/>
          <w:szCs w:val="16"/>
          <w:lang w:val="es-CO"/>
        </w:rPr>
        <w:t xml:space="preserve"> </w:t>
      </w:r>
      <w:r w:rsidRPr="007877A3">
        <w:rPr>
          <w:rFonts w:ascii="Cambria" w:hAnsi="Cambria"/>
          <w:sz w:val="16"/>
          <w:szCs w:val="16"/>
          <w:lang w:val="es-CO"/>
        </w:rPr>
        <w:t>Anexo a la petición de 3 de septiembre de 2003.</w:t>
      </w:r>
    </w:p>
  </w:footnote>
  <w:footnote w:id="78">
    <w:p w:rsidR="0006606E" w:rsidRPr="007877A3" w:rsidRDefault="0006606E" w:rsidP="00DC278B">
      <w:pPr>
        <w:pStyle w:val="Textonotapie"/>
        <w:tabs>
          <w:tab w:val="left" w:pos="360"/>
        </w:tabs>
        <w:spacing w:after="120"/>
        <w:ind w:firstLine="720"/>
        <w:jc w:val="both"/>
        <w:rPr>
          <w:rFonts w:ascii="Cambria" w:hAnsi="Cambria"/>
          <w:sz w:val="16"/>
          <w:szCs w:val="16"/>
          <w:lang w:val="es-CO"/>
        </w:rPr>
      </w:pPr>
      <w:r w:rsidRPr="007877A3">
        <w:rPr>
          <w:rStyle w:val="Refdenotaalpie"/>
          <w:rFonts w:ascii="Cambria" w:hAnsi="Cambria"/>
          <w:sz w:val="16"/>
          <w:szCs w:val="16"/>
        </w:rPr>
        <w:footnoteRef/>
      </w:r>
      <w:r>
        <w:rPr>
          <w:rFonts w:ascii="Cambria" w:hAnsi="Cambria"/>
          <w:sz w:val="16"/>
          <w:szCs w:val="16"/>
          <w:lang w:val="es-CO"/>
        </w:rPr>
        <w:t xml:space="preserve"> Escrito de observaciones del Estado del</w:t>
      </w:r>
      <w:r w:rsidRPr="007877A3">
        <w:rPr>
          <w:rFonts w:ascii="Cambria" w:hAnsi="Cambria"/>
          <w:sz w:val="16"/>
          <w:szCs w:val="16"/>
          <w:lang w:val="es-CO"/>
        </w:rPr>
        <w:t xml:space="preserve"> 21 de noviembre de 2008.</w:t>
      </w:r>
    </w:p>
  </w:footnote>
  <w:footnote w:id="79">
    <w:p w:rsidR="0006606E" w:rsidRPr="007877A3" w:rsidRDefault="0006606E" w:rsidP="00DC278B">
      <w:pPr>
        <w:pStyle w:val="Textonotapie"/>
        <w:tabs>
          <w:tab w:val="left" w:pos="360"/>
        </w:tabs>
        <w:spacing w:after="120"/>
        <w:ind w:firstLine="720"/>
        <w:jc w:val="both"/>
        <w:rPr>
          <w:rFonts w:ascii="Cambria" w:hAnsi="Cambria"/>
          <w:sz w:val="16"/>
          <w:szCs w:val="16"/>
          <w:lang w:val="es-CO"/>
        </w:rPr>
      </w:pPr>
      <w:r w:rsidRPr="007877A3">
        <w:rPr>
          <w:rStyle w:val="Refdenotaalpie"/>
          <w:rFonts w:ascii="Cambria" w:hAnsi="Cambria"/>
          <w:sz w:val="16"/>
          <w:szCs w:val="16"/>
        </w:rPr>
        <w:footnoteRef/>
      </w:r>
      <w:r w:rsidRPr="007877A3">
        <w:rPr>
          <w:rFonts w:ascii="Cambria" w:hAnsi="Cambria"/>
          <w:sz w:val="16"/>
          <w:szCs w:val="16"/>
          <w:lang w:val="es-CO"/>
        </w:rPr>
        <w:t xml:space="preserve"> </w:t>
      </w:r>
      <w:r>
        <w:rPr>
          <w:rFonts w:ascii="Cambria" w:hAnsi="Cambria"/>
          <w:sz w:val="16"/>
          <w:szCs w:val="16"/>
          <w:lang w:val="es-CO"/>
        </w:rPr>
        <w:t>Escrito de observaciones del Estado del 21 de noviembre de 2008</w:t>
      </w:r>
      <w:r w:rsidRPr="007877A3">
        <w:rPr>
          <w:rFonts w:ascii="Cambria" w:hAnsi="Cambria"/>
          <w:sz w:val="16"/>
          <w:szCs w:val="16"/>
          <w:lang w:val="es-CO"/>
        </w:rPr>
        <w:t>, no controvertido por el peticionario.</w:t>
      </w:r>
    </w:p>
  </w:footnote>
  <w:footnote w:id="80">
    <w:p w:rsidR="0006606E" w:rsidRPr="007877A3" w:rsidRDefault="0006606E" w:rsidP="00DC278B">
      <w:pPr>
        <w:pStyle w:val="Textonotapie"/>
        <w:tabs>
          <w:tab w:val="left" w:pos="360"/>
        </w:tabs>
        <w:spacing w:after="120"/>
        <w:ind w:firstLine="720"/>
        <w:jc w:val="both"/>
        <w:rPr>
          <w:rFonts w:ascii="Cambria" w:hAnsi="Cambria"/>
          <w:sz w:val="16"/>
          <w:szCs w:val="16"/>
          <w:lang w:val="es-ES"/>
        </w:rPr>
      </w:pPr>
      <w:r w:rsidRPr="007877A3">
        <w:rPr>
          <w:rStyle w:val="Refdenotaalpie"/>
          <w:rFonts w:ascii="Cambria" w:hAnsi="Cambria"/>
          <w:sz w:val="16"/>
          <w:szCs w:val="16"/>
        </w:rPr>
        <w:footnoteRef/>
      </w:r>
      <w:r w:rsidRPr="007877A3">
        <w:rPr>
          <w:rFonts w:ascii="Cambria" w:hAnsi="Cambria"/>
          <w:sz w:val="16"/>
          <w:szCs w:val="16"/>
          <w:lang w:val="es-CO"/>
        </w:rPr>
        <w:t xml:space="preserve"> </w:t>
      </w:r>
      <w:r w:rsidRPr="007877A3">
        <w:rPr>
          <w:rFonts w:ascii="Cambria" w:hAnsi="Cambria"/>
          <w:sz w:val="16"/>
          <w:szCs w:val="16"/>
          <w:lang w:val="es-ES"/>
        </w:rPr>
        <w:t xml:space="preserve">Informe de la Comisión </w:t>
      </w:r>
      <w:proofErr w:type="spellStart"/>
      <w:r w:rsidRPr="007877A3">
        <w:rPr>
          <w:rFonts w:ascii="Cambria" w:hAnsi="Cambria"/>
          <w:sz w:val="16"/>
          <w:szCs w:val="16"/>
          <w:lang w:val="es-ES"/>
        </w:rPr>
        <w:t>Rettig</w:t>
      </w:r>
      <w:proofErr w:type="spellEnd"/>
      <w:r w:rsidRPr="007877A3">
        <w:rPr>
          <w:rFonts w:ascii="Cambria" w:hAnsi="Cambria"/>
          <w:sz w:val="16"/>
          <w:szCs w:val="16"/>
          <w:lang w:val="es-ES"/>
        </w:rPr>
        <w:t xml:space="preserve">, Tomo I, págs. 225 y 226. </w:t>
      </w:r>
    </w:p>
  </w:footnote>
  <w:footnote w:id="81">
    <w:p w:rsidR="0006606E" w:rsidRPr="007877A3" w:rsidRDefault="0006606E" w:rsidP="00DC278B">
      <w:pPr>
        <w:pStyle w:val="Textonotapie"/>
        <w:tabs>
          <w:tab w:val="left" w:pos="360"/>
        </w:tabs>
        <w:spacing w:after="120"/>
        <w:ind w:firstLine="720"/>
        <w:jc w:val="both"/>
        <w:rPr>
          <w:rFonts w:ascii="Cambria" w:hAnsi="Cambria"/>
          <w:sz w:val="16"/>
          <w:szCs w:val="16"/>
          <w:lang w:val="es-CO"/>
        </w:rPr>
      </w:pPr>
      <w:r w:rsidRPr="007877A3">
        <w:rPr>
          <w:rStyle w:val="Refdenotaalpie"/>
          <w:rFonts w:ascii="Cambria" w:hAnsi="Cambria"/>
          <w:sz w:val="16"/>
          <w:szCs w:val="16"/>
        </w:rPr>
        <w:footnoteRef/>
      </w:r>
      <w:r w:rsidRPr="007877A3">
        <w:rPr>
          <w:rFonts w:ascii="Cambria" w:hAnsi="Cambria"/>
          <w:sz w:val="16"/>
          <w:szCs w:val="16"/>
          <w:lang w:val="es-CO"/>
        </w:rPr>
        <w:t xml:space="preserve"> </w:t>
      </w:r>
      <w:r w:rsidRPr="007877A3">
        <w:rPr>
          <w:rFonts w:ascii="Cambria" w:hAnsi="Cambria"/>
          <w:sz w:val="16"/>
          <w:szCs w:val="16"/>
          <w:lang w:val="es-ES"/>
        </w:rPr>
        <w:t xml:space="preserve">Informe de la Comisión </w:t>
      </w:r>
      <w:proofErr w:type="spellStart"/>
      <w:r w:rsidRPr="007877A3">
        <w:rPr>
          <w:rFonts w:ascii="Cambria" w:hAnsi="Cambria"/>
          <w:sz w:val="16"/>
          <w:szCs w:val="16"/>
          <w:lang w:val="es-ES"/>
        </w:rPr>
        <w:t>Rettig</w:t>
      </w:r>
      <w:proofErr w:type="spellEnd"/>
      <w:r w:rsidRPr="007877A3">
        <w:rPr>
          <w:rFonts w:ascii="Cambria" w:hAnsi="Cambria"/>
          <w:sz w:val="16"/>
          <w:szCs w:val="16"/>
          <w:lang w:val="es-ES"/>
        </w:rPr>
        <w:t xml:space="preserve">, Tomo I, pág. 226. </w:t>
      </w:r>
    </w:p>
  </w:footnote>
  <w:footnote w:id="82">
    <w:p w:rsidR="0006606E" w:rsidRPr="007877A3" w:rsidRDefault="0006606E" w:rsidP="00DC278B">
      <w:pPr>
        <w:pStyle w:val="Textonotapie"/>
        <w:tabs>
          <w:tab w:val="left" w:pos="360"/>
        </w:tabs>
        <w:spacing w:after="120"/>
        <w:ind w:firstLine="720"/>
        <w:jc w:val="both"/>
        <w:rPr>
          <w:rFonts w:ascii="Cambria" w:hAnsi="Cambria"/>
          <w:sz w:val="16"/>
          <w:szCs w:val="16"/>
          <w:lang w:val="es-CO"/>
        </w:rPr>
      </w:pPr>
      <w:r w:rsidRPr="007877A3">
        <w:rPr>
          <w:rStyle w:val="Refdenotaalpie"/>
          <w:rFonts w:ascii="Cambria" w:hAnsi="Cambria"/>
          <w:sz w:val="16"/>
          <w:szCs w:val="16"/>
        </w:rPr>
        <w:footnoteRef/>
      </w:r>
      <w:r w:rsidRPr="007877A3">
        <w:rPr>
          <w:rFonts w:ascii="Cambria" w:hAnsi="Cambria"/>
          <w:sz w:val="16"/>
          <w:szCs w:val="16"/>
          <w:lang w:val="es-CO"/>
        </w:rPr>
        <w:t xml:space="preserve"> </w:t>
      </w:r>
      <w:r w:rsidRPr="007877A3">
        <w:rPr>
          <w:rFonts w:ascii="Cambria" w:hAnsi="Cambria"/>
          <w:sz w:val="16"/>
          <w:szCs w:val="16"/>
          <w:lang w:val="es-ES"/>
        </w:rPr>
        <w:t xml:space="preserve">Informe de la Comisión </w:t>
      </w:r>
      <w:proofErr w:type="spellStart"/>
      <w:r w:rsidRPr="007877A3">
        <w:rPr>
          <w:rFonts w:ascii="Cambria" w:hAnsi="Cambria"/>
          <w:sz w:val="16"/>
          <w:szCs w:val="16"/>
          <w:lang w:val="es-ES"/>
        </w:rPr>
        <w:t>Rettig</w:t>
      </w:r>
      <w:proofErr w:type="spellEnd"/>
      <w:r w:rsidRPr="007877A3">
        <w:rPr>
          <w:rFonts w:ascii="Cambria" w:hAnsi="Cambria"/>
          <w:sz w:val="16"/>
          <w:szCs w:val="16"/>
          <w:lang w:val="es-ES"/>
        </w:rPr>
        <w:t xml:space="preserve">, Tomo I, pág. 226. </w:t>
      </w:r>
    </w:p>
  </w:footnote>
  <w:footnote w:id="83">
    <w:p w:rsidR="0006606E" w:rsidRPr="007877A3" w:rsidRDefault="0006606E" w:rsidP="00DC278B">
      <w:pPr>
        <w:pStyle w:val="Textonotapie"/>
        <w:tabs>
          <w:tab w:val="left" w:pos="360"/>
        </w:tabs>
        <w:spacing w:after="120"/>
        <w:ind w:firstLine="720"/>
        <w:jc w:val="both"/>
        <w:rPr>
          <w:rFonts w:ascii="Cambria" w:hAnsi="Cambria"/>
          <w:sz w:val="16"/>
          <w:szCs w:val="16"/>
          <w:lang w:val="es-CO"/>
        </w:rPr>
      </w:pPr>
      <w:r w:rsidRPr="007877A3">
        <w:rPr>
          <w:rStyle w:val="Refdenotaalpie"/>
          <w:rFonts w:ascii="Cambria" w:hAnsi="Cambria"/>
          <w:sz w:val="16"/>
          <w:szCs w:val="16"/>
        </w:rPr>
        <w:footnoteRef/>
      </w:r>
      <w:r w:rsidRPr="007877A3">
        <w:rPr>
          <w:rFonts w:ascii="Cambria" w:hAnsi="Cambria"/>
          <w:sz w:val="16"/>
          <w:szCs w:val="16"/>
          <w:lang w:val="es-CO"/>
        </w:rPr>
        <w:t xml:space="preserve"> </w:t>
      </w:r>
      <w:r>
        <w:rPr>
          <w:rFonts w:ascii="Cambria" w:hAnsi="Cambria"/>
          <w:sz w:val="16"/>
          <w:szCs w:val="16"/>
          <w:lang w:val="es-ES"/>
        </w:rPr>
        <w:t>Escrito de observaciones del Estado de</w:t>
      </w:r>
      <w:r w:rsidRPr="007877A3">
        <w:rPr>
          <w:rFonts w:ascii="Cambria" w:hAnsi="Cambria"/>
          <w:sz w:val="16"/>
          <w:szCs w:val="16"/>
          <w:lang w:val="es-ES"/>
        </w:rPr>
        <w:t xml:space="preserve"> 21 de noviembre de 2008</w:t>
      </w:r>
      <w:r>
        <w:rPr>
          <w:rFonts w:ascii="Cambria" w:hAnsi="Cambria"/>
          <w:sz w:val="16"/>
          <w:szCs w:val="16"/>
          <w:lang w:val="es-ES"/>
        </w:rPr>
        <w:t>,</w:t>
      </w:r>
      <w:r w:rsidRPr="007877A3">
        <w:rPr>
          <w:rFonts w:ascii="Cambria" w:hAnsi="Cambria"/>
          <w:sz w:val="16"/>
          <w:szCs w:val="16"/>
          <w:lang w:val="es-CO"/>
        </w:rPr>
        <w:t xml:space="preserve"> no controvertido por el peticionario.</w:t>
      </w:r>
    </w:p>
  </w:footnote>
  <w:footnote w:id="84">
    <w:p w:rsidR="0006606E" w:rsidRPr="007877A3" w:rsidRDefault="0006606E" w:rsidP="00DC278B">
      <w:pPr>
        <w:pStyle w:val="Textonotapie"/>
        <w:tabs>
          <w:tab w:val="left" w:pos="360"/>
        </w:tabs>
        <w:spacing w:after="120"/>
        <w:ind w:firstLine="720"/>
        <w:jc w:val="both"/>
        <w:rPr>
          <w:rFonts w:ascii="Cambria" w:hAnsi="Cambria"/>
          <w:sz w:val="16"/>
          <w:szCs w:val="16"/>
          <w:lang w:val="es-CO"/>
        </w:rPr>
      </w:pPr>
      <w:r w:rsidRPr="007877A3">
        <w:rPr>
          <w:rStyle w:val="Refdenotaalpie"/>
          <w:rFonts w:ascii="Cambria" w:hAnsi="Cambria"/>
          <w:sz w:val="16"/>
          <w:szCs w:val="16"/>
        </w:rPr>
        <w:footnoteRef/>
      </w:r>
      <w:r w:rsidRPr="007877A3">
        <w:rPr>
          <w:rFonts w:ascii="Cambria" w:hAnsi="Cambria"/>
          <w:sz w:val="16"/>
          <w:szCs w:val="16"/>
          <w:lang w:val="es-CO"/>
        </w:rPr>
        <w:t xml:space="preserve"> </w:t>
      </w:r>
      <w:r>
        <w:rPr>
          <w:rFonts w:ascii="Cambria" w:hAnsi="Cambria"/>
          <w:sz w:val="16"/>
          <w:szCs w:val="16"/>
          <w:lang w:val="es-CO"/>
        </w:rPr>
        <w:t xml:space="preserve">Anexo 11. </w:t>
      </w:r>
      <w:r w:rsidRPr="007877A3">
        <w:rPr>
          <w:rFonts w:ascii="Cambria" w:hAnsi="Cambria"/>
          <w:sz w:val="16"/>
          <w:szCs w:val="16"/>
          <w:lang w:val="es-CO"/>
        </w:rPr>
        <w:t>Demanda interpuesta por Pamela Vivanco contra el Fisco de Chile. Anexo a la petición de 22 de enero de 2004.</w:t>
      </w:r>
    </w:p>
  </w:footnote>
  <w:footnote w:id="85">
    <w:p w:rsidR="0006606E" w:rsidRPr="007877A3" w:rsidRDefault="0006606E" w:rsidP="00DC278B">
      <w:pPr>
        <w:pStyle w:val="Textosinformato"/>
        <w:tabs>
          <w:tab w:val="left" w:pos="360"/>
        </w:tabs>
        <w:spacing w:after="120"/>
        <w:ind w:firstLine="720"/>
        <w:jc w:val="both"/>
        <w:rPr>
          <w:rFonts w:ascii="Cambria" w:hAnsi="Cambria"/>
          <w:sz w:val="16"/>
          <w:szCs w:val="16"/>
          <w:lang w:val="es-CO"/>
        </w:rPr>
      </w:pPr>
      <w:r w:rsidRPr="007877A3">
        <w:rPr>
          <w:rStyle w:val="Refdenotaalpie"/>
          <w:rFonts w:ascii="Cambria" w:hAnsi="Cambria"/>
          <w:sz w:val="16"/>
          <w:szCs w:val="16"/>
        </w:rPr>
        <w:footnoteRef/>
      </w:r>
      <w:r w:rsidRPr="007877A3">
        <w:rPr>
          <w:rFonts w:ascii="Cambria" w:hAnsi="Cambria"/>
          <w:sz w:val="16"/>
          <w:szCs w:val="16"/>
          <w:lang w:val="es-CO"/>
        </w:rPr>
        <w:t xml:space="preserve"> </w:t>
      </w:r>
      <w:r w:rsidRPr="007877A3">
        <w:rPr>
          <w:rFonts w:ascii="Cambria" w:eastAsia="Times New Roman" w:hAnsi="Cambria"/>
          <w:sz w:val="16"/>
          <w:szCs w:val="16"/>
          <w:bdr w:val="none" w:sz="0" w:space="0" w:color="auto"/>
          <w:lang w:val="es-ES_tradnl"/>
        </w:rPr>
        <w:t>Art. 2.514</w:t>
      </w:r>
      <w:r>
        <w:rPr>
          <w:rFonts w:ascii="Cambria" w:eastAsia="Times New Roman" w:hAnsi="Cambria"/>
          <w:sz w:val="16"/>
          <w:szCs w:val="16"/>
          <w:bdr w:val="none" w:sz="0" w:space="0" w:color="auto"/>
          <w:lang w:val="es-ES_tradnl"/>
        </w:rPr>
        <w:t xml:space="preserve"> del Código Civil</w:t>
      </w:r>
      <w:r w:rsidRPr="007877A3">
        <w:rPr>
          <w:rFonts w:ascii="Cambria" w:hAnsi="Cambria"/>
          <w:sz w:val="16"/>
          <w:szCs w:val="16"/>
          <w:lang w:val="es-CO"/>
        </w:rPr>
        <w:t xml:space="preserve">: </w:t>
      </w:r>
      <w:r w:rsidRPr="007877A3">
        <w:rPr>
          <w:rFonts w:ascii="Cambria" w:eastAsia="MS Mincho" w:hAnsi="Cambria"/>
          <w:sz w:val="16"/>
          <w:szCs w:val="16"/>
          <w:lang w:val="es-CL"/>
        </w:rPr>
        <w:t>La prescripción que extingue las acciones y derechos ajenos exige solamente cierto lapso de tiempo, durante el cual no se hayan ejercido dichas acciones. Se cuenta este tiempo desde que la obligación se haya hecho exigible.</w:t>
      </w:r>
    </w:p>
  </w:footnote>
  <w:footnote w:id="86">
    <w:p w:rsidR="0006606E" w:rsidRPr="007877A3" w:rsidRDefault="0006606E" w:rsidP="00DC278B">
      <w:pPr>
        <w:pStyle w:val="Textosinformato"/>
        <w:tabs>
          <w:tab w:val="left" w:pos="360"/>
        </w:tabs>
        <w:spacing w:after="120"/>
        <w:ind w:firstLine="720"/>
        <w:jc w:val="both"/>
        <w:rPr>
          <w:rFonts w:ascii="Cambria" w:hAnsi="Cambria"/>
          <w:sz w:val="16"/>
          <w:szCs w:val="16"/>
          <w:lang w:val="es-CO"/>
        </w:rPr>
      </w:pPr>
      <w:r w:rsidRPr="007877A3">
        <w:rPr>
          <w:rStyle w:val="Refdenotaalpie"/>
          <w:rFonts w:ascii="Cambria" w:hAnsi="Cambria"/>
          <w:sz w:val="16"/>
          <w:szCs w:val="16"/>
        </w:rPr>
        <w:footnoteRef/>
      </w:r>
      <w:r w:rsidRPr="007877A3">
        <w:rPr>
          <w:rFonts w:ascii="Cambria" w:hAnsi="Cambria"/>
          <w:sz w:val="16"/>
          <w:szCs w:val="16"/>
          <w:lang w:val="es-CO"/>
        </w:rPr>
        <w:t xml:space="preserve"> Art. </w:t>
      </w:r>
      <w:r w:rsidRPr="007877A3">
        <w:rPr>
          <w:rFonts w:ascii="Cambria" w:eastAsia="Times New Roman" w:hAnsi="Cambria"/>
          <w:sz w:val="16"/>
          <w:szCs w:val="16"/>
          <w:bdr w:val="none" w:sz="0" w:space="0" w:color="auto"/>
          <w:lang w:val="es-ES_tradnl"/>
        </w:rPr>
        <w:t>2.515</w:t>
      </w:r>
      <w:r>
        <w:rPr>
          <w:rFonts w:ascii="Cambria" w:eastAsia="Times New Roman" w:hAnsi="Cambria"/>
          <w:sz w:val="16"/>
          <w:szCs w:val="16"/>
          <w:bdr w:val="none" w:sz="0" w:space="0" w:color="auto"/>
          <w:lang w:val="es-ES_tradnl"/>
        </w:rPr>
        <w:t xml:space="preserve"> del Código Civil</w:t>
      </w:r>
      <w:r w:rsidRPr="007877A3">
        <w:rPr>
          <w:rFonts w:ascii="Cambria" w:eastAsia="Times New Roman" w:hAnsi="Cambria"/>
          <w:sz w:val="16"/>
          <w:szCs w:val="16"/>
          <w:bdr w:val="none" w:sz="0" w:space="0" w:color="auto"/>
          <w:lang w:val="es-ES_tradnl"/>
        </w:rPr>
        <w:t xml:space="preserve">: </w:t>
      </w:r>
      <w:r w:rsidRPr="007877A3">
        <w:rPr>
          <w:rFonts w:ascii="Cambria" w:eastAsia="MS Mincho" w:hAnsi="Cambria"/>
          <w:sz w:val="16"/>
          <w:szCs w:val="16"/>
          <w:lang w:val="es-CL"/>
        </w:rPr>
        <w:t>Este tiempo es en general de tres años para las acciones ejecutivas y de cinco para las ordinarias.</w:t>
      </w:r>
      <w:r w:rsidRPr="007877A3">
        <w:rPr>
          <w:rFonts w:ascii="Cambria" w:hAnsi="Cambria"/>
          <w:sz w:val="16"/>
          <w:szCs w:val="16"/>
          <w:lang w:val="es-CO"/>
        </w:rPr>
        <w:t xml:space="preserve"> </w:t>
      </w:r>
      <w:r w:rsidRPr="007877A3">
        <w:rPr>
          <w:rFonts w:ascii="Cambria" w:eastAsia="MS Mincho" w:hAnsi="Cambria"/>
          <w:sz w:val="16"/>
          <w:szCs w:val="16"/>
          <w:lang w:val="es-CL"/>
        </w:rPr>
        <w:t>La acción ejecutiva se convierte en ordinaria por el lapso de tres años, y convertida en ordinaria durará solamente otros dos.</w:t>
      </w:r>
    </w:p>
  </w:footnote>
  <w:footnote w:id="87">
    <w:p w:rsidR="0006606E" w:rsidRPr="007877A3" w:rsidRDefault="0006606E" w:rsidP="00DC278B">
      <w:pPr>
        <w:pStyle w:val="Textonotapie"/>
        <w:tabs>
          <w:tab w:val="left" w:pos="360"/>
        </w:tabs>
        <w:spacing w:after="120"/>
        <w:ind w:firstLine="720"/>
        <w:jc w:val="both"/>
        <w:rPr>
          <w:rFonts w:ascii="Cambria" w:hAnsi="Cambria"/>
          <w:sz w:val="16"/>
          <w:szCs w:val="16"/>
          <w:lang w:val="es-CO"/>
        </w:rPr>
      </w:pPr>
      <w:r w:rsidRPr="007877A3">
        <w:rPr>
          <w:rStyle w:val="Refdenotaalpie"/>
          <w:rFonts w:ascii="Cambria" w:hAnsi="Cambria"/>
          <w:sz w:val="16"/>
          <w:szCs w:val="16"/>
        </w:rPr>
        <w:footnoteRef/>
      </w:r>
      <w:r w:rsidRPr="007877A3">
        <w:rPr>
          <w:rFonts w:ascii="Cambria" w:hAnsi="Cambria"/>
          <w:sz w:val="16"/>
          <w:szCs w:val="16"/>
          <w:lang w:val="es-CO"/>
        </w:rPr>
        <w:t xml:space="preserve"> </w:t>
      </w:r>
      <w:r>
        <w:rPr>
          <w:rFonts w:ascii="Cambria" w:hAnsi="Cambria"/>
          <w:sz w:val="16"/>
          <w:szCs w:val="16"/>
          <w:lang w:val="es-CO"/>
        </w:rPr>
        <w:t xml:space="preserve">Anexo 12. </w:t>
      </w:r>
      <w:r w:rsidRPr="007877A3">
        <w:rPr>
          <w:rFonts w:ascii="Cambria" w:hAnsi="Cambria"/>
          <w:sz w:val="16"/>
          <w:szCs w:val="16"/>
          <w:lang w:val="es-CO"/>
        </w:rPr>
        <w:t>16</w:t>
      </w:r>
      <w:r w:rsidRPr="007877A3">
        <w:rPr>
          <w:rFonts w:ascii="Cambria" w:eastAsia="Times New Roman" w:hAnsi="Cambria"/>
          <w:sz w:val="16"/>
          <w:szCs w:val="16"/>
          <w:bdr w:val="none" w:sz="0" w:space="0" w:color="auto"/>
          <w:lang w:val="es-ES_tradnl"/>
        </w:rPr>
        <w:t>º</w:t>
      </w:r>
      <w:r w:rsidRPr="007877A3">
        <w:rPr>
          <w:rFonts w:ascii="Cambria" w:hAnsi="Cambria"/>
          <w:sz w:val="16"/>
          <w:szCs w:val="16"/>
          <w:lang w:val="es-CO"/>
        </w:rPr>
        <w:t xml:space="preserve"> Juzgado Civil, Vivanco Medina/Fisco de Chile, Sentencia de 4 de octubre de 2002, Rol: C 3545-2000. Considerando Noveno. Anexo a la petición de 22 de enero de 2004. </w:t>
      </w:r>
    </w:p>
  </w:footnote>
  <w:footnote w:id="88">
    <w:p w:rsidR="0006606E" w:rsidRPr="007877A3" w:rsidRDefault="0006606E" w:rsidP="00DC278B">
      <w:pPr>
        <w:pStyle w:val="Textonotapie"/>
        <w:tabs>
          <w:tab w:val="left" w:pos="360"/>
        </w:tabs>
        <w:spacing w:after="120"/>
        <w:ind w:firstLine="720"/>
        <w:jc w:val="both"/>
        <w:rPr>
          <w:rFonts w:ascii="Cambria" w:hAnsi="Cambria"/>
          <w:sz w:val="16"/>
          <w:szCs w:val="16"/>
          <w:lang w:val="es-CO"/>
        </w:rPr>
      </w:pPr>
      <w:r w:rsidRPr="007877A3">
        <w:rPr>
          <w:rStyle w:val="Refdenotaalpie"/>
          <w:rFonts w:ascii="Cambria" w:hAnsi="Cambria"/>
          <w:sz w:val="16"/>
          <w:szCs w:val="16"/>
        </w:rPr>
        <w:footnoteRef/>
      </w:r>
      <w:r w:rsidRPr="007877A3">
        <w:rPr>
          <w:rFonts w:ascii="Cambria" w:hAnsi="Cambria"/>
          <w:sz w:val="16"/>
          <w:szCs w:val="16"/>
          <w:lang w:val="es-CO"/>
        </w:rPr>
        <w:t xml:space="preserve"> </w:t>
      </w:r>
      <w:r>
        <w:rPr>
          <w:rFonts w:ascii="Cambria" w:hAnsi="Cambria"/>
          <w:sz w:val="16"/>
          <w:szCs w:val="16"/>
          <w:lang w:val="es-CO"/>
        </w:rPr>
        <w:t xml:space="preserve">Anexo 12. </w:t>
      </w:r>
      <w:r w:rsidRPr="007877A3">
        <w:rPr>
          <w:rFonts w:ascii="Cambria" w:hAnsi="Cambria"/>
          <w:sz w:val="16"/>
          <w:szCs w:val="16"/>
          <w:lang w:val="es-CO"/>
        </w:rPr>
        <w:t>16</w:t>
      </w:r>
      <w:r w:rsidRPr="007877A3">
        <w:rPr>
          <w:rFonts w:ascii="Cambria" w:eastAsia="Times New Roman" w:hAnsi="Cambria"/>
          <w:sz w:val="16"/>
          <w:szCs w:val="16"/>
          <w:bdr w:val="none" w:sz="0" w:space="0" w:color="auto"/>
          <w:lang w:val="es-ES_tradnl"/>
        </w:rPr>
        <w:t>º</w:t>
      </w:r>
      <w:r w:rsidRPr="007877A3">
        <w:rPr>
          <w:rFonts w:ascii="Cambria" w:hAnsi="Cambria"/>
          <w:sz w:val="16"/>
          <w:szCs w:val="16"/>
          <w:lang w:val="es-CO"/>
        </w:rPr>
        <w:t xml:space="preserve"> Juzgado Civil, Vivanco Medina/Fisco de Chile, Sentencia de 4 de octubre de 2002, Rol: C 3545-2000. Considerando Noveno. Anexo a la petición de 2 de enero de 2004.</w:t>
      </w:r>
    </w:p>
  </w:footnote>
  <w:footnote w:id="89">
    <w:p w:rsidR="0006606E" w:rsidRPr="007877A3" w:rsidRDefault="0006606E" w:rsidP="00DC278B">
      <w:pPr>
        <w:pStyle w:val="Textonotapie"/>
        <w:tabs>
          <w:tab w:val="left" w:pos="360"/>
        </w:tabs>
        <w:spacing w:after="120"/>
        <w:ind w:firstLine="720"/>
        <w:jc w:val="both"/>
        <w:rPr>
          <w:rFonts w:ascii="Cambria" w:hAnsi="Cambria"/>
          <w:sz w:val="16"/>
          <w:szCs w:val="16"/>
          <w:lang w:val="es-CO"/>
        </w:rPr>
      </w:pPr>
      <w:r w:rsidRPr="007877A3">
        <w:rPr>
          <w:rStyle w:val="Refdenotaalpie"/>
          <w:rFonts w:ascii="Cambria" w:hAnsi="Cambria"/>
          <w:sz w:val="16"/>
          <w:szCs w:val="16"/>
        </w:rPr>
        <w:footnoteRef/>
      </w:r>
      <w:r w:rsidRPr="007877A3">
        <w:rPr>
          <w:rFonts w:ascii="Cambria" w:hAnsi="Cambria"/>
          <w:sz w:val="16"/>
          <w:szCs w:val="16"/>
          <w:lang w:val="es-CO"/>
        </w:rPr>
        <w:t xml:space="preserve"> </w:t>
      </w:r>
      <w:r>
        <w:rPr>
          <w:rFonts w:ascii="Cambria" w:hAnsi="Cambria"/>
          <w:sz w:val="16"/>
          <w:szCs w:val="16"/>
          <w:lang w:val="es-CO"/>
        </w:rPr>
        <w:t xml:space="preserve">Anexo 13. </w:t>
      </w:r>
      <w:r w:rsidRPr="007877A3">
        <w:rPr>
          <w:rFonts w:ascii="Cambria" w:hAnsi="Cambria"/>
          <w:sz w:val="16"/>
          <w:szCs w:val="16"/>
          <w:lang w:val="es-CO"/>
        </w:rPr>
        <w:t>CAS. Decisión de 6 de mayo de 2003. Anexo a la petición presentada el 22 de enero de 2004.</w:t>
      </w:r>
    </w:p>
  </w:footnote>
  <w:footnote w:id="90">
    <w:p w:rsidR="0006606E" w:rsidRPr="0027745A" w:rsidRDefault="0006606E" w:rsidP="00DC278B">
      <w:pPr>
        <w:pStyle w:val="Textonotapie"/>
        <w:tabs>
          <w:tab w:val="left" w:pos="360"/>
        </w:tabs>
        <w:spacing w:after="120"/>
        <w:ind w:firstLine="720"/>
        <w:jc w:val="both"/>
        <w:rPr>
          <w:rFonts w:ascii="Cambria" w:hAnsi="Cambria"/>
          <w:color w:val="auto"/>
          <w:sz w:val="16"/>
          <w:szCs w:val="16"/>
          <w:lang w:val="es-CO"/>
        </w:rPr>
      </w:pPr>
      <w:r w:rsidRPr="007877A3">
        <w:rPr>
          <w:rStyle w:val="Refdenotaalpie"/>
          <w:rFonts w:ascii="Cambria" w:hAnsi="Cambria"/>
          <w:sz w:val="16"/>
          <w:szCs w:val="16"/>
        </w:rPr>
        <w:footnoteRef/>
      </w:r>
      <w:r w:rsidRPr="007877A3">
        <w:rPr>
          <w:rFonts w:ascii="Cambria" w:hAnsi="Cambria"/>
          <w:sz w:val="16"/>
          <w:szCs w:val="16"/>
          <w:lang w:val="es-CO"/>
        </w:rPr>
        <w:t xml:space="preserve"> </w:t>
      </w:r>
      <w:r>
        <w:rPr>
          <w:rFonts w:ascii="Cambria" w:hAnsi="Cambria"/>
          <w:sz w:val="16"/>
          <w:szCs w:val="16"/>
          <w:lang w:val="es-CO"/>
        </w:rPr>
        <w:t xml:space="preserve">Escrito de Observaciones del </w:t>
      </w:r>
      <w:r w:rsidRPr="007877A3">
        <w:rPr>
          <w:rFonts w:ascii="Cambria" w:hAnsi="Cambria"/>
          <w:sz w:val="16"/>
          <w:szCs w:val="16"/>
          <w:lang w:val="es-CO"/>
        </w:rPr>
        <w:t xml:space="preserve">Estado de 21 de noviembre de 2008 no controvertido por el </w:t>
      </w:r>
      <w:r w:rsidRPr="0027745A">
        <w:rPr>
          <w:rFonts w:ascii="Cambria" w:hAnsi="Cambria"/>
          <w:color w:val="auto"/>
          <w:sz w:val="16"/>
          <w:szCs w:val="16"/>
          <w:lang w:val="es-CO"/>
        </w:rPr>
        <w:t>peticionario.</w:t>
      </w:r>
    </w:p>
  </w:footnote>
  <w:footnote w:id="91">
    <w:p w:rsidR="0006606E" w:rsidRPr="0027745A" w:rsidRDefault="0006606E" w:rsidP="00DC278B">
      <w:pPr>
        <w:pStyle w:val="Textonotapie"/>
        <w:tabs>
          <w:tab w:val="left" w:pos="360"/>
        </w:tabs>
        <w:spacing w:after="120"/>
        <w:ind w:firstLine="720"/>
        <w:jc w:val="both"/>
        <w:rPr>
          <w:rFonts w:ascii="Cambria" w:hAnsi="Cambria"/>
          <w:color w:val="auto"/>
          <w:sz w:val="16"/>
          <w:szCs w:val="16"/>
          <w:lang w:val="es-CO"/>
        </w:rPr>
      </w:pPr>
      <w:r w:rsidRPr="0027745A">
        <w:rPr>
          <w:rStyle w:val="Refdenotaalpie"/>
          <w:rFonts w:ascii="Cambria" w:hAnsi="Cambria"/>
          <w:color w:val="auto"/>
          <w:sz w:val="16"/>
          <w:szCs w:val="16"/>
        </w:rPr>
        <w:footnoteRef/>
      </w:r>
      <w:r w:rsidRPr="0027745A">
        <w:rPr>
          <w:rFonts w:ascii="Cambria" w:hAnsi="Cambria"/>
          <w:color w:val="auto"/>
          <w:sz w:val="16"/>
          <w:szCs w:val="16"/>
          <w:lang w:val="es-CO"/>
        </w:rPr>
        <w:t xml:space="preserve"> </w:t>
      </w:r>
      <w:r w:rsidRPr="0027745A">
        <w:rPr>
          <w:rFonts w:ascii="Cambria" w:hAnsi="Cambria"/>
          <w:color w:val="auto"/>
          <w:sz w:val="16"/>
          <w:szCs w:val="16"/>
          <w:lang w:val="es-ES"/>
        </w:rPr>
        <w:t xml:space="preserve">Informe de la Comisión </w:t>
      </w:r>
      <w:proofErr w:type="spellStart"/>
      <w:r w:rsidRPr="0027745A">
        <w:rPr>
          <w:rFonts w:ascii="Cambria" w:hAnsi="Cambria"/>
          <w:color w:val="auto"/>
          <w:sz w:val="16"/>
          <w:szCs w:val="16"/>
          <w:lang w:val="es-ES"/>
        </w:rPr>
        <w:t>Rettig</w:t>
      </w:r>
      <w:proofErr w:type="spellEnd"/>
      <w:r w:rsidRPr="0027745A">
        <w:rPr>
          <w:rFonts w:ascii="Cambria" w:hAnsi="Cambria"/>
          <w:color w:val="auto"/>
          <w:sz w:val="16"/>
          <w:szCs w:val="16"/>
          <w:lang w:val="es-ES"/>
        </w:rPr>
        <w:t xml:space="preserve">, Tomo I, pág. 165. </w:t>
      </w:r>
    </w:p>
  </w:footnote>
  <w:footnote w:id="92">
    <w:p w:rsidR="0006606E" w:rsidRPr="007877A3" w:rsidRDefault="0006606E" w:rsidP="00DC278B">
      <w:pPr>
        <w:pStyle w:val="Textonotapie"/>
        <w:tabs>
          <w:tab w:val="left" w:pos="360"/>
        </w:tabs>
        <w:spacing w:after="120"/>
        <w:ind w:firstLine="720"/>
        <w:jc w:val="both"/>
        <w:rPr>
          <w:rFonts w:ascii="Cambria" w:hAnsi="Cambria"/>
          <w:sz w:val="16"/>
          <w:szCs w:val="16"/>
          <w:lang w:val="es-CO"/>
        </w:rPr>
      </w:pPr>
      <w:r w:rsidRPr="0027745A">
        <w:rPr>
          <w:rStyle w:val="Refdenotaalpie"/>
          <w:rFonts w:ascii="Cambria" w:hAnsi="Cambria"/>
          <w:color w:val="auto"/>
          <w:sz w:val="16"/>
          <w:szCs w:val="16"/>
        </w:rPr>
        <w:footnoteRef/>
      </w:r>
      <w:r w:rsidRPr="0027745A">
        <w:rPr>
          <w:rFonts w:ascii="Cambria" w:hAnsi="Cambria"/>
          <w:color w:val="auto"/>
          <w:sz w:val="16"/>
          <w:szCs w:val="16"/>
          <w:lang w:val="es-CO"/>
        </w:rPr>
        <w:t xml:space="preserve"> </w:t>
      </w:r>
      <w:r w:rsidRPr="0027745A">
        <w:rPr>
          <w:rFonts w:ascii="Cambria" w:hAnsi="Cambria"/>
          <w:color w:val="auto"/>
          <w:sz w:val="16"/>
          <w:szCs w:val="16"/>
          <w:lang w:val="es-ES"/>
        </w:rPr>
        <w:t>Informe de la Comis</w:t>
      </w:r>
      <w:r>
        <w:rPr>
          <w:rFonts w:ascii="Cambria" w:hAnsi="Cambria"/>
          <w:color w:val="auto"/>
          <w:sz w:val="16"/>
          <w:szCs w:val="16"/>
          <w:lang w:val="es-ES"/>
        </w:rPr>
        <w:t xml:space="preserve">ión </w:t>
      </w:r>
      <w:proofErr w:type="spellStart"/>
      <w:r>
        <w:rPr>
          <w:rFonts w:ascii="Cambria" w:hAnsi="Cambria"/>
          <w:color w:val="auto"/>
          <w:sz w:val="16"/>
          <w:szCs w:val="16"/>
          <w:lang w:val="es-ES"/>
        </w:rPr>
        <w:t>Rettig</w:t>
      </w:r>
      <w:proofErr w:type="spellEnd"/>
      <w:r>
        <w:rPr>
          <w:rFonts w:ascii="Cambria" w:hAnsi="Cambria"/>
          <w:color w:val="auto"/>
          <w:sz w:val="16"/>
          <w:szCs w:val="16"/>
          <w:lang w:val="es-ES"/>
        </w:rPr>
        <w:t xml:space="preserve">, Tomo I, pág. 166. </w:t>
      </w:r>
    </w:p>
  </w:footnote>
  <w:footnote w:id="93">
    <w:p w:rsidR="0006606E" w:rsidRPr="007877A3" w:rsidRDefault="0006606E" w:rsidP="00DC278B">
      <w:pPr>
        <w:pStyle w:val="Textonotapie"/>
        <w:tabs>
          <w:tab w:val="left" w:pos="360"/>
        </w:tabs>
        <w:spacing w:after="120"/>
        <w:ind w:firstLine="720"/>
        <w:jc w:val="both"/>
        <w:rPr>
          <w:rFonts w:ascii="Cambria" w:hAnsi="Cambria"/>
          <w:sz w:val="16"/>
          <w:szCs w:val="16"/>
          <w:lang w:val="es-CO"/>
        </w:rPr>
      </w:pPr>
      <w:r w:rsidRPr="007877A3">
        <w:rPr>
          <w:rStyle w:val="Refdenotaalpie"/>
          <w:rFonts w:ascii="Cambria" w:hAnsi="Cambria"/>
          <w:sz w:val="16"/>
          <w:szCs w:val="16"/>
        </w:rPr>
        <w:footnoteRef/>
      </w:r>
      <w:r w:rsidRPr="007877A3">
        <w:rPr>
          <w:rFonts w:ascii="Cambria" w:hAnsi="Cambria"/>
          <w:sz w:val="16"/>
          <w:szCs w:val="16"/>
          <w:lang w:val="es-CO"/>
        </w:rPr>
        <w:t xml:space="preserve"> </w:t>
      </w:r>
      <w:r>
        <w:rPr>
          <w:rFonts w:ascii="Cambria" w:hAnsi="Cambria"/>
          <w:sz w:val="16"/>
          <w:szCs w:val="16"/>
          <w:lang w:val="es-ES"/>
        </w:rPr>
        <w:t>Escrito de observaciones del Estado de</w:t>
      </w:r>
      <w:r w:rsidRPr="007877A3">
        <w:rPr>
          <w:rFonts w:ascii="Cambria" w:hAnsi="Cambria"/>
          <w:sz w:val="16"/>
          <w:szCs w:val="16"/>
          <w:lang w:val="es-ES"/>
        </w:rPr>
        <w:t xml:space="preserve"> 21 de noviembre de 2008</w:t>
      </w:r>
      <w:r w:rsidRPr="007877A3">
        <w:rPr>
          <w:rFonts w:ascii="Cambria" w:hAnsi="Cambria"/>
          <w:sz w:val="16"/>
          <w:szCs w:val="16"/>
          <w:lang w:val="es-CO"/>
        </w:rPr>
        <w:t>, no controvertido por el peticionario.</w:t>
      </w:r>
    </w:p>
  </w:footnote>
  <w:footnote w:id="94">
    <w:p w:rsidR="0006606E" w:rsidRPr="007877A3" w:rsidRDefault="0006606E" w:rsidP="00DC278B">
      <w:pPr>
        <w:pStyle w:val="Textonotapie"/>
        <w:tabs>
          <w:tab w:val="left" w:pos="360"/>
        </w:tabs>
        <w:spacing w:after="120"/>
        <w:ind w:firstLine="720"/>
        <w:jc w:val="both"/>
        <w:rPr>
          <w:rFonts w:ascii="Cambria" w:hAnsi="Cambria"/>
          <w:sz w:val="16"/>
          <w:szCs w:val="16"/>
          <w:lang w:val="es-CO"/>
        </w:rPr>
      </w:pPr>
      <w:r w:rsidRPr="007877A3">
        <w:rPr>
          <w:rStyle w:val="Refdenotaalpie"/>
          <w:rFonts w:ascii="Cambria" w:hAnsi="Cambria"/>
          <w:sz w:val="16"/>
          <w:szCs w:val="16"/>
        </w:rPr>
        <w:footnoteRef/>
      </w:r>
      <w:r w:rsidRPr="007877A3">
        <w:rPr>
          <w:rFonts w:ascii="Cambria" w:hAnsi="Cambria"/>
          <w:sz w:val="16"/>
          <w:szCs w:val="16"/>
          <w:lang w:val="es-CO"/>
        </w:rPr>
        <w:t xml:space="preserve"> </w:t>
      </w:r>
      <w:r>
        <w:rPr>
          <w:rFonts w:ascii="Cambria" w:hAnsi="Cambria"/>
          <w:sz w:val="16"/>
          <w:szCs w:val="16"/>
          <w:lang w:val="es-ES"/>
        </w:rPr>
        <w:t>Escrito de observaciones del Estado de</w:t>
      </w:r>
      <w:r w:rsidRPr="007877A3">
        <w:rPr>
          <w:rFonts w:ascii="Cambria" w:hAnsi="Cambria"/>
          <w:sz w:val="16"/>
          <w:szCs w:val="16"/>
          <w:lang w:val="es-ES"/>
        </w:rPr>
        <w:t xml:space="preserve"> 21 de noviembre de 2008</w:t>
      </w:r>
      <w:r w:rsidRPr="007877A3">
        <w:rPr>
          <w:rFonts w:ascii="Cambria" w:hAnsi="Cambria"/>
          <w:sz w:val="16"/>
          <w:szCs w:val="16"/>
          <w:lang w:val="es-CO"/>
        </w:rPr>
        <w:t>, no controvertido por el peticionario.</w:t>
      </w:r>
    </w:p>
  </w:footnote>
  <w:footnote w:id="95">
    <w:p w:rsidR="0006606E" w:rsidRPr="007877A3" w:rsidRDefault="0006606E" w:rsidP="00DC278B">
      <w:pPr>
        <w:pStyle w:val="Textonotapie"/>
        <w:tabs>
          <w:tab w:val="left" w:pos="360"/>
        </w:tabs>
        <w:spacing w:after="120"/>
        <w:ind w:firstLine="720"/>
        <w:jc w:val="both"/>
        <w:rPr>
          <w:rFonts w:ascii="Cambria" w:hAnsi="Cambria"/>
          <w:sz w:val="16"/>
          <w:szCs w:val="16"/>
          <w:lang w:val="es-CO"/>
        </w:rPr>
      </w:pPr>
      <w:r w:rsidRPr="007877A3">
        <w:rPr>
          <w:rStyle w:val="Refdenotaalpie"/>
          <w:rFonts w:ascii="Cambria" w:hAnsi="Cambria"/>
          <w:sz w:val="16"/>
          <w:szCs w:val="16"/>
        </w:rPr>
        <w:footnoteRef/>
      </w:r>
      <w:r w:rsidRPr="007877A3">
        <w:rPr>
          <w:rFonts w:ascii="Cambria" w:hAnsi="Cambria"/>
          <w:sz w:val="16"/>
          <w:szCs w:val="16"/>
          <w:lang w:val="es-CO"/>
        </w:rPr>
        <w:t xml:space="preserve"> </w:t>
      </w:r>
      <w:r>
        <w:rPr>
          <w:rFonts w:ascii="Cambria" w:hAnsi="Cambria"/>
          <w:sz w:val="16"/>
          <w:szCs w:val="16"/>
          <w:lang w:val="es-CO"/>
        </w:rPr>
        <w:t xml:space="preserve">Anexo 14. </w:t>
      </w:r>
      <w:r w:rsidRPr="007877A3">
        <w:rPr>
          <w:rFonts w:ascii="Cambria" w:hAnsi="Cambria"/>
          <w:sz w:val="16"/>
          <w:szCs w:val="16"/>
          <w:lang w:val="es-CO"/>
        </w:rPr>
        <w:t xml:space="preserve">Demanda presentada por Carlos Melo y otros </w:t>
      </w:r>
      <w:r w:rsidRPr="007877A3">
        <w:rPr>
          <w:rFonts w:ascii="Cambria" w:hAnsi="Cambria"/>
          <w:sz w:val="16"/>
          <w:szCs w:val="16"/>
          <w:lang w:val="es-MX"/>
        </w:rPr>
        <w:t>ante el 8</w:t>
      </w:r>
      <w:r w:rsidRPr="007877A3">
        <w:rPr>
          <w:rFonts w:ascii="Cambria" w:hAnsi="Cambria"/>
          <w:sz w:val="16"/>
          <w:szCs w:val="16"/>
          <w:lang w:val="es-CO"/>
        </w:rPr>
        <w:t>º</w:t>
      </w:r>
      <w:r w:rsidRPr="007877A3">
        <w:rPr>
          <w:rFonts w:ascii="Cambria" w:hAnsi="Cambria"/>
          <w:sz w:val="16"/>
          <w:szCs w:val="16"/>
          <w:lang w:val="es-MX"/>
        </w:rPr>
        <w:t xml:space="preserve"> Juzgado Civil contra el Fisco de Chile</w:t>
      </w:r>
      <w:r w:rsidRPr="007877A3">
        <w:rPr>
          <w:rFonts w:ascii="Cambria" w:hAnsi="Cambria"/>
          <w:sz w:val="16"/>
          <w:szCs w:val="16"/>
          <w:lang w:val="es-CO"/>
        </w:rPr>
        <w:t>. Anexo a la petición de 22 de enero de 2004.</w:t>
      </w:r>
    </w:p>
  </w:footnote>
  <w:footnote w:id="96">
    <w:p w:rsidR="0006606E" w:rsidRPr="007877A3" w:rsidRDefault="0006606E" w:rsidP="00DC278B">
      <w:pPr>
        <w:pStyle w:val="Textonotapie"/>
        <w:tabs>
          <w:tab w:val="left" w:pos="360"/>
        </w:tabs>
        <w:spacing w:after="120"/>
        <w:ind w:firstLine="720"/>
        <w:jc w:val="both"/>
        <w:rPr>
          <w:rFonts w:ascii="Cambria" w:hAnsi="Cambria"/>
          <w:sz w:val="16"/>
          <w:szCs w:val="16"/>
          <w:lang w:val="es-CO"/>
        </w:rPr>
      </w:pPr>
      <w:r w:rsidRPr="007877A3">
        <w:rPr>
          <w:rStyle w:val="Refdenotaalpie"/>
          <w:rFonts w:ascii="Cambria" w:hAnsi="Cambria"/>
          <w:sz w:val="16"/>
          <w:szCs w:val="16"/>
        </w:rPr>
        <w:footnoteRef/>
      </w:r>
      <w:r w:rsidRPr="007877A3">
        <w:rPr>
          <w:rFonts w:ascii="Cambria" w:hAnsi="Cambria"/>
          <w:sz w:val="16"/>
          <w:szCs w:val="16"/>
          <w:lang w:val="es-CO"/>
        </w:rPr>
        <w:t xml:space="preserve"> </w:t>
      </w:r>
      <w:r>
        <w:rPr>
          <w:rFonts w:ascii="Cambria" w:hAnsi="Cambria"/>
          <w:sz w:val="16"/>
          <w:szCs w:val="16"/>
          <w:lang w:val="es-CO"/>
        </w:rPr>
        <w:t xml:space="preserve">Anexo 15. </w:t>
      </w:r>
      <w:r w:rsidRPr="007877A3">
        <w:rPr>
          <w:rFonts w:ascii="Cambria" w:hAnsi="Cambria"/>
          <w:sz w:val="16"/>
          <w:szCs w:val="16"/>
          <w:lang w:val="es-CO"/>
        </w:rPr>
        <w:t>8º Juzgado Civil, Sentencia de 27 de septiembre de 2002, Melo y otros contra el Fisco de Chile. Considerandos Séptimo y Octavo. Anexo a la petición de 22 de enero de 2004.</w:t>
      </w:r>
    </w:p>
  </w:footnote>
  <w:footnote w:id="97">
    <w:p w:rsidR="0006606E" w:rsidRPr="007877A3" w:rsidRDefault="0006606E" w:rsidP="00DC278B">
      <w:pPr>
        <w:pStyle w:val="Textonotapie"/>
        <w:tabs>
          <w:tab w:val="left" w:pos="360"/>
        </w:tabs>
        <w:spacing w:after="120"/>
        <w:ind w:firstLine="720"/>
        <w:jc w:val="both"/>
        <w:rPr>
          <w:rFonts w:ascii="Cambria" w:hAnsi="Cambria"/>
          <w:sz w:val="16"/>
          <w:szCs w:val="16"/>
          <w:lang w:val="es-ES"/>
        </w:rPr>
      </w:pPr>
      <w:r w:rsidRPr="007877A3">
        <w:rPr>
          <w:rStyle w:val="Refdenotaalpie"/>
          <w:rFonts w:ascii="Cambria" w:hAnsi="Cambria"/>
          <w:sz w:val="16"/>
          <w:szCs w:val="16"/>
        </w:rPr>
        <w:footnoteRef/>
      </w:r>
      <w:r w:rsidRPr="007877A3">
        <w:rPr>
          <w:rFonts w:ascii="Cambria" w:hAnsi="Cambria"/>
          <w:sz w:val="16"/>
          <w:szCs w:val="16"/>
          <w:lang w:val="es-ES"/>
        </w:rPr>
        <w:t xml:space="preserve"> Poder Judicial de la República de Chile. Consulta de estado de causas detalle de movimiento. Causa C-2918/2000.</w:t>
      </w:r>
    </w:p>
  </w:footnote>
  <w:footnote w:id="98">
    <w:p w:rsidR="0006606E" w:rsidRPr="007877A3" w:rsidRDefault="0006606E" w:rsidP="00DC278B">
      <w:pPr>
        <w:pStyle w:val="Textonotapie"/>
        <w:tabs>
          <w:tab w:val="left" w:pos="360"/>
        </w:tabs>
        <w:spacing w:after="120"/>
        <w:ind w:firstLine="720"/>
        <w:jc w:val="both"/>
        <w:rPr>
          <w:rFonts w:ascii="Cambria" w:hAnsi="Cambria"/>
          <w:sz w:val="16"/>
          <w:szCs w:val="16"/>
          <w:lang w:val="es-CO"/>
        </w:rPr>
      </w:pPr>
      <w:r w:rsidRPr="007877A3">
        <w:rPr>
          <w:rStyle w:val="Refdenotaalpie"/>
          <w:rFonts w:ascii="Cambria" w:hAnsi="Cambria"/>
          <w:sz w:val="16"/>
          <w:szCs w:val="16"/>
        </w:rPr>
        <w:footnoteRef/>
      </w:r>
      <w:r w:rsidRPr="007877A3">
        <w:rPr>
          <w:rFonts w:ascii="Cambria" w:hAnsi="Cambria"/>
          <w:sz w:val="16"/>
          <w:szCs w:val="16"/>
          <w:lang w:val="es-CO"/>
        </w:rPr>
        <w:t xml:space="preserve"> </w:t>
      </w:r>
      <w:r>
        <w:rPr>
          <w:rFonts w:ascii="Cambria" w:hAnsi="Cambria"/>
          <w:sz w:val="16"/>
          <w:szCs w:val="16"/>
          <w:lang w:val="es-ES"/>
        </w:rPr>
        <w:t>Escrito de observaciones del Estado de</w:t>
      </w:r>
      <w:r w:rsidRPr="007877A3">
        <w:rPr>
          <w:rFonts w:ascii="Cambria" w:hAnsi="Cambria"/>
          <w:sz w:val="16"/>
          <w:szCs w:val="16"/>
          <w:lang w:val="es-ES"/>
        </w:rPr>
        <w:t xml:space="preserve"> 21 de noviembre de 2008</w:t>
      </w:r>
      <w:r>
        <w:rPr>
          <w:rFonts w:ascii="Cambria" w:hAnsi="Cambria"/>
          <w:sz w:val="16"/>
          <w:szCs w:val="16"/>
          <w:lang w:val="es-ES"/>
        </w:rPr>
        <w:t xml:space="preserve">, </w:t>
      </w:r>
      <w:r w:rsidRPr="007877A3">
        <w:rPr>
          <w:rFonts w:ascii="Cambria" w:hAnsi="Cambria"/>
          <w:sz w:val="16"/>
          <w:szCs w:val="16"/>
          <w:lang w:val="es-CO"/>
        </w:rPr>
        <w:t>no controvertido por el peticionario.</w:t>
      </w:r>
    </w:p>
  </w:footnote>
  <w:footnote w:id="99">
    <w:p w:rsidR="0006606E" w:rsidRPr="007877A3" w:rsidRDefault="0006606E" w:rsidP="00DC278B">
      <w:pPr>
        <w:pStyle w:val="Textonotapie"/>
        <w:tabs>
          <w:tab w:val="left" w:pos="360"/>
        </w:tabs>
        <w:spacing w:after="120"/>
        <w:ind w:firstLine="720"/>
        <w:jc w:val="both"/>
        <w:rPr>
          <w:rFonts w:ascii="Cambria" w:hAnsi="Cambria"/>
          <w:sz w:val="16"/>
          <w:szCs w:val="16"/>
          <w:lang w:val="es-ES"/>
        </w:rPr>
      </w:pPr>
      <w:r w:rsidRPr="007877A3">
        <w:rPr>
          <w:rStyle w:val="Refdenotaalpie"/>
          <w:rFonts w:ascii="Cambria" w:hAnsi="Cambria"/>
          <w:sz w:val="16"/>
          <w:szCs w:val="16"/>
        </w:rPr>
        <w:footnoteRef/>
      </w:r>
      <w:r w:rsidRPr="007877A3">
        <w:rPr>
          <w:rFonts w:ascii="Cambria" w:hAnsi="Cambria"/>
          <w:sz w:val="16"/>
          <w:szCs w:val="16"/>
          <w:lang w:val="es-CO"/>
        </w:rPr>
        <w:t xml:space="preserve"> </w:t>
      </w:r>
      <w:r w:rsidRPr="007877A3">
        <w:rPr>
          <w:rFonts w:ascii="Cambria" w:hAnsi="Cambria"/>
          <w:sz w:val="16"/>
          <w:szCs w:val="16"/>
          <w:lang w:val="es-ES"/>
        </w:rPr>
        <w:t xml:space="preserve">Informe de la Comisión </w:t>
      </w:r>
      <w:proofErr w:type="spellStart"/>
      <w:r w:rsidRPr="007877A3">
        <w:rPr>
          <w:rFonts w:ascii="Cambria" w:hAnsi="Cambria"/>
          <w:sz w:val="16"/>
          <w:szCs w:val="16"/>
          <w:lang w:val="es-ES"/>
        </w:rPr>
        <w:t>Rettig</w:t>
      </w:r>
      <w:proofErr w:type="spellEnd"/>
      <w:r>
        <w:rPr>
          <w:rFonts w:ascii="Cambria" w:hAnsi="Cambria"/>
          <w:sz w:val="16"/>
          <w:szCs w:val="16"/>
          <w:lang w:val="es-ES"/>
        </w:rPr>
        <w:t>, Tomo II, págs. 840 y 841.</w:t>
      </w:r>
    </w:p>
  </w:footnote>
  <w:footnote w:id="100">
    <w:p w:rsidR="0006606E" w:rsidRPr="007877A3" w:rsidRDefault="0006606E" w:rsidP="00DC278B">
      <w:pPr>
        <w:pStyle w:val="Textonotapie"/>
        <w:tabs>
          <w:tab w:val="left" w:pos="360"/>
        </w:tabs>
        <w:spacing w:after="120"/>
        <w:ind w:firstLine="720"/>
        <w:jc w:val="both"/>
        <w:rPr>
          <w:rFonts w:ascii="Cambria" w:hAnsi="Cambria"/>
          <w:sz w:val="16"/>
          <w:szCs w:val="16"/>
          <w:lang w:val="es-ES"/>
        </w:rPr>
      </w:pPr>
      <w:r w:rsidRPr="007877A3">
        <w:rPr>
          <w:rStyle w:val="Refdenotaalpie"/>
          <w:rFonts w:ascii="Cambria" w:hAnsi="Cambria"/>
          <w:sz w:val="16"/>
          <w:szCs w:val="16"/>
        </w:rPr>
        <w:footnoteRef/>
      </w:r>
      <w:r w:rsidRPr="007877A3">
        <w:rPr>
          <w:rFonts w:ascii="Cambria" w:hAnsi="Cambria"/>
          <w:sz w:val="16"/>
          <w:szCs w:val="16"/>
          <w:lang w:val="es-CO"/>
        </w:rPr>
        <w:t xml:space="preserve"> </w:t>
      </w:r>
      <w:r w:rsidRPr="007877A3">
        <w:rPr>
          <w:rFonts w:ascii="Cambria" w:hAnsi="Cambria"/>
          <w:sz w:val="16"/>
          <w:szCs w:val="16"/>
          <w:lang w:val="es-ES"/>
        </w:rPr>
        <w:t xml:space="preserve">Informe de la Comisión </w:t>
      </w:r>
      <w:proofErr w:type="spellStart"/>
      <w:r w:rsidRPr="007877A3">
        <w:rPr>
          <w:rFonts w:ascii="Cambria" w:hAnsi="Cambria"/>
          <w:sz w:val="16"/>
          <w:szCs w:val="16"/>
          <w:lang w:val="es-ES"/>
        </w:rPr>
        <w:t>Rettig</w:t>
      </w:r>
      <w:proofErr w:type="spellEnd"/>
      <w:r>
        <w:rPr>
          <w:rFonts w:ascii="Cambria" w:hAnsi="Cambria"/>
          <w:sz w:val="16"/>
          <w:szCs w:val="16"/>
          <w:lang w:val="es-ES"/>
        </w:rPr>
        <w:t>, Tomo II, págs. 840 y 841.</w:t>
      </w:r>
    </w:p>
  </w:footnote>
  <w:footnote w:id="101">
    <w:p w:rsidR="0006606E" w:rsidRPr="007877A3" w:rsidRDefault="0006606E" w:rsidP="00DC278B">
      <w:pPr>
        <w:pStyle w:val="Textonotapie"/>
        <w:tabs>
          <w:tab w:val="left" w:pos="360"/>
        </w:tabs>
        <w:spacing w:after="120"/>
        <w:ind w:firstLine="720"/>
        <w:jc w:val="both"/>
        <w:rPr>
          <w:rFonts w:ascii="Cambria" w:hAnsi="Cambria"/>
          <w:sz w:val="16"/>
          <w:szCs w:val="16"/>
          <w:lang w:val="es-ES"/>
        </w:rPr>
      </w:pPr>
      <w:r w:rsidRPr="007877A3">
        <w:rPr>
          <w:rStyle w:val="Refdenotaalpie"/>
          <w:rFonts w:ascii="Cambria" w:hAnsi="Cambria"/>
          <w:sz w:val="16"/>
          <w:szCs w:val="16"/>
        </w:rPr>
        <w:footnoteRef/>
      </w:r>
      <w:r w:rsidRPr="007877A3">
        <w:rPr>
          <w:rFonts w:ascii="Cambria" w:hAnsi="Cambria"/>
          <w:sz w:val="16"/>
          <w:szCs w:val="16"/>
          <w:lang w:val="es-CO"/>
        </w:rPr>
        <w:t xml:space="preserve"> </w:t>
      </w:r>
      <w:r w:rsidRPr="007877A3">
        <w:rPr>
          <w:rFonts w:ascii="Cambria" w:hAnsi="Cambria"/>
          <w:sz w:val="16"/>
          <w:szCs w:val="16"/>
          <w:lang w:val="es-ES"/>
        </w:rPr>
        <w:t>Informe de la Comisión</w:t>
      </w:r>
      <w:r>
        <w:rPr>
          <w:rFonts w:ascii="Cambria" w:hAnsi="Cambria"/>
          <w:sz w:val="16"/>
          <w:szCs w:val="16"/>
          <w:lang w:val="es-ES"/>
        </w:rPr>
        <w:t xml:space="preserve"> </w:t>
      </w:r>
      <w:proofErr w:type="spellStart"/>
      <w:r>
        <w:rPr>
          <w:rFonts w:ascii="Cambria" w:hAnsi="Cambria"/>
          <w:sz w:val="16"/>
          <w:szCs w:val="16"/>
          <w:lang w:val="es-ES"/>
        </w:rPr>
        <w:t>Rettig</w:t>
      </w:r>
      <w:proofErr w:type="spellEnd"/>
      <w:r>
        <w:rPr>
          <w:rFonts w:ascii="Cambria" w:hAnsi="Cambria"/>
          <w:sz w:val="16"/>
          <w:szCs w:val="16"/>
          <w:lang w:val="es-ES"/>
        </w:rPr>
        <w:t xml:space="preserve">, Tomo II, pág. 841. </w:t>
      </w:r>
    </w:p>
  </w:footnote>
  <w:footnote w:id="102">
    <w:p w:rsidR="0006606E" w:rsidRPr="007877A3" w:rsidRDefault="0006606E" w:rsidP="00DC278B">
      <w:pPr>
        <w:pStyle w:val="Textonotapie"/>
        <w:tabs>
          <w:tab w:val="left" w:pos="360"/>
        </w:tabs>
        <w:spacing w:after="120"/>
        <w:ind w:firstLine="720"/>
        <w:jc w:val="both"/>
        <w:rPr>
          <w:rFonts w:ascii="Cambria" w:hAnsi="Cambria"/>
          <w:sz w:val="16"/>
          <w:szCs w:val="16"/>
          <w:lang w:val="es-ES"/>
        </w:rPr>
      </w:pPr>
      <w:r w:rsidRPr="007877A3">
        <w:rPr>
          <w:rStyle w:val="Refdenotaalpie"/>
          <w:rFonts w:ascii="Cambria" w:hAnsi="Cambria"/>
          <w:sz w:val="16"/>
          <w:szCs w:val="16"/>
        </w:rPr>
        <w:footnoteRef/>
      </w:r>
      <w:r w:rsidRPr="007877A3">
        <w:rPr>
          <w:rFonts w:ascii="Cambria" w:hAnsi="Cambria"/>
          <w:sz w:val="16"/>
          <w:szCs w:val="16"/>
          <w:lang w:val="es-CO"/>
        </w:rPr>
        <w:t xml:space="preserve"> </w:t>
      </w:r>
      <w:r w:rsidRPr="007877A3">
        <w:rPr>
          <w:rFonts w:ascii="Cambria" w:hAnsi="Cambria"/>
          <w:sz w:val="16"/>
          <w:szCs w:val="16"/>
          <w:lang w:val="es-ES"/>
        </w:rPr>
        <w:t>Informe de la Comisión</w:t>
      </w:r>
      <w:r>
        <w:rPr>
          <w:rFonts w:ascii="Cambria" w:hAnsi="Cambria"/>
          <w:sz w:val="16"/>
          <w:szCs w:val="16"/>
          <w:lang w:val="es-ES"/>
        </w:rPr>
        <w:t xml:space="preserve"> </w:t>
      </w:r>
      <w:proofErr w:type="spellStart"/>
      <w:r>
        <w:rPr>
          <w:rFonts w:ascii="Cambria" w:hAnsi="Cambria"/>
          <w:sz w:val="16"/>
          <w:szCs w:val="16"/>
          <w:lang w:val="es-ES"/>
        </w:rPr>
        <w:t>Rettig</w:t>
      </w:r>
      <w:proofErr w:type="spellEnd"/>
      <w:r>
        <w:rPr>
          <w:rFonts w:ascii="Cambria" w:hAnsi="Cambria"/>
          <w:sz w:val="16"/>
          <w:szCs w:val="16"/>
          <w:lang w:val="es-ES"/>
        </w:rPr>
        <w:t xml:space="preserve">, Tomo II, pág. 841. </w:t>
      </w:r>
    </w:p>
  </w:footnote>
  <w:footnote w:id="103">
    <w:p w:rsidR="0006606E" w:rsidRPr="007877A3" w:rsidRDefault="0006606E" w:rsidP="00DC278B">
      <w:pPr>
        <w:pStyle w:val="Textonotapie"/>
        <w:tabs>
          <w:tab w:val="left" w:pos="360"/>
        </w:tabs>
        <w:spacing w:after="120"/>
        <w:ind w:firstLine="720"/>
        <w:jc w:val="both"/>
        <w:rPr>
          <w:rFonts w:ascii="Cambria" w:hAnsi="Cambria"/>
          <w:sz w:val="16"/>
          <w:szCs w:val="16"/>
          <w:lang w:val="es-ES"/>
        </w:rPr>
      </w:pPr>
      <w:r w:rsidRPr="007877A3">
        <w:rPr>
          <w:rStyle w:val="Refdenotaalpie"/>
          <w:rFonts w:ascii="Cambria" w:hAnsi="Cambria"/>
          <w:sz w:val="16"/>
          <w:szCs w:val="16"/>
        </w:rPr>
        <w:footnoteRef/>
      </w:r>
      <w:r w:rsidRPr="007877A3">
        <w:rPr>
          <w:rFonts w:ascii="Cambria" w:hAnsi="Cambria"/>
          <w:sz w:val="16"/>
          <w:szCs w:val="16"/>
          <w:lang w:val="es-CO"/>
        </w:rPr>
        <w:t xml:space="preserve"> </w:t>
      </w:r>
      <w:r w:rsidRPr="007877A3">
        <w:rPr>
          <w:rFonts w:ascii="Cambria" w:hAnsi="Cambria"/>
          <w:sz w:val="16"/>
          <w:szCs w:val="16"/>
          <w:lang w:val="es-ES"/>
        </w:rPr>
        <w:t xml:space="preserve">Informe de la Comisión </w:t>
      </w:r>
      <w:proofErr w:type="spellStart"/>
      <w:r w:rsidRPr="007877A3">
        <w:rPr>
          <w:rFonts w:ascii="Cambria" w:hAnsi="Cambria"/>
          <w:sz w:val="16"/>
          <w:szCs w:val="16"/>
          <w:lang w:val="es-ES"/>
        </w:rPr>
        <w:t>Ret</w:t>
      </w:r>
      <w:r>
        <w:rPr>
          <w:rFonts w:ascii="Cambria" w:hAnsi="Cambria"/>
          <w:sz w:val="16"/>
          <w:szCs w:val="16"/>
          <w:lang w:val="es-ES"/>
        </w:rPr>
        <w:t>tig</w:t>
      </w:r>
      <w:proofErr w:type="spellEnd"/>
      <w:r>
        <w:rPr>
          <w:rFonts w:ascii="Cambria" w:hAnsi="Cambria"/>
          <w:sz w:val="16"/>
          <w:szCs w:val="16"/>
          <w:lang w:val="es-ES"/>
        </w:rPr>
        <w:t xml:space="preserve">, Tomo II, pág. 841. </w:t>
      </w:r>
    </w:p>
  </w:footnote>
  <w:footnote w:id="104">
    <w:p w:rsidR="0006606E" w:rsidRPr="007877A3" w:rsidRDefault="0006606E" w:rsidP="00DC278B">
      <w:pPr>
        <w:pStyle w:val="Textonotapie"/>
        <w:tabs>
          <w:tab w:val="left" w:pos="360"/>
        </w:tabs>
        <w:spacing w:after="120"/>
        <w:ind w:firstLine="720"/>
        <w:jc w:val="both"/>
        <w:rPr>
          <w:rFonts w:ascii="Cambria" w:hAnsi="Cambria"/>
          <w:sz w:val="16"/>
          <w:szCs w:val="16"/>
          <w:lang w:val="es-CO"/>
        </w:rPr>
      </w:pPr>
      <w:r w:rsidRPr="007877A3">
        <w:rPr>
          <w:rStyle w:val="Refdenotaalpie"/>
          <w:rFonts w:ascii="Cambria" w:hAnsi="Cambria"/>
          <w:sz w:val="16"/>
          <w:szCs w:val="16"/>
        </w:rPr>
        <w:footnoteRef/>
      </w:r>
      <w:r w:rsidRPr="007877A3">
        <w:rPr>
          <w:rFonts w:ascii="Cambria" w:hAnsi="Cambria"/>
          <w:sz w:val="16"/>
          <w:szCs w:val="16"/>
          <w:lang w:val="es-CO"/>
        </w:rPr>
        <w:t xml:space="preserve"> </w:t>
      </w:r>
      <w:r>
        <w:rPr>
          <w:rFonts w:ascii="Cambria" w:hAnsi="Cambria"/>
          <w:sz w:val="16"/>
          <w:szCs w:val="16"/>
          <w:lang w:val="es-ES"/>
        </w:rPr>
        <w:t>Escrito de observaciones del Estado de</w:t>
      </w:r>
      <w:r w:rsidRPr="007877A3">
        <w:rPr>
          <w:rFonts w:ascii="Cambria" w:hAnsi="Cambria"/>
          <w:sz w:val="16"/>
          <w:szCs w:val="16"/>
          <w:lang w:val="es-ES"/>
        </w:rPr>
        <w:t xml:space="preserve"> 21 de noviembre de 2008</w:t>
      </w:r>
      <w:r>
        <w:rPr>
          <w:rFonts w:ascii="Cambria" w:hAnsi="Cambria"/>
          <w:sz w:val="16"/>
          <w:szCs w:val="16"/>
          <w:lang w:val="es-ES"/>
        </w:rPr>
        <w:t xml:space="preserve">, </w:t>
      </w:r>
      <w:r w:rsidRPr="007877A3">
        <w:rPr>
          <w:rFonts w:ascii="Cambria" w:hAnsi="Cambria"/>
          <w:sz w:val="16"/>
          <w:szCs w:val="16"/>
          <w:lang w:val="es-CO"/>
        </w:rPr>
        <w:t>no controvertido por el peticionario.</w:t>
      </w:r>
    </w:p>
  </w:footnote>
  <w:footnote w:id="105">
    <w:p w:rsidR="0006606E" w:rsidRPr="007877A3" w:rsidRDefault="0006606E" w:rsidP="00DC278B">
      <w:pPr>
        <w:pStyle w:val="Textonotapie"/>
        <w:tabs>
          <w:tab w:val="left" w:pos="360"/>
        </w:tabs>
        <w:spacing w:after="120"/>
        <w:ind w:firstLine="720"/>
        <w:jc w:val="both"/>
        <w:rPr>
          <w:rFonts w:ascii="Cambria" w:hAnsi="Cambria"/>
          <w:sz w:val="16"/>
          <w:szCs w:val="16"/>
          <w:lang w:val="es-CO"/>
        </w:rPr>
      </w:pPr>
      <w:r w:rsidRPr="007877A3">
        <w:rPr>
          <w:rStyle w:val="Refdenotaalpie"/>
          <w:rFonts w:ascii="Cambria" w:hAnsi="Cambria"/>
          <w:sz w:val="16"/>
          <w:szCs w:val="16"/>
        </w:rPr>
        <w:footnoteRef/>
      </w:r>
      <w:r w:rsidRPr="007877A3">
        <w:rPr>
          <w:rFonts w:ascii="Cambria" w:hAnsi="Cambria"/>
          <w:sz w:val="16"/>
          <w:szCs w:val="16"/>
          <w:lang w:val="es-CO"/>
        </w:rPr>
        <w:t xml:space="preserve"> </w:t>
      </w:r>
      <w:r>
        <w:rPr>
          <w:rFonts w:ascii="Cambria" w:hAnsi="Cambria"/>
          <w:sz w:val="16"/>
          <w:szCs w:val="16"/>
          <w:lang w:val="es-ES"/>
        </w:rPr>
        <w:t>Escrito de observaciones del Estado de</w:t>
      </w:r>
      <w:r w:rsidRPr="007877A3">
        <w:rPr>
          <w:rFonts w:ascii="Cambria" w:hAnsi="Cambria"/>
          <w:sz w:val="16"/>
          <w:szCs w:val="16"/>
          <w:lang w:val="es-ES"/>
        </w:rPr>
        <w:t xml:space="preserve"> 21 de noviembre de 2008</w:t>
      </w:r>
      <w:r>
        <w:rPr>
          <w:rFonts w:ascii="Cambria" w:hAnsi="Cambria"/>
          <w:sz w:val="16"/>
          <w:szCs w:val="16"/>
          <w:lang w:val="es-ES"/>
        </w:rPr>
        <w:t xml:space="preserve">, </w:t>
      </w:r>
      <w:r w:rsidRPr="007877A3">
        <w:rPr>
          <w:rFonts w:ascii="Cambria" w:hAnsi="Cambria"/>
          <w:sz w:val="16"/>
          <w:szCs w:val="16"/>
          <w:lang w:val="es-CO"/>
        </w:rPr>
        <w:t>no controvertido por el peticionario.</w:t>
      </w:r>
    </w:p>
  </w:footnote>
  <w:footnote w:id="106">
    <w:p w:rsidR="0006606E" w:rsidRPr="007877A3" w:rsidRDefault="0006606E" w:rsidP="00DC278B">
      <w:pPr>
        <w:pStyle w:val="Textonotapie"/>
        <w:tabs>
          <w:tab w:val="left" w:pos="360"/>
        </w:tabs>
        <w:spacing w:after="120"/>
        <w:ind w:firstLine="720"/>
        <w:jc w:val="both"/>
        <w:rPr>
          <w:rFonts w:ascii="Cambria" w:hAnsi="Cambria"/>
          <w:sz w:val="16"/>
          <w:szCs w:val="16"/>
          <w:lang w:val="es-CO"/>
        </w:rPr>
      </w:pPr>
      <w:r w:rsidRPr="007877A3">
        <w:rPr>
          <w:rStyle w:val="Refdenotaalpie"/>
          <w:rFonts w:ascii="Cambria" w:hAnsi="Cambria"/>
          <w:sz w:val="16"/>
          <w:szCs w:val="16"/>
        </w:rPr>
        <w:footnoteRef/>
      </w:r>
      <w:r w:rsidRPr="007877A3">
        <w:rPr>
          <w:rFonts w:ascii="Cambria" w:hAnsi="Cambria"/>
          <w:sz w:val="16"/>
          <w:szCs w:val="16"/>
          <w:lang w:val="es-CO"/>
        </w:rPr>
        <w:t xml:space="preserve"> </w:t>
      </w:r>
      <w:r>
        <w:rPr>
          <w:rFonts w:ascii="Cambria" w:hAnsi="Cambria"/>
          <w:sz w:val="16"/>
          <w:szCs w:val="16"/>
          <w:lang w:val="es-CO"/>
        </w:rPr>
        <w:t xml:space="preserve">Anexo 16. </w:t>
      </w:r>
      <w:r w:rsidRPr="007877A3">
        <w:rPr>
          <w:rFonts w:ascii="Cambria" w:hAnsi="Cambria"/>
          <w:sz w:val="16"/>
          <w:szCs w:val="16"/>
          <w:lang w:val="es-CO"/>
        </w:rPr>
        <w:t>Demanda de indemnización de perjuicios interpuesta por Katia Ximena Espejo y otra. Anexo a la petición de 16 de octubre de 2003.</w:t>
      </w:r>
    </w:p>
  </w:footnote>
  <w:footnote w:id="107">
    <w:p w:rsidR="0006606E" w:rsidRPr="007877A3" w:rsidRDefault="0006606E" w:rsidP="00DC278B">
      <w:pPr>
        <w:pStyle w:val="Textonotapie"/>
        <w:tabs>
          <w:tab w:val="left" w:pos="360"/>
        </w:tabs>
        <w:spacing w:after="120"/>
        <w:ind w:firstLine="720"/>
        <w:jc w:val="both"/>
        <w:rPr>
          <w:rFonts w:ascii="Cambria" w:hAnsi="Cambria"/>
          <w:sz w:val="16"/>
          <w:szCs w:val="16"/>
          <w:lang w:val="es-CO"/>
        </w:rPr>
      </w:pPr>
      <w:r w:rsidRPr="007877A3">
        <w:rPr>
          <w:rStyle w:val="Refdenotaalpie"/>
          <w:rFonts w:ascii="Cambria" w:hAnsi="Cambria"/>
          <w:sz w:val="16"/>
          <w:szCs w:val="16"/>
        </w:rPr>
        <w:footnoteRef/>
      </w:r>
      <w:r w:rsidRPr="007877A3">
        <w:rPr>
          <w:rFonts w:ascii="Cambria" w:hAnsi="Cambria"/>
          <w:sz w:val="16"/>
          <w:szCs w:val="16"/>
          <w:lang w:val="es-CO"/>
        </w:rPr>
        <w:t xml:space="preserve"> </w:t>
      </w:r>
      <w:r>
        <w:rPr>
          <w:rFonts w:ascii="Cambria" w:hAnsi="Cambria"/>
          <w:sz w:val="16"/>
          <w:szCs w:val="16"/>
          <w:lang w:val="es-CO"/>
        </w:rPr>
        <w:t xml:space="preserve">Anexo 17. </w:t>
      </w:r>
      <w:r w:rsidRPr="007877A3">
        <w:rPr>
          <w:rFonts w:ascii="Cambria" w:hAnsi="Cambria"/>
          <w:sz w:val="16"/>
          <w:szCs w:val="16"/>
          <w:lang w:val="es-CO"/>
        </w:rPr>
        <w:t>Sentencia del 17</w:t>
      </w:r>
      <w:r w:rsidRPr="007877A3">
        <w:rPr>
          <w:rFonts w:ascii="Cambria" w:eastAsia="Times New Roman" w:hAnsi="Cambria"/>
          <w:sz w:val="16"/>
          <w:szCs w:val="16"/>
          <w:bdr w:val="none" w:sz="0" w:space="0" w:color="auto"/>
          <w:lang w:val="es-ES_tradnl"/>
        </w:rPr>
        <w:t>º</w:t>
      </w:r>
      <w:r w:rsidRPr="007877A3">
        <w:rPr>
          <w:rFonts w:ascii="Cambria" w:hAnsi="Cambria"/>
          <w:sz w:val="16"/>
          <w:szCs w:val="16"/>
          <w:lang w:val="es-CO"/>
        </w:rPr>
        <w:t xml:space="preserve"> Juzgado Civil, Espejo Gómez contra el Fisco de Chile, Rol C-2918-2000. Anexo a la petición de 16 de octubre de 2003.</w:t>
      </w:r>
    </w:p>
  </w:footnote>
  <w:footnote w:id="108">
    <w:p w:rsidR="0006606E" w:rsidRPr="007877A3" w:rsidRDefault="0006606E" w:rsidP="00DC278B">
      <w:pPr>
        <w:pStyle w:val="Textonotapie"/>
        <w:tabs>
          <w:tab w:val="left" w:pos="360"/>
        </w:tabs>
        <w:spacing w:after="120"/>
        <w:ind w:firstLine="720"/>
        <w:jc w:val="both"/>
        <w:rPr>
          <w:rFonts w:ascii="Cambria" w:hAnsi="Cambria"/>
          <w:sz w:val="16"/>
          <w:szCs w:val="16"/>
          <w:lang w:val="es-CO"/>
        </w:rPr>
      </w:pPr>
      <w:r w:rsidRPr="007877A3">
        <w:rPr>
          <w:rStyle w:val="Refdenotaalpie"/>
          <w:rFonts w:ascii="Cambria" w:hAnsi="Cambria"/>
          <w:sz w:val="16"/>
          <w:szCs w:val="16"/>
        </w:rPr>
        <w:footnoteRef/>
      </w:r>
      <w:r w:rsidRPr="007877A3">
        <w:rPr>
          <w:rFonts w:ascii="Cambria" w:hAnsi="Cambria"/>
          <w:sz w:val="16"/>
          <w:szCs w:val="16"/>
          <w:lang w:val="es-CO"/>
        </w:rPr>
        <w:t xml:space="preserve"> </w:t>
      </w:r>
      <w:r>
        <w:rPr>
          <w:rFonts w:ascii="Cambria" w:hAnsi="Cambria"/>
          <w:sz w:val="16"/>
          <w:szCs w:val="16"/>
          <w:lang w:val="es-CO"/>
        </w:rPr>
        <w:t xml:space="preserve">Anexo 17. </w:t>
      </w:r>
      <w:r w:rsidRPr="007877A3">
        <w:rPr>
          <w:rFonts w:ascii="Cambria" w:hAnsi="Cambria"/>
          <w:sz w:val="16"/>
          <w:szCs w:val="16"/>
          <w:lang w:val="es-CO"/>
        </w:rPr>
        <w:t>Sentencia del 17</w:t>
      </w:r>
      <w:r w:rsidRPr="007877A3">
        <w:rPr>
          <w:rFonts w:ascii="Cambria" w:eastAsia="Times New Roman" w:hAnsi="Cambria"/>
          <w:sz w:val="16"/>
          <w:szCs w:val="16"/>
          <w:bdr w:val="none" w:sz="0" w:space="0" w:color="auto"/>
          <w:lang w:val="es-ES_tradnl"/>
        </w:rPr>
        <w:t>º</w:t>
      </w:r>
      <w:r w:rsidRPr="007877A3">
        <w:rPr>
          <w:rFonts w:ascii="Cambria" w:hAnsi="Cambria"/>
          <w:sz w:val="16"/>
          <w:szCs w:val="16"/>
          <w:lang w:val="es-CO"/>
        </w:rPr>
        <w:t xml:space="preserve"> Juzgado Civil, Espejo Gómez contra el Fisco de Chile, Rol C-2918-2000, Considerando Séptimo. Anexo a la petición de 16 de octubre de 2003.</w:t>
      </w:r>
    </w:p>
  </w:footnote>
  <w:footnote w:id="109">
    <w:p w:rsidR="0006606E" w:rsidRPr="007877A3" w:rsidRDefault="0006606E" w:rsidP="00DC278B">
      <w:pPr>
        <w:pStyle w:val="Textonotapie"/>
        <w:tabs>
          <w:tab w:val="left" w:pos="360"/>
        </w:tabs>
        <w:spacing w:after="120"/>
        <w:ind w:firstLine="720"/>
        <w:jc w:val="both"/>
        <w:rPr>
          <w:rFonts w:ascii="Cambria" w:hAnsi="Cambria"/>
          <w:sz w:val="16"/>
          <w:szCs w:val="16"/>
          <w:lang w:val="es-CO"/>
        </w:rPr>
      </w:pPr>
      <w:r w:rsidRPr="007877A3">
        <w:rPr>
          <w:rStyle w:val="Refdenotaalpie"/>
          <w:rFonts w:ascii="Cambria" w:hAnsi="Cambria"/>
          <w:sz w:val="16"/>
          <w:szCs w:val="16"/>
        </w:rPr>
        <w:footnoteRef/>
      </w:r>
      <w:r w:rsidRPr="007877A3">
        <w:rPr>
          <w:rFonts w:ascii="Cambria" w:hAnsi="Cambria"/>
          <w:sz w:val="16"/>
          <w:szCs w:val="16"/>
          <w:lang w:val="es-CO"/>
        </w:rPr>
        <w:t xml:space="preserve"> </w:t>
      </w:r>
      <w:r>
        <w:rPr>
          <w:rFonts w:ascii="Cambria" w:hAnsi="Cambria"/>
          <w:sz w:val="16"/>
          <w:szCs w:val="16"/>
          <w:lang w:val="es-CO"/>
        </w:rPr>
        <w:t xml:space="preserve">Anexo 18. </w:t>
      </w:r>
      <w:r w:rsidRPr="007877A3">
        <w:rPr>
          <w:rFonts w:ascii="Cambria" w:hAnsi="Cambria"/>
          <w:sz w:val="16"/>
          <w:szCs w:val="16"/>
          <w:lang w:val="es-CO"/>
        </w:rPr>
        <w:t>Rol 2918-200, foja 185. Anexo a la petición de 16 de octubre de 2003.</w:t>
      </w:r>
    </w:p>
  </w:footnote>
  <w:footnote w:id="110">
    <w:p w:rsidR="0006606E" w:rsidRPr="007877A3" w:rsidRDefault="0006606E" w:rsidP="00DC278B">
      <w:pPr>
        <w:pStyle w:val="Textonotapie"/>
        <w:tabs>
          <w:tab w:val="left" w:pos="360"/>
        </w:tabs>
        <w:spacing w:after="120"/>
        <w:ind w:firstLine="720"/>
        <w:jc w:val="both"/>
        <w:rPr>
          <w:rFonts w:ascii="Cambria" w:hAnsi="Cambria"/>
          <w:sz w:val="16"/>
          <w:szCs w:val="16"/>
          <w:lang w:val="es-CO"/>
        </w:rPr>
      </w:pPr>
      <w:r w:rsidRPr="007877A3">
        <w:rPr>
          <w:rStyle w:val="Refdenotaalpie"/>
          <w:rFonts w:ascii="Cambria" w:hAnsi="Cambria"/>
          <w:sz w:val="16"/>
          <w:szCs w:val="16"/>
        </w:rPr>
        <w:footnoteRef/>
      </w:r>
      <w:r w:rsidRPr="007877A3">
        <w:rPr>
          <w:rFonts w:ascii="Cambria" w:hAnsi="Cambria"/>
          <w:sz w:val="16"/>
          <w:szCs w:val="16"/>
          <w:lang w:val="es-CO"/>
        </w:rPr>
        <w:t xml:space="preserve"> </w:t>
      </w:r>
      <w:r w:rsidRPr="007877A3">
        <w:rPr>
          <w:rFonts w:ascii="Cambria" w:hAnsi="Cambria"/>
          <w:sz w:val="16"/>
          <w:szCs w:val="16"/>
          <w:lang w:val="es-ES"/>
        </w:rPr>
        <w:t xml:space="preserve">Informe de la Comisión </w:t>
      </w:r>
      <w:proofErr w:type="spellStart"/>
      <w:r w:rsidRPr="007877A3">
        <w:rPr>
          <w:rFonts w:ascii="Cambria" w:hAnsi="Cambria"/>
          <w:sz w:val="16"/>
          <w:szCs w:val="16"/>
          <w:lang w:val="es-ES"/>
        </w:rPr>
        <w:t>Rettig</w:t>
      </w:r>
      <w:proofErr w:type="spellEnd"/>
      <w:r w:rsidRPr="007877A3">
        <w:rPr>
          <w:rFonts w:ascii="Cambria" w:hAnsi="Cambria"/>
          <w:sz w:val="16"/>
          <w:szCs w:val="16"/>
          <w:lang w:val="es-ES"/>
        </w:rPr>
        <w:t xml:space="preserve">, Tomo II, pág. 790. </w:t>
      </w:r>
    </w:p>
  </w:footnote>
  <w:footnote w:id="111">
    <w:p w:rsidR="0006606E" w:rsidRPr="007877A3" w:rsidRDefault="0006606E" w:rsidP="00DC278B">
      <w:pPr>
        <w:pStyle w:val="Textonotapie"/>
        <w:tabs>
          <w:tab w:val="left" w:pos="360"/>
        </w:tabs>
        <w:spacing w:after="120"/>
        <w:ind w:firstLine="720"/>
        <w:jc w:val="both"/>
        <w:rPr>
          <w:rFonts w:ascii="Cambria" w:hAnsi="Cambria"/>
          <w:sz w:val="16"/>
          <w:szCs w:val="16"/>
          <w:lang w:val="es-CO"/>
        </w:rPr>
      </w:pPr>
      <w:r w:rsidRPr="007877A3">
        <w:rPr>
          <w:rStyle w:val="Refdenotaalpie"/>
          <w:rFonts w:ascii="Cambria" w:hAnsi="Cambria"/>
          <w:sz w:val="16"/>
          <w:szCs w:val="16"/>
        </w:rPr>
        <w:footnoteRef/>
      </w:r>
      <w:r w:rsidRPr="007877A3">
        <w:rPr>
          <w:rFonts w:ascii="Cambria" w:hAnsi="Cambria"/>
          <w:sz w:val="16"/>
          <w:szCs w:val="16"/>
          <w:lang w:val="es-CO"/>
        </w:rPr>
        <w:t xml:space="preserve"> </w:t>
      </w:r>
      <w:r w:rsidRPr="007877A3">
        <w:rPr>
          <w:rFonts w:ascii="Cambria" w:hAnsi="Cambria"/>
          <w:sz w:val="16"/>
          <w:szCs w:val="16"/>
          <w:lang w:val="es-ES"/>
        </w:rPr>
        <w:t xml:space="preserve">Informe de la Comisión </w:t>
      </w:r>
      <w:proofErr w:type="spellStart"/>
      <w:r w:rsidRPr="007877A3">
        <w:rPr>
          <w:rFonts w:ascii="Cambria" w:hAnsi="Cambria"/>
          <w:sz w:val="16"/>
          <w:szCs w:val="16"/>
          <w:lang w:val="es-ES"/>
        </w:rPr>
        <w:t>Rettig</w:t>
      </w:r>
      <w:proofErr w:type="spellEnd"/>
      <w:r w:rsidRPr="007877A3">
        <w:rPr>
          <w:rFonts w:ascii="Cambria" w:hAnsi="Cambria"/>
          <w:sz w:val="16"/>
          <w:szCs w:val="16"/>
          <w:lang w:val="es-ES"/>
        </w:rPr>
        <w:t xml:space="preserve">, Tomo II, pág. 791. </w:t>
      </w:r>
    </w:p>
  </w:footnote>
  <w:footnote w:id="112">
    <w:p w:rsidR="0006606E" w:rsidRPr="007877A3" w:rsidRDefault="0006606E" w:rsidP="00DC278B">
      <w:pPr>
        <w:pStyle w:val="Textonotapie"/>
        <w:tabs>
          <w:tab w:val="left" w:pos="360"/>
        </w:tabs>
        <w:spacing w:after="120"/>
        <w:ind w:firstLine="720"/>
        <w:jc w:val="both"/>
        <w:rPr>
          <w:rFonts w:ascii="Cambria" w:hAnsi="Cambria"/>
          <w:sz w:val="16"/>
          <w:szCs w:val="16"/>
          <w:lang w:val="es-CO"/>
        </w:rPr>
      </w:pPr>
      <w:r w:rsidRPr="007877A3">
        <w:rPr>
          <w:rStyle w:val="Refdenotaalpie"/>
          <w:rFonts w:ascii="Cambria" w:hAnsi="Cambria"/>
          <w:sz w:val="16"/>
          <w:szCs w:val="16"/>
        </w:rPr>
        <w:footnoteRef/>
      </w:r>
      <w:r w:rsidRPr="007877A3">
        <w:rPr>
          <w:rFonts w:ascii="Cambria" w:hAnsi="Cambria"/>
          <w:sz w:val="16"/>
          <w:szCs w:val="16"/>
          <w:lang w:val="es-CO"/>
        </w:rPr>
        <w:t xml:space="preserve"> </w:t>
      </w:r>
      <w:r w:rsidRPr="007877A3">
        <w:rPr>
          <w:rFonts w:ascii="Cambria" w:hAnsi="Cambria"/>
          <w:sz w:val="16"/>
          <w:szCs w:val="16"/>
          <w:lang w:val="es-ES"/>
        </w:rPr>
        <w:t xml:space="preserve">Informe de la Comisión </w:t>
      </w:r>
      <w:proofErr w:type="spellStart"/>
      <w:r w:rsidRPr="007877A3">
        <w:rPr>
          <w:rFonts w:ascii="Cambria" w:hAnsi="Cambria"/>
          <w:sz w:val="16"/>
          <w:szCs w:val="16"/>
          <w:lang w:val="es-ES"/>
        </w:rPr>
        <w:t>Rettig</w:t>
      </w:r>
      <w:proofErr w:type="spellEnd"/>
      <w:r w:rsidRPr="007877A3">
        <w:rPr>
          <w:rFonts w:ascii="Cambria" w:hAnsi="Cambria"/>
          <w:sz w:val="16"/>
          <w:szCs w:val="16"/>
          <w:lang w:val="es-ES"/>
        </w:rPr>
        <w:t xml:space="preserve">, Tomo II, pág. 791. </w:t>
      </w:r>
    </w:p>
  </w:footnote>
  <w:footnote w:id="113">
    <w:p w:rsidR="0006606E" w:rsidRPr="007877A3" w:rsidRDefault="0006606E" w:rsidP="00DC278B">
      <w:pPr>
        <w:pStyle w:val="Textonotapie"/>
        <w:tabs>
          <w:tab w:val="left" w:pos="360"/>
        </w:tabs>
        <w:spacing w:after="120"/>
        <w:ind w:firstLine="720"/>
        <w:jc w:val="both"/>
        <w:rPr>
          <w:rFonts w:ascii="Cambria" w:hAnsi="Cambria"/>
          <w:sz w:val="16"/>
          <w:szCs w:val="16"/>
          <w:lang w:val="es-CO"/>
        </w:rPr>
      </w:pPr>
      <w:r w:rsidRPr="007877A3">
        <w:rPr>
          <w:rStyle w:val="Refdenotaalpie"/>
          <w:rFonts w:ascii="Cambria" w:hAnsi="Cambria"/>
          <w:sz w:val="16"/>
          <w:szCs w:val="16"/>
        </w:rPr>
        <w:footnoteRef/>
      </w:r>
      <w:r w:rsidRPr="007877A3">
        <w:rPr>
          <w:rFonts w:ascii="Cambria" w:hAnsi="Cambria"/>
          <w:sz w:val="16"/>
          <w:szCs w:val="16"/>
          <w:lang w:val="es-CO"/>
        </w:rPr>
        <w:t xml:space="preserve"> </w:t>
      </w:r>
      <w:r>
        <w:rPr>
          <w:rFonts w:ascii="Cambria" w:hAnsi="Cambria"/>
          <w:sz w:val="16"/>
          <w:szCs w:val="16"/>
          <w:lang w:val="es-ES"/>
        </w:rPr>
        <w:t>Escrito de observaciones del Estado de</w:t>
      </w:r>
      <w:r w:rsidRPr="007877A3">
        <w:rPr>
          <w:rFonts w:ascii="Cambria" w:hAnsi="Cambria"/>
          <w:sz w:val="16"/>
          <w:szCs w:val="16"/>
          <w:lang w:val="es-ES"/>
        </w:rPr>
        <w:t xml:space="preserve"> 21 de noviembre de 2008</w:t>
      </w:r>
      <w:r>
        <w:rPr>
          <w:rFonts w:ascii="Cambria" w:hAnsi="Cambria"/>
          <w:sz w:val="16"/>
          <w:szCs w:val="16"/>
          <w:lang w:val="es-ES"/>
        </w:rPr>
        <w:t xml:space="preserve">, </w:t>
      </w:r>
      <w:r w:rsidRPr="007877A3">
        <w:rPr>
          <w:rFonts w:ascii="Cambria" w:hAnsi="Cambria"/>
          <w:sz w:val="16"/>
          <w:szCs w:val="16"/>
          <w:lang w:val="es-CO"/>
        </w:rPr>
        <w:t>no controvertido por el peticionario.</w:t>
      </w:r>
    </w:p>
  </w:footnote>
  <w:footnote w:id="114">
    <w:p w:rsidR="0006606E" w:rsidRPr="007877A3" w:rsidRDefault="0006606E" w:rsidP="00DC278B">
      <w:pPr>
        <w:pStyle w:val="Textonotapie"/>
        <w:tabs>
          <w:tab w:val="left" w:pos="360"/>
        </w:tabs>
        <w:spacing w:after="120"/>
        <w:ind w:firstLine="720"/>
        <w:jc w:val="both"/>
        <w:rPr>
          <w:rFonts w:ascii="Cambria" w:hAnsi="Cambria"/>
          <w:sz w:val="16"/>
          <w:szCs w:val="16"/>
          <w:lang w:val="es-CO"/>
        </w:rPr>
      </w:pPr>
      <w:r w:rsidRPr="007877A3">
        <w:rPr>
          <w:rStyle w:val="Refdenotaalpie"/>
          <w:rFonts w:ascii="Cambria" w:hAnsi="Cambria"/>
          <w:sz w:val="16"/>
          <w:szCs w:val="16"/>
        </w:rPr>
        <w:footnoteRef/>
      </w:r>
      <w:r w:rsidRPr="007877A3">
        <w:rPr>
          <w:rFonts w:ascii="Cambria" w:hAnsi="Cambria"/>
          <w:sz w:val="16"/>
          <w:szCs w:val="16"/>
          <w:lang w:val="es-CO"/>
        </w:rPr>
        <w:t xml:space="preserve"> </w:t>
      </w:r>
      <w:r>
        <w:rPr>
          <w:rFonts w:ascii="Cambria" w:hAnsi="Cambria"/>
          <w:sz w:val="16"/>
          <w:szCs w:val="16"/>
          <w:lang w:val="es-ES"/>
        </w:rPr>
        <w:t>Escrito de observaciones del Estado de</w:t>
      </w:r>
      <w:r w:rsidRPr="007877A3">
        <w:rPr>
          <w:rFonts w:ascii="Cambria" w:hAnsi="Cambria"/>
          <w:sz w:val="16"/>
          <w:szCs w:val="16"/>
          <w:lang w:val="es-ES"/>
        </w:rPr>
        <w:t xml:space="preserve"> 21 de noviembre de 2008</w:t>
      </w:r>
      <w:r>
        <w:rPr>
          <w:rFonts w:ascii="Cambria" w:hAnsi="Cambria"/>
          <w:sz w:val="16"/>
          <w:szCs w:val="16"/>
          <w:lang w:val="es-ES"/>
        </w:rPr>
        <w:t>,</w:t>
      </w:r>
      <w:r w:rsidRPr="007877A3">
        <w:rPr>
          <w:rFonts w:ascii="Cambria" w:hAnsi="Cambria"/>
          <w:sz w:val="16"/>
          <w:szCs w:val="16"/>
          <w:lang w:val="es-CO"/>
        </w:rPr>
        <w:t xml:space="preserve"> no controvertido por el peticionario.</w:t>
      </w:r>
    </w:p>
  </w:footnote>
  <w:footnote w:id="115">
    <w:p w:rsidR="0006606E" w:rsidRPr="007877A3" w:rsidRDefault="0006606E" w:rsidP="00DC278B">
      <w:pPr>
        <w:pStyle w:val="Textonotapie"/>
        <w:tabs>
          <w:tab w:val="left" w:pos="360"/>
        </w:tabs>
        <w:spacing w:after="120"/>
        <w:ind w:firstLine="720"/>
        <w:jc w:val="both"/>
        <w:rPr>
          <w:rFonts w:ascii="Cambria" w:hAnsi="Cambria"/>
          <w:sz w:val="16"/>
          <w:szCs w:val="16"/>
          <w:lang w:val="es-CO"/>
        </w:rPr>
      </w:pPr>
      <w:r w:rsidRPr="007877A3">
        <w:rPr>
          <w:rStyle w:val="Refdenotaalpie"/>
          <w:rFonts w:ascii="Cambria" w:hAnsi="Cambria"/>
          <w:sz w:val="16"/>
          <w:szCs w:val="16"/>
        </w:rPr>
        <w:footnoteRef/>
      </w:r>
      <w:r w:rsidRPr="007877A3">
        <w:rPr>
          <w:rFonts w:ascii="Cambria" w:hAnsi="Cambria"/>
          <w:sz w:val="16"/>
          <w:szCs w:val="16"/>
          <w:lang w:val="es-CO"/>
        </w:rPr>
        <w:t xml:space="preserve"> </w:t>
      </w:r>
      <w:r>
        <w:rPr>
          <w:rFonts w:ascii="Cambria" w:hAnsi="Cambria"/>
          <w:sz w:val="16"/>
          <w:szCs w:val="16"/>
          <w:lang w:val="es-CO"/>
        </w:rPr>
        <w:t xml:space="preserve">Anexo 19. </w:t>
      </w:r>
      <w:r w:rsidRPr="007877A3">
        <w:rPr>
          <w:rFonts w:ascii="Cambria" w:hAnsi="Cambria"/>
          <w:sz w:val="16"/>
          <w:szCs w:val="16"/>
          <w:lang w:val="es-CO"/>
        </w:rPr>
        <w:t>Demanda presentada ante el 17</w:t>
      </w:r>
      <w:r w:rsidRPr="007877A3">
        <w:rPr>
          <w:rFonts w:ascii="Cambria" w:eastAsia="Times New Roman" w:hAnsi="Cambria"/>
          <w:sz w:val="16"/>
          <w:szCs w:val="16"/>
          <w:bdr w:val="none" w:sz="0" w:space="0" w:color="auto"/>
          <w:lang w:val="es-ES_tradnl"/>
        </w:rPr>
        <w:t>º</w:t>
      </w:r>
      <w:r w:rsidRPr="007877A3">
        <w:rPr>
          <w:rFonts w:ascii="Cambria" w:hAnsi="Cambria"/>
          <w:sz w:val="16"/>
          <w:szCs w:val="16"/>
          <w:lang w:val="es-CO"/>
        </w:rPr>
        <w:t xml:space="preserve"> Juzgado Civil. Anexo a la petición de 22 de enero de 2004. </w:t>
      </w:r>
    </w:p>
  </w:footnote>
  <w:footnote w:id="116">
    <w:p w:rsidR="0006606E" w:rsidRPr="007877A3" w:rsidRDefault="0006606E" w:rsidP="00DC278B">
      <w:pPr>
        <w:pStyle w:val="Textonotapie"/>
        <w:tabs>
          <w:tab w:val="left" w:pos="360"/>
        </w:tabs>
        <w:spacing w:after="120"/>
        <w:ind w:firstLine="720"/>
        <w:jc w:val="both"/>
        <w:rPr>
          <w:rFonts w:ascii="Cambria" w:hAnsi="Cambria"/>
          <w:sz w:val="16"/>
          <w:szCs w:val="16"/>
          <w:lang w:val="es-CO"/>
        </w:rPr>
      </w:pPr>
      <w:r w:rsidRPr="007877A3">
        <w:rPr>
          <w:rStyle w:val="Refdenotaalpie"/>
          <w:rFonts w:ascii="Cambria" w:hAnsi="Cambria"/>
          <w:sz w:val="16"/>
          <w:szCs w:val="16"/>
        </w:rPr>
        <w:footnoteRef/>
      </w:r>
      <w:r w:rsidRPr="007877A3">
        <w:rPr>
          <w:rFonts w:ascii="Cambria" w:hAnsi="Cambria"/>
          <w:sz w:val="16"/>
          <w:szCs w:val="16"/>
          <w:lang w:val="es-CO"/>
        </w:rPr>
        <w:t xml:space="preserve"> </w:t>
      </w:r>
      <w:r>
        <w:rPr>
          <w:rFonts w:ascii="Cambria" w:hAnsi="Cambria"/>
          <w:sz w:val="16"/>
          <w:szCs w:val="16"/>
          <w:lang w:val="es-CO"/>
        </w:rPr>
        <w:t xml:space="preserve">Anexo 20. </w:t>
      </w:r>
      <w:r w:rsidRPr="007877A3">
        <w:rPr>
          <w:rFonts w:ascii="Cambria" w:hAnsi="Cambria"/>
          <w:sz w:val="16"/>
          <w:szCs w:val="16"/>
          <w:lang w:val="es-CO"/>
        </w:rPr>
        <w:t>17</w:t>
      </w:r>
      <w:r w:rsidRPr="007877A3">
        <w:rPr>
          <w:rFonts w:ascii="Cambria" w:eastAsia="Times New Roman" w:hAnsi="Cambria"/>
          <w:sz w:val="16"/>
          <w:szCs w:val="16"/>
          <w:bdr w:val="none" w:sz="0" w:space="0" w:color="auto"/>
          <w:lang w:val="es-ES_tradnl"/>
        </w:rPr>
        <w:t>º</w:t>
      </w:r>
      <w:r w:rsidRPr="007877A3">
        <w:rPr>
          <w:rFonts w:ascii="Cambria" w:hAnsi="Cambria"/>
          <w:sz w:val="16"/>
          <w:szCs w:val="16"/>
          <w:lang w:val="es-CO"/>
        </w:rPr>
        <w:t xml:space="preserve"> Juzgado Civil, Navarrete contra el Fisco de Chile, Sentencia de 19 de junio de 2002, Rol: C-3118-2000. Anexo a la petición de 22 de enero de 2004.</w:t>
      </w:r>
    </w:p>
  </w:footnote>
  <w:footnote w:id="117">
    <w:p w:rsidR="0006606E" w:rsidRPr="007877A3" w:rsidRDefault="0006606E" w:rsidP="00DC278B">
      <w:pPr>
        <w:pStyle w:val="Textonotapie"/>
        <w:tabs>
          <w:tab w:val="left" w:pos="360"/>
        </w:tabs>
        <w:spacing w:after="120"/>
        <w:ind w:firstLine="720"/>
        <w:jc w:val="both"/>
        <w:rPr>
          <w:rFonts w:ascii="Cambria" w:hAnsi="Cambria"/>
          <w:sz w:val="16"/>
          <w:szCs w:val="16"/>
          <w:lang w:val="es-ES"/>
        </w:rPr>
      </w:pPr>
      <w:r w:rsidRPr="007877A3">
        <w:rPr>
          <w:rFonts w:ascii="Cambria" w:hAnsi="Cambria"/>
          <w:sz w:val="16"/>
          <w:szCs w:val="16"/>
          <w:vertAlign w:val="superscript"/>
          <w:lang w:val="es-CO"/>
        </w:rPr>
        <w:footnoteRef/>
      </w:r>
      <w:r w:rsidRPr="007877A3">
        <w:rPr>
          <w:rFonts w:ascii="Cambria" w:hAnsi="Cambria"/>
          <w:sz w:val="16"/>
          <w:szCs w:val="16"/>
          <w:lang w:val="es-CO"/>
        </w:rPr>
        <w:t xml:space="preserve"> </w:t>
      </w:r>
      <w:r>
        <w:rPr>
          <w:rFonts w:ascii="Cambria" w:hAnsi="Cambria"/>
          <w:sz w:val="16"/>
          <w:szCs w:val="16"/>
          <w:lang w:val="es-CO"/>
        </w:rPr>
        <w:t xml:space="preserve">Anexo 21. </w:t>
      </w:r>
      <w:r w:rsidRPr="007877A3">
        <w:rPr>
          <w:rFonts w:ascii="Cambria" w:hAnsi="Cambria"/>
          <w:sz w:val="16"/>
          <w:szCs w:val="16"/>
          <w:lang w:val="es-CO"/>
        </w:rPr>
        <w:t>Apelación de 7 de noviembre de 2002. Anexo a la petición de 22 de enero de 2004.</w:t>
      </w:r>
    </w:p>
  </w:footnote>
  <w:footnote w:id="118">
    <w:p w:rsidR="0006606E" w:rsidRPr="007877A3" w:rsidRDefault="0006606E" w:rsidP="00DC278B">
      <w:pPr>
        <w:pStyle w:val="Textonotapie"/>
        <w:tabs>
          <w:tab w:val="left" w:pos="360"/>
        </w:tabs>
        <w:spacing w:after="120"/>
        <w:ind w:firstLine="720"/>
        <w:jc w:val="both"/>
        <w:rPr>
          <w:rFonts w:ascii="Cambria" w:hAnsi="Cambria"/>
          <w:sz w:val="16"/>
          <w:szCs w:val="16"/>
          <w:lang w:val="es-ES"/>
        </w:rPr>
      </w:pPr>
      <w:r w:rsidRPr="007877A3">
        <w:rPr>
          <w:rFonts w:ascii="Cambria" w:hAnsi="Cambria"/>
          <w:sz w:val="16"/>
          <w:szCs w:val="16"/>
          <w:vertAlign w:val="superscript"/>
          <w:lang w:val="es-CO"/>
        </w:rPr>
        <w:footnoteRef/>
      </w:r>
      <w:r w:rsidRPr="007877A3">
        <w:rPr>
          <w:rFonts w:ascii="Cambria" w:hAnsi="Cambria"/>
          <w:sz w:val="16"/>
          <w:szCs w:val="16"/>
          <w:lang w:val="es-CO"/>
        </w:rPr>
        <w:t xml:space="preserve"> Poder Judicial de la República de Chile. Consulta de estado de causas detalle de movimiento.</w:t>
      </w:r>
    </w:p>
  </w:footnote>
  <w:footnote w:id="119">
    <w:p w:rsidR="0006606E" w:rsidRPr="007877A3" w:rsidRDefault="0006606E" w:rsidP="00DC278B">
      <w:pPr>
        <w:pStyle w:val="Textonotapie"/>
        <w:tabs>
          <w:tab w:val="left" w:pos="360"/>
        </w:tabs>
        <w:spacing w:after="120"/>
        <w:ind w:firstLine="720"/>
        <w:jc w:val="both"/>
        <w:rPr>
          <w:rFonts w:ascii="Cambria" w:hAnsi="Cambria"/>
          <w:sz w:val="16"/>
          <w:szCs w:val="16"/>
          <w:lang w:val="es-CR"/>
        </w:rPr>
      </w:pPr>
      <w:r w:rsidRPr="007877A3">
        <w:rPr>
          <w:rStyle w:val="Refdenotaalpie"/>
          <w:rFonts w:ascii="Cambria" w:hAnsi="Cambria"/>
          <w:sz w:val="16"/>
          <w:szCs w:val="16"/>
        </w:rPr>
        <w:footnoteRef/>
      </w:r>
      <w:r w:rsidRPr="007877A3">
        <w:rPr>
          <w:rFonts w:ascii="Cambria" w:hAnsi="Cambria"/>
          <w:sz w:val="16"/>
          <w:szCs w:val="16"/>
          <w:lang w:val="es-CO"/>
        </w:rPr>
        <w:t xml:space="preserve"> </w:t>
      </w:r>
      <w:r w:rsidRPr="007877A3">
        <w:rPr>
          <w:rStyle w:val="Textoennegrita"/>
          <w:rFonts w:ascii="Cambria" w:hAnsi="Cambria"/>
          <w:b w:val="0"/>
          <w:sz w:val="16"/>
          <w:szCs w:val="16"/>
          <w:lang w:val="es-CO"/>
        </w:rPr>
        <w:t xml:space="preserve">Corte IDH. Caso García Lucero y otras Vs. Chile. Excepción Preliminar, Fondo y Reparaciones. </w:t>
      </w:r>
      <w:r w:rsidRPr="009C4A30">
        <w:rPr>
          <w:rStyle w:val="Textoennegrita"/>
          <w:rFonts w:ascii="Cambria" w:hAnsi="Cambria"/>
          <w:b w:val="0"/>
          <w:sz w:val="16"/>
          <w:szCs w:val="16"/>
          <w:lang w:val="pt-BR"/>
        </w:rPr>
        <w:t xml:space="preserve">Sentencia de 28 de agosto de 2013. Serie C No. 267. </w:t>
      </w:r>
      <w:r w:rsidRPr="007877A3">
        <w:rPr>
          <w:rStyle w:val="Textoennegrita"/>
          <w:rFonts w:ascii="Cambria" w:hAnsi="Cambria"/>
          <w:b w:val="0"/>
          <w:sz w:val="16"/>
          <w:szCs w:val="16"/>
          <w:lang w:val="pt-BR"/>
        </w:rPr>
        <w:t xml:space="preserve">Párr. 189. Citando. Corte IDH. Caso Gomes Lund y otros ("Guerrilha do Araguaia") Vs. </w:t>
      </w:r>
      <w:r w:rsidRPr="007877A3">
        <w:rPr>
          <w:rStyle w:val="Textoennegrita"/>
          <w:rFonts w:ascii="Cambria" w:hAnsi="Cambria"/>
          <w:b w:val="0"/>
          <w:sz w:val="16"/>
          <w:szCs w:val="16"/>
          <w:lang w:val="es-CO"/>
        </w:rPr>
        <w:t xml:space="preserve">Brasil. Excepciones Preliminares, Fondo, Reparaciones y Costas. Sentencia de 24 de noviembre de 2010. Serie C No. 219. Párr. </w:t>
      </w:r>
      <w:r w:rsidRPr="007877A3">
        <w:rPr>
          <w:rFonts w:ascii="Cambria" w:hAnsi="Cambria"/>
          <w:sz w:val="16"/>
          <w:szCs w:val="16"/>
          <w:lang w:val="es-CO"/>
        </w:rPr>
        <w:t xml:space="preserve">303. </w:t>
      </w:r>
    </w:p>
  </w:footnote>
  <w:footnote w:id="120">
    <w:p w:rsidR="0006606E" w:rsidRPr="007877A3" w:rsidRDefault="0006606E" w:rsidP="00DC278B">
      <w:pPr>
        <w:tabs>
          <w:tab w:val="left" w:pos="360"/>
        </w:tabs>
        <w:spacing w:after="120"/>
        <w:ind w:firstLine="720"/>
        <w:jc w:val="both"/>
        <w:rPr>
          <w:rFonts w:ascii="Cambria" w:hAnsi="Cambria"/>
          <w:sz w:val="16"/>
          <w:szCs w:val="16"/>
          <w:lang w:val="es-CR"/>
        </w:rPr>
      </w:pPr>
      <w:r w:rsidRPr="007877A3">
        <w:rPr>
          <w:rStyle w:val="Refdenotaalpie"/>
          <w:rFonts w:ascii="Cambria" w:hAnsi="Cambria"/>
          <w:sz w:val="16"/>
          <w:szCs w:val="16"/>
        </w:rPr>
        <w:footnoteRef/>
      </w:r>
      <w:r w:rsidRPr="007877A3">
        <w:rPr>
          <w:rFonts w:ascii="Cambria" w:hAnsi="Cambria"/>
          <w:sz w:val="16"/>
          <w:szCs w:val="16"/>
          <w:lang w:val="es-CR"/>
        </w:rPr>
        <w:t xml:space="preserve"> </w:t>
      </w:r>
      <w:r w:rsidRPr="007877A3">
        <w:rPr>
          <w:rStyle w:val="Textoennegrita"/>
          <w:rFonts w:ascii="Cambria" w:hAnsi="Cambria"/>
          <w:b w:val="0"/>
          <w:sz w:val="16"/>
          <w:szCs w:val="16"/>
          <w:lang w:val="es-CO"/>
        </w:rPr>
        <w:t xml:space="preserve">Corte IDH. Caso </w:t>
      </w:r>
      <w:proofErr w:type="spellStart"/>
      <w:r w:rsidRPr="007877A3">
        <w:rPr>
          <w:rStyle w:val="Textoennegrita"/>
          <w:rFonts w:ascii="Cambria" w:hAnsi="Cambria"/>
          <w:b w:val="0"/>
          <w:sz w:val="16"/>
          <w:szCs w:val="16"/>
          <w:lang w:val="es-CO"/>
        </w:rPr>
        <w:t>Almonacid</w:t>
      </w:r>
      <w:proofErr w:type="spellEnd"/>
      <w:r w:rsidRPr="007877A3">
        <w:rPr>
          <w:rStyle w:val="Textoennegrita"/>
          <w:rFonts w:ascii="Cambria" w:hAnsi="Cambria"/>
          <w:b w:val="0"/>
          <w:sz w:val="16"/>
          <w:szCs w:val="16"/>
          <w:lang w:val="es-CO"/>
        </w:rPr>
        <w:t xml:space="preserve"> Arellano y otros Vs. Chile. Excepciones Preliminares, Fondo, Reparaciones y Costas. Sentencia de 26 de septiembre de 2006. Serie C No. 154. Párr. 161.</w:t>
      </w:r>
    </w:p>
  </w:footnote>
  <w:footnote w:id="121">
    <w:p w:rsidR="0006606E" w:rsidRPr="007877A3" w:rsidRDefault="0006606E" w:rsidP="00DC278B">
      <w:pPr>
        <w:pStyle w:val="Textonotapie"/>
        <w:tabs>
          <w:tab w:val="left" w:pos="360"/>
        </w:tabs>
        <w:spacing w:after="120"/>
        <w:ind w:firstLine="720"/>
        <w:jc w:val="both"/>
        <w:rPr>
          <w:rFonts w:ascii="Cambria" w:hAnsi="Cambria"/>
          <w:sz w:val="16"/>
          <w:szCs w:val="16"/>
          <w:lang w:val="es-CR"/>
        </w:rPr>
      </w:pPr>
      <w:r w:rsidRPr="007877A3">
        <w:rPr>
          <w:rStyle w:val="Refdenotaalpie"/>
          <w:rFonts w:ascii="Cambria" w:hAnsi="Cambria"/>
          <w:sz w:val="16"/>
          <w:szCs w:val="16"/>
        </w:rPr>
        <w:footnoteRef/>
      </w:r>
      <w:r w:rsidRPr="007877A3">
        <w:rPr>
          <w:rFonts w:ascii="Cambria" w:hAnsi="Cambria"/>
          <w:sz w:val="16"/>
          <w:szCs w:val="16"/>
          <w:lang w:val="es-CO"/>
        </w:rPr>
        <w:t xml:space="preserve"> </w:t>
      </w:r>
      <w:r w:rsidRPr="007877A3">
        <w:rPr>
          <w:rStyle w:val="Textoennegrita"/>
          <w:rFonts w:ascii="Cambria" w:hAnsi="Cambria"/>
          <w:b w:val="0"/>
          <w:sz w:val="16"/>
          <w:szCs w:val="16"/>
          <w:lang w:val="es-CO"/>
        </w:rPr>
        <w:t xml:space="preserve">Corte IDH. Caso García Lucero y otras Vs. Chile. Excepción Preliminar, Fondo y Reparaciones. </w:t>
      </w:r>
      <w:r w:rsidRPr="009C4A30">
        <w:rPr>
          <w:rStyle w:val="Textoennegrita"/>
          <w:rFonts w:ascii="Cambria" w:hAnsi="Cambria"/>
          <w:b w:val="0"/>
          <w:sz w:val="16"/>
          <w:szCs w:val="16"/>
          <w:lang w:val="es-ES"/>
        </w:rPr>
        <w:t xml:space="preserve">Sentencia de 28 de agosto de 2013. Serie C No. 267. Párr. 190. </w:t>
      </w:r>
    </w:p>
  </w:footnote>
  <w:footnote w:id="122">
    <w:p w:rsidR="0006606E" w:rsidRPr="007877A3" w:rsidRDefault="0006606E" w:rsidP="00DC278B">
      <w:pPr>
        <w:pStyle w:val="Textonotapie"/>
        <w:tabs>
          <w:tab w:val="left" w:pos="360"/>
        </w:tabs>
        <w:spacing w:after="120"/>
        <w:ind w:firstLine="720"/>
        <w:jc w:val="both"/>
        <w:rPr>
          <w:rFonts w:ascii="Cambria" w:hAnsi="Cambria"/>
          <w:sz w:val="16"/>
          <w:szCs w:val="16"/>
          <w:lang w:val="es-CR"/>
        </w:rPr>
      </w:pPr>
      <w:r w:rsidRPr="007877A3">
        <w:rPr>
          <w:rStyle w:val="Refdenotaalpie"/>
          <w:rFonts w:ascii="Cambria" w:hAnsi="Cambria"/>
          <w:sz w:val="16"/>
          <w:szCs w:val="16"/>
        </w:rPr>
        <w:footnoteRef/>
      </w:r>
      <w:r w:rsidRPr="007877A3">
        <w:rPr>
          <w:rFonts w:ascii="Cambria" w:hAnsi="Cambria"/>
          <w:sz w:val="16"/>
          <w:szCs w:val="16"/>
          <w:lang w:val="es-CO"/>
        </w:rPr>
        <w:t xml:space="preserve"> </w:t>
      </w:r>
      <w:r w:rsidRPr="007877A3">
        <w:rPr>
          <w:rStyle w:val="Textoennegrita"/>
          <w:rFonts w:ascii="Cambria" w:hAnsi="Cambria"/>
          <w:b w:val="0"/>
          <w:sz w:val="16"/>
          <w:szCs w:val="16"/>
          <w:lang w:val="es-CO"/>
        </w:rPr>
        <w:t xml:space="preserve">Corte IDH. Caso García Lucero y otras Vs. Chile. Excepción Preliminar, Fondo y Reparaciones. </w:t>
      </w:r>
      <w:r w:rsidRPr="009C4A30">
        <w:rPr>
          <w:rStyle w:val="Textoennegrita"/>
          <w:rFonts w:ascii="Cambria" w:hAnsi="Cambria"/>
          <w:b w:val="0"/>
          <w:sz w:val="16"/>
          <w:szCs w:val="16"/>
          <w:lang w:val="es-CO"/>
        </w:rPr>
        <w:t xml:space="preserve">Sentencia de 28 de agosto de 2013. Serie C No. 267. Párr. 192. </w:t>
      </w:r>
    </w:p>
  </w:footnote>
  <w:footnote w:id="123">
    <w:p w:rsidR="0006606E" w:rsidRPr="007877A3" w:rsidRDefault="0006606E" w:rsidP="00DC278B">
      <w:pPr>
        <w:pStyle w:val="Default"/>
        <w:tabs>
          <w:tab w:val="left" w:pos="360"/>
        </w:tabs>
        <w:spacing w:after="120"/>
        <w:ind w:firstLine="720"/>
        <w:jc w:val="both"/>
        <w:rPr>
          <w:rFonts w:ascii="Cambria" w:hAnsi="Cambria"/>
          <w:sz w:val="16"/>
          <w:szCs w:val="16"/>
          <w:lang w:val="es-ES"/>
        </w:rPr>
      </w:pPr>
      <w:r w:rsidRPr="007877A3">
        <w:rPr>
          <w:rStyle w:val="Refdenotaalpie"/>
          <w:rFonts w:ascii="Cambria" w:hAnsi="Cambria"/>
          <w:sz w:val="16"/>
          <w:szCs w:val="16"/>
        </w:rPr>
        <w:footnoteRef/>
      </w:r>
      <w:r w:rsidRPr="007877A3">
        <w:rPr>
          <w:rFonts w:ascii="Cambria" w:hAnsi="Cambria"/>
          <w:sz w:val="16"/>
          <w:szCs w:val="16"/>
          <w:lang w:val="es-ES"/>
        </w:rPr>
        <w:t xml:space="preserve"> CIDH. Lineamientos Principales para una Política Integral de Reparaciones,</w:t>
      </w:r>
      <w:r w:rsidRPr="007877A3">
        <w:rPr>
          <w:rFonts w:ascii="Cambria" w:hAnsi="Cambria"/>
          <w:sz w:val="16"/>
          <w:szCs w:val="16"/>
          <w:lang w:val="es-ES" w:eastAsia="es-ES"/>
        </w:rPr>
        <w:t xml:space="preserve"> </w:t>
      </w:r>
      <w:r w:rsidRPr="007877A3">
        <w:rPr>
          <w:rFonts w:ascii="Cambria" w:hAnsi="Cambria" w:cs="Univers"/>
          <w:sz w:val="16"/>
          <w:szCs w:val="16"/>
          <w:lang w:val="es-ES" w:eastAsia="es-ES"/>
        </w:rPr>
        <w:t xml:space="preserve">OEA/Ser/L/V/II.131, Doc. 1, </w:t>
      </w:r>
      <w:r w:rsidRPr="007877A3">
        <w:rPr>
          <w:rFonts w:ascii="Cambria" w:eastAsia="Arial Unicode MS" w:hAnsi="Cambria" w:cs="Univers"/>
          <w:sz w:val="16"/>
          <w:szCs w:val="16"/>
          <w:lang w:val="es-ES"/>
        </w:rPr>
        <w:t>19 de febrero de 2008, párr. 5.</w:t>
      </w:r>
    </w:p>
  </w:footnote>
  <w:footnote w:id="124">
    <w:p w:rsidR="0006606E" w:rsidRPr="007877A3" w:rsidRDefault="0006606E" w:rsidP="00DC278B">
      <w:pPr>
        <w:pStyle w:val="Textonotapie"/>
        <w:tabs>
          <w:tab w:val="left" w:pos="360"/>
        </w:tabs>
        <w:spacing w:after="120"/>
        <w:ind w:firstLine="720"/>
        <w:jc w:val="both"/>
        <w:rPr>
          <w:rFonts w:ascii="Cambria" w:hAnsi="Cambria"/>
          <w:sz w:val="16"/>
          <w:szCs w:val="16"/>
          <w:lang w:val="es-ES"/>
        </w:rPr>
      </w:pPr>
      <w:r w:rsidRPr="007877A3">
        <w:rPr>
          <w:rStyle w:val="Refdenotaalpie"/>
          <w:rFonts w:ascii="Cambria" w:hAnsi="Cambria"/>
          <w:sz w:val="16"/>
          <w:szCs w:val="16"/>
        </w:rPr>
        <w:footnoteRef/>
      </w:r>
      <w:r w:rsidRPr="007877A3">
        <w:rPr>
          <w:rFonts w:ascii="Cambria" w:hAnsi="Cambria"/>
          <w:sz w:val="16"/>
          <w:szCs w:val="16"/>
          <w:lang w:val="es-CO"/>
        </w:rPr>
        <w:t xml:space="preserve"> </w:t>
      </w:r>
      <w:r w:rsidRPr="007877A3">
        <w:rPr>
          <w:rFonts w:ascii="Cambria" w:hAnsi="Cambria"/>
          <w:sz w:val="16"/>
          <w:szCs w:val="16"/>
          <w:lang w:val="es-ES"/>
        </w:rPr>
        <w:t xml:space="preserve">CIDH. Lineamientos principales para una política integral de reparaciones. 19 de febrero de 2008. Párr. 7. </w:t>
      </w:r>
    </w:p>
  </w:footnote>
  <w:footnote w:id="125">
    <w:p w:rsidR="0006606E" w:rsidRPr="0086030A" w:rsidRDefault="0006606E" w:rsidP="0086030A">
      <w:pPr>
        <w:spacing w:after="120"/>
        <w:ind w:firstLine="720"/>
        <w:jc w:val="both"/>
        <w:rPr>
          <w:rFonts w:ascii="Cambria" w:hAnsi="Cambria"/>
          <w:sz w:val="16"/>
          <w:szCs w:val="16"/>
          <w:lang w:val="es-ES"/>
        </w:rPr>
      </w:pPr>
      <w:r w:rsidRPr="007877A3">
        <w:rPr>
          <w:rStyle w:val="Refdenotaalpie"/>
          <w:rFonts w:ascii="Cambria" w:hAnsi="Cambria"/>
          <w:sz w:val="16"/>
          <w:szCs w:val="16"/>
        </w:rPr>
        <w:footnoteRef/>
      </w:r>
      <w:r w:rsidRPr="007877A3">
        <w:rPr>
          <w:rFonts w:ascii="Cambria" w:hAnsi="Cambria"/>
          <w:sz w:val="16"/>
          <w:szCs w:val="16"/>
          <w:lang w:val="es-CR"/>
        </w:rPr>
        <w:t xml:space="preserve"> Comité contra la Tortura. </w:t>
      </w:r>
      <w:r w:rsidRPr="007877A3">
        <w:rPr>
          <w:rFonts w:ascii="Cambria" w:hAnsi="Cambria"/>
          <w:sz w:val="16"/>
          <w:szCs w:val="16"/>
          <w:lang w:val="es-CO"/>
        </w:rPr>
        <w:t>Observación General Nº 3 (2012). P</w:t>
      </w:r>
      <w:proofErr w:type="spellStart"/>
      <w:r w:rsidRPr="007877A3">
        <w:rPr>
          <w:rFonts w:ascii="Cambria" w:hAnsi="Cambria"/>
          <w:sz w:val="16"/>
          <w:szCs w:val="16"/>
          <w:lang w:val="es-ES"/>
        </w:rPr>
        <w:t>árr</w:t>
      </w:r>
      <w:proofErr w:type="spellEnd"/>
      <w:r w:rsidRPr="007877A3">
        <w:rPr>
          <w:rFonts w:ascii="Cambria" w:hAnsi="Cambria"/>
          <w:sz w:val="16"/>
          <w:szCs w:val="16"/>
          <w:lang w:val="es-ES"/>
        </w:rPr>
        <w:t>. 20</w:t>
      </w:r>
      <w:r>
        <w:rPr>
          <w:rFonts w:ascii="Cambria" w:hAnsi="Cambria"/>
          <w:sz w:val="16"/>
          <w:szCs w:val="16"/>
          <w:lang w:val="es-ES"/>
        </w:rPr>
        <w:t>.</w:t>
      </w:r>
    </w:p>
  </w:footnote>
  <w:footnote w:id="126">
    <w:p w:rsidR="0006606E" w:rsidRPr="007877A3" w:rsidRDefault="0006606E" w:rsidP="00DC278B">
      <w:pPr>
        <w:pStyle w:val="Textonotapie"/>
        <w:tabs>
          <w:tab w:val="left" w:pos="360"/>
        </w:tabs>
        <w:spacing w:after="120"/>
        <w:ind w:firstLine="720"/>
        <w:jc w:val="both"/>
        <w:rPr>
          <w:rFonts w:ascii="Cambria" w:hAnsi="Cambria"/>
          <w:sz w:val="16"/>
          <w:szCs w:val="16"/>
          <w:lang w:val="es-CO"/>
        </w:rPr>
      </w:pPr>
      <w:r w:rsidRPr="007877A3">
        <w:rPr>
          <w:rStyle w:val="Refdenotaalpie"/>
          <w:rFonts w:ascii="Cambria" w:hAnsi="Cambria"/>
          <w:sz w:val="16"/>
          <w:szCs w:val="16"/>
        </w:rPr>
        <w:footnoteRef/>
      </w:r>
      <w:r>
        <w:rPr>
          <w:rFonts w:ascii="Cambria" w:hAnsi="Cambria"/>
          <w:sz w:val="16"/>
          <w:szCs w:val="16"/>
          <w:lang w:val="es-CO"/>
        </w:rPr>
        <w:t xml:space="preserve"> Corte IDH.</w:t>
      </w:r>
      <w:r w:rsidRPr="007877A3">
        <w:rPr>
          <w:rFonts w:ascii="Cambria" w:hAnsi="Cambria"/>
          <w:sz w:val="16"/>
          <w:szCs w:val="16"/>
          <w:lang w:val="es-CO"/>
        </w:rPr>
        <w:t xml:space="preserve"> Caso Torres </w:t>
      </w:r>
      <w:proofErr w:type="spellStart"/>
      <w:r w:rsidRPr="007877A3">
        <w:rPr>
          <w:rFonts w:ascii="Cambria" w:hAnsi="Cambria"/>
          <w:sz w:val="16"/>
          <w:szCs w:val="16"/>
          <w:lang w:val="es-CO"/>
        </w:rPr>
        <w:t>Millacura</w:t>
      </w:r>
      <w:proofErr w:type="spellEnd"/>
      <w:r w:rsidRPr="007877A3">
        <w:rPr>
          <w:rFonts w:ascii="Cambria" w:hAnsi="Cambria"/>
          <w:sz w:val="16"/>
          <w:szCs w:val="16"/>
          <w:lang w:val="es-CO"/>
        </w:rPr>
        <w:t xml:space="preserve"> y otros Vs. Argentina. </w:t>
      </w:r>
      <w:r>
        <w:rPr>
          <w:rFonts w:ascii="Cambria" w:hAnsi="Cambria"/>
          <w:sz w:val="16"/>
          <w:szCs w:val="16"/>
          <w:lang w:val="es-CO"/>
        </w:rPr>
        <w:t xml:space="preserve">Fondo, Reparaciones y Costas. </w:t>
      </w:r>
      <w:r w:rsidRPr="007877A3">
        <w:rPr>
          <w:rFonts w:ascii="Cambria" w:hAnsi="Cambria"/>
          <w:sz w:val="16"/>
          <w:szCs w:val="16"/>
          <w:lang w:val="es-CO"/>
        </w:rPr>
        <w:t>Sentencia de 26 de agosto de 2011. Serie C No. 229, párr. 113.</w:t>
      </w:r>
    </w:p>
  </w:footnote>
  <w:footnote w:id="127">
    <w:p w:rsidR="0006606E" w:rsidRPr="007877A3" w:rsidRDefault="0006606E" w:rsidP="00DC278B">
      <w:pPr>
        <w:pStyle w:val="Textonotapie"/>
        <w:tabs>
          <w:tab w:val="left" w:pos="360"/>
        </w:tabs>
        <w:spacing w:after="120"/>
        <w:ind w:firstLine="720"/>
        <w:jc w:val="both"/>
        <w:rPr>
          <w:rFonts w:ascii="Cambria" w:hAnsi="Cambria"/>
          <w:sz w:val="16"/>
          <w:szCs w:val="16"/>
          <w:lang w:val="es-CO"/>
        </w:rPr>
      </w:pPr>
      <w:r w:rsidRPr="007877A3">
        <w:rPr>
          <w:rStyle w:val="Refdenotaalpie"/>
          <w:rFonts w:ascii="Cambria" w:hAnsi="Cambria"/>
          <w:sz w:val="16"/>
          <w:szCs w:val="16"/>
        </w:rPr>
        <w:footnoteRef/>
      </w:r>
      <w:r>
        <w:rPr>
          <w:rFonts w:ascii="Cambria" w:hAnsi="Cambria"/>
          <w:sz w:val="16"/>
          <w:szCs w:val="16"/>
          <w:lang w:val="es-CO"/>
        </w:rPr>
        <w:t xml:space="preserve"> CIDH.</w:t>
      </w:r>
      <w:r w:rsidRPr="007877A3">
        <w:rPr>
          <w:rFonts w:ascii="Cambria" w:hAnsi="Cambria"/>
          <w:sz w:val="16"/>
          <w:szCs w:val="16"/>
          <w:lang w:val="es-CO"/>
        </w:rPr>
        <w:t xml:space="preserve"> Informe No 26/09, caso 12.440, Wallace de Almeida, Brasil, 20 de marzo de 2009, párr. 119.</w:t>
      </w:r>
    </w:p>
  </w:footnote>
  <w:footnote w:id="128">
    <w:p w:rsidR="0006606E" w:rsidRPr="007877A3" w:rsidRDefault="0006606E" w:rsidP="00DC278B">
      <w:pPr>
        <w:pStyle w:val="Textonotapie"/>
        <w:tabs>
          <w:tab w:val="left" w:pos="360"/>
        </w:tabs>
        <w:spacing w:after="120"/>
        <w:ind w:firstLine="720"/>
        <w:jc w:val="both"/>
        <w:rPr>
          <w:rFonts w:ascii="Cambria" w:hAnsi="Cambria"/>
          <w:sz w:val="16"/>
          <w:szCs w:val="16"/>
          <w:lang w:val="es-CO"/>
        </w:rPr>
      </w:pPr>
      <w:r w:rsidRPr="007877A3">
        <w:rPr>
          <w:rStyle w:val="Refdenotaalpie"/>
          <w:rFonts w:ascii="Cambria" w:hAnsi="Cambria"/>
          <w:sz w:val="16"/>
          <w:szCs w:val="16"/>
        </w:rPr>
        <w:footnoteRef/>
      </w:r>
      <w:r>
        <w:rPr>
          <w:rFonts w:ascii="Cambria" w:hAnsi="Cambria"/>
          <w:sz w:val="16"/>
          <w:szCs w:val="16"/>
          <w:lang w:val="es-CO"/>
        </w:rPr>
        <w:t xml:space="preserve"> CIDH.</w:t>
      </w:r>
      <w:r w:rsidRPr="007877A3">
        <w:rPr>
          <w:rFonts w:ascii="Cambria" w:hAnsi="Cambria"/>
          <w:sz w:val="16"/>
          <w:szCs w:val="16"/>
          <w:lang w:val="es-CO"/>
        </w:rPr>
        <w:t xml:space="preserve"> Informe No 62/01, caso 11.564, Masacre de </w:t>
      </w:r>
      <w:proofErr w:type="spellStart"/>
      <w:r w:rsidRPr="007877A3">
        <w:rPr>
          <w:rFonts w:ascii="Cambria" w:hAnsi="Cambria"/>
          <w:sz w:val="16"/>
          <w:szCs w:val="16"/>
          <w:lang w:val="es-CO"/>
        </w:rPr>
        <w:t>Riofrío</w:t>
      </w:r>
      <w:proofErr w:type="spellEnd"/>
      <w:r w:rsidRPr="007877A3">
        <w:rPr>
          <w:rFonts w:ascii="Cambria" w:hAnsi="Cambria"/>
          <w:sz w:val="16"/>
          <w:szCs w:val="16"/>
          <w:lang w:val="es-CO"/>
        </w:rPr>
        <w:t>, Colombia, 6 de abril de 2001, párr. 44.</w:t>
      </w:r>
    </w:p>
  </w:footnote>
  <w:footnote w:id="129">
    <w:p w:rsidR="0006606E" w:rsidRPr="007877A3" w:rsidRDefault="0006606E" w:rsidP="00DC278B">
      <w:pPr>
        <w:pStyle w:val="Textonotapie"/>
        <w:tabs>
          <w:tab w:val="left" w:pos="360"/>
        </w:tabs>
        <w:spacing w:after="120"/>
        <w:ind w:firstLine="720"/>
        <w:jc w:val="both"/>
        <w:rPr>
          <w:rFonts w:ascii="Cambria" w:hAnsi="Cambria"/>
          <w:sz w:val="16"/>
          <w:szCs w:val="16"/>
          <w:lang w:val="es-CO"/>
        </w:rPr>
      </w:pPr>
      <w:r w:rsidRPr="007877A3">
        <w:rPr>
          <w:rStyle w:val="Refdenotaalpie"/>
          <w:rFonts w:ascii="Cambria" w:hAnsi="Cambria"/>
          <w:sz w:val="16"/>
          <w:szCs w:val="16"/>
        </w:rPr>
        <w:footnoteRef/>
      </w:r>
      <w:r>
        <w:rPr>
          <w:rFonts w:ascii="Cambria" w:hAnsi="Cambria"/>
          <w:sz w:val="16"/>
          <w:szCs w:val="16"/>
          <w:lang w:val="es-CO"/>
        </w:rPr>
        <w:t xml:space="preserve"> Corte IDH.</w:t>
      </w:r>
      <w:r w:rsidRPr="007877A3">
        <w:rPr>
          <w:rFonts w:ascii="Cambria" w:hAnsi="Cambria"/>
          <w:sz w:val="16"/>
          <w:szCs w:val="16"/>
          <w:lang w:val="es-CO"/>
        </w:rPr>
        <w:t xml:space="preserve"> </w:t>
      </w:r>
      <w:r w:rsidRPr="007877A3">
        <w:rPr>
          <w:rFonts w:ascii="Cambria" w:hAnsi="Cambria"/>
          <w:bCs/>
          <w:sz w:val="16"/>
          <w:szCs w:val="16"/>
          <w:lang w:val="es-CO"/>
        </w:rPr>
        <w:t>Caso Acevedo Buendía y otros Vs. Perú.</w:t>
      </w:r>
      <w:r w:rsidRPr="007877A3">
        <w:rPr>
          <w:rFonts w:ascii="Cambria" w:hAnsi="Cambria"/>
          <w:sz w:val="16"/>
          <w:szCs w:val="16"/>
          <w:lang w:val="es-CO"/>
        </w:rPr>
        <w:t xml:space="preserve"> </w:t>
      </w:r>
      <w:r>
        <w:rPr>
          <w:rFonts w:ascii="Cambria" w:hAnsi="Cambria"/>
          <w:sz w:val="16"/>
          <w:szCs w:val="16"/>
          <w:lang w:val="es-CO"/>
        </w:rPr>
        <w:t xml:space="preserve">Excepción Preliminar, Fondo, Reparaciones y Costas. </w:t>
      </w:r>
      <w:r w:rsidRPr="007877A3">
        <w:rPr>
          <w:rFonts w:ascii="Cambria" w:hAnsi="Cambria"/>
          <w:sz w:val="16"/>
          <w:szCs w:val="16"/>
          <w:lang w:val="es-CO"/>
        </w:rPr>
        <w:t>Sentencia de 1˚ de julio de 2009. Serie C No. 198, párr. 69.</w:t>
      </w:r>
    </w:p>
  </w:footnote>
  <w:footnote w:id="130">
    <w:p w:rsidR="0006606E" w:rsidRPr="007877A3" w:rsidRDefault="0006606E" w:rsidP="00DC278B">
      <w:pPr>
        <w:pStyle w:val="Textonotapie"/>
        <w:tabs>
          <w:tab w:val="left" w:pos="360"/>
        </w:tabs>
        <w:spacing w:after="120"/>
        <w:ind w:firstLine="720"/>
        <w:jc w:val="both"/>
        <w:rPr>
          <w:rFonts w:ascii="Cambria" w:hAnsi="Cambria"/>
          <w:sz w:val="16"/>
          <w:szCs w:val="16"/>
          <w:lang w:val="es-CO"/>
        </w:rPr>
      </w:pPr>
      <w:r w:rsidRPr="007877A3">
        <w:rPr>
          <w:rStyle w:val="Refdenotaalpie"/>
          <w:rFonts w:ascii="Cambria" w:hAnsi="Cambria"/>
          <w:sz w:val="16"/>
          <w:szCs w:val="16"/>
        </w:rPr>
        <w:footnoteRef/>
      </w:r>
      <w:r>
        <w:rPr>
          <w:rFonts w:ascii="Cambria" w:hAnsi="Cambria"/>
          <w:sz w:val="16"/>
          <w:szCs w:val="16"/>
          <w:lang w:val="es-CO"/>
        </w:rPr>
        <w:t>Corte IDH.</w:t>
      </w:r>
      <w:r w:rsidRPr="007877A3">
        <w:rPr>
          <w:rFonts w:ascii="Cambria" w:hAnsi="Cambria"/>
          <w:sz w:val="16"/>
          <w:szCs w:val="16"/>
          <w:lang w:val="es-CO"/>
        </w:rPr>
        <w:t xml:space="preserve"> </w:t>
      </w:r>
      <w:r w:rsidRPr="007877A3">
        <w:rPr>
          <w:rFonts w:ascii="Cambria" w:hAnsi="Cambria"/>
          <w:bCs/>
          <w:sz w:val="16"/>
          <w:szCs w:val="16"/>
          <w:lang w:val="es-CO"/>
        </w:rPr>
        <w:t xml:space="preserve">Caso </w:t>
      </w:r>
      <w:proofErr w:type="spellStart"/>
      <w:r w:rsidRPr="007877A3">
        <w:rPr>
          <w:rFonts w:ascii="Cambria" w:hAnsi="Cambria"/>
          <w:bCs/>
          <w:sz w:val="16"/>
          <w:szCs w:val="16"/>
          <w:lang w:val="es-CO"/>
        </w:rPr>
        <w:t>Reverón</w:t>
      </w:r>
      <w:proofErr w:type="spellEnd"/>
      <w:r w:rsidRPr="007877A3">
        <w:rPr>
          <w:rFonts w:ascii="Cambria" w:hAnsi="Cambria"/>
          <w:bCs/>
          <w:sz w:val="16"/>
          <w:szCs w:val="16"/>
          <w:lang w:val="es-CO"/>
        </w:rPr>
        <w:t xml:space="preserve"> Trujillo Vs. Venezuela.</w:t>
      </w:r>
      <w:r w:rsidRPr="007877A3">
        <w:rPr>
          <w:rFonts w:ascii="Cambria" w:hAnsi="Cambria"/>
          <w:sz w:val="16"/>
          <w:szCs w:val="16"/>
          <w:lang w:val="es-CO"/>
        </w:rPr>
        <w:t xml:space="preserve"> </w:t>
      </w:r>
      <w:r>
        <w:rPr>
          <w:rFonts w:ascii="Cambria" w:hAnsi="Cambria"/>
          <w:sz w:val="16"/>
          <w:szCs w:val="16"/>
          <w:lang w:val="es-CO"/>
        </w:rPr>
        <w:t>Excepción Preliminar, Fondo, Reparaciones y Costas.</w:t>
      </w:r>
      <w:r w:rsidRPr="007877A3">
        <w:rPr>
          <w:rFonts w:ascii="Cambria" w:hAnsi="Cambria"/>
          <w:sz w:val="16"/>
          <w:szCs w:val="16"/>
          <w:lang w:val="es-CO"/>
        </w:rPr>
        <w:t xml:space="preserve"> Sentencia de 30 de junio de 2009. Serie C No. 197, párr. 61.</w:t>
      </w:r>
    </w:p>
  </w:footnote>
  <w:footnote w:id="131">
    <w:p w:rsidR="0006606E" w:rsidRPr="007877A3" w:rsidRDefault="0006606E" w:rsidP="00DC278B">
      <w:pPr>
        <w:pStyle w:val="Textonotapie"/>
        <w:tabs>
          <w:tab w:val="left" w:pos="360"/>
        </w:tabs>
        <w:spacing w:after="120"/>
        <w:ind w:firstLine="720"/>
        <w:jc w:val="both"/>
        <w:rPr>
          <w:rFonts w:ascii="Cambria" w:hAnsi="Cambria"/>
          <w:sz w:val="16"/>
          <w:szCs w:val="16"/>
          <w:lang w:val="es-CO"/>
        </w:rPr>
      </w:pPr>
      <w:r w:rsidRPr="007877A3">
        <w:rPr>
          <w:rStyle w:val="Refdenotaalpie"/>
          <w:rFonts w:ascii="Cambria" w:hAnsi="Cambria"/>
          <w:sz w:val="16"/>
          <w:szCs w:val="16"/>
        </w:rPr>
        <w:footnoteRef/>
      </w:r>
      <w:r w:rsidRPr="00BC1427">
        <w:rPr>
          <w:rFonts w:ascii="Cambria" w:hAnsi="Cambria"/>
          <w:sz w:val="16"/>
          <w:szCs w:val="16"/>
          <w:lang w:val="es-CO"/>
        </w:rPr>
        <w:t xml:space="preserve"> Corte IDH. </w:t>
      </w:r>
      <w:r w:rsidRPr="00BC1427">
        <w:rPr>
          <w:rFonts w:ascii="Cambria" w:hAnsi="Cambria"/>
          <w:bCs/>
          <w:sz w:val="16"/>
          <w:szCs w:val="16"/>
          <w:lang w:val="es-CO"/>
        </w:rPr>
        <w:t xml:space="preserve">Caso Cantos Vs. </w:t>
      </w:r>
      <w:r w:rsidRPr="007877A3">
        <w:rPr>
          <w:rFonts w:ascii="Cambria" w:hAnsi="Cambria"/>
          <w:bCs/>
          <w:sz w:val="16"/>
          <w:szCs w:val="16"/>
          <w:lang w:val="es-CO"/>
        </w:rPr>
        <w:t xml:space="preserve">Argentina. </w:t>
      </w:r>
      <w:r>
        <w:rPr>
          <w:rFonts w:ascii="Cambria" w:hAnsi="Cambria"/>
          <w:bCs/>
          <w:sz w:val="16"/>
          <w:szCs w:val="16"/>
          <w:lang w:val="es-CO"/>
        </w:rPr>
        <w:t xml:space="preserve">Fondo, Reparaciones y Costas. </w:t>
      </w:r>
      <w:r w:rsidRPr="007877A3">
        <w:rPr>
          <w:rFonts w:ascii="Cambria" w:hAnsi="Cambria"/>
          <w:sz w:val="16"/>
          <w:szCs w:val="16"/>
          <w:lang w:val="es-CO"/>
        </w:rPr>
        <w:t>Sentencia de 28 de noviembre de 2002. Serie C No. 97, párr. 52.</w:t>
      </w:r>
    </w:p>
  </w:footnote>
  <w:footnote w:id="132">
    <w:p w:rsidR="0006606E" w:rsidRPr="007877A3" w:rsidRDefault="0006606E" w:rsidP="00F92B8C">
      <w:pPr>
        <w:pStyle w:val="Textonotapie"/>
        <w:tabs>
          <w:tab w:val="left" w:pos="360"/>
          <w:tab w:val="left" w:pos="540"/>
        </w:tabs>
        <w:spacing w:after="120"/>
        <w:ind w:firstLine="720"/>
        <w:jc w:val="both"/>
        <w:rPr>
          <w:rFonts w:ascii="Cambria" w:hAnsi="Cambria" w:cs="Arial"/>
          <w:sz w:val="16"/>
          <w:szCs w:val="16"/>
          <w:lang w:val="es-ES"/>
        </w:rPr>
      </w:pPr>
      <w:r w:rsidRPr="007877A3">
        <w:rPr>
          <w:rStyle w:val="Refdenotaalpie"/>
          <w:rFonts w:ascii="Cambria" w:hAnsi="Cambria"/>
          <w:sz w:val="16"/>
          <w:szCs w:val="16"/>
        </w:rPr>
        <w:footnoteRef/>
      </w:r>
      <w:r w:rsidRPr="007877A3">
        <w:rPr>
          <w:rFonts w:ascii="Cambria" w:hAnsi="Cambria"/>
          <w:sz w:val="16"/>
          <w:szCs w:val="16"/>
          <w:lang w:val="es-ES"/>
        </w:rPr>
        <w:t xml:space="preserve"> </w:t>
      </w:r>
      <w:r>
        <w:rPr>
          <w:rFonts w:ascii="Cambria" w:hAnsi="Cambria" w:cs="Times"/>
          <w:sz w:val="16"/>
          <w:szCs w:val="16"/>
          <w:lang w:val="es-ES"/>
        </w:rPr>
        <w:t>Corte IDH.</w:t>
      </w:r>
      <w:r w:rsidRPr="007877A3">
        <w:rPr>
          <w:rFonts w:ascii="Cambria" w:hAnsi="Cambria"/>
          <w:sz w:val="16"/>
          <w:szCs w:val="16"/>
          <w:lang w:val="es-ES"/>
        </w:rPr>
        <w:t xml:space="preserve"> Caso Zambrano Vélez y otros. </w:t>
      </w:r>
      <w:r>
        <w:rPr>
          <w:rFonts w:ascii="Cambria" w:hAnsi="Cambria"/>
          <w:sz w:val="16"/>
          <w:szCs w:val="16"/>
          <w:lang w:val="es-ES"/>
        </w:rPr>
        <w:t xml:space="preserve">Fondo, Reparaciones y Costas. </w:t>
      </w:r>
      <w:r w:rsidRPr="007877A3">
        <w:rPr>
          <w:rFonts w:ascii="Cambria" w:hAnsi="Cambria"/>
          <w:sz w:val="16"/>
          <w:szCs w:val="16"/>
          <w:lang w:val="es-ES"/>
        </w:rPr>
        <w:t xml:space="preserve">Sentencia de 4 de julio de 2004. Serie C No. 166, párr. 56; </w:t>
      </w:r>
      <w:r>
        <w:rPr>
          <w:rFonts w:ascii="Cambria" w:hAnsi="Cambria"/>
          <w:sz w:val="16"/>
          <w:szCs w:val="16"/>
          <w:lang w:val="es-ES"/>
        </w:rPr>
        <w:t xml:space="preserve">Caso La Cantuta. Fondo, Reparaciones y Costas. </w:t>
      </w:r>
      <w:r w:rsidRPr="007877A3">
        <w:rPr>
          <w:rFonts w:ascii="Cambria" w:hAnsi="Cambria" w:cs="Arial"/>
          <w:sz w:val="16"/>
          <w:szCs w:val="16"/>
          <w:lang w:val="es-ES"/>
        </w:rPr>
        <w:t xml:space="preserve">Sentencia de 29 de noviembre de 2006. Serie C No. 162, párr. 171; y Caso </w:t>
      </w:r>
      <w:proofErr w:type="spellStart"/>
      <w:r w:rsidRPr="007877A3">
        <w:rPr>
          <w:rFonts w:ascii="Cambria" w:hAnsi="Cambria" w:cs="Arial"/>
          <w:sz w:val="16"/>
          <w:szCs w:val="16"/>
          <w:lang w:val="es-ES"/>
        </w:rPr>
        <w:t>Almonacid</w:t>
      </w:r>
      <w:proofErr w:type="spellEnd"/>
      <w:r w:rsidRPr="007877A3">
        <w:rPr>
          <w:rFonts w:ascii="Cambria" w:hAnsi="Cambria" w:cs="Arial"/>
          <w:sz w:val="16"/>
          <w:szCs w:val="16"/>
          <w:lang w:val="es-ES"/>
        </w:rPr>
        <w:t xml:space="preserve"> Arellano y otros. </w:t>
      </w:r>
      <w:r>
        <w:rPr>
          <w:rFonts w:ascii="Cambria" w:hAnsi="Cambria" w:cs="Arial"/>
          <w:sz w:val="16"/>
          <w:szCs w:val="16"/>
          <w:lang w:val="es-ES"/>
        </w:rPr>
        <w:t xml:space="preserve">Excepciones Preliminares, Fondo, Reparaciones y Costas. </w:t>
      </w:r>
      <w:r w:rsidRPr="007877A3">
        <w:rPr>
          <w:rFonts w:ascii="Cambria" w:hAnsi="Cambria" w:cs="Arial"/>
          <w:sz w:val="16"/>
          <w:szCs w:val="16"/>
          <w:lang w:val="es-ES"/>
        </w:rPr>
        <w:t>Sentencia de 26 de septiembre de 2006. Serie C No. 154, párr. 117.</w:t>
      </w:r>
    </w:p>
  </w:footnote>
  <w:footnote w:id="133">
    <w:p w:rsidR="0006606E" w:rsidRPr="007877A3" w:rsidRDefault="0006606E" w:rsidP="00DC278B">
      <w:pPr>
        <w:tabs>
          <w:tab w:val="left" w:pos="360"/>
        </w:tabs>
        <w:spacing w:after="120"/>
        <w:ind w:firstLine="720"/>
        <w:jc w:val="both"/>
        <w:rPr>
          <w:rFonts w:ascii="Cambria" w:hAnsi="Cambria" w:cs="Times"/>
          <w:sz w:val="16"/>
          <w:szCs w:val="16"/>
          <w:lang w:val="es-ES"/>
        </w:rPr>
      </w:pPr>
      <w:r w:rsidRPr="003D58F2">
        <w:rPr>
          <w:rStyle w:val="Refdenotaalpie"/>
          <w:rFonts w:ascii="Cambria" w:hAnsi="Cambria"/>
          <w:sz w:val="16"/>
          <w:szCs w:val="16"/>
        </w:rPr>
        <w:footnoteRef/>
      </w:r>
      <w:r w:rsidRPr="003D58F2">
        <w:rPr>
          <w:rFonts w:ascii="Cambria" w:hAnsi="Cambria"/>
          <w:sz w:val="16"/>
          <w:szCs w:val="16"/>
          <w:lang w:val="es-ES"/>
        </w:rPr>
        <w:t xml:space="preserve"> </w:t>
      </w:r>
      <w:r w:rsidRPr="003D58F2">
        <w:rPr>
          <w:rFonts w:ascii="Cambria" w:hAnsi="Cambria" w:cs="Times"/>
          <w:sz w:val="16"/>
          <w:szCs w:val="16"/>
          <w:lang w:val="es-ES"/>
        </w:rPr>
        <w:t>Corte IDH.</w:t>
      </w:r>
      <w:r w:rsidRPr="003D58F2">
        <w:rPr>
          <w:rFonts w:ascii="Cambria" w:hAnsi="Cambria"/>
          <w:sz w:val="16"/>
          <w:szCs w:val="16"/>
          <w:lang w:val="es-ES"/>
        </w:rPr>
        <w:t xml:space="preserve"> Caso Zambrano Vélez y otros. Fondo, Reparaciones y Costas. Sentencia de 4 de julio de 2004. Serie C No. 166, párr. 56</w:t>
      </w:r>
      <w:r w:rsidRPr="003D58F2">
        <w:rPr>
          <w:rFonts w:ascii="Cambria" w:hAnsi="Cambria" w:cs="Arial"/>
          <w:sz w:val="16"/>
          <w:szCs w:val="16"/>
          <w:lang w:val="es-ES"/>
        </w:rPr>
        <w:t xml:space="preserve">; Caso La Cantuta. Fondo, Reparaciones y Costas. Sentencia de 29 de noviembre de 2006. Serie C No. 162, párr. 171; y </w:t>
      </w:r>
      <w:r w:rsidRPr="003D58F2">
        <w:rPr>
          <w:rFonts w:ascii="Cambria" w:hAnsi="Cambria" w:cs="Times"/>
          <w:iCs/>
          <w:sz w:val="16"/>
          <w:szCs w:val="16"/>
          <w:lang w:val="es-ES"/>
        </w:rPr>
        <w:t>Caso “Instituto de Reeducación del Menor”</w:t>
      </w:r>
      <w:r w:rsidRPr="003D58F2">
        <w:rPr>
          <w:rFonts w:ascii="Cambria" w:hAnsi="Cambria" w:cs="Times"/>
          <w:sz w:val="16"/>
          <w:szCs w:val="16"/>
          <w:lang w:val="es-ES"/>
        </w:rPr>
        <w:t xml:space="preserve">. Excepciones Preliminares, Fondo, Reparaciones y Costas. Sentencia de 2 de septiembre de 2004. Serie C No. 112, </w:t>
      </w:r>
      <w:r w:rsidRPr="003D58F2">
        <w:rPr>
          <w:rFonts w:ascii="Cambria" w:hAnsi="Cambria" w:cs="Arial"/>
          <w:sz w:val="16"/>
          <w:szCs w:val="16"/>
          <w:lang w:val="es-ES"/>
        </w:rPr>
        <w:t>párr. 205.</w:t>
      </w:r>
    </w:p>
  </w:footnote>
  <w:footnote w:id="134">
    <w:p w:rsidR="0006606E" w:rsidRPr="007877A3" w:rsidRDefault="0006606E" w:rsidP="00DC278B">
      <w:pPr>
        <w:tabs>
          <w:tab w:val="left" w:pos="360"/>
          <w:tab w:val="left" w:pos="520"/>
          <w:tab w:val="left" w:pos="720"/>
          <w:tab w:val="left" w:pos="1100"/>
          <w:tab w:val="left" w:pos="1440"/>
          <w:tab w:val="left" w:pos="2160"/>
          <w:tab w:val="left" w:pos="2880"/>
          <w:tab w:val="left" w:pos="3600"/>
          <w:tab w:val="left" w:pos="4320"/>
          <w:tab w:val="left" w:pos="5040"/>
          <w:tab w:val="left" w:pos="5760"/>
          <w:tab w:val="left" w:pos="6300"/>
          <w:tab w:val="left" w:pos="6480"/>
          <w:tab w:val="left" w:pos="7200"/>
          <w:tab w:val="left" w:pos="7920"/>
        </w:tabs>
        <w:spacing w:after="120"/>
        <w:ind w:firstLine="720"/>
        <w:jc w:val="both"/>
        <w:rPr>
          <w:rFonts w:ascii="Cambria" w:hAnsi="Cambria" w:cs="Arial"/>
          <w:sz w:val="16"/>
          <w:szCs w:val="16"/>
          <w:lang w:val="es-ES"/>
        </w:rPr>
      </w:pPr>
      <w:r w:rsidRPr="003D58F2">
        <w:rPr>
          <w:rStyle w:val="Refdenotaalpie"/>
          <w:rFonts w:ascii="Cambria" w:hAnsi="Cambria"/>
          <w:sz w:val="16"/>
          <w:szCs w:val="16"/>
        </w:rPr>
        <w:footnoteRef/>
      </w:r>
      <w:r w:rsidRPr="003D58F2">
        <w:rPr>
          <w:rFonts w:ascii="Cambria" w:hAnsi="Cambria"/>
          <w:sz w:val="16"/>
          <w:szCs w:val="16"/>
          <w:lang w:val="es-ES"/>
        </w:rPr>
        <w:t xml:space="preserve"> </w:t>
      </w:r>
      <w:r w:rsidRPr="003D58F2">
        <w:rPr>
          <w:rFonts w:ascii="Cambria" w:hAnsi="Cambria" w:cs="Times"/>
          <w:sz w:val="16"/>
          <w:szCs w:val="16"/>
          <w:lang w:val="es-ES"/>
        </w:rPr>
        <w:t>Corte IDH.</w:t>
      </w:r>
      <w:r w:rsidRPr="003D58F2">
        <w:rPr>
          <w:rFonts w:ascii="Cambria" w:hAnsi="Cambria"/>
          <w:sz w:val="16"/>
          <w:szCs w:val="16"/>
          <w:lang w:val="es-ES"/>
        </w:rPr>
        <w:t xml:space="preserve"> Caso Zambrano Vélez y otros. Fondo, Reparaciones y Costas. Sentencia de 4 de julio de 2004. Serie C No. 166, párr. 56</w:t>
      </w:r>
      <w:r w:rsidRPr="003D58F2">
        <w:rPr>
          <w:rFonts w:ascii="Cambria" w:hAnsi="Cambria" w:cs="Arial"/>
          <w:sz w:val="16"/>
          <w:szCs w:val="16"/>
          <w:lang w:val="es-ES"/>
        </w:rPr>
        <w:t xml:space="preserve">; Caso La Cantuta. Fondo, Reparaciones y Costas. Sentencia de 29 de noviembre de 2006. Serie C No. 162, párr. 172; y Caso </w:t>
      </w:r>
      <w:proofErr w:type="spellStart"/>
      <w:r w:rsidRPr="003D58F2">
        <w:rPr>
          <w:rFonts w:ascii="Cambria" w:hAnsi="Cambria" w:cs="Arial"/>
          <w:sz w:val="16"/>
          <w:szCs w:val="16"/>
          <w:lang w:val="es-ES"/>
        </w:rPr>
        <w:t>Almonacid</w:t>
      </w:r>
      <w:proofErr w:type="spellEnd"/>
      <w:r w:rsidRPr="003D58F2">
        <w:rPr>
          <w:rFonts w:ascii="Cambria" w:hAnsi="Cambria" w:cs="Arial"/>
          <w:sz w:val="16"/>
          <w:szCs w:val="16"/>
          <w:lang w:val="es-ES"/>
        </w:rPr>
        <w:t xml:space="preserve"> Arellano y otros. Excepciones Preliminares, Fondo, Reparaciones y Costas. Sentencia de 26 de septiembre de 2006. Serie C No. 154, párr. 118.</w:t>
      </w:r>
    </w:p>
  </w:footnote>
  <w:footnote w:id="135">
    <w:p w:rsidR="0006606E" w:rsidRPr="008210A7" w:rsidRDefault="0006606E" w:rsidP="008210A7">
      <w:pPr>
        <w:tabs>
          <w:tab w:val="left" w:pos="360"/>
        </w:tabs>
        <w:spacing w:after="120"/>
        <w:ind w:firstLine="720"/>
        <w:jc w:val="both"/>
        <w:rPr>
          <w:rFonts w:ascii="Cambria" w:hAnsi="Cambria" w:cs="Times"/>
          <w:iCs/>
          <w:sz w:val="16"/>
          <w:szCs w:val="16"/>
          <w:highlight w:val="yellow"/>
          <w:lang w:val="es-ES"/>
        </w:rPr>
      </w:pPr>
      <w:r w:rsidRPr="008210A7">
        <w:rPr>
          <w:rStyle w:val="Refdenotaalpie"/>
          <w:rFonts w:ascii="Cambria" w:hAnsi="Cambria"/>
          <w:sz w:val="16"/>
          <w:szCs w:val="16"/>
        </w:rPr>
        <w:footnoteRef/>
      </w:r>
      <w:r w:rsidRPr="008210A7">
        <w:rPr>
          <w:rFonts w:ascii="Cambria" w:hAnsi="Cambria"/>
          <w:sz w:val="16"/>
          <w:szCs w:val="16"/>
          <w:lang w:val="es-ES"/>
        </w:rPr>
        <w:t xml:space="preserve"> </w:t>
      </w:r>
      <w:r w:rsidRPr="008210A7">
        <w:rPr>
          <w:rFonts w:ascii="Cambria" w:hAnsi="Cambria" w:cs="Times"/>
          <w:sz w:val="16"/>
          <w:szCs w:val="16"/>
          <w:lang w:val="es-ES"/>
        </w:rPr>
        <w:t>Corte IDH.</w:t>
      </w:r>
      <w:r w:rsidRPr="008210A7">
        <w:rPr>
          <w:rFonts w:ascii="Cambria" w:hAnsi="Cambria"/>
          <w:sz w:val="16"/>
          <w:szCs w:val="16"/>
          <w:lang w:val="es-ES"/>
        </w:rPr>
        <w:t xml:space="preserve"> Caso Zambrano Vélez y otros. Fondo, Reparaciones y Costas. Sentencia de 4 de julio de 2004. Serie C No. 166, párr. 56</w:t>
      </w:r>
      <w:r w:rsidRPr="008210A7">
        <w:rPr>
          <w:rFonts w:ascii="Cambria" w:hAnsi="Cambria" w:cs="Arial"/>
          <w:sz w:val="16"/>
          <w:szCs w:val="16"/>
          <w:lang w:val="es-ES"/>
        </w:rPr>
        <w:t xml:space="preserve">; </w:t>
      </w:r>
      <w:r w:rsidRPr="008210A7">
        <w:rPr>
          <w:rFonts w:ascii="Cambria" w:hAnsi="Cambria" w:cs="Times"/>
          <w:iCs/>
          <w:sz w:val="16"/>
          <w:szCs w:val="16"/>
          <w:lang w:val="es-ES"/>
        </w:rPr>
        <w:t>Caso “La Última Tentación de Cristo” (Olmedo Bustos y otros).</w:t>
      </w:r>
      <w:r w:rsidRPr="008210A7">
        <w:rPr>
          <w:rFonts w:ascii="Cambria" w:hAnsi="Cambria" w:cs="Times"/>
          <w:sz w:val="16"/>
          <w:szCs w:val="16"/>
          <w:lang w:val="es-ES"/>
        </w:rPr>
        <w:t xml:space="preserve"> Sentencia de 5 de febrero de 2001. Serie C No. 73, </w:t>
      </w:r>
      <w:r w:rsidRPr="008210A7">
        <w:rPr>
          <w:rFonts w:ascii="Cambria" w:hAnsi="Cambria" w:cs="Arial"/>
          <w:sz w:val="16"/>
          <w:szCs w:val="16"/>
          <w:lang w:val="es-ES"/>
        </w:rPr>
        <w:t>párr. 172.</w:t>
      </w:r>
    </w:p>
  </w:footnote>
  <w:footnote w:id="136">
    <w:p w:rsidR="0006606E" w:rsidRPr="007877A3" w:rsidRDefault="0006606E" w:rsidP="00DC278B">
      <w:pPr>
        <w:tabs>
          <w:tab w:val="left" w:pos="360"/>
        </w:tabs>
        <w:spacing w:after="120"/>
        <w:ind w:firstLine="720"/>
        <w:jc w:val="both"/>
        <w:rPr>
          <w:rStyle w:val="Refdenotaalpie"/>
          <w:rFonts w:ascii="Cambria" w:hAnsi="Cambria"/>
          <w:sz w:val="16"/>
          <w:szCs w:val="16"/>
          <w:lang w:val="es-ES"/>
        </w:rPr>
      </w:pPr>
      <w:r w:rsidRPr="007877A3">
        <w:rPr>
          <w:rStyle w:val="Refdenotaalpie"/>
          <w:rFonts w:ascii="Cambria" w:hAnsi="Cambria"/>
          <w:sz w:val="16"/>
          <w:szCs w:val="16"/>
        </w:rPr>
        <w:footnoteRef/>
      </w:r>
      <w:r w:rsidRPr="007877A3">
        <w:rPr>
          <w:rStyle w:val="Refdenotaalpie"/>
          <w:rFonts w:ascii="Cambria" w:hAnsi="Cambria"/>
          <w:sz w:val="16"/>
          <w:szCs w:val="16"/>
          <w:lang w:val="es-ES"/>
        </w:rPr>
        <w:t xml:space="preserve"> </w:t>
      </w:r>
      <w:r>
        <w:rPr>
          <w:rFonts w:ascii="Cambria" w:hAnsi="Cambria" w:cs="Times"/>
          <w:sz w:val="16"/>
          <w:szCs w:val="16"/>
          <w:lang w:val="es-ES"/>
        </w:rPr>
        <w:t>Corte IDH.</w:t>
      </w:r>
      <w:r w:rsidRPr="007877A3">
        <w:rPr>
          <w:rFonts w:ascii="Cambria" w:hAnsi="Cambria"/>
          <w:sz w:val="16"/>
          <w:szCs w:val="16"/>
          <w:lang w:val="es-ES"/>
        </w:rPr>
        <w:t xml:space="preserve"> Caso Zambrano Vélez y otros. </w:t>
      </w:r>
      <w:r>
        <w:rPr>
          <w:rFonts w:ascii="Cambria" w:hAnsi="Cambria"/>
          <w:sz w:val="16"/>
          <w:szCs w:val="16"/>
          <w:lang w:val="es-ES"/>
        </w:rPr>
        <w:t xml:space="preserve">Fondo, Reparaciones y Costas. </w:t>
      </w:r>
      <w:r w:rsidRPr="007877A3">
        <w:rPr>
          <w:rFonts w:ascii="Cambria" w:hAnsi="Cambria"/>
          <w:sz w:val="16"/>
          <w:szCs w:val="16"/>
          <w:lang w:val="es-ES"/>
        </w:rPr>
        <w:t>Sentencia de 4 de julio de 2004. Serie C No. 166, párr. 56</w:t>
      </w:r>
      <w:r w:rsidRPr="007877A3">
        <w:rPr>
          <w:rFonts w:ascii="Cambria" w:hAnsi="Cambria" w:cs="Arial"/>
          <w:sz w:val="16"/>
          <w:szCs w:val="16"/>
          <w:lang w:val="es-ES"/>
        </w:rPr>
        <w:t>;</w:t>
      </w:r>
      <w:r w:rsidRPr="007877A3">
        <w:rPr>
          <w:rFonts w:ascii="Cambria" w:hAnsi="Cambria" w:cs="Times"/>
          <w:sz w:val="16"/>
          <w:szCs w:val="16"/>
          <w:lang w:val="es-ES"/>
        </w:rPr>
        <w:t xml:space="preserve"> </w:t>
      </w:r>
      <w:r w:rsidRPr="007877A3">
        <w:rPr>
          <w:rFonts w:ascii="Cambria" w:hAnsi="Cambria" w:cs="Times"/>
          <w:iCs/>
          <w:sz w:val="16"/>
          <w:szCs w:val="16"/>
          <w:lang w:val="es-ES"/>
        </w:rPr>
        <w:t>Caso Fermín Ramírez</w:t>
      </w:r>
      <w:r w:rsidRPr="007877A3">
        <w:rPr>
          <w:rFonts w:ascii="Cambria" w:hAnsi="Cambria" w:cs="Times"/>
          <w:sz w:val="16"/>
          <w:szCs w:val="16"/>
          <w:lang w:val="es-ES"/>
        </w:rPr>
        <w:t>.</w:t>
      </w:r>
      <w:r>
        <w:rPr>
          <w:rFonts w:ascii="Cambria" w:hAnsi="Cambria" w:cs="Times"/>
          <w:sz w:val="16"/>
          <w:szCs w:val="16"/>
          <w:lang w:val="es-ES"/>
        </w:rPr>
        <w:t xml:space="preserve"> Fondo, Reparaciones y Costas. </w:t>
      </w:r>
      <w:r w:rsidRPr="007877A3">
        <w:rPr>
          <w:rFonts w:ascii="Cambria" w:hAnsi="Cambria" w:cs="Times"/>
          <w:sz w:val="16"/>
          <w:szCs w:val="16"/>
          <w:lang w:val="es-ES"/>
        </w:rPr>
        <w:t xml:space="preserve"> Sentencia de 20 de junio de 2005. Serie C No. 126, </w:t>
      </w:r>
      <w:proofErr w:type="spellStart"/>
      <w:r w:rsidRPr="007877A3">
        <w:rPr>
          <w:rFonts w:ascii="Cambria" w:hAnsi="Cambria" w:cs="Times"/>
          <w:sz w:val="16"/>
          <w:szCs w:val="16"/>
          <w:lang w:val="es-ES"/>
        </w:rPr>
        <w:t>p</w:t>
      </w:r>
      <w:r w:rsidRPr="007877A3">
        <w:rPr>
          <w:rFonts w:ascii="Cambria" w:hAnsi="Cambria" w:cs="Arial"/>
          <w:sz w:val="16"/>
          <w:szCs w:val="16"/>
          <w:lang w:val="es-ES"/>
        </w:rPr>
        <w:t>árrs</w:t>
      </w:r>
      <w:proofErr w:type="spellEnd"/>
      <w:r w:rsidRPr="007877A3">
        <w:rPr>
          <w:rFonts w:ascii="Cambria" w:hAnsi="Cambria" w:cs="Arial"/>
          <w:sz w:val="16"/>
          <w:szCs w:val="16"/>
          <w:lang w:val="es-ES"/>
        </w:rPr>
        <w:t xml:space="preserve">. 97 y 130. </w:t>
      </w:r>
    </w:p>
  </w:footnote>
  <w:footnote w:id="137">
    <w:p w:rsidR="0006606E" w:rsidRPr="007877A3" w:rsidRDefault="0006606E" w:rsidP="00DC278B">
      <w:pPr>
        <w:tabs>
          <w:tab w:val="left" w:pos="360"/>
        </w:tabs>
        <w:spacing w:after="120"/>
        <w:ind w:firstLine="720"/>
        <w:jc w:val="both"/>
        <w:rPr>
          <w:rFonts w:ascii="Cambria" w:hAnsi="Cambria"/>
          <w:sz w:val="16"/>
          <w:szCs w:val="16"/>
          <w:lang w:val="es-ES"/>
        </w:rPr>
      </w:pPr>
      <w:r w:rsidRPr="007877A3">
        <w:rPr>
          <w:rStyle w:val="Refdenotaalpie"/>
          <w:rFonts w:ascii="Cambria" w:hAnsi="Cambria"/>
          <w:sz w:val="16"/>
          <w:szCs w:val="16"/>
        </w:rPr>
        <w:footnoteRef/>
      </w:r>
      <w:r w:rsidRPr="007877A3">
        <w:rPr>
          <w:rFonts w:ascii="Cambria" w:hAnsi="Cambria"/>
          <w:sz w:val="16"/>
          <w:szCs w:val="16"/>
          <w:lang w:val="es-ES"/>
        </w:rPr>
        <w:t xml:space="preserve"> </w:t>
      </w:r>
      <w:r>
        <w:rPr>
          <w:rFonts w:ascii="Cambria" w:hAnsi="Cambria" w:cs="Times"/>
          <w:sz w:val="16"/>
          <w:szCs w:val="16"/>
          <w:lang w:val="es-ES"/>
        </w:rPr>
        <w:t>Corte IDH.</w:t>
      </w:r>
      <w:r w:rsidRPr="007877A3">
        <w:rPr>
          <w:rFonts w:ascii="Cambria" w:hAnsi="Cambria"/>
          <w:sz w:val="16"/>
          <w:szCs w:val="16"/>
          <w:lang w:val="es-ES"/>
        </w:rPr>
        <w:t xml:space="preserve"> Caso Zambrano Vélez y otros. </w:t>
      </w:r>
      <w:r>
        <w:rPr>
          <w:rFonts w:ascii="Cambria" w:hAnsi="Cambria"/>
          <w:sz w:val="16"/>
          <w:szCs w:val="16"/>
          <w:lang w:val="es-ES"/>
        </w:rPr>
        <w:t xml:space="preserve">Fondo, Reparaciones y Costas. </w:t>
      </w:r>
      <w:r w:rsidRPr="007877A3">
        <w:rPr>
          <w:rFonts w:ascii="Cambria" w:hAnsi="Cambria"/>
          <w:sz w:val="16"/>
          <w:szCs w:val="16"/>
          <w:lang w:val="es-ES"/>
        </w:rPr>
        <w:t>Sentencia de 4 de julio de 2004. Serie C No. 166, párr. 56</w:t>
      </w:r>
      <w:r w:rsidRPr="007877A3">
        <w:rPr>
          <w:rFonts w:ascii="Cambria" w:hAnsi="Cambria" w:cs="Arial"/>
          <w:sz w:val="16"/>
          <w:szCs w:val="16"/>
          <w:lang w:val="es-ES"/>
        </w:rPr>
        <w:t>;</w:t>
      </w:r>
      <w:r w:rsidRPr="007877A3">
        <w:rPr>
          <w:rFonts w:ascii="Cambria" w:hAnsi="Cambria" w:cs="Times"/>
          <w:sz w:val="16"/>
          <w:szCs w:val="16"/>
          <w:lang w:val="es-ES"/>
        </w:rPr>
        <w:t xml:space="preserve"> </w:t>
      </w:r>
      <w:r w:rsidRPr="007877A3">
        <w:rPr>
          <w:rFonts w:ascii="Cambria" w:hAnsi="Cambria" w:cs="Times"/>
          <w:iCs/>
          <w:sz w:val="16"/>
          <w:szCs w:val="16"/>
          <w:lang w:val="es-ES"/>
        </w:rPr>
        <w:t xml:space="preserve">Caso </w:t>
      </w:r>
      <w:proofErr w:type="spellStart"/>
      <w:r w:rsidRPr="007877A3">
        <w:rPr>
          <w:rFonts w:ascii="Cambria" w:hAnsi="Cambria" w:cs="Times"/>
          <w:iCs/>
          <w:sz w:val="16"/>
          <w:szCs w:val="16"/>
          <w:lang w:val="es-ES"/>
        </w:rPr>
        <w:t>Yatama</w:t>
      </w:r>
      <w:proofErr w:type="spellEnd"/>
      <w:r w:rsidRPr="007877A3">
        <w:rPr>
          <w:rFonts w:ascii="Cambria" w:hAnsi="Cambria" w:cs="Times"/>
          <w:sz w:val="16"/>
          <w:szCs w:val="16"/>
          <w:lang w:val="es-ES"/>
        </w:rPr>
        <w:t>.</w:t>
      </w:r>
      <w:r>
        <w:rPr>
          <w:rFonts w:ascii="Cambria" w:hAnsi="Cambria" w:cs="Times"/>
          <w:sz w:val="16"/>
          <w:szCs w:val="16"/>
          <w:lang w:val="es-ES"/>
        </w:rPr>
        <w:t xml:space="preserve"> Excepciones Preliminares, Fondo, Reparaciones y Costas. </w:t>
      </w:r>
      <w:r w:rsidRPr="007877A3">
        <w:rPr>
          <w:rFonts w:ascii="Cambria" w:hAnsi="Cambria" w:cs="Times"/>
          <w:sz w:val="16"/>
          <w:szCs w:val="16"/>
          <w:lang w:val="es-ES"/>
        </w:rPr>
        <w:t xml:space="preserve"> Sentencia de 23 de junio de 2005.  Serie C No. 127, p</w:t>
      </w:r>
      <w:r w:rsidRPr="007877A3">
        <w:rPr>
          <w:rFonts w:ascii="Cambria" w:hAnsi="Cambria" w:cs="Arial"/>
          <w:sz w:val="16"/>
          <w:szCs w:val="16"/>
          <w:lang w:val="es-ES"/>
        </w:rPr>
        <w:t xml:space="preserve">árr. 254. </w:t>
      </w:r>
    </w:p>
  </w:footnote>
  <w:footnote w:id="138">
    <w:p w:rsidR="0006606E" w:rsidRPr="007877A3" w:rsidRDefault="0006606E" w:rsidP="00DC278B">
      <w:pPr>
        <w:tabs>
          <w:tab w:val="left" w:pos="360"/>
        </w:tabs>
        <w:spacing w:after="120"/>
        <w:ind w:firstLine="720"/>
        <w:jc w:val="both"/>
        <w:rPr>
          <w:rFonts w:ascii="Cambria" w:hAnsi="Cambria" w:cs="Times"/>
          <w:sz w:val="16"/>
          <w:szCs w:val="16"/>
          <w:lang w:val="es-ES"/>
        </w:rPr>
      </w:pPr>
      <w:r w:rsidRPr="007877A3">
        <w:rPr>
          <w:rStyle w:val="Refdenotaalpie"/>
          <w:rFonts w:ascii="Cambria" w:hAnsi="Cambria"/>
          <w:sz w:val="16"/>
          <w:szCs w:val="16"/>
        </w:rPr>
        <w:footnoteRef/>
      </w:r>
      <w:r w:rsidRPr="007877A3">
        <w:rPr>
          <w:rFonts w:ascii="Cambria" w:hAnsi="Cambria"/>
          <w:sz w:val="16"/>
          <w:szCs w:val="16"/>
          <w:lang w:val="es-ES"/>
        </w:rPr>
        <w:t xml:space="preserve"> </w:t>
      </w:r>
      <w:r>
        <w:rPr>
          <w:rFonts w:ascii="Cambria" w:hAnsi="Cambria" w:cs="Times"/>
          <w:sz w:val="16"/>
          <w:szCs w:val="16"/>
          <w:lang w:val="es-ES"/>
        </w:rPr>
        <w:t>Corte I</w:t>
      </w:r>
      <w:r w:rsidRPr="007877A3">
        <w:rPr>
          <w:rFonts w:ascii="Cambria" w:hAnsi="Cambria" w:cs="Times"/>
          <w:sz w:val="16"/>
          <w:szCs w:val="16"/>
          <w:lang w:val="es-ES"/>
        </w:rPr>
        <w:t>D</w:t>
      </w:r>
      <w:r>
        <w:rPr>
          <w:rFonts w:ascii="Cambria" w:hAnsi="Cambria" w:cs="Times"/>
          <w:sz w:val="16"/>
          <w:szCs w:val="16"/>
          <w:lang w:val="es-ES"/>
        </w:rPr>
        <w:t>H.</w:t>
      </w:r>
      <w:r w:rsidRPr="007877A3">
        <w:rPr>
          <w:rFonts w:ascii="Cambria" w:hAnsi="Cambria"/>
          <w:sz w:val="16"/>
          <w:szCs w:val="16"/>
          <w:lang w:val="es-ES"/>
        </w:rPr>
        <w:t xml:space="preserve"> Caso Zambrano Vélez y otros.</w:t>
      </w:r>
      <w:r>
        <w:rPr>
          <w:rFonts w:ascii="Cambria" w:hAnsi="Cambria"/>
          <w:sz w:val="16"/>
          <w:szCs w:val="16"/>
          <w:lang w:val="es-ES"/>
        </w:rPr>
        <w:t xml:space="preserve"> Fondo, Reparaciones y Costas.</w:t>
      </w:r>
      <w:r w:rsidRPr="007877A3">
        <w:rPr>
          <w:rFonts w:ascii="Cambria" w:hAnsi="Cambria"/>
          <w:sz w:val="16"/>
          <w:szCs w:val="16"/>
          <w:lang w:val="es-ES"/>
        </w:rPr>
        <w:t xml:space="preserve"> Sentencia de 4 de julio de 2004. Serie C No. 166, párr. 56</w:t>
      </w:r>
      <w:r w:rsidRPr="007877A3">
        <w:rPr>
          <w:rFonts w:ascii="Cambria" w:hAnsi="Cambria" w:cs="Arial"/>
          <w:sz w:val="16"/>
          <w:szCs w:val="16"/>
          <w:lang w:val="es-ES"/>
        </w:rPr>
        <w:t xml:space="preserve">; </w:t>
      </w:r>
      <w:r w:rsidRPr="007877A3">
        <w:rPr>
          <w:rFonts w:ascii="Cambria" w:hAnsi="Cambria" w:cs="Times"/>
          <w:iCs/>
          <w:sz w:val="16"/>
          <w:szCs w:val="16"/>
          <w:lang w:val="es-ES"/>
        </w:rPr>
        <w:t xml:space="preserve">Caso </w:t>
      </w:r>
      <w:proofErr w:type="spellStart"/>
      <w:r w:rsidRPr="007877A3">
        <w:rPr>
          <w:rFonts w:ascii="Cambria" w:hAnsi="Cambria" w:cs="Times"/>
          <w:iCs/>
          <w:sz w:val="16"/>
          <w:szCs w:val="16"/>
          <w:lang w:val="es-ES"/>
        </w:rPr>
        <w:t>Raxcacó</w:t>
      </w:r>
      <w:proofErr w:type="spellEnd"/>
      <w:r w:rsidRPr="007877A3">
        <w:rPr>
          <w:rFonts w:ascii="Cambria" w:hAnsi="Cambria" w:cs="Times"/>
          <w:iCs/>
          <w:sz w:val="16"/>
          <w:szCs w:val="16"/>
          <w:lang w:val="es-ES"/>
        </w:rPr>
        <w:t xml:space="preserve"> Reyes</w:t>
      </w:r>
      <w:r w:rsidRPr="007877A3">
        <w:rPr>
          <w:rFonts w:ascii="Cambria" w:hAnsi="Cambria" w:cs="Times"/>
          <w:sz w:val="16"/>
          <w:szCs w:val="16"/>
          <w:lang w:val="es-ES"/>
        </w:rPr>
        <w:t xml:space="preserve">. </w:t>
      </w:r>
      <w:r>
        <w:rPr>
          <w:rFonts w:ascii="Cambria" w:hAnsi="Cambria" w:cs="Times"/>
          <w:sz w:val="16"/>
          <w:szCs w:val="16"/>
          <w:lang w:val="es-ES"/>
        </w:rPr>
        <w:t xml:space="preserve">Fondo, Reparaciones y Costas. </w:t>
      </w:r>
      <w:r w:rsidRPr="007877A3">
        <w:rPr>
          <w:rFonts w:ascii="Cambria" w:hAnsi="Cambria" w:cs="Times"/>
          <w:sz w:val="16"/>
          <w:szCs w:val="16"/>
          <w:lang w:val="es-ES"/>
        </w:rPr>
        <w:t xml:space="preserve">Sentencia de 15 de septiembre de 2005. Serie C No. 133, </w:t>
      </w:r>
      <w:proofErr w:type="spellStart"/>
      <w:r w:rsidRPr="007877A3">
        <w:rPr>
          <w:rFonts w:ascii="Cambria" w:hAnsi="Cambria" w:cs="Times"/>
          <w:sz w:val="16"/>
          <w:szCs w:val="16"/>
          <w:lang w:val="es-ES"/>
        </w:rPr>
        <w:t>p</w:t>
      </w:r>
      <w:r w:rsidRPr="007877A3">
        <w:rPr>
          <w:rFonts w:ascii="Cambria" w:hAnsi="Cambria" w:cs="Arial"/>
          <w:sz w:val="16"/>
          <w:szCs w:val="16"/>
          <w:lang w:val="es-ES"/>
        </w:rPr>
        <w:t>árrs</w:t>
      </w:r>
      <w:proofErr w:type="spellEnd"/>
      <w:r w:rsidRPr="007877A3">
        <w:rPr>
          <w:rFonts w:ascii="Cambria" w:hAnsi="Cambria" w:cs="Arial"/>
          <w:sz w:val="16"/>
          <w:szCs w:val="16"/>
          <w:lang w:val="es-ES"/>
        </w:rPr>
        <w:t xml:space="preserve">. 87 y 125. </w:t>
      </w:r>
    </w:p>
  </w:footnote>
  <w:footnote w:id="139">
    <w:p w:rsidR="0006606E" w:rsidRPr="007877A3" w:rsidRDefault="0006606E" w:rsidP="00DC278B">
      <w:pPr>
        <w:tabs>
          <w:tab w:val="left" w:pos="360"/>
          <w:tab w:val="left" w:pos="520"/>
          <w:tab w:val="left" w:pos="720"/>
          <w:tab w:val="left" w:pos="1100"/>
          <w:tab w:val="left" w:pos="1440"/>
          <w:tab w:val="left" w:pos="2160"/>
          <w:tab w:val="left" w:pos="2880"/>
          <w:tab w:val="left" w:pos="3600"/>
          <w:tab w:val="left" w:pos="4320"/>
          <w:tab w:val="left" w:pos="5040"/>
          <w:tab w:val="left" w:pos="5760"/>
          <w:tab w:val="left" w:pos="6300"/>
          <w:tab w:val="left" w:pos="6480"/>
          <w:tab w:val="left" w:pos="7200"/>
          <w:tab w:val="left" w:pos="7920"/>
        </w:tabs>
        <w:spacing w:after="120"/>
        <w:ind w:firstLine="720"/>
        <w:jc w:val="both"/>
        <w:rPr>
          <w:rFonts w:ascii="Cambria" w:hAnsi="Cambria"/>
          <w:sz w:val="16"/>
          <w:szCs w:val="16"/>
          <w:lang w:val="es-ES"/>
        </w:rPr>
      </w:pPr>
      <w:r w:rsidRPr="0090692F">
        <w:rPr>
          <w:rStyle w:val="Refdenotaalpie"/>
          <w:rFonts w:ascii="Cambria" w:hAnsi="Cambria"/>
          <w:sz w:val="16"/>
          <w:szCs w:val="16"/>
        </w:rPr>
        <w:footnoteRef/>
      </w:r>
      <w:r w:rsidRPr="0090692F">
        <w:rPr>
          <w:rFonts w:ascii="Cambria" w:hAnsi="Cambria"/>
          <w:sz w:val="16"/>
          <w:szCs w:val="16"/>
          <w:lang w:val="es-ES"/>
        </w:rPr>
        <w:t xml:space="preserve"> </w:t>
      </w:r>
      <w:r w:rsidRPr="0090692F">
        <w:rPr>
          <w:rFonts w:ascii="Cambria" w:hAnsi="Cambria" w:cs="Times"/>
          <w:sz w:val="16"/>
          <w:szCs w:val="16"/>
          <w:lang w:val="es-ES"/>
        </w:rPr>
        <w:t>Corte IDH.</w:t>
      </w:r>
      <w:r w:rsidRPr="0090692F">
        <w:rPr>
          <w:rFonts w:ascii="Cambria" w:hAnsi="Cambria"/>
          <w:sz w:val="16"/>
          <w:szCs w:val="16"/>
          <w:lang w:val="es-ES"/>
        </w:rPr>
        <w:t xml:space="preserve"> Caso Zambrano Vélez y otros. Fondo, Reparaciones y Costas. Sentencia de 4 de julio de 2004. Serie C No. 166, párr. 56</w:t>
      </w:r>
      <w:r w:rsidRPr="0090692F">
        <w:rPr>
          <w:rFonts w:ascii="Cambria" w:hAnsi="Cambria" w:cs="Arial"/>
          <w:sz w:val="16"/>
          <w:szCs w:val="16"/>
          <w:lang w:val="es-ES"/>
        </w:rPr>
        <w:t xml:space="preserve">; Caso La Cantuta. Fondo, Reparaciones y Costas. </w:t>
      </w:r>
      <w:r w:rsidRPr="0090692F">
        <w:rPr>
          <w:rFonts w:ascii="Cambria" w:hAnsi="Cambria" w:cs="Arial"/>
          <w:sz w:val="16"/>
          <w:szCs w:val="16"/>
          <w:lang w:val="es-ES_tradnl"/>
        </w:rPr>
        <w:t>Sentencia de 29 de noviembre de 2006.  Serie C No. 162, párr. 172</w:t>
      </w:r>
      <w:r w:rsidRPr="0090692F">
        <w:rPr>
          <w:rFonts w:ascii="Cambria" w:hAnsi="Cambria" w:cs="Arial"/>
          <w:sz w:val="16"/>
          <w:szCs w:val="16"/>
          <w:lang w:val="es-ES"/>
        </w:rPr>
        <w:t>.</w:t>
      </w:r>
    </w:p>
  </w:footnote>
  <w:footnote w:id="140">
    <w:p w:rsidR="0006606E" w:rsidRPr="007877A3" w:rsidRDefault="0006606E" w:rsidP="00DC278B">
      <w:pPr>
        <w:pStyle w:val="Textonotapie"/>
        <w:tabs>
          <w:tab w:val="left" w:pos="360"/>
        </w:tabs>
        <w:spacing w:after="120"/>
        <w:ind w:firstLine="720"/>
        <w:jc w:val="both"/>
        <w:rPr>
          <w:rFonts w:ascii="Cambria" w:hAnsi="Cambria"/>
          <w:sz w:val="16"/>
          <w:szCs w:val="16"/>
          <w:lang w:val="es-CO"/>
        </w:rPr>
      </w:pPr>
      <w:r w:rsidRPr="007877A3">
        <w:rPr>
          <w:rStyle w:val="Refdenotaalpie"/>
          <w:rFonts w:ascii="Cambria" w:hAnsi="Cambria"/>
          <w:sz w:val="16"/>
          <w:szCs w:val="16"/>
        </w:rPr>
        <w:footnoteRef/>
      </w:r>
      <w:r>
        <w:rPr>
          <w:rFonts w:ascii="Cambria" w:hAnsi="Cambria"/>
          <w:sz w:val="16"/>
          <w:szCs w:val="16"/>
          <w:lang w:val="es-CO"/>
        </w:rPr>
        <w:t xml:space="preserve"> Corte IDH.</w:t>
      </w:r>
      <w:r w:rsidRPr="007877A3">
        <w:rPr>
          <w:rFonts w:ascii="Cambria" w:hAnsi="Cambria"/>
          <w:sz w:val="16"/>
          <w:szCs w:val="16"/>
          <w:lang w:val="es-CO"/>
        </w:rPr>
        <w:t xml:space="preserve"> </w:t>
      </w:r>
      <w:r w:rsidRPr="007877A3">
        <w:rPr>
          <w:rFonts w:ascii="Cambria" w:hAnsi="Cambria"/>
          <w:bCs/>
          <w:sz w:val="16"/>
          <w:szCs w:val="16"/>
          <w:lang w:val="es-CO"/>
        </w:rPr>
        <w:t>Caso Albán Cornejo y otros. Vs. Ecuador.</w:t>
      </w:r>
      <w:r w:rsidRPr="007877A3">
        <w:rPr>
          <w:rFonts w:ascii="Cambria" w:hAnsi="Cambria"/>
          <w:sz w:val="16"/>
          <w:szCs w:val="16"/>
          <w:lang w:val="es-CO"/>
        </w:rPr>
        <w:t xml:space="preserve"> </w:t>
      </w:r>
      <w:r>
        <w:rPr>
          <w:rFonts w:ascii="Cambria" w:hAnsi="Cambria"/>
          <w:sz w:val="16"/>
          <w:szCs w:val="16"/>
          <w:lang w:val="es-CO"/>
        </w:rPr>
        <w:t xml:space="preserve">Fondo, Reparaciones y Costas. </w:t>
      </w:r>
      <w:r w:rsidRPr="007877A3">
        <w:rPr>
          <w:rFonts w:ascii="Cambria" w:hAnsi="Cambria"/>
          <w:sz w:val="16"/>
          <w:szCs w:val="16"/>
          <w:lang w:val="es-CO"/>
        </w:rPr>
        <w:t>Sentencia de 22 de noviembre de 2007. Serie C No. 171, párr. 111.</w:t>
      </w:r>
    </w:p>
  </w:footnote>
  <w:footnote w:id="141">
    <w:p w:rsidR="0006606E" w:rsidRPr="007877A3" w:rsidRDefault="0006606E" w:rsidP="00BB75D1">
      <w:pPr>
        <w:pStyle w:val="Textonotapie"/>
        <w:tabs>
          <w:tab w:val="left" w:pos="360"/>
        </w:tabs>
        <w:spacing w:after="120"/>
        <w:ind w:firstLine="720"/>
        <w:jc w:val="both"/>
        <w:rPr>
          <w:rFonts w:ascii="Cambria" w:hAnsi="Cambria"/>
          <w:sz w:val="16"/>
          <w:szCs w:val="16"/>
          <w:lang w:val="es-CO"/>
        </w:rPr>
      </w:pPr>
      <w:r w:rsidRPr="007877A3">
        <w:rPr>
          <w:rStyle w:val="Refdenotaalpie"/>
          <w:rFonts w:ascii="Cambria" w:hAnsi="Cambria"/>
          <w:sz w:val="16"/>
          <w:szCs w:val="16"/>
        </w:rPr>
        <w:footnoteRef/>
      </w:r>
      <w:r w:rsidRPr="007877A3">
        <w:rPr>
          <w:rFonts w:ascii="Cambria" w:hAnsi="Cambria"/>
          <w:sz w:val="16"/>
          <w:szCs w:val="16"/>
          <w:lang w:val="es-CO"/>
        </w:rPr>
        <w:t xml:space="preserve"> Corte IDH. Resolución de cumplimiento de sentencia. Caso Loayza Tamayo. </w:t>
      </w:r>
      <w:r w:rsidRPr="009C4A30">
        <w:rPr>
          <w:rFonts w:ascii="Cambria" w:hAnsi="Cambria"/>
          <w:sz w:val="16"/>
          <w:szCs w:val="16"/>
          <w:lang w:val="es-ES"/>
        </w:rPr>
        <w:t>1 de julio de 2011. Párr. 40. Citando:</w:t>
      </w:r>
      <w:r w:rsidRPr="007877A3">
        <w:rPr>
          <w:rFonts w:ascii="Cambria" w:hAnsi="Cambria"/>
          <w:sz w:val="16"/>
          <w:szCs w:val="16"/>
          <w:lang w:val="es-PR"/>
        </w:rPr>
        <w:tab/>
      </w:r>
      <w:r w:rsidRPr="009C4A30">
        <w:rPr>
          <w:rFonts w:ascii="Cambria" w:hAnsi="Cambria"/>
          <w:sz w:val="16"/>
          <w:szCs w:val="16"/>
          <w:lang w:val="es-ES"/>
        </w:rPr>
        <w:t xml:space="preserve">Cfr. Caso Barrios Altos Vs. Perú. </w:t>
      </w:r>
      <w:r w:rsidRPr="007877A3">
        <w:rPr>
          <w:rFonts w:ascii="Cambria" w:hAnsi="Cambria"/>
          <w:sz w:val="16"/>
          <w:szCs w:val="16"/>
          <w:lang w:val="es-CO"/>
        </w:rPr>
        <w:t xml:space="preserve">Fondo. Sentencia de 14 de marzo de 2001. Serie C No. 75, párr. </w:t>
      </w:r>
      <w:r w:rsidRPr="007877A3">
        <w:rPr>
          <w:rFonts w:ascii="Cambria" w:hAnsi="Cambria"/>
          <w:sz w:val="16"/>
          <w:szCs w:val="16"/>
          <w:lang w:val="pt-BR"/>
        </w:rPr>
        <w:t xml:space="preserve">41; </w:t>
      </w:r>
      <w:r w:rsidRPr="007877A3">
        <w:rPr>
          <w:rFonts w:ascii="Cambria" w:hAnsi="Cambria"/>
          <w:bCs/>
          <w:sz w:val="16"/>
          <w:szCs w:val="16"/>
          <w:lang w:val="pt-BR"/>
        </w:rPr>
        <w:t xml:space="preserve">Caso Gomes Lund y otros (Guerrilha do Araguaia) Vs. Brasil. </w:t>
      </w:r>
      <w:r w:rsidRPr="007877A3">
        <w:rPr>
          <w:rFonts w:ascii="Cambria" w:hAnsi="Cambria"/>
          <w:sz w:val="16"/>
          <w:szCs w:val="16"/>
          <w:lang w:val="es-CO"/>
        </w:rPr>
        <w:t xml:space="preserve">Excepciones Preliminares, Fondo, Reparaciones y Costas. Sentencia de 24 de noviembre de 2010. </w:t>
      </w:r>
      <w:r w:rsidRPr="009C4A30">
        <w:rPr>
          <w:rFonts w:ascii="Cambria" w:hAnsi="Cambria"/>
          <w:sz w:val="16"/>
          <w:szCs w:val="16"/>
          <w:lang w:val="es-ES"/>
        </w:rPr>
        <w:t xml:space="preserve">Serie C No. 219, párr. 171, y </w:t>
      </w:r>
      <w:r w:rsidRPr="009C4A30">
        <w:rPr>
          <w:rFonts w:ascii="Cambria" w:hAnsi="Cambria"/>
          <w:bCs/>
          <w:sz w:val="16"/>
          <w:szCs w:val="16"/>
          <w:lang w:val="es-ES"/>
        </w:rPr>
        <w:t xml:space="preserve">Caso </w:t>
      </w:r>
      <w:proofErr w:type="spellStart"/>
      <w:r w:rsidRPr="009C4A30">
        <w:rPr>
          <w:rFonts w:ascii="Cambria" w:hAnsi="Cambria"/>
          <w:bCs/>
          <w:sz w:val="16"/>
          <w:szCs w:val="16"/>
          <w:lang w:val="es-ES"/>
        </w:rPr>
        <w:t>Gelman</w:t>
      </w:r>
      <w:proofErr w:type="spellEnd"/>
      <w:r w:rsidRPr="009C4A30">
        <w:rPr>
          <w:rFonts w:ascii="Cambria" w:hAnsi="Cambria"/>
          <w:bCs/>
          <w:sz w:val="16"/>
          <w:szCs w:val="16"/>
          <w:lang w:val="es-ES"/>
        </w:rPr>
        <w:t xml:space="preserve"> Vs. Uruguay. </w:t>
      </w:r>
      <w:r w:rsidRPr="007877A3">
        <w:rPr>
          <w:rFonts w:ascii="Cambria" w:hAnsi="Cambria"/>
          <w:sz w:val="16"/>
          <w:szCs w:val="16"/>
          <w:lang w:val="es-CO"/>
        </w:rPr>
        <w:t>Fondo y Reparaciones. Sentencia de 24 de febrero de 2</w:t>
      </w:r>
      <w:r>
        <w:rPr>
          <w:rFonts w:ascii="Cambria" w:hAnsi="Cambria"/>
          <w:sz w:val="16"/>
          <w:szCs w:val="16"/>
          <w:lang w:val="es-CO"/>
        </w:rPr>
        <w:t xml:space="preserve">011 Serie C No. 221, párr. 225 </w:t>
      </w:r>
    </w:p>
  </w:footnote>
  <w:footnote w:id="142">
    <w:p w:rsidR="0006606E" w:rsidRPr="007877A3" w:rsidRDefault="0006606E" w:rsidP="00DC278B">
      <w:pPr>
        <w:pStyle w:val="Textonotapie"/>
        <w:tabs>
          <w:tab w:val="left" w:pos="360"/>
        </w:tabs>
        <w:spacing w:after="120"/>
        <w:ind w:firstLine="720"/>
        <w:jc w:val="both"/>
        <w:rPr>
          <w:rFonts w:ascii="Cambria" w:hAnsi="Cambria"/>
          <w:sz w:val="16"/>
          <w:szCs w:val="16"/>
          <w:lang w:val="es-CO"/>
        </w:rPr>
      </w:pPr>
      <w:r w:rsidRPr="007877A3">
        <w:rPr>
          <w:rStyle w:val="Refdenotaalpie"/>
          <w:rFonts w:ascii="Cambria" w:hAnsi="Cambria"/>
          <w:sz w:val="16"/>
          <w:szCs w:val="16"/>
        </w:rPr>
        <w:footnoteRef/>
      </w:r>
      <w:r w:rsidRPr="007877A3">
        <w:rPr>
          <w:rFonts w:ascii="Cambria" w:hAnsi="Cambria"/>
          <w:sz w:val="16"/>
          <w:szCs w:val="16"/>
          <w:lang w:val="es-CO"/>
        </w:rPr>
        <w:t xml:space="preserve"> Corte IDH. Resolución de cumplimiento de sentencia. Caso Loayza Tamayo. </w:t>
      </w:r>
      <w:r w:rsidRPr="009C4A30">
        <w:rPr>
          <w:rFonts w:ascii="Cambria" w:hAnsi="Cambria"/>
          <w:sz w:val="16"/>
          <w:szCs w:val="16"/>
          <w:lang w:val="es-ES"/>
        </w:rPr>
        <w:t>1 de julio de 2011. Párr. 40. Citando:</w:t>
      </w:r>
      <w:r w:rsidRPr="009C4A30">
        <w:rPr>
          <w:rFonts w:ascii="Cambria" w:hAnsi="Cambria"/>
          <w:sz w:val="16"/>
          <w:szCs w:val="16"/>
          <w:lang w:val="es-ES"/>
        </w:rPr>
        <w:tab/>
        <w:t xml:space="preserve">Cfr. Caso </w:t>
      </w:r>
      <w:proofErr w:type="spellStart"/>
      <w:r w:rsidRPr="009C4A30">
        <w:rPr>
          <w:rFonts w:ascii="Cambria" w:hAnsi="Cambria"/>
          <w:sz w:val="16"/>
          <w:szCs w:val="16"/>
          <w:lang w:val="es-ES"/>
        </w:rPr>
        <w:t>Bulacio</w:t>
      </w:r>
      <w:proofErr w:type="spellEnd"/>
      <w:r w:rsidRPr="009C4A30">
        <w:rPr>
          <w:rFonts w:ascii="Cambria" w:hAnsi="Cambria"/>
          <w:sz w:val="16"/>
          <w:szCs w:val="16"/>
          <w:lang w:val="es-ES"/>
        </w:rPr>
        <w:t xml:space="preserve"> Vs. Argentina. </w:t>
      </w:r>
      <w:r w:rsidRPr="007877A3">
        <w:rPr>
          <w:rFonts w:ascii="Cambria" w:hAnsi="Cambria"/>
          <w:sz w:val="16"/>
          <w:szCs w:val="16"/>
          <w:lang w:val="es-CO"/>
        </w:rPr>
        <w:t xml:space="preserve">Fondo, Reparaciones y Costas. Sentencia de 18 de septiembre de 2003. Serie C No. 100, </w:t>
      </w:r>
      <w:proofErr w:type="spellStart"/>
      <w:r w:rsidRPr="007877A3">
        <w:rPr>
          <w:rFonts w:ascii="Cambria" w:hAnsi="Cambria"/>
          <w:sz w:val="16"/>
          <w:szCs w:val="16"/>
          <w:lang w:val="es-CO"/>
        </w:rPr>
        <w:t>párrs</w:t>
      </w:r>
      <w:proofErr w:type="spellEnd"/>
      <w:r w:rsidRPr="007877A3">
        <w:rPr>
          <w:rFonts w:ascii="Cambria" w:hAnsi="Cambria"/>
          <w:sz w:val="16"/>
          <w:szCs w:val="16"/>
          <w:lang w:val="es-CO"/>
        </w:rPr>
        <w:t xml:space="preserve">. </w:t>
      </w:r>
      <w:r w:rsidRPr="009C4A30">
        <w:rPr>
          <w:rFonts w:ascii="Cambria" w:hAnsi="Cambria"/>
          <w:sz w:val="16"/>
          <w:szCs w:val="16"/>
          <w:lang w:val="es-ES"/>
        </w:rPr>
        <w:t xml:space="preserve">115; Caso </w:t>
      </w:r>
      <w:proofErr w:type="spellStart"/>
      <w:r w:rsidRPr="009C4A30">
        <w:rPr>
          <w:rFonts w:ascii="Cambria" w:hAnsi="Cambria"/>
          <w:sz w:val="16"/>
          <w:szCs w:val="16"/>
          <w:lang w:val="es-ES"/>
        </w:rPr>
        <w:t>Bayarri</w:t>
      </w:r>
      <w:proofErr w:type="spellEnd"/>
      <w:r w:rsidRPr="009C4A30">
        <w:rPr>
          <w:rFonts w:ascii="Cambria" w:hAnsi="Cambria"/>
          <w:sz w:val="16"/>
          <w:szCs w:val="16"/>
          <w:lang w:val="es-ES"/>
        </w:rPr>
        <w:t xml:space="preserve"> </w:t>
      </w:r>
      <w:r w:rsidRPr="009C4A30">
        <w:rPr>
          <w:rFonts w:ascii="Cambria" w:hAnsi="Cambria" w:cs="Verdana-Bold"/>
          <w:bCs/>
          <w:sz w:val="16"/>
          <w:szCs w:val="16"/>
          <w:lang w:val="es-ES" w:bidi="en-US"/>
        </w:rPr>
        <w:t xml:space="preserve">Vs. Argentina. </w:t>
      </w:r>
      <w:r w:rsidRPr="007877A3">
        <w:rPr>
          <w:rFonts w:ascii="Cambria" w:hAnsi="Cambria" w:cs="Verdana"/>
          <w:sz w:val="16"/>
          <w:szCs w:val="16"/>
          <w:lang w:val="es-CO" w:bidi="en-US"/>
        </w:rPr>
        <w:t>Excepción Preliminar, Fondo, Reparaciones y Costas. Sentencia de 30 de octubre de 2008. Serie C No. 187, párr. 116;</w:t>
      </w:r>
      <w:r w:rsidRPr="007877A3">
        <w:rPr>
          <w:rFonts w:ascii="Cambria" w:hAnsi="Cambria"/>
          <w:sz w:val="16"/>
          <w:szCs w:val="16"/>
          <w:lang w:val="es-CO"/>
        </w:rPr>
        <w:t xml:space="preserve"> </w:t>
      </w:r>
      <w:r w:rsidRPr="007877A3">
        <w:rPr>
          <w:rFonts w:ascii="Cambria" w:hAnsi="Cambria"/>
          <w:bCs/>
          <w:sz w:val="16"/>
          <w:szCs w:val="16"/>
          <w:lang w:val="es-CO"/>
        </w:rPr>
        <w:t xml:space="preserve">Caso Carpio </w:t>
      </w:r>
      <w:proofErr w:type="spellStart"/>
      <w:r w:rsidRPr="007877A3">
        <w:rPr>
          <w:rFonts w:ascii="Cambria" w:hAnsi="Cambria"/>
          <w:bCs/>
          <w:sz w:val="16"/>
          <w:szCs w:val="16"/>
          <w:lang w:val="es-CO"/>
        </w:rPr>
        <w:t>Nicolle</w:t>
      </w:r>
      <w:proofErr w:type="spellEnd"/>
      <w:r w:rsidRPr="007877A3">
        <w:rPr>
          <w:rFonts w:ascii="Cambria" w:hAnsi="Cambria"/>
          <w:bCs/>
          <w:sz w:val="16"/>
          <w:szCs w:val="16"/>
          <w:lang w:val="es-CO"/>
        </w:rPr>
        <w:t xml:space="preserve"> y otros Vs. </w:t>
      </w:r>
      <w:r w:rsidRPr="009C4A30">
        <w:rPr>
          <w:rFonts w:ascii="Cambria" w:hAnsi="Cambria"/>
          <w:bCs/>
          <w:sz w:val="16"/>
          <w:szCs w:val="16"/>
          <w:lang w:val="es-ES"/>
        </w:rPr>
        <w:t>Guatemala.</w:t>
      </w:r>
      <w:r w:rsidRPr="009C4A30">
        <w:rPr>
          <w:rFonts w:ascii="Cambria" w:hAnsi="Cambria"/>
          <w:sz w:val="16"/>
          <w:szCs w:val="16"/>
          <w:lang w:val="es-ES"/>
        </w:rPr>
        <w:t xml:space="preserve"> </w:t>
      </w:r>
      <w:r w:rsidRPr="007877A3">
        <w:rPr>
          <w:rFonts w:ascii="Cambria" w:hAnsi="Cambria"/>
          <w:sz w:val="16"/>
          <w:szCs w:val="16"/>
          <w:lang w:val="es-CO"/>
        </w:rPr>
        <w:t xml:space="preserve">Supervisión de Cumplimiento de Sentencia. Resolución de la Corte Interamericana de Derechos Humanos de 01 de julio de 2009, Considerando décimo cuarto, y </w:t>
      </w:r>
      <w:r w:rsidRPr="007877A3">
        <w:rPr>
          <w:rFonts w:ascii="Cambria" w:hAnsi="Cambria"/>
          <w:bCs/>
          <w:sz w:val="16"/>
          <w:szCs w:val="16"/>
          <w:lang w:val="es-CO"/>
        </w:rPr>
        <w:t xml:space="preserve">Caso </w:t>
      </w:r>
      <w:proofErr w:type="spellStart"/>
      <w:r w:rsidRPr="007877A3">
        <w:rPr>
          <w:rFonts w:ascii="Cambria" w:hAnsi="Cambria"/>
          <w:bCs/>
          <w:sz w:val="16"/>
          <w:szCs w:val="16"/>
          <w:lang w:val="es-CO"/>
        </w:rPr>
        <w:t>Ivcher</w:t>
      </w:r>
      <w:proofErr w:type="spellEnd"/>
      <w:r w:rsidRPr="007877A3">
        <w:rPr>
          <w:rFonts w:ascii="Cambria" w:hAnsi="Cambria"/>
          <w:bCs/>
          <w:sz w:val="16"/>
          <w:szCs w:val="16"/>
          <w:lang w:val="es-CO"/>
        </w:rPr>
        <w:t xml:space="preserve"> </w:t>
      </w:r>
      <w:proofErr w:type="spellStart"/>
      <w:r w:rsidRPr="007877A3">
        <w:rPr>
          <w:rFonts w:ascii="Cambria" w:hAnsi="Cambria"/>
          <w:bCs/>
          <w:sz w:val="16"/>
          <w:szCs w:val="16"/>
          <w:lang w:val="es-CO"/>
        </w:rPr>
        <w:t>Bronstein</w:t>
      </w:r>
      <w:proofErr w:type="spellEnd"/>
      <w:r w:rsidRPr="007877A3">
        <w:rPr>
          <w:rFonts w:ascii="Cambria" w:hAnsi="Cambria"/>
          <w:bCs/>
          <w:sz w:val="16"/>
          <w:szCs w:val="16"/>
          <w:lang w:val="es-CO"/>
        </w:rPr>
        <w:t xml:space="preserve"> Vs. </w:t>
      </w:r>
      <w:r w:rsidRPr="009C4A30">
        <w:rPr>
          <w:rFonts w:ascii="Cambria" w:hAnsi="Cambria"/>
          <w:bCs/>
          <w:sz w:val="16"/>
          <w:szCs w:val="16"/>
          <w:lang w:val="es-ES"/>
        </w:rPr>
        <w:t>Perú.</w:t>
      </w:r>
      <w:r w:rsidRPr="009C4A30">
        <w:rPr>
          <w:rFonts w:ascii="Cambria" w:hAnsi="Cambria"/>
          <w:sz w:val="16"/>
          <w:szCs w:val="16"/>
          <w:lang w:val="es-ES"/>
        </w:rPr>
        <w:t xml:space="preserve"> </w:t>
      </w:r>
      <w:r w:rsidRPr="007877A3">
        <w:rPr>
          <w:rFonts w:ascii="Cambria" w:hAnsi="Cambria"/>
          <w:sz w:val="16"/>
          <w:szCs w:val="16"/>
          <w:lang w:val="es-CO"/>
        </w:rPr>
        <w:t>Supervisión de Cumplimiento de Sentencia. Resolución de la Corte Interamericana de Derechos Humanos de 24 de noviembre de 2009, Considerando décimo séptimo.</w:t>
      </w:r>
    </w:p>
  </w:footnote>
  <w:footnote w:id="143">
    <w:p w:rsidR="0006606E" w:rsidRPr="007877A3" w:rsidRDefault="0006606E" w:rsidP="00DC278B">
      <w:pPr>
        <w:pStyle w:val="Textonotapie"/>
        <w:tabs>
          <w:tab w:val="left" w:pos="360"/>
        </w:tabs>
        <w:spacing w:after="120"/>
        <w:ind w:firstLine="720"/>
        <w:jc w:val="both"/>
        <w:rPr>
          <w:rFonts w:ascii="Cambria" w:hAnsi="Cambria"/>
          <w:sz w:val="16"/>
          <w:szCs w:val="16"/>
          <w:lang w:val="es-CO"/>
        </w:rPr>
      </w:pPr>
      <w:r w:rsidRPr="007877A3">
        <w:rPr>
          <w:rStyle w:val="Refdenotaalpie"/>
          <w:rFonts w:ascii="Cambria" w:hAnsi="Cambria"/>
          <w:sz w:val="16"/>
          <w:szCs w:val="16"/>
        </w:rPr>
        <w:footnoteRef/>
      </w:r>
      <w:r w:rsidRPr="007877A3">
        <w:rPr>
          <w:rFonts w:ascii="Cambria" w:hAnsi="Cambria"/>
          <w:sz w:val="16"/>
          <w:szCs w:val="16"/>
          <w:lang w:val="es-CO"/>
        </w:rPr>
        <w:t xml:space="preserve"> Corte IDH. Resolución de cumplimiento de sentencia. Caso Loayza Tamayo. 1 de julio de 2011. Párr. 40. </w:t>
      </w:r>
      <w:proofErr w:type="spellStart"/>
      <w:r w:rsidRPr="007877A3">
        <w:rPr>
          <w:rFonts w:ascii="Cambria" w:hAnsi="Cambria"/>
          <w:sz w:val="16"/>
          <w:szCs w:val="16"/>
          <w:lang w:val="es-CO"/>
        </w:rPr>
        <w:t>Citando</w:t>
      </w:r>
      <w:proofErr w:type="gramStart"/>
      <w:r w:rsidRPr="007877A3">
        <w:rPr>
          <w:rFonts w:ascii="Cambria" w:hAnsi="Cambria"/>
          <w:sz w:val="16"/>
          <w:szCs w:val="16"/>
          <w:lang w:val="es-CO"/>
        </w:rPr>
        <w:t>:Cfr</w:t>
      </w:r>
      <w:proofErr w:type="spellEnd"/>
      <w:proofErr w:type="gramEnd"/>
      <w:r w:rsidRPr="007877A3">
        <w:rPr>
          <w:rFonts w:ascii="Cambria" w:hAnsi="Cambria"/>
          <w:sz w:val="16"/>
          <w:szCs w:val="16"/>
          <w:lang w:val="es-CO"/>
        </w:rPr>
        <w:t xml:space="preserve">. Caso </w:t>
      </w:r>
      <w:proofErr w:type="spellStart"/>
      <w:r w:rsidRPr="007877A3">
        <w:rPr>
          <w:rFonts w:ascii="Cambria" w:hAnsi="Cambria"/>
          <w:sz w:val="16"/>
          <w:szCs w:val="16"/>
          <w:lang w:val="es-CO"/>
        </w:rPr>
        <w:t>Almonacid</w:t>
      </w:r>
      <w:proofErr w:type="spellEnd"/>
      <w:r w:rsidRPr="007877A3">
        <w:rPr>
          <w:rFonts w:ascii="Cambria" w:hAnsi="Cambria"/>
          <w:sz w:val="16"/>
          <w:szCs w:val="16"/>
          <w:lang w:val="es-CO"/>
        </w:rPr>
        <w:t xml:space="preserve"> Arellano y otros Vs. Chile. Excepciones Preliminares, Fondo, Reparaciones y Costas. Sentencia de 26 de septiembre de 2006. </w:t>
      </w:r>
      <w:r w:rsidRPr="007877A3">
        <w:rPr>
          <w:rFonts w:ascii="Cambria" w:hAnsi="Cambria"/>
          <w:sz w:val="16"/>
          <w:szCs w:val="16"/>
          <w:lang w:val="pt-BR"/>
        </w:rPr>
        <w:t xml:space="preserve">Serie C No. 154, párr. 124; </w:t>
      </w:r>
      <w:r w:rsidRPr="007877A3">
        <w:rPr>
          <w:rFonts w:ascii="Cambria" w:hAnsi="Cambria"/>
          <w:bCs/>
          <w:sz w:val="16"/>
          <w:szCs w:val="16"/>
          <w:lang w:val="pt-BR"/>
        </w:rPr>
        <w:t>Caso Gomes Lund y otros (Guerrilha do Araguaia)</w:t>
      </w:r>
      <w:r w:rsidRPr="007877A3">
        <w:rPr>
          <w:rFonts w:ascii="Cambria" w:hAnsi="Cambria"/>
          <w:sz w:val="16"/>
          <w:szCs w:val="16"/>
          <w:lang w:val="pt-BR"/>
        </w:rPr>
        <w:t xml:space="preserve">, supra nota 15, párr. </w:t>
      </w:r>
      <w:r w:rsidRPr="009C4A30">
        <w:rPr>
          <w:rFonts w:ascii="Cambria" w:hAnsi="Cambria"/>
          <w:sz w:val="16"/>
          <w:szCs w:val="16"/>
          <w:lang w:val="es-ES"/>
        </w:rPr>
        <w:t>176, y</w:t>
      </w:r>
      <w:r w:rsidRPr="009C4A30">
        <w:rPr>
          <w:rFonts w:ascii="Cambria" w:hAnsi="Cambria"/>
          <w:bCs/>
          <w:sz w:val="16"/>
          <w:szCs w:val="16"/>
          <w:lang w:val="es-ES"/>
        </w:rPr>
        <w:t xml:space="preserve"> Caso </w:t>
      </w:r>
      <w:proofErr w:type="spellStart"/>
      <w:r w:rsidRPr="009C4A30">
        <w:rPr>
          <w:rFonts w:ascii="Cambria" w:hAnsi="Cambria"/>
          <w:bCs/>
          <w:sz w:val="16"/>
          <w:szCs w:val="16"/>
          <w:lang w:val="es-ES"/>
        </w:rPr>
        <w:t>Gelman</w:t>
      </w:r>
      <w:proofErr w:type="spellEnd"/>
      <w:r w:rsidRPr="009C4A30">
        <w:rPr>
          <w:rFonts w:ascii="Cambria" w:hAnsi="Cambria"/>
          <w:bCs/>
          <w:sz w:val="16"/>
          <w:szCs w:val="16"/>
          <w:lang w:val="es-ES"/>
        </w:rPr>
        <w:t xml:space="preserve"> Vs. Uruguay</w:t>
      </w:r>
      <w:r w:rsidRPr="009C4A30">
        <w:rPr>
          <w:rFonts w:ascii="Cambria" w:hAnsi="Cambria"/>
          <w:sz w:val="16"/>
          <w:szCs w:val="16"/>
          <w:lang w:val="es-ES"/>
        </w:rPr>
        <w:t xml:space="preserve">, supra nota 15, párr. </w:t>
      </w:r>
      <w:r w:rsidRPr="007877A3">
        <w:rPr>
          <w:rFonts w:ascii="Cambria" w:hAnsi="Cambria"/>
          <w:sz w:val="16"/>
          <w:szCs w:val="16"/>
          <w:lang w:val="es-CO"/>
        </w:rPr>
        <w:t>193.</w:t>
      </w:r>
    </w:p>
  </w:footnote>
  <w:footnote w:id="144">
    <w:p w:rsidR="0006606E" w:rsidRPr="00980930" w:rsidRDefault="0006606E" w:rsidP="00DC278B">
      <w:pPr>
        <w:pStyle w:val="Textonotapie"/>
        <w:tabs>
          <w:tab w:val="left" w:pos="360"/>
        </w:tabs>
        <w:spacing w:after="120"/>
        <w:ind w:firstLine="720"/>
        <w:jc w:val="both"/>
        <w:rPr>
          <w:rFonts w:ascii="Cambria" w:hAnsi="Cambria"/>
          <w:sz w:val="16"/>
          <w:szCs w:val="16"/>
          <w:lang w:val="es-ES"/>
        </w:rPr>
      </w:pPr>
      <w:r w:rsidRPr="007877A3">
        <w:rPr>
          <w:rStyle w:val="Refdenotaalpie"/>
          <w:rFonts w:ascii="Cambria" w:hAnsi="Cambria"/>
          <w:sz w:val="16"/>
          <w:szCs w:val="16"/>
        </w:rPr>
        <w:footnoteRef/>
      </w:r>
      <w:r w:rsidRPr="007877A3">
        <w:rPr>
          <w:rFonts w:ascii="Cambria" w:hAnsi="Cambria"/>
          <w:sz w:val="16"/>
          <w:szCs w:val="16"/>
          <w:lang w:val="es-CO"/>
        </w:rPr>
        <w:t xml:space="preserve"> Corte IDH. Resolución de cumplimiento de sentencia. Caso Loayza Tamayo. </w:t>
      </w:r>
      <w:r w:rsidRPr="009C4A30">
        <w:rPr>
          <w:rFonts w:ascii="Cambria" w:hAnsi="Cambria"/>
          <w:sz w:val="16"/>
          <w:szCs w:val="16"/>
          <w:lang w:val="es-ES"/>
        </w:rPr>
        <w:t xml:space="preserve">1 de julio de 2011. </w:t>
      </w:r>
      <w:r w:rsidRPr="00980930">
        <w:rPr>
          <w:rFonts w:ascii="Cambria" w:hAnsi="Cambria"/>
          <w:sz w:val="16"/>
          <w:szCs w:val="16"/>
          <w:lang w:val="es-ES"/>
        </w:rPr>
        <w:t xml:space="preserve">Párr. 40. </w:t>
      </w:r>
    </w:p>
  </w:footnote>
  <w:footnote w:id="145">
    <w:p w:rsidR="0006606E" w:rsidRPr="0006606E" w:rsidRDefault="0006606E" w:rsidP="00DC278B">
      <w:pPr>
        <w:pStyle w:val="Textonotapie"/>
        <w:tabs>
          <w:tab w:val="left" w:pos="360"/>
        </w:tabs>
        <w:spacing w:after="120"/>
        <w:ind w:firstLine="720"/>
        <w:jc w:val="both"/>
        <w:rPr>
          <w:rFonts w:ascii="Cambria" w:hAnsi="Cambria"/>
          <w:sz w:val="16"/>
          <w:szCs w:val="16"/>
          <w:lang w:val="es-ES"/>
        </w:rPr>
      </w:pPr>
      <w:r w:rsidRPr="007877A3">
        <w:rPr>
          <w:rStyle w:val="Refdenotaalpie"/>
          <w:rFonts w:ascii="Cambria" w:hAnsi="Cambria"/>
          <w:sz w:val="16"/>
          <w:szCs w:val="16"/>
        </w:rPr>
        <w:footnoteRef/>
      </w:r>
      <w:r w:rsidRPr="00980930">
        <w:rPr>
          <w:rFonts w:ascii="Cambria" w:hAnsi="Cambria"/>
          <w:sz w:val="16"/>
          <w:szCs w:val="16"/>
          <w:lang w:val="es-ES"/>
        </w:rPr>
        <w:t xml:space="preserve"> Corte IDH. </w:t>
      </w:r>
      <w:r w:rsidRPr="00980930">
        <w:rPr>
          <w:rFonts w:ascii="Cambria" w:hAnsi="Cambria"/>
          <w:bCs/>
          <w:sz w:val="16"/>
          <w:szCs w:val="16"/>
          <w:lang w:val="es-ES"/>
        </w:rPr>
        <w:t xml:space="preserve">Caso Barrios Altos Vs. Perú. </w:t>
      </w:r>
      <w:r w:rsidRPr="00980930">
        <w:rPr>
          <w:rFonts w:ascii="Cambria" w:hAnsi="Cambria"/>
          <w:sz w:val="16"/>
          <w:szCs w:val="16"/>
          <w:lang w:val="es-ES"/>
        </w:rPr>
        <w:t xml:space="preserve">Sentencia de 14 de marzo de 2001. </w:t>
      </w:r>
      <w:r w:rsidRPr="0006606E">
        <w:rPr>
          <w:rFonts w:ascii="Cambria" w:hAnsi="Cambria"/>
          <w:sz w:val="16"/>
          <w:szCs w:val="16"/>
          <w:lang w:val="es-ES"/>
        </w:rPr>
        <w:t>Serie C No. 75, párr. 41.</w:t>
      </w:r>
    </w:p>
  </w:footnote>
  <w:footnote w:id="146">
    <w:p w:rsidR="0006606E" w:rsidRPr="0006606E" w:rsidRDefault="0006606E" w:rsidP="00DC278B">
      <w:pPr>
        <w:pStyle w:val="Textonotapie"/>
        <w:tabs>
          <w:tab w:val="left" w:pos="360"/>
        </w:tabs>
        <w:spacing w:after="120"/>
        <w:ind w:firstLine="720"/>
        <w:jc w:val="both"/>
        <w:rPr>
          <w:rFonts w:ascii="Cambria" w:hAnsi="Cambria"/>
          <w:sz w:val="16"/>
          <w:szCs w:val="16"/>
          <w:lang w:val="es-ES"/>
        </w:rPr>
      </w:pPr>
      <w:r w:rsidRPr="007877A3">
        <w:rPr>
          <w:rStyle w:val="Refdenotaalpie"/>
          <w:rFonts w:ascii="Cambria" w:hAnsi="Cambria"/>
          <w:sz w:val="16"/>
          <w:szCs w:val="16"/>
        </w:rPr>
        <w:footnoteRef/>
      </w:r>
      <w:r w:rsidRPr="0006606E">
        <w:rPr>
          <w:rFonts w:ascii="Cambria" w:hAnsi="Cambria"/>
          <w:sz w:val="16"/>
          <w:szCs w:val="16"/>
          <w:lang w:val="es-ES"/>
        </w:rPr>
        <w:t xml:space="preserve">CIDH, Informe No 35/98, caso 12.019, Antonio Ferreira Braga, Brasil, 19 de julio de 2008. </w:t>
      </w:r>
    </w:p>
  </w:footnote>
  <w:footnote w:id="147">
    <w:p w:rsidR="0006606E" w:rsidRPr="007877A3" w:rsidRDefault="0006606E" w:rsidP="00DC278B">
      <w:pPr>
        <w:pStyle w:val="Textonotapie"/>
        <w:tabs>
          <w:tab w:val="left" w:pos="360"/>
        </w:tabs>
        <w:spacing w:after="120"/>
        <w:ind w:firstLine="720"/>
        <w:jc w:val="both"/>
        <w:rPr>
          <w:rFonts w:ascii="Cambria" w:hAnsi="Cambria"/>
          <w:sz w:val="16"/>
          <w:szCs w:val="16"/>
          <w:lang w:val="es-ES_tradnl"/>
        </w:rPr>
      </w:pPr>
      <w:r w:rsidRPr="007877A3">
        <w:rPr>
          <w:rStyle w:val="Refdenotaalpie"/>
          <w:rFonts w:ascii="Cambria" w:hAnsi="Cambria"/>
          <w:sz w:val="16"/>
          <w:szCs w:val="16"/>
        </w:rPr>
        <w:footnoteRef/>
      </w:r>
      <w:r w:rsidRPr="009C4A30">
        <w:rPr>
          <w:rFonts w:ascii="Cambria" w:hAnsi="Cambria"/>
          <w:sz w:val="16"/>
          <w:szCs w:val="16"/>
          <w:lang w:val="es-ES"/>
        </w:rPr>
        <w:t xml:space="preserve"> </w:t>
      </w:r>
      <w:r w:rsidRPr="009C4A30">
        <w:rPr>
          <w:rFonts w:ascii="Cambria" w:hAnsi="Cambria" w:cs="Verdana"/>
          <w:bCs/>
          <w:sz w:val="16"/>
          <w:szCs w:val="16"/>
          <w:bdr w:val="none" w:sz="0" w:space="0" w:color="auto"/>
          <w:lang w:val="es-ES"/>
        </w:rPr>
        <w:t xml:space="preserve">Corte IDH. Caso Vera </w:t>
      </w:r>
      <w:proofErr w:type="spellStart"/>
      <w:r w:rsidRPr="009C4A30">
        <w:rPr>
          <w:rFonts w:ascii="Cambria" w:hAnsi="Cambria" w:cs="Verdana"/>
          <w:bCs/>
          <w:sz w:val="16"/>
          <w:szCs w:val="16"/>
          <w:bdr w:val="none" w:sz="0" w:space="0" w:color="auto"/>
          <w:lang w:val="es-ES"/>
        </w:rPr>
        <w:t>Vera</w:t>
      </w:r>
      <w:proofErr w:type="spellEnd"/>
      <w:r w:rsidRPr="009C4A30">
        <w:rPr>
          <w:rFonts w:ascii="Cambria" w:hAnsi="Cambria" w:cs="Verdana"/>
          <w:bCs/>
          <w:sz w:val="16"/>
          <w:szCs w:val="16"/>
          <w:bdr w:val="none" w:sz="0" w:space="0" w:color="auto"/>
          <w:lang w:val="es-ES"/>
        </w:rPr>
        <w:t xml:space="preserve"> y otra Vs. Ecuador. </w:t>
      </w:r>
      <w:r w:rsidRPr="007877A3">
        <w:rPr>
          <w:rFonts w:ascii="Cambria" w:hAnsi="Cambria" w:cs="Verdana"/>
          <w:bCs/>
          <w:sz w:val="16"/>
          <w:szCs w:val="16"/>
          <w:bdr w:val="none" w:sz="0" w:space="0" w:color="auto"/>
          <w:lang w:val="es-CO"/>
        </w:rPr>
        <w:t xml:space="preserve">Excepción Preliminar, Fondo, Reparaciones y Costas. Sentencia </w:t>
      </w:r>
      <w:r>
        <w:rPr>
          <w:rFonts w:ascii="Cambria" w:hAnsi="Cambria" w:cs="Verdana"/>
          <w:bCs/>
          <w:sz w:val="16"/>
          <w:szCs w:val="16"/>
          <w:bdr w:val="none" w:sz="0" w:space="0" w:color="auto"/>
          <w:lang w:val="es-CO"/>
        </w:rPr>
        <w:t>de 19 de mayo de 2011. Serie C N</w:t>
      </w:r>
      <w:r w:rsidRPr="007877A3">
        <w:rPr>
          <w:rFonts w:ascii="Cambria" w:hAnsi="Cambria" w:cs="Verdana"/>
          <w:bCs/>
          <w:sz w:val="16"/>
          <w:szCs w:val="16"/>
          <w:bdr w:val="none" w:sz="0" w:space="0" w:color="auto"/>
          <w:lang w:val="es-CO"/>
        </w:rPr>
        <w:t>o. 226. Párr. 117.</w:t>
      </w:r>
    </w:p>
  </w:footnote>
  <w:footnote w:id="148">
    <w:p w:rsidR="0006606E" w:rsidRPr="0006606E" w:rsidRDefault="0006606E" w:rsidP="00DC278B">
      <w:pPr>
        <w:pStyle w:val="Textonotapie"/>
        <w:tabs>
          <w:tab w:val="left" w:pos="360"/>
        </w:tabs>
        <w:spacing w:after="120"/>
        <w:ind w:firstLine="720"/>
        <w:jc w:val="both"/>
        <w:rPr>
          <w:rFonts w:ascii="Cambria" w:hAnsi="Cambria"/>
          <w:sz w:val="16"/>
          <w:szCs w:val="16"/>
          <w:lang w:val="es-MX"/>
        </w:rPr>
      </w:pPr>
      <w:r w:rsidRPr="007877A3">
        <w:rPr>
          <w:rStyle w:val="Refdenotaalpie"/>
          <w:rFonts w:ascii="Cambria" w:hAnsi="Cambria"/>
          <w:sz w:val="16"/>
          <w:szCs w:val="16"/>
        </w:rPr>
        <w:footnoteRef/>
      </w:r>
      <w:r w:rsidRPr="007877A3">
        <w:rPr>
          <w:rFonts w:ascii="Cambria" w:hAnsi="Cambria"/>
          <w:sz w:val="16"/>
          <w:szCs w:val="16"/>
          <w:lang w:val="es-MX"/>
        </w:rPr>
        <w:t xml:space="preserve"> Corte IDH. </w:t>
      </w:r>
      <w:r w:rsidRPr="007877A3">
        <w:rPr>
          <w:rFonts w:ascii="Cambria" w:hAnsi="Cambria" w:cs="Verdana"/>
          <w:iCs/>
          <w:sz w:val="16"/>
          <w:szCs w:val="16"/>
          <w:lang w:val="es-MX"/>
        </w:rPr>
        <w:t xml:space="preserve">Caso </w:t>
      </w:r>
      <w:proofErr w:type="spellStart"/>
      <w:r w:rsidRPr="007877A3">
        <w:rPr>
          <w:rFonts w:ascii="Cambria" w:hAnsi="Cambria" w:cs="Verdana"/>
          <w:iCs/>
          <w:sz w:val="16"/>
          <w:szCs w:val="16"/>
          <w:lang w:val="es-MX"/>
        </w:rPr>
        <w:t>Ibsen</w:t>
      </w:r>
      <w:proofErr w:type="spellEnd"/>
      <w:r w:rsidRPr="007877A3">
        <w:rPr>
          <w:rFonts w:ascii="Cambria" w:hAnsi="Cambria" w:cs="Verdana"/>
          <w:iCs/>
          <w:sz w:val="16"/>
          <w:szCs w:val="16"/>
          <w:lang w:val="es-MX"/>
        </w:rPr>
        <w:t xml:space="preserve"> Cárdenas e </w:t>
      </w:r>
      <w:proofErr w:type="spellStart"/>
      <w:r w:rsidRPr="007877A3">
        <w:rPr>
          <w:rFonts w:ascii="Cambria" w:hAnsi="Cambria" w:cs="Verdana"/>
          <w:iCs/>
          <w:sz w:val="16"/>
          <w:szCs w:val="16"/>
          <w:lang w:val="es-MX"/>
        </w:rPr>
        <w:t>Ibsen</w:t>
      </w:r>
      <w:proofErr w:type="spellEnd"/>
      <w:r w:rsidRPr="007877A3">
        <w:rPr>
          <w:rFonts w:ascii="Cambria" w:hAnsi="Cambria" w:cs="Verdana"/>
          <w:iCs/>
          <w:sz w:val="16"/>
          <w:szCs w:val="16"/>
          <w:lang w:val="es-MX"/>
        </w:rPr>
        <w:t xml:space="preserve"> Peña Vs. Bolivia. Fondo, Reparaciones y Costas.</w:t>
      </w:r>
      <w:r w:rsidRPr="007877A3">
        <w:rPr>
          <w:rFonts w:ascii="Cambria" w:hAnsi="Cambria"/>
          <w:sz w:val="16"/>
          <w:szCs w:val="16"/>
          <w:lang w:val="es-MX"/>
        </w:rPr>
        <w:t xml:space="preserve"> </w:t>
      </w:r>
      <w:r w:rsidRPr="007877A3">
        <w:rPr>
          <w:rFonts w:ascii="Cambria" w:hAnsi="Cambria" w:cs="Verdana"/>
          <w:sz w:val="16"/>
          <w:szCs w:val="16"/>
          <w:lang w:val="es-MX"/>
        </w:rPr>
        <w:t>Sentencia de 1 de septiembre de 2010 Serie C No. 217</w:t>
      </w:r>
      <w:r w:rsidRPr="007877A3">
        <w:rPr>
          <w:rFonts w:ascii="Cambria" w:hAnsi="Cambria"/>
          <w:sz w:val="16"/>
          <w:szCs w:val="16"/>
          <w:lang w:val="es-MX"/>
        </w:rPr>
        <w:t>,</w:t>
      </w:r>
      <w:r w:rsidRPr="007877A3">
        <w:rPr>
          <w:rFonts w:ascii="Cambria" w:hAnsi="Cambria"/>
          <w:bCs/>
          <w:sz w:val="16"/>
          <w:szCs w:val="16"/>
          <w:lang w:val="es-MX"/>
        </w:rPr>
        <w:t xml:space="preserve"> </w:t>
      </w:r>
      <w:r w:rsidRPr="007877A3">
        <w:rPr>
          <w:rFonts w:ascii="Cambria" w:hAnsi="Cambria"/>
          <w:sz w:val="16"/>
          <w:szCs w:val="16"/>
          <w:lang w:val="es-MX"/>
        </w:rPr>
        <w:t xml:space="preserve">párr. </w:t>
      </w:r>
      <w:r w:rsidRPr="0006606E">
        <w:rPr>
          <w:rFonts w:ascii="Cambria" w:hAnsi="Cambria"/>
          <w:sz w:val="16"/>
          <w:szCs w:val="16"/>
          <w:lang w:val="es-MX"/>
        </w:rPr>
        <w:t>207.</w:t>
      </w:r>
    </w:p>
  </w:footnote>
  <w:footnote w:id="149">
    <w:p w:rsidR="0006606E" w:rsidRPr="007877A3" w:rsidRDefault="0006606E" w:rsidP="00DC278B">
      <w:pPr>
        <w:pStyle w:val="Textonotapie"/>
        <w:tabs>
          <w:tab w:val="left" w:pos="360"/>
        </w:tabs>
        <w:spacing w:after="120"/>
        <w:ind w:firstLine="720"/>
        <w:jc w:val="both"/>
        <w:rPr>
          <w:rFonts w:ascii="Cambria" w:hAnsi="Cambria"/>
          <w:sz w:val="16"/>
          <w:szCs w:val="16"/>
          <w:lang w:val="es-MX"/>
        </w:rPr>
      </w:pPr>
      <w:r w:rsidRPr="007877A3">
        <w:rPr>
          <w:rStyle w:val="Refdenotaalpie"/>
          <w:rFonts w:ascii="Cambria" w:hAnsi="Cambria"/>
          <w:sz w:val="16"/>
          <w:szCs w:val="16"/>
        </w:rPr>
        <w:footnoteRef/>
      </w:r>
      <w:r w:rsidRPr="0006606E">
        <w:rPr>
          <w:rFonts w:ascii="Cambria" w:hAnsi="Cambria"/>
          <w:sz w:val="16"/>
          <w:szCs w:val="16"/>
          <w:lang w:val="es-MX"/>
        </w:rPr>
        <w:t xml:space="preserve"> Corte IDH. </w:t>
      </w:r>
      <w:r w:rsidRPr="0006606E">
        <w:rPr>
          <w:rFonts w:ascii="Cambria" w:hAnsi="Cambria"/>
          <w:bCs/>
          <w:iCs/>
          <w:sz w:val="16"/>
          <w:szCs w:val="16"/>
          <w:lang w:val="es-MX"/>
        </w:rPr>
        <w:t xml:space="preserve">Caso Gomes </w:t>
      </w:r>
      <w:proofErr w:type="spellStart"/>
      <w:r w:rsidRPr="0006606E">
        <w:rPr>
          <w:rFonts w:ascii="Cambria" w:hAnsi="Cambria"/>
          <w:bCs/>
          <w:iCs/>
          <w:sz w:val="16"/>
          <w:szCs w:val="16"/>
          <w:lang w:val="es-MX"/>
        </w:rPr>
        <w:t>Lund</w:t>
      </w:r>
      <w:proofErr w:type="spellEnd"/>
      <w:r w:rsidRPr="0006606E">
        <w:rPr>
          <w:rFonts w:ascii="Cambria" w:hAnsi="Cambria"/>
          <w:bCs/>
          <w:iCs/>
          <w:sz w:val="16"/>
          <w:szCs w:val="16"/>
          <w:lang w:val="es-MX"/>
        </w:rPr>
        <w:t xml:space="preserve"> y otros (</w:t>
      </w:r>
      <w:proofErr w:type="spellStart"/>
      <w:r w:rsidRPr="0006606E">
        <w:rPr>
          <w:rFonts w:ascii="Cambria" w:hAnsi="Cambria"/>
          <w:bCs/>
          <w:iCs/>
          <w:sz w:val="16"/>
          <w:szCs w:val="16"/>
          <w:lang w:val="es-MX"/>
        </w:rPr>
        <w:t>Guerrilha</w:t>
      </w:r>
      <w:proofErr w:type="spellEnd"/>
      <w:r w:rsidRPr="0006606E">
        <w:rPr>
          <w:rFonts w:ascii="Cambria" w:hAnsi="Cambria"/>
          <w:bCs/>
          <w:iCs/>
          <w:sz w:val="16"/>
          <w:szCs w:val="16"/>
          <w:lang w:val="es-MX"/>
        </w:rPr>
        <w:t xml:space="preserve"> do </w:t>
      </w:r>
      <w:proofErr w:type="spellStart"/>
      <w:r w:rsidRPr="0006606E">
        <w:rPr>
          <w:rFonts w:ascii="Cambria" w:hAnsi="Cambria"/>
          <w:bCs/>
          <w:iCs/>
          <w:sz w:val="16"/>
          <w:szCs w:val="16"/>
          <w:lang w:val="es-MX"/>
        </w:rPr>
        <w:t>Araguaia</w:t>
      </w:r>
      <w:proofErr w:type="spellEnd"/>
      <w:r w:rsidRPr="0006606E">
        <w:rPr>
          <w:rFonts w:ascii="Cambria" w:hAnsi="Cambria"/>
          <w:bCs/>
          <w:iCs/>
          <w:sz w:val="16"/>
          <w:szCs w:val="16"/>
          <w:lang w:val="es-MX"/>
        </w:rPr>
        <w:t xml:space="preserve">) Vs. </w:t>
      </w:r>
      <w:r w:rsidRPr="007877A3">
        <w:rPr>
          <w:rFonts w:ascii="Cambria" w:hAnsi="Cambria"/>
          <w:bCs/>
          <w:iCs/>
          <w:sz w:val="16"/>
          <w:szCs w:val="16"/>
          <w:lang w:val="es-MX"/>
        </w:rPr>
        <w:t xml:space="preserve">Brasil. Excepciones Preliminares, Fondo, Reparaciones y Costas. Sentencia de 24 de noviembre de 2010. Serie C No. 219, párr. </w:t>
      </w:r>
      <w:r w:rsidRPr="007877A3">
        <w:rPr>
          <w:rFonts w:ascii="Cambria" w:hAnsi="Cambria"/>
          <w:sz w:val="16"/>
          <w:szCs w:val="16"/>
          <w:lang w:val="es-MX"/>
        </w:rPr>
        <w:t xml:space="preserve">171; y Corte IDH. Caso </w:t>
      </w:r>
      <w:proofErr w:type="spellStart"/>
      <w:r w:rsidRPr="007877A3">
        <w:rPr>
          <w:rFonts w:ascii="Cambria" w:hAnsi="Cambria"/>
          <w:sz w:val="16"/>
          <w:szCs w:val="16"/>
          <w:lang w:val="es-MX"/>
        </w:rPr>
        <w:t>Gelman</w:t>
      </w:r>
      <w:proofErr w:type="spellEnd"/>
      <w:r w:rsidRPr="007877A3">
        <w:rPr>
          <w:rFonts w:ascii="Cambria" w:hAnsi="Cambria"/>
          <w:sz w:val="16"/>
          <w:szCs w:val="16"/>
          <w:lang w:val="es-MX"/>
        </w:rPr>
        <w:t xml:space="preserve"> Vs. Uruguay. Fondo y Reparaciones. Sentencia de 24 de febrero de 2011. Serie C No. 221, párr. 225.</w:t>
      </w:r>
    </w:p>
  </w:footnote>
  <w:footnote w:id="150">
    <w:p w:rsidR="0006606E" w:rsidRPr="007877A3" w:rsidRDefault="0006606E" w:rsidP="00DC278B">
      <w:pPr>
        <w:pStyle w:val="Textonotapie"/>
        <w:tabs>
          <w:tab w:val="left" w:pos="360"/>
        </w:tabs>
        <w:spacing w:after="120"/>
        <w:ind w:firstLine="720"/>
        <w:jc w:val="both"/>
        <w:rPr>
          <w:rFonts w:ascii="Cambria" w:hAnsi="Cambria"/>
          <w:sz w:val="16"/>
          <w:szCs w:val="16"/>
          <w:lang w:val="es-ES_tradnl"/>
        </w:rPr>
      </w:pPr>
      <w:r w:rsidRPr="007877A3">
        <w:rPr>
          <w:rStyle w:val="Refdenotaalpie"/>
          <w:rFonts w:ascii="Cambria" w:hAnsi="Cambria"/>
          <w:sz w:val="16"/>
          <w:szCs w:val="16"/>
        </w:rPr>
        <w:footnoteRef/>
      </w:r>
      <w:r w:rsidRPr="007877A3">
        <w:rPr>
          <w:rFonts w:ascii="Cambria" w:hAnsi="Cambria"/>
          <w:sz w:val="16"/>
          <w:szCs w:val="16"/>
          <w:lang w:val="es-CO"/>
        </w:rPr>
        <w:t xml:space="preserve"> </w:t>
      </w:r>
      <w:r w:rsidRPr="007877A3">
        <w:rPr>
          <w:rFonts w:ascii="Cambria" w:hAnsi="Cambria"/>
          <w:sz w:val="16"/>
          <w:szCs w:val="16"/>
          <w:lang w:val="es-ES_tradnl"/>
        </w:rPr>
        <w:t xml:space="preserve">Ver por ejemplo. </w:t>
      </w:r>
      <w:r w:rsidRPr="007877A3">
        <w:rPr>
          <w:rFonts w:ascii="Cambria" w:hAnsi="Cambria" w:cs="Verdana"/>
          <w:bCs/>
          <w:sz w:val="16"/>
          <w:szCs w:val="16"/>
          <w:bdr w:val="none" w:sz="0" w:space="0" w:color="auto"/>
          <w:lang w:val="es-CO"/>
        </w:rPr>
        <w:t>Corte IDH. Caso Masacres de El Mozote y lugares aledaños Vs. El Salvador. Fondo, Reparaciones y Costas. Sentencia de 25 de octubre de 2012 Serie C No. 252. Párr. 283.</w:t>
      </w:r>
    </w:p>
  </w:footnote>
  <w:footnote w:id="151">
    <w:p w:rsidR="0006606E" w:rsidRPr="007877A3" w:rsidRDefault="0006606E" w:rsidP="00DC278B">
      <w:pPr>
        <w:tabs>
          <w:tab w:val="left" w:pos="360"/>
        </w:tabs>
        <w:autoSpaceDE w:val="0"/>
        <w:autoSpaceDN w:val="0"/>
        <w:adjustRightInd w:val="0"/>
        <w:spacing w:after="120"/>
        <w:ind w:firstLine="720"/>
        <w:jc w:val="both"/>
        <w:rPr>
          <w:rFonts w:ascii="Cambria" w:hAnsi="Cambria"/>
          <w:iCs/>
          <w:sz w:val="16"/>
          <w:szCs w:val="16"/>
          <w:lang w:val="es-CO"/>
        </w:rPr>
      </w:pPr>
      <w:r w:rsidRPr="007877A3">
        <w:rPr>
          <w:rStyle w:val="Refdenotaalpie"/>
          <w:rFonts w:ascii="Cambria" w:hAnsi="Cambria"/>
          <w:sz w:val="16"/>
          <w:szCs w:val="16"/>
        </w:rPr>
        <w:footnoteRef/>
      </w:r>
      <w:r w:rsidRPr="007877A3">
        <w:rPr>
          <w:rFonts w:ascii="Cambria" w:hAnsi="Cambria"/>
          <w:sz w:val="16"/>
          <w:szCs w:val="16"/>
          <w:lang w:val="es-CO"/>
        </w:rPr>
        <w:t xml:space="preserve"> Grupo de Trabajo sobre las Desaparic</w:t>
      </w:r>
      <w:r>
        <w:rPr>
          <w:rFonts w:ascii="Cambria" w:hAnsi="Cambria"/>
          <w:sz w:val="16"/>
          <w:szCs w:val="16"/>
          <w:lang w:val="es-CO"/>
        </w:rPr>
        <w:t>iones Forzadas o Involuntarias,</w:t>
      </w:r>
      <w:r w:rsidRPr="007877A3">
        <w:rPr>
          <w:rFonts w:ascii="Cambria" w:hAnsi="Cambria"/>
          <w:sz w:val="16"/>
          <w:szCs w:val="16"/>
          <w:lang w:val="es-CO"/>
        </w:rPr>
        <w:t xml:space="preserve"> Observaciones Generales sobre el Artículo 19 de la Declaración sobre la Protección de Todas las Personas contra las Desapariciones Forzadas, E/CN.4/1998/43, párr. 73.</w:t>
      </w:r>
    </w:p>
  </w:footnote>
  <w:footnote w:id="152">
    <w:p w:rsidR="0006606E" w:rsidRPr="007877A3" w:rsidRDefault="0006606E" w:rsidP="00DC278B">
      <w:pPr>
        <w:tabs>
          <w:tab w:val="left" w:pos="360"/>
        </w:tabs>
        <w:autoSpaceDE w:val="0"/>
        <w:autoSpaceDN w:val="0"/>
        <w:adjustRightInd w:val="0"/>
        <w:spacing w:after="120"/>
        <w:ind w:firstLine="720"/>
        <w:jc w:val="both"/>
        <w:rPr>
          <w:rFonts w:ascii="Cambria" w:hAnsi="Cambria"/>
          <w:iCs/>
          <w:sz w:val="16"/>
          <w:szCs w:val="16"/>
          <w:lang w:val="es-CO"/>
        </w:rPr>
      </w:pPr>
      <w:r w:rsidRPr="007877A3">
        <w:rPr>
          <w:rStyle w:val="Refdenotaalpie"/>
          <w:rFonts w:ascii="Cambria" w:hAnsi="Cambria"/>
          <w:sz w:val="16"/>
          <w:szCs w:val="16"/>
        </w:rPr>
        <w:footnoteRef/>
      </w:r>
      <w:r w:rsidRPr="007877A3">
        <w:rPr>
          <w:rFonts w:ascii="Cambria" w:hAnsi="Cambria"/>
          <w:sz w:val="16"/>
          <w:szCs w:val="16"/>
          <w:lang w:val="es-CO"/>
        </w:rPr>
        <w:t xml:space="preserve"> Comisión de Derechos Humanos de Naciones Unidas (CDH-ONU), Informe final presentado por el Relator Especial sobre el Derecho a la Restitución, Indemnización y Rehabilitación de las Víctimas de Violaciones Manifiestas de los Derechos Humanos y las Libertades Fundamentales, E/CN.4/Sub.2/1993/8, 2 de julio de 1993, párr. 135.</w:t>
      </w:r>
    </w:p>
  </w:footnote>
  <w:footnote w:id="153">
    <w:p w:rsidR="0006606E" w:rsidRPr="007877A3" w:rsidRDefault="0006606E" w:rsidP="00DC278B">
      <w:pPr>
        <w:tabs>
          <w:tab w:val="left" w:pos="360"/>
        </w:tabs>
        <w:autoSpaceDE w:val="0"/>
        <w:autoSpaceDN w:val="0"/>
        <w:adjustRightInd w:val="0"/>
        <w:spacing w:after="120"/>
        <w:ind w:firstLine="720"/>
        <w:jc w:val="both"/>
        <w:rPr>
          <w:rFonts w:ascii="Cambria" w:hAnsi="Cambria"/>
          <w:sz w:val="16"/>
          <w:szCs w:val="16"/>
          <w:lang w:val="es-CO"/>
        </w:rPr>
      </w:pPr>
      <w:r w:rsidRPr="007877A3">
        <w:rPr>
          <w:rFonts w:ascii="Cambria" w:hAnsi="Cambria"/>
          <w:sz w:val="16"/>
          <w:szCs w:val="16"/>
          <w:vertAlign w:val="superscript"/>
          <w:lang w:val="es-CO"/>
        </w:rPr>
        <w:footnoteRef/>
      </w:r>
      <w:r w:rsidRPr="007877A3">
        <w:rPr>
          <w:rFonts w:ascii="Cambria" w:hAnsi="Cambria"/>
          <w:sz w:val="16"/>
          <w:szCs w:val="16"/>
          <w:lang w:val="es-CO"/>
        </w:rPr>
        <w:t xml:space="preserve"> CDH-ONU, Diane </w:t>
      </w:r>
      <w:proofErr w:type="spellStart"/>
      <w:r w:rsidRPr="007877A3">
        <w:rPr>
          <w:rFonts w:ascii="Cambria" w:hAnsi="Cambria"/>
          <w:sz w:val="16"/>
          <w:szCs w:val="16"/>
          <w:lang w:val="es-CO"/>
        </w:rPr>
        <w:t>Orentlicher</w:t>
      </w:r>
      <w:proofErr w:type="spellEnd"/>
      <w:r w:rsidRPr="007877A3">
        <w:rPr>
          <w:rFonts w:ascii="Cambria" w:hAnsi="Cambria"/>
          <w:sz w:val="16"/>
          <w:szCs w:val="16"/>
          <w:lang w:val="es-CO"/>
        </w:rPr>
        <w:t>, Experta independiente encargada de actualizar el Conjunto de principios para la lucha contra la impunidad, E/CN.4/2005/102, 18 de febrero de 2005.</w:t>
      </w:r>
    </w:p>
  </w:footnote>
  <w:footnote w:id="154">
    <w:p w:rsidR="0006606E" w:rsidRPr="007877A3" w:rsidRDefault="0006606E" w:rsidP="00DC278B">
      <w:pPr>
        <w:pStyle w:val="Textonotapie"/>
        <w:tabs>
          <w:tab w:val="left" w:pos="360"/>
        </w:tabs>
        <w:spacing w:after="120"/>
        <w:ind w:firstLine="720"/>
        <w:jc w:val="both"/>
        <w:rPr>
          <w:rFonts w:ascii="Cambria" w:hAnsi="Cambria"/>
          <w:sz w:val="16"/>
          <w:szCs w:val="16"/>
          <w:lang w:val="es-CO"/>
        </w:rPr>
      </w:pPr>
      <w:r w:rsidRPr="007877A3">
        <w:rPr>
          <w:rStyle w:val="Refdenotaalpie"/>
          <w:rFonts w:ascii="Cambria" w:hAnsi="Cambria"/>
          <w:sz w:val="16"/>
          <w:szCs w:val="16"/>
        </w:rPr>
        <w:footnoteRef/>
      </w:r>
      <w:r w:rsidRPr="007877A3">
        <w:rPr>
          <w:rFonts w:ascii="Cambria" w:hAnsi="Cambria"/>
          <w:sz w:val="16"/>
          <w:szCs w:val="16"/>
          <w:lang w:val="es-CO"/>
        </w:rPr>
        <w:t xml:space="preserve"> Asamblea General (</w:t>
      </w:r>
      <w:r w:rsidRPr="007877A3">
        <w:rPr>
          <w:rFonts w:ascii="Cambria" w:hAnsi="Cambria"/>
          <w:sz w:val="16"/>
          <w:szCs w:val="16"/>
          <w:lang w:val="es-CL"/>
        </w:rPr>
        <w:t>AG). A/RES/60/147, 21 de marzo de 2006. Resolución que aprueba los “Principios y directrices básicos sobre el derecho de las víctimas de violaciones manifiestas de las normas internacionales de derechos humanos y de violaciones graves del derecho internacional humanitario a interponer recursos y obtener reparaciones”.</w:t>
      </w:r>
    </w:p>
  </w:footnote>
  <w:footnote w:id="155">
    <w:p w:rsidR="0006606E" w:rsidRPr="00A7503A" w:rsidRDefault="0006606E" w:rsidP="00A7503A">
      <w:pPr>
        <w:pStyle w:val="Textonotapie"/>
        <w:ind w:firstLine="720"/>
        <w:rPr>
          <w:rFonts w:asciiTheme="majorHAnsi" w:hAnsiTheme="majorHAnsi"/>
          <w:sz w:val="16"/>
          <w:szCs w:val="16"/>
          <w:lang w:val="es-VE"/>
        </w:rPr>
      </w:pPr>
      <w:r w:rsidRPr="00A7503A">
        <w:rPr>
          <w:rStyle w:val="Refdenotaalpie"/>
          <w:rFonts w:asciiTheme="majorHAnsi" w:hAnsiTheme="majorHAnsi"/>
          <w:sz w:val="16"/>
          <w:szCs w:val="16"/>
        </w:rPr>
        <w:footnoteRef/>
      </w:r>
      <w:r w:rsidRPr="00A7503A">
        <w:rPr>
          <w:rFonts w:asciiTheme="majorHAnsi" w:hAnsiTheme="majorHAnsi"/>
          <w:sz w:val="16"/>
          <w:szCs w:val="16"/>
          <w:lang w:val="es-VE"/>
        </w:rPr>
        <w:t xml:space="preserve"> El Consejo de Estado ha trazado la distinción entre caducidad y prescripción en los siguientes términos: la caducidad se refiere a la extinción de la acción, mientras que la prescripción a la del derecho; la primera debe ser alegada, mientras que la caducidad opera ipso iure, la prescripción es renunciable, mientras que la caducidad no lo es, en ningún caso, y mientras que los términos de prescripción pueden ser suspendidos o interrumpidos, los de caducidad no son susceptibles de suspensión, salvo norma expresa. </w:t>
      </w:r>
      <w:r>
        <w:rPr>
          <w:rFonts w:asciiTheme="majorHAnsi" w:hAnsiTheme="majorHAnsi"/>
          <w:sz w:val="16"/>
          <w:szCs w:val="16"/>
          <w:lang w:val="es-VE"/>
        </w:rPr>
        <w:t xml:space="preserve"> Ver Consejo de Estado  Ce SIII E 30566 de 2006.</w:t>
      </w:r>
    </w:p>
  </w:footnote>
  <w:footnote w:id="156">
    <w:p w:rsidR="0006606E" w:rsidRPr="00BB75D1" w:rsidRDefault="0006606E" w:rsidP="00BB75D1">
      <w:pPr>
        <w:spacing w:after="120"/>
        <w:ind w:firstLine="720"/>
        <w:jc w:val="both"/>
        <w:rPr>
          <w:rFonts w:ascii="Cambria" w:hAnsi="Cambria" w:cs="Arial"/>
          <w:sz w:val="16"/>
          <w:szCs w:val="16"/>
          <w:lang w:val="es-CO"/>
        </w:rPr>
      </w:pPr>
      <w:r w:rsidRPr="007877A3">
        <w:rPr>
          <w:rStyle w:val="Refdenotaalpie"/>
          <w:rFonts w:ascii="Cambria" w:hAnsi="Cambria"/>
          <w:sz w:val="16"/>
          <w:szCs w:val="16"/>
        </w:rPr>
        <w:footnoteRef/>
      </w:r>
      <w:r w:rsidRPr="007877A3">
        <w:rPr>
          <w:rFonts w:ascii="Cambria" w:hAnsi="Cambria"/>
          <w:sz w:val="16"/>
          <w:szCs w:val="16"/>
          <w:lang w:val="es-CO"/>
        </w:rPr>
        <w:t xml:space="preserve"> </w:t>
      </w:r>
      <w:r w:rsidRPr="007877A3">
        <w:rPr>
          <w:rFonts w:ascii="Cambria" w:hAnsi="Cambria" w:cs="Arial"/>
          <w:sz w:val="16"/>
          <w:szCs w:val="16"/>
          <w:lang w:val="es-CO"/>
        </w:rPr>
        <w:t xml:space="preserve">Consejo de Estado. Consejero ponente: Jaime Orlando </w:t>
      </w:r>
      <w:proofErr w:type="spellStart"/>
      <w:r w:rsidRPr="007877A3">
        <w:rPr>
          <w:rFonts w:ascii="Cambria" w:hAnsi="Cambria" w:cs="Arial"/>
          <w:sz w:val="16"/>
          <w:szCs w:val="16"/>
          <w:lang w:val="es-CO"/>
        </w:rPr>
        <w:t>Santofimio</w:t>
      </w:r>
      <w:proofErr w:type="spellEnd"/>
      <w:r w:rsidRPr="007877A3">
        <w:rPr>
          <w:rFonts w:ascii="Cambria" w:hAnsi="Cambria" w:cs="Arial"/>
          <w:sz w:val="16"/>
          <w:szCs w:val="16"/>
          <w:lang w:val="es-CO"/>
        </w:rPr>
        <w:t xml:space="preserve"> Gamboa (E). Bogotá, D. C., dos (02) de mayo de dos mil dieciséis (2016). Actor: MARIA FAELLY CUTIVA LEYVA Y OTROS. Demandado: MINISTERIO DE DEFENSA - EJERCITO NACIONAL Y OTROS. Referencia: APELACION AUTO LEY 1437 DE 2011 - MEDIO DE </w:t>
      </w:r>
      <w:r>
        <w:rPr>
          <w:rFonts w:ascii="Cambria" w:hAnsi="Cambria" w:cs="Arial"/>
          <w:sz w:val="16"/>
          <w:szCs w:val="16"/>
          <w:lang w:val="es-CO"/>
        </w:rPr>
        <w:t xml:space="preserve">CONTROL DE REPARACION DIRECTA. </w:t>
      </w:r>
    </w:p>
  </w:footnote>
  <w:footnote w:id="157">
    <w:p w:rsidR="0006606E" w:rsidRPr="00C23663" w:rsidRDefault="0006606E" w:rsidP="00DC278B">
      <w:pPr>
        <w:pStyle w:val="Textonotapie"/>
        <w:spacing w:after="120"/>
        <w:ind w:firstLine="720"/>
        <w:jc w:val="both"/>
        <w:rPr>
          <w:rFonts w:ascii="Cambria" w:hAnsi="Cambria"/>
          <w:sz w:val="16"/>
          <w:szCs w:val="16"/>
          <w:lang w:val="es-CO"/>
        </w:rPr>
      </w:pPr>
      <w:r w:rsidRPr="00C23663">
        <w:rPr>
          <w:rStyle w:val="Refdenotaalpie"/>
          <w:rFonts w:ascii="Cambria" w:hAnsi="Cambria"/>
          <w:sz w:val="16"/>
          <w:szCs w:val="16"/>
        </w:rPr>
        <w:footnoteRef/>
      </w:r>
      <w:r w:rsidRPr="00C23663">
        <w:rPr>
          <w:rFonts w:ascii="Cambria" w:hAnsi="Cambria"/>
          <w:sz w:val="16"/>
          <w:szCs w:val="16"/>
          <w:lang w:val="es-CO"/>
        </w:rPr>
        <w:t xml:space="preserve"> Ver Artículo 2561 del Código Civil y Comercial Comentado. </w:t>
      </w:r>
      <w:r w:rsidRPr="00980930">
        <w:rPr>
          <w:rFonts w:ascii="Cambria" w:hAnsi="Cambria"/>
          <w:sz w:val="16"/>
          <w:szCs w:val="16"/>
          <w:lang w:val="es-VE"/>
        </w:rPr>
        <w:t xml:space="preserve">Disponible en: </w:t>
      </w:r>
      <w:hyperlink r:id="rId3" w:history="1">
        <w:r w:rsidRPr="00980930">
          <w:rPr>
            <w:rStyle w:val="Hipervnculo"/>
            <w:rFonts w:ascii="Cambria" w:hAnsi="Cambria"/>
            <w:sz w:val="16"/>
            <w:szCs w:val="16"/>
            <w:lang w:val="es-VE"/>
          </w:rPr>
          <w:t>http://universojus.com/codigo-civil-comercial-comentado/articulo-2561</w:t>
        </w:r>
      </w:hyperlink>
      <w:r w:rsidRPr="00980930">
        <w:rPr>
          <w:rFonts w:ascii="Cambria" w:hAnsi="Cambria"/>
          <w:sz w:val="16"/>
          <w:szCs w:val="16"/>
          <w:lang w:val="es-VE"/>
        </w:rPr>
        <w:t xml:space="preserve"> </w:t>
      </w:r>
    </w:p>
  </w:footnote>
  <w:footnote w:id="158">
    <w:p w:rsidR="0006606E" w:rsidRPr="007877A3" w:rsidRDefault="0006606E" w:rsidP="00DC278B">
      <w:pPr>
        <w:pStyle w:val="Textonotapie"/>
        <w:spacing w:after="120"/>
        <w:ind w:firstLine="720"/>
        <w:jc w:val="both"/>
        <w:rPr>
          <w:rFonts w:ascii="Cambria" w:hAnsi="Cambria"/>
          <w:sz w:val="16"/>
          <w:szCs w:val="16"/>
          <w:lang w:val="es-CO"/>
        </w:rPr>
      </w:pPr>
      <w:r w:rsidRPr="007877A3">
        <w:rPr>
          <w:rStyle w:val="Refdenotaalpie"/>
          <w:rFonts w:ascii="Cambria" w:hAnsi="Cambria"/>
          <w:sz w:val="16"/>
          <w:szCs w:val="16"/>
        </w:rPr>
        <w:footnoteRef/>
      </w:r>
      <w:r w:rsidRPr="007877A3">
        <w:rPr>
          <w:rFonts w:ascii="Cambria" w:hAnsi="Cambria"/>
          <w:sz w:val="16"/>
          <w:szCs w:val="16"/>
          <w:lang w:val="es-CO"/>
        </w:rPr>
        <w:t xml:space="preserve"> Ver. Suprema 23583-2014. Imprescriptibilidad de la acción </w:t>
      </w:r>
      <w:proofErr w:type="spellStart"/>
      <w:r w:rsidRPr="007877A3">
        <w:rPr>
          <w:rFonts w:ascii="Cambria" w:hAnsi="Cambria"/>
          <w:sz w:val="16"/>
          <w:szCs w:val="16"/>
          <w:lang w:val="es-CO"/>
        </w:rPr>
        <w:t>reparatoria</w:t>
      </w:r>
      <w:proofErr w:type="spellEnd"/>
      <w:r w:rsidRPr="007877A3">
        <w:rPr>
          <w:rFonts w:ascii="Cambria" w:hAnsi="Cambria"/>
          <w:sz w:val="16"/>
          <w:szCs w:val="16"/>
          <w:lang w:val="es-CO"/>
        </w:rPr>
        <w:t xml:space="preserve"> en contra del Fisco por violación a derechos humanos. 20 de mayo de 2015. Disponible en: </w:t>
      </w:r>
      <w:hyperlink r:id="rId4" w:history="1">
        <w:r w:rsidRPr="007877A3">
          <w:rPr>
            <w:rStyle w:val="Hipervnculo"/>
            <w:rFonts w:ascii="Cambria" w:hAnsi="Cambria"/>
            <w:sz w:val="16"/>
            <w:szCs w:val="16"/>
            <w:lang w:val="es-CO"/>
          </w:rPr>
          <w:t>http://www.i-juridica.com/2015/05/21/suprema-23583-2014-imprescriptibilidad-de-la-acción-reparatoria-en-contra-del-fisco-por-violación-a-derechos-humanos/</w:t>
        </w:r>
      </w:hyperlink>
      <w:r w:rsidRPr="007877A3">
        <w:rPr>
          <w:rFonts w:ascii="Cambria" w:hAnsi="Cambria"/>
          <w:sz w:val="16"/>
          <w:szCs w:val="16"/>
          <w:lang w:val="es-CO"/>
        </w:rPr>
        <w:t xml:space="preserve">. </w:t>
      </w:r>
    </w:p>
  </w:footnote>
  <w:footnote w:id="159">
    <w:p w:rsidR="0006606E" w:rsidRPr="007877A3" w:rsidRDefault="0006606E" w:rsidP="00DC278B">
      <w:pPr>
        <w:pStyle w:val="Textonotapie"/>
        <w:spacing w:after="120"/>
        <w:ind w:firstLine="720"/>
        <w:rPr>
          <w:rFonts w:ascii="Cambria" w:hAnsi="Cambria"/>
          <w:sz w:val="16"/>
          <w:szCs w:val="16"/>
          <w:lang w:val="es-CO"/>
        </w:rPr>
      </w:pPr>
      <w:r w:rsidRPr="007877A3">
        <w:rPr>
          <w:rStyle w:val="Refdenotaalpie"/>
          <w:rFonts w:ascii="Cambria" w:hAnsi="Cambria"/>
          <w:sz w:val="16"/>
          <w:szCs w:val="16"/>
        </w:rPr>
        <w:footnoteRef/>
      </w:r>
      <w:r w:rsidRPr="007877A3">
        <w:rPr>
          <w:rFonts w:ascii="Cambria" w:hAnsi="Cambria"/>
          <w:sz w:val="16"/>
          <w:szCs w:val="16"/>
          <w:lang w:val="es-CO"/>
        </w:rPr>
        <w:t xml:space="preserve"> La Comisión observa que los recursos de casación interpuestos a nivel interno fueron declarados desiertos por razones que los peticionarios identificaron como formales. </w:t>
      </w:r>
    </w:p>
  </w:footnote>
  <w:footnote w:id="160">
    <w:p w:rsidR="0006606E" w:rsidRPr="00FB103F" w:rsidRDefault="0006606E" w:rsidP="00140950">
      <w:pPr>
        <w:pStyle w:val="Textonotapie"/>
        <w:ind w:firstLine="720"/>
        <w:rPr>
          <w:rFonts w:ascii="Cambria" w:hAnsi="Cambria"/>
          <w:sz w:val="16"/>
          <w:szCs w:val="16"/>
          <w:lang w:val="es-VE"/>
        </w:rPr>
      </w:pPr>
      <w:r w:rsidRPr="00FB103F">
        <w:rPr>
          <w:rStyle w:val="Refdenotaalpie"/>
          <w:rFonts w:ascii="Cambria" w:hAnsi="Cambria"/>
          <w:sz w:val="16"/>
          <w:szCs w:val="16"/>
        </w:rPr>
        <w:footnoteRef/>
      </w:r>
      <w:r w:rsidRPr="00FB103F">
        <w:rPr>
          <w:rFonts w:ascii="Cambria" w:hAnsi="Cambria"/>
          <w:sz w:val="16"/>
          <w:szCs w:val="16"/>
          <w:lang w:val="es-VE"/>
        </w:rPr>
        <w:t xml:space="preserve"> CIDH. Informe No. 53/16. Caso 12.056. Fondo. Gabriel Oscar Jenkins. Argentina. 6 de diciembre de 2016,  Párr.139; CIDH, demanda ante la Corte Interamericana de Derechos Humanos, Karen </w:t>
      </w:r>
      <w:proofErr w:type="spellStart"/>
      <w:r w:rsidRPr="00FB103F">
        <w:rPr>
          <w:rFonts w:ascii="Cambria" w:hAnsi="Cambria"/>
          <w:sz w:val="16"/>
          <w:szCs w:val="16"/>
          <w:lang w:val="es-VE"/>
        </w:rPr>
        <w:t>Atala</w:t>
      </w:r>
      <w:proofErr w:type="spellEnd"/>
      <w:r w:rsidRPr="00FB103F">
        <w:rPr>
          <w:rFonts w:ascii="Cambria" w:hAnsi="Cambria"/>
          <w:sz w:val="16"/>
          <w:szCs w:val="16"/>
          <w:lang w:val="es-VE"/>
        </w:rPr>
        <w:t xml:space="preserve"> e Hijas, 17 de septiembre de 2010; párr.86. </w:t>
      </w:r>
    </w:p>
  </w:footnote>
  <w:footnote w:id="161">
    <w:p w:rsidR="0006606E" w:rsidRPr="007877A3" w:rsidRDefault="0006606E" w:rsidP="00DC278B">
      <w:pPr>
        <w:tabs>
          <w:tab w:val="left" w:pos="360"/>
        </w:tabs>
        <w:autoSpaceDE w:val="0"/>
        <w:autoSpaceDN w:val="0"/>
        <w:adjustRightInd w:val="0"/>
        <w:spacing w:after="120"/>
        <w:ind w:firstLine="720"/>
        <w:jc w:val="both"/>
        <w:rPr>
          <w:rFonts w:ascii="Cambria" w:hAnsi="Cambria"/>
          <w:sz w:val="16"/>
          <w:szCs w:val="16"/>
          <w:lang w:val="es-CO"/>
        </w:rPr>
      </w:pPr>
      <w:r w:rsidRPr="007877A3">
        <w:rPr>
          <w:rStyle w:val="Refdenotaalpie"/>
          <w:rFonts w:ascii="Cambria" w:hAnsi="Cambria"/>
          <w:sz w:val="16"/>
          <w:szCs w:val="16"/>
        </w:rPr>
        <w:footnoteRef/>
      </w:r>
      <w:r w:rsidRPr="007877A3">
        <w:rPr>
          <w:rFonts w:ascii="Cambria" w:hAnsi="Cambria"/>
          <w:sz w:val="16"/>
          <w:szCs w:val="16"/>
          <w:lang w:val="es-CO"/>
        </w:rPr>
        <w:t xml:space="preserve"> Cfr. </w:t>
      </w:r>
      <w:r>
        <w:rPr>
          <w:rFonts w:ascii="Cambria" w:hAnsi="Cambria"/>
          <w:color w:val="000000"/>
          <w:sz w:val="16"/>
          <w:szCs w:val="16"/>
          <w:lang w:val="es-CO"/>
        </w:rPr>
        <w:t>Corte IDH.</w:t>
      </w:r>
      <w:r w:rsidRPr="007877A3">
        <w:rPr>
          <w:rFonts w:ascii="Cambria" w:hAnsi="Cambria"/>
          <w:color w:val="000000"/>
          <w:sz w:val="16"/>
          <w:szCs w:val="16"/>
          <w:lang w:val="es-CO"/>
        </w:rPr>
        <w:t xml:space="preserve"> </w:t>
      </w:r>
      <w:r w:rsidRPr="007877A3">
        <w:rPr>
          <w:rFonts w:ascii="Cambria" w:hAnsi="Cambria"/>
          <w:bCs/>
          <w:color w:val="000000"/>
          <w:sz w:val="16"/>
          <w:szCs w:val="16"/>
          <w:lang w:val="es-CO"/>
        </w:rPr>
        <w:t xml:space="preserve">Caso </w:t>
      </w:r>
      <w:proofErr w:type="spellStart"/>
      <w:r w:rsidRPr="007877A3">
        <w:rPr>
          <w:rFonts w:ascii="Cambria" w:hAnsi="Cambria"/>
          <w:bCs/>
          <w:color w:val="000000"/>
          <w:sz w:val="16"/>
          <w:szCs w:val="16"/>
          <w:lang w:val="es-CO"/>
        </w:rPr>
        <w:t>Almonacid</w:t>
      </w:r>
      <w:proofErr w:type="spellEnd"/>
      <w:r w:rsidRPr="007877A3">
        <w:rPr>
          <w:rFonts w:ascii="Cambria" w:hAnsi="Cambria"/>
          <w:bCs/>
          <w:color w:val="000000"/>
          <w:sz w:val="16"/>
          <w:szCs w:val="16"/>
          <w:lang w:val="es-CO"/>
        </w:rPr>
        <w:t xml:space="preserve"> Arellano y otros Vs. Chile</w:t>
      </w:r>
      <w:r w:rsidRPr="007877A3">
        <w:rPr>
          <w:rFonts w:ascii="Cambria" w:hAnsi="Cambria"/>
          <w:color w:val="000000"/>
          <w:sz w:val="16"/>
          <w:szCs w:val="16"/>
          <w:lang w:val="es-CO"/>
        </w:rPr>
        <w:t xml:space="preserve">. </w:t>
      </w:r>
      <w:r w:rsidRPr="007877A3">
        <w:rPr>
          <w:rStyle w:val="Textoennegrita"/>
          <w:rFonts w:ascii="Cambria" w:hAnsi="Cambria"/>
          <w:b w:val="0"/>
          <w:sz w:val="16"/>
          <w:szCs w:val="16"/>
          <w:lang w:val="es-CO"/>
        </w:rPr>
        <w:t>Excepciones Preliminares, Fondo, Reparaciones y Costas. Sentencia de 26 de septiembre de 2006. Serie C No. 154</w:t>
      </w:r>
      <w:r>
        <w:rPr>
          <w:rStyle w:val="Textoennegrita"/>
          <w:rFonts w:ascii="Cambria" w:hAnsi="Cambria"/>
          <w:b w:val="0"/>
          <w:sz w:val="16"/>
          <w:szCs w:val="16"/>
          <w:lang w:val="es-CO"/>
        </w:rPr>
        <w:t>, párr.99.</w:t>
      </w:r>
    </w:p>
  </w:footnote>
  <w:footnote w:id="162">
    <w:p w:rsidR="0006606E" w:rsidRPr="007877A3" w:rsidRDefault="0006606E" w:rsidP="00DC278B">
      <w:pPr>
        <w:tabs>
          <w:tab w:val="left" w:pos="360"/>
        </w:tabs>
        <w:autoSpaceDE w:val="0"/>
        <w:autoSpaceDN w:val="0"/>
        <w:adjustRightInd w:val="0"/>
        <w:spacing w:after="120"/>
        <w:ind w:firstLine="720"/>
        <w:jc w:val="both"/>
        <w:rPr>
          <w:rFonts w:ascii="Cambria" w:hAnsi="Cambria"/>
          <w:sz w:val="16"/>
          <w:szCs w:val="16"/>
          <w:lang w:val="es-CO"/>
        </w:rPr>
      </w:pPr>
      <w:r w:rsidRPr="007877A3">
        <w:rPr>
          <w:rStyle w:val="Refdenotaalpie"/>
          <w:rFonts w:ascii="Cambria" w:hAnsi="Cambria"/>
          <w:sz w:val="16"/>
          <w:szCs w:val="16"/>
        </w:rPr>
        <w:footnoteRef/>
      </w:r>
      <w:r w:rsidRPr="007877A3">
        <w:rPr>
          <w:rFonts w:ascii="Cambria" w:hAnsi="Cambria"/>
          <w:sz w:val="16"/>
          <w:szCs w:val="16"/>
          <w:lang w:val="es-CO"/>
        </w:rPr>
        <w:t xml:space="preserve"> </w:t>
      </w:r>
      <w:r>
        <w:rPr>
          <w:rFonts w:ascii="Cambria" w:hAnsi="Cambria"/>
          <w:color w:val="000000"/>
          <w:sz w:val="16"/>
          <w:szCs w:val="16"/>
          <w:lang w:val="es-CO"/>
        </w:rPr>
        <w:t>Corte IDH.</w:t>
      </w:r>
      <w:r w:rsidRPr="007877A3">
        <w:rPr>
          <w:rFonts w:ascii="Cambria" w:hAnsi="Cambria"/>
          <w:color w:val="000000"/>
          <w:sz w:val="16"/>
          <w:szCs w:val="16"/>
          <w:lang w:val="es-CO"/>
        </w:rPr>
        <w:t xml:space="preserve"> </w:t>
      </w:r>
      <w:r w:rsidRPr="007877A3">
        <w:rPr>
          <w:rFonts w:ascii="Cambria" w:hAnsi="Cambria"/>
          <w:bCs/>
          <w:color w:val="000000"/>
          <w:sz w:val="16"/>
          <w:szCs w:val="16"/>
          <w:lang w:val="es-CO"/>
        </w:rPr>
        <w:t xml:space="preserve">Caso </w:t>
      </w:r>
      <w:proofErr w:type="spellStart"/>
      <w:r w:rsidRPr="007877A3">
        <w:rPr>
          <w:rFonts w:ascii="Cambria" w:hAnsi="Cambria"/>
          <w:bCs/>
          <w:color w:val="000000"/>
          <w:sz w:val="16"/>
          <w:szCs w:val="16"/>
          <w:lang w:val="es-CO"/>
        </w:rPr>
        <w:t>Almonacid</w:t>
      </w:r>
      <w:proofErr w:type="spellEnd"/>
      <w:r w:rsidRPr="007877A3">
        <w:rPr>
          <w:rFonts w:ascii="Cambria" w:hAnsi="Cambria"/>
          <w:bCs/>
          <w:color w:val="000000"/>
          <w:sz w:val="16"/>
          <w:szCs w:val="16"/>
          <w:lang w:val="es-CO"/>
        </w:rPr>
        <w:t xml:space="preserve"> Arellano y otros Vs. Chile</w:t>
      </w:r>
      <w:r w:rsidRPr="007877A3">
        <w:rPr>
          <w:rFonts w:ascii="Cambria" w:hAnsi="Cambria"/>
          <w:color w:val="000000"/>
          <w:sz w:val="16"/>
          <w:szCs w:val="16"/>
          <w:lang w:val="es-CO"/>
        </w:rPr>
        <w:t xml:space="preserve">. </w:t>
      </w:r>
      <w:r w:rsidRPr="007877A3">
        <w:rPr>
          <w:rStyle w:val="Textoennegrita"/>
          <w:rFonts w:ascii="Cambria" w:hAnsi="Cambria"/>
          <w:b w:val="0"/>
          <w:sz w:val="16"/>
          <w:szCs w:val="16"/>
          <w:lang w:val="es-CO"/>
        </w:rPr>
        <w:t>Excepciones Preliminares, Fondo, Reparaciones y Costas. Sentencia de 26 de septiembre de 2006. Serie C No. 154</w:t>
      </w:r>
      <w:r>
        <w:rPr>
          <w:rStyle w:val="Textoennegrita"/>
          <w:rFonts w:ascii="Cambria" w:hAnsi="Cambria"/>
          <w:b w:val="0"/>
          <w:sz w:val="16"/>
          <w:szCs w:val="16"/>
          <w:lang w:val="es-CO"/>
        </w:rPr>
        <w:t>, párr.99.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606E" w:rsidRDefault="0006606E" w:rsidP="004B316C">
    <w:pPr>
      <w:pStyle w:val="Encabezado"/>
      <w:framePr w:wrap="around" w:vAnchor="text" w:hAnchor="margin" w:xAlign="center" w:y="1"/>
      <w:rPr>
        <w:rStyle w:val="Nmerodepgina"/>
        <w:rFonts w:eastAsia="Trebuchet MS"/>
      </w:rPr>
    </w:pPr>
    <w:r>
      <w:rPr>
        <w:rStyle w:val="Nmerodepgina"/>
        <w:rFonts w:eastAsia="Trebuchet MS"/>
      </w:rPr>
      <w:fldChar w:fldCharType="begin"/>
    </w:r>
    <w:r>
      <w:rPr>
        <w:rStyle w:val="Nmerodepgina"/>
        <w:rFonts w:eastAsia="Trebuchet MS"/>
      </w:rPr>
      <w:instrText xml:space="preserve">PAGE  </w:instrText>
    </w:r>
    <w:r>
      <w:rPr>
        <w:rStyle w:val="Nmerodepgina"/>
        <w:rFonts w:eastAsia="Trebuchet MS"/>
      </w:rPr>
      <w:fldChar w:fldCharType="end"/>
    </w:r>
  </w:p>
  <w:p w:rsidR="0006606E" w:rsidRDefault="0006606E">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606E" w:rsidRPr="00EC7D62" w:rsidRDefault="0006606E" w:rsidP="00A50FCF">
    <w:pPr>
      <w:pStyle w:val="Encabezado"/>
      <w:tabs>
        <w:tab w:val="clear" w:pos="4320"/>
        <w:tab w:val="clear" w:pos="8640"/>
      </w:tabs>
      <w:jc w:val="center"/>
      <w:rPr>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96D6D"/>
    <w:multiLevelType w:val="multilevel"/>
    <w:tmpl w:val="37C4B254"/>
    <w:styleLink w:val="List16"/>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1">
    <w:nsid w:val="06080900"/>
    <w:multiLevelType w:val="multilevel"/>
    <w:tmpl w:val="6724711E"/>
    <w:styleLink w:val="List3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
    <w:nsid w:val="0A481FED"/>
    <w:multiLevelType w:val="multilevel"/>
    <w:tmpl w:val="4C060580"/>
    <w:styleLink w:val="List2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
    <w:nsid w:val="0E0C22D1"/>
    <w:multiLevelType w:val="multilevel"/>
    <w:tmpl w:val="C8D88BBA"/>
    <w:styleLink w:val="List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4">
    <w:nsid w:val="12BA2819"/>
    <w:multiLevelType w:val="multilevel"/>
    <w:tmpl w:val="DE3EA646"/>
    <w:styleLink w:val="List4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5">
    <w:nsid w:val="1CB44B54"/>
    <w:multiLevelType w:val="multilevel"/>
    <w:tmpl w:val="10C6C0C6"/>
    <w:styleLink w:val="List11"/>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
    <w:nsid w:val="1CC26445"/>
    <w:multiLevelType w:val="multilevel"/>
    <w:tmpl w:val="F8FA56EE"/>
    <w:styleLink w:val="List15"/>
    <w:lvl w:ilvl="0">
      <w:start w:val="2"/>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decimal"/>
      <w:lvlText w:val="%1.%2."/>
      <w:lvlJc w:val="left"/>
      <w:pPr>
        <w:tabs>
          <w:tab w:val="num" w:pos="690"/>
        </w:tabs>
        <w:ind w:left="690" w:hanging="330"/>
      </w:pPr>
      <w:rPr>
        <w:rFonts w:ascii="Calibri" w:eastAsia="Calibri" w:hAnsi="Calibri" w:cs="Calibri"/>
        <w:b/>
        <w:bCs/>
        <w:color w:val="000000"/>
        <w:position w:val="0"/>
        <w:sz w:val="22"/>
        <w:szCs w:val="22"/>
        <w:u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color="000000"/>
        <w:lang w:val="es-ES_tradnl"/>
      </w:rPr>
    </w:lvl>
  </w:abstractNum>
  <w:abstractNum w:abstractNumId="7">
    <w:nsid w:val="1DE80067"/>
    <w:multiLevelType w:val="multilevel"/>
    <w:tmpl w:val="3FC4BF5E"/>
    <w:styleLink w:val="List1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8">
    <w:nsid w:val="1E932978"/>
    <w:multiLevelType w:val="multilevel"/>
    <w:tmpl w:val="E8F2423E"/>
    <w:styleLink w:val="List23"/>
    <w:lvl w:ilvl="0">
      <w:start w:val="6"/>
      <w:numFmt w:val="decimal"/>
      <w:lvlText w:val="%1."/>
      <w:lvlJc w:val="left"/>
      <w:pPr>
        <w:tabs>
          <w:tab w:val="num" w:pos="360"/>
        </w:tabs>
        <w:ind w:left="36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9">
    <w:nsid w:val="1F0B1FF7"/>
    <w:multiLevelType w:val="multilevel"/>
    <w:tmpl w:val="788E63B4"/>
    <w:styleLink w:val="List19"/>
    <w:lvl w:ilvl="0">
      <w:start w:val="2"/>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0">
    <w:nsid w:val="1F7A4C80"/>
    <w:multiLevelType w:val="multilevel"/>
    <w:tmpl w:val="3886B7F0"/>
    <w:styleLink w:val="List4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1">
    <w:nsid w:val="2252647F"/>
    <w:multiLevelType w:val="multilevel"/>
    <w:tmpl w:val="BB5E788C"/>
    <w:styleLink w:val="List4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2">
    <w:nsid w:val="227B0583"/>
    <w:multiLevelType w:val="multilevel"/>
    <w:tmpl w:val="A344CEF6"/>
    <w:styleLink w:val="List9"/>
    <w:lvl w:ilvl="0">
      <w:start w:val="1"/>
      <w:numFmt w:val="upperLetter"/>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3">
    <w:nsid w:val="271929A4"/>
    <w:multiLevelType w:val="multilevel"/>
    <w:tmpl w:val="67BE493C"/>
    <w:styleLink w:val="List43"/>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4">
    <w:nsid w:val="274D5C2C"/>
    <w:multiLevelType w:val="multilevel"/>
    <w:tmpl w:val="CA4E8B5A"/>
    <w:styleLink w:val="List46"/>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5">
    <w:nsid w:val="2BCE4512"/>
    <w:multiLevelType w:val="multilevel"/>
    <w:tmpl w:val="140087A8"/>
    <w:styleLink w:val="List3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6">
    <w:nsid w:val="2C89495E"/>
    <w:multiLevelType w:val="multilevel"/>
    <w:tmpl w:val="DF9876EC"/>
    <w:styleLink w:val="List1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7">
    <w:nsid w:val="2D5856E2"/>
    <w:multiLevelType w:val="multilevel"/>
    <w:tmpl w:val="CA84D204"/>
    <w:styleLink w:val="List33"/>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8">
    <w:nsid w:val="31C87AC3"/>
    <w:multiLevelType w:val="hybridMultilevel"/>
    <w:tmpl w:val="0B30AC14"/>
    <w:lvl w:ilvl="0" w:tplc="0409000F">
      <w:start w:val="1"/>
      <w:numFmt w:val="decimal"/>
      <w:lvlText w:val="%1."/>
      <w:lvlJc w:val="left"/>
      <w:pPr>
        <w:tabs>
          <w:tab w:val="num" w:pos="2160"/>
        </w:tabs>
        <w:ind w:left="2160" w:hanging="360"/>
      </w:pPr>
    </w:lvl>
    <w:lvl w:ilvl="1" w:tplc="36E8ACC4">
      <w:start w:val="4"/>
      <w:numFmt w:val="upperRoman"/>
      <w:lvlText w:val="%2."/>
      <w:lvlJc w:val="left"/>
      <w:pPr>
        <w:tabs>
          <w:tab w:val="num" w:pos="3240"/>
        </w:tabs>
        <w:ind w:left="3240" w:hanging="720"/>
      </w:pPr>
      <w:rPr>
        <w:rFonts w:hint="default"/>
      </w:r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9">
    <w:nsid w:val="31CB6708"/>
    <w:multiLevelType w:val="multilevel"/>
    <w:tmpl w:val="B6544A0C"/>
    <w:styleLink w:val="List31"/>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0">
    <w:nsid w:val="329F3307"/>
    <w:multiLevelType w:val="multilevel"/>
    <w:tmpl w:val="A7887534"/>
    <w:styleLink w:val="List7"/>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1">
    <w:nsid w:val="33D07097"/>
    <w:multiLevelType w:val="multilevel"/>
    <w:tmpl w:val="D0E0C7B8"/>
    <w:styleLink w:val="List1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2">
    <w:nsid w:val="34031D1B"/>
    <w:multiLevelType w:val="multilevel"/>
    <w:tmpl w:val="E5488B9E"/>
    <w:styleLink w:val="List22"/>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3">
    <w:nsid w:val="34276F4B"/>
    <w:multiLevelType w:val="multilevel"/>
    <w:tmpl w:val="4FF24EAA"/>
    <w:styleLink w:val="List47"/>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4">
    <w:nsid w:val="37795779"/>
    <w:multiLevelType w:val="singleLevel"/>
    <w:tmpl w:val="1F2E7A96"/>
    <w:lvl w:ilvl="0">
      <w:start w:val="1"/>
      <w:numFmt w:val="decimal"/>
      <w:lvlText w:val="%1."/>
      <w:lvlJc w:val="left"/>
      <w:pPr>
        <w:tabs>
          <w:tab w:val="num" w:pos="720"/>
        </w:tabs>
        <w:ind w:left="0" w:firstLine="720"/>
      </w:pPr>
      <w:rPr>
        <w:rFonts w:ascii="Cambria" w:hAnsi="Cambria" w:hint="default"/>
        <w:color w:val="auto"/>
        <w:sz w:val="20"/>
        <w:szCs w:val="20"/>
      </w:rPr>
    </w:lvl>
  </w:abstractNum>
  <w:abstractNum w:abstractNumId="25">
    <w:nsid w:val="38776F36"/>
    <w:multiLevelType w:val="multilevel"/>
    <w:tmpl w:val="86862554"/>
    <w:styleLink w:val="List2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6">
    <w:nsid w:val="39F534D0"/>
    <w:multiLevelType w:val="multilevel"/>
    <w:tmpl w:val="9F6C6C32"/>
    <w:styleLink w:val="List10"/>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27">
    <w:nsid w:val="3ACB3728"/>
    <w:multiLevelType w:val="multilevel"/>
    <w:tmpl w:val="024A16C2"/>
    <w:styleLink w:val="List0"/>
    <w:lvl w:ilvl="0">
      <w:start w:val="1"/>
      <w:numFmt w:val="upperRoman"/>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8">
    <w:nsid w:val="40AB1693"/>
    <w:multiLevelType w:val="multilevel"/>
    <w:tmpl w:val="93E42B6E"/>
    <w:styleLink w:val="List3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9">
    <w:nsid w:val="42DF19D7"/>
    <w:multiLevelType w:val="multilevel"/>
    <w:tmpl w:val="E7265BB0"/>
    <w:styleLink w:val="List51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0">
    <w:nsid w:val="431F2FA9"/>
    <w:multiLevelType w:val="multilevel"/>
    <w:tmpl w:val="7D50E14C"/>
    <w:styleLink w:val="List2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1">
    <w:nsid w:val="444006B9"/>
    <w:multiLevelType w:val="multilevel"/>
    <w:tmpl w:val="1090D1D4"/>
    <w:styleLink w:val="List3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bullet"/>
      <w:lvlText w:val="•"/>
      <w:lvlJc w:val="left"/>
      <w:pPr>
        <w:tabs>
          <w:tab w:val="num" w:pos="1740"/>
        </w:tabs>
        <w:ind w:left="1740" w:hanging="66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2">
    <w:nsid w:val="46685386"/>
    <w:multiLevelType w:val="multilevel"/>
    <w:tmpl w:val="340C02A0"/>
    <w:styleLink w:val="List1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3">
    <w:nsid w:val="489949EB"/>
    <w:multiLevelType w:val="multilevel"/>
    <w:tmpl w:val="3844DD14"/>
    <w:styleLink w:val="List5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4">
    <w:nsid w:val="492723E7"/>
    <w:multiLevelType w:val="multilevel"/>
    <w:tmpl w:val="0CF8CC36"/>
    <w:styleLink w:val="List211"/>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5">
    <w:nsid w:val="49C3087D"/>
    <w:multiLevelType w:val="hybridMultilevel"/>
    <w:tmpl w:val="00983C4E"/>
    <w:lvl w:ilvl="0" w:tplc="CF8CC29A">
      <w:start w:val="35"/>
      <w:numFmt w:val="decimal"/>
      <w:lvlText w:val="%1."/>
      <w:lvlJc w:val="left"/>
      <w:pPr>
        <w:ind w:left="360" w:hanging="360"/>
      </w:pPr>
      <w:rPr>
        <w:rFonts w:ascii="Verdana" w:hAnsi="Verdana" w:hint="default"/>
        <w:b w:val="0"/>
        <w:strike w:val="0"/>
        <w:color w:val="auto"/>
        <w:sz w:val="20"/>
        <w:szCs w:val="20"/>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36">
    <w:nsid w:val="4C7B4261"/>
    <w:multiLevelType w:val="multilevel"/>
    <w:tmpl w:val="BA48D7F6"/>
    <w:styleLink w:val="List3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770"/>
        </w:tabs>
        <w:ind w:left="177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495"/>
        </w:tabs>
        <w:ind w:left="249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3210"/>
        </w:tabs>
        <w:ind w:left="321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930"/>
        </w:tabs>
        <w:ind w:left="393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655"/>
        </w:tabs>
        <w:ind w:left="465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370"/>
        </w:tabs>
        <w:ind w:left="537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6090"/>
        </w:tabs>
        <w:ind w:left="609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815"/>
        </w:tabs>
        <w:ind w:left="6815" w:hanging="271"/>
      </w:pPr>
      <w:rPr>
        <w:rFonts w:ascii="Calibri" w:eastAsia="Calibri" w:hAnsi="Calibri" w:cs="Calibri"/>
        <w:b/>
        <w:bCs/>
        <w:color w:val="000000"/>
        <w:position w:val="0"/>
        <w:sz w:val="22"/>
        <w:szCs w:val="22"/>
        <w:u w:val="single" w:color="000000"/>
        <w:lang w:val="es-ES_tradnl"/>
      </w:rPr>
    </w:lvl>
  </w:abstractNum>
  <w:abstractNum w:abstractNumId="37">
    <w:nsid w:val="4CF77151"/>
    <w:multiLevelType w:val="multilevel"/>
    <w:tmpl w:val="CEEAA058"/>
    <w:styleLink w:val="List42"/>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38">
    <w:nsid w:val="4F7B63B5"/>
    <w:multiLevelType w:val="hybridMultilevel"/>
    <w:tmpl w:val="89F4C518"/>
    <w:lvl w:ilvl="0" w:tplc="C43A80A0">
      <w:start w:val="1"/>
      <w:numFmt w:val="upperRoman"/>
      <w:pStyle w:val="Ttulo1"/>
      <w:lvlText w:val="%1."/>
      <w:lvlJc w:val="left"/>
      <w:pPr>
        <w:tabs>
          <w:tab w:val="num" w:pos="1080"/>
        </w:tabs>
        <w:ind w:left="1080" w:hanging="720"/>
      </w:pPr>
      <w:rPr>
        <w:rFonts w:hint="default"/>
      </w:rPr>
    </w:lvl>
    <w:lvl w:ilvl="1" w:tplc="736A0FE4">
      <w:start w:val="2"/>
      <w:numFmt w:val="upperLetter"/>
      <w:lvlText w:val="%2."/>
      <w:lvlJc w:val="left"/>
      <w:pPr>
        <w:tabs>
          <w:tab w:val="num" w:pos="2520"/>
        </w:tabs>
        <w:ind w:left="2520" w:hanging="14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4FB46B4D"/>
    <w:multiLevelType w:val="multilevel"/>
    <w:tmpl w:val="85382D78"/>
    <w:styleLink w:val="List4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0">
    <w:nsid w:val="50521DA1"/>
    <w:multiLevelType w:val="multilevel"/>
    <w:tmpl w:val="06207D7E"/>
    <w:styleLink w:val="List4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1">
    <w:nsid w:val="5087187A"/>
    <w:multiLevelType w:val="multilevel"/>
    <w:tmpl w:val="D5303458"/>
    <w:styleLink w:val="List21"/>
    <w:lvl w:ilvl="0">
      <w:start w:val="1"/>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2">
    <w:nsid w:val="54533009"/>
    <w:multiLevelType w:val="multilevel"/>
    <w:tmpl w:val="E592B904"/>
    <w:styleLink w:val="List52"/>
    <w:lvl w:ilvl="0">
      <w:start w:val="3"/>
      <w:numFmt w:val="upperRoman"/>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3">
    <w:nsid w:val="5A931108"/>
    <w:multiLevelType w:val="multilevel"/>
    <w:tmpl w:val="901AD374"/>
    <w:styleLink w:val="List2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4">
    <w:nsid w:val="5BF62682"/>
    <w:multiLevelType w:val="multilevel"/>
    <w:tmpl w:val="44B09150"/>
    <w:styleLink w:val="List51"/>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5">
    <w:nsid w:val="61291D94"/>
    <w:multiLevelType w:val="multilevel"/>
    <w:tmpl w:val="6C22F246"/>
    <w:styleLink w:val="List2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6">
    <w:nsid w:val="66260CBE"/>
    <w:multiLevelType w:val="multilevel"/>
    <w:tmpl w:val="1D885D8E"/>
    <w:styleLink w:val="List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7">
    <w:nsid w:val="6A074BF8"/>
    <w:multiLevelType w:val="multilevel"/>
    <w:tmpl w:val="E1B8E896"/>
    <w:styleLink w:val="List13"/>
    <w:lvl w:ilvl="0">
      <w:start w:val="1"/>
      <w:numFmt w:val="upperRoman"/>
      <w:lvlText w:val="%1."/>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1">
      <w:start w:val="2"/>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48">
    <w:nsid w:val="6EC377F7"/>
    <w:multiLevelType w:val="multilevel"/>
    <w:tmpl w:val="46768850"/>
    <w:styleLink w:val="List20"/>
    <w:lvl w:ilvl="0">
      <w:start w:val="2"/>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9">
    <w:nsid w:val="7388047D"/>
    <w:multiLevelType w:val="singleLevel"/>
    <w:tmpl w:val="46A0F79C"/>
    <w:lvl w:ilvl="0">
      <w:start w:val="1"/>
      <w:numFmt w:val="decimal"/>
      <w:lvlText w:val="%1."/>
      <w:lvlJc w:val="left"/>
      <w:pPr>
        <w:tabs>
          <w:tab w:val="num" w:pos="720"/>
        </w:tabs>
        <w:ind w:left="0" w:firstLine="720"/>
      </w:pPr>
      <w:rPr>
        <w:rFonts w:hint="default"/>
        <w:color w:val="auto"/>
        <w:sz w:val="20"/>
        <w:szCs w:val="20"/>
      </w:rPr>
    </w:lvl>
  </w:abstractNum>
  <w:abstractNum w:abstractNumId="50">
    <w:nsid w:val="745A711E"/>
    <w:multiLevelType w:val="multilevel"/>
    <w:tmpl w:val="ED88159C"/>
    <w:styleLink w:val="List411"/>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1">
    <w:nsid w:val="76DE0778"/>
    <w:multiLevelType w:val="hybridMultilevel"/>
    <w:tmpl w:val="82604106"/>
    <w:lvl w:ilvl="0" w:tplc="E8CED4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nsid w:val="78C26FCF"/>
    <w:multiLevelType w:val="multilevel"/>
    <w:tmpl w:val="2FCAD168"/>
    <w:styleLink w:val="List31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3">
    <w:nsid w:val="78D002EC"/>
    <w:multiLevelType w:val="multilevel"/>
    <w:tmpl w:val="83CCC372"/>
    <w:styleLink w:val="List6"/>
    <w:lvl w:ilvl="0">
      <w:start w:val="1"/>
      <w:numFmt w:val="bullet"/>
      <w:lvlText w:val="•"/>
      <w:lvlJc w:val="left"/>
      <w:pPr>
        <w:tabs>
          <w:tab w:val="num" w:pos="720"/>
        </w:tabs>
        <w:ind w:left="720" w:hanging="360"/>
      </w:pPr>
      <w:rPr>
        <w:rFonts w:ascii="Trebuchet MS" w:eastAsia="Trebuchet MS" w:hAnsi="Trebuchet MS" w:cs="Trebuchet MS"/>
        <w:b/>
        <w:bC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b/>
        <w:bCs/>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b/>
        <w:bCs/>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b/>
        <w:bCs/>
        <w:color w:val="000000"/>
        <w:position w:val="0"/>
        <w:sz w:val="22"/>
        <w:szCs w:val="22"/>
        <w:u w:color="000000"/>
        <w:lang w:val="es-ES_tradnl"/>
      </w:rPr>
    </w:lvl>
  </w:abstractNum>
  <w:abstractNum w:abstractNumId="54">
    <w:nsid w:val="79D11DEC"/>
    <w:multiLevelType w:val="multilevel"/>
    <w:tmpl w:val="CA907696"/>
    <w:styleLink w:val="List3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5">
    <w:nsid w:val="7C2D1397"/>
    <w:multiLevelType w:val="multilevel"/>
    <w:tmpl w:val="0D6A0264"/>
    <w:styleLink w:val="List3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6">
    <w:nsid w:val="7C5B116A"/>
    <w:multiLevelType w:val="multilevel"/>
    <w:tmpl w:val="6C927F16"/>
    <w:styleLink w:val="List3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7">
    <w:nsid w:val="7EAB4C36"/>
    <w:multiLevelType w:val="multilevel"/>
    <w:tmpl w:val="DBBC6382"/>
    <w:styleLink w:val="List2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8">
    <w:nsid w:val="7F215946"/>
    <w:multiLevelType w:val="multilevel"/>
    <w:tmpl w:val="15D01EAA"/>
    <w:styleLink w:val="List4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num w:numId="1">
    <w:abstractNumId w:val="3"/>
  </w:num>
  <w:num w:numId="2">
    <w:abstractNumId w:val="4"/>
  </w:num>
  <w:num w:numId="3">
    <w:abstractNumId w:val="53"/>
  </w:num>
  <w:num w:numId="4">
    <w:abstractNumId w:val="20"/>
  </w:num>
  <w:num w:numId="5">
    <w:abstractNumId w:val="46"/>
  </w:num>
  <w:num w:numId="6">
    <w:abstractNumId w:val="26"/>
  </w:num>
  <w:num w:numId="7">
    <w:abstractNumId w:val="5"/>
  </w:num>
  <w:num w:numId="8">
    <w:abstractNumId w:val="15"/>
  </w:num>
  <w:num w:numId="9">
    <w:abstractNumId w:val="42"/>
  </w:num>
  <w:num w:numId="10">
    <w:abstractNumId w:val="0"/>
  </w:num>
  <w:num w:numId="11">
    <w:abstractNumId w:val="36"/>
  </w:num>
  <w:num w:numId="12">
    <w:abstractNumId w:val="37"/>
  </w:num>
  <w:num w:numId="13">
    <w:abstractNumId w:val="43"/>
  </w:num>
  <w:num w:numId="14">
    <w:abstractNumId w:val="1"/>
  </w:num>
  <w:num w:numId="15">
    <w:abstractNumId w:val="2"/>
  </w:num>
  <w:num w:numId="16">
    <w:abstractNumId w:val="6"/>
  </w:num>
  <w:num w:numId="17">
    <w:abstractNumId w:val="7"/>
  </w:num>
  <w:num w:numId="18">
    <w:abstractNumId w:val="8"/>
  </w:num>
  <w:num w:numId="19">
    <w:abstractNumId w:val="9"/>
  </w:num>
  <w:num w:numId="20">
    <w:abstractNumId w:val="10"/>
  </w:num>
  <w:num w:numId="21">
    <w:abstractNumId w:val="11"/>
  </w:num>
  <w:num w:numId="22">
    <w:abstractNumId w:val="12"/>
  </w:num>
  <w:num w:numId="23">
    <w:abstractNumId w:val="13"/>
  </w:num>
  <w:num w:numId="24">
    <w:abstractNumId w:val="14"/>
  </w:num>
  <w:num w:numId="25">
    <w:abstractNumId w:val="16"/>
  </w:num>
  <w:num w:numId="26">
    <w:abstractNumId w:val="17"/>
  </w:num>
  <w:num w:numId="27">
    <w:abstractNumId w:val="21"/>
  </w:num>
  <w:num w:numId="28">
    <w:abstractNumId w:val="22"/>
  </w:num>
  <w:num w:numId="29">
    <w:abstractNumId w:val="23"/>
  </w:num>
  <w:num w:numId="30">
    <w:abstractNumId w:val="25"/>
  </w:num>
  <w:num w:numId="31">
    <w:abstractNumId w:val="27"/>
  </w:num>
  <w:num w:numId="32">
    <w:abstractNumId w:val="28"/>
  </w:num>
  <w:num w:numId="33">
    <w:abstractNumId w:val="29"/>
  </w:num>
  <w:num w:numId="34">
    <w:abstractNumId w:val="30"/>
  </w:num>
  <w:num w:numId="35">
    <w:abstractNumId w:val="31"/>
  </w:num>
  <w:num w:numId="36">
    <w:abstractNumId w:val="32"/>
  </w:num>
  <w:num w:numId="37">
    <w:abstractNumId w:val="33"/>
  </w:num>
  <w:num w:numId="38">
    <w:abstractNumId w:val="34"/>
  </w:num>
  <w:num w:numId="39">
    <w:abstractNumId w:val="39"/>
  </w:num>
  <w:num w:numId="40">
    <w:abstractNumId w:val="40"/>
  </w:num>
  <w:num w:numId="41">
    <w:abstractNumId w:val="45"/>
  </w:num>
  <w:num w:numId="42">
    <w:abstractNumId w:val="47"/>
  </w:num>
  <w:num w:numId="43">
    <w:abstractNumId w:val="48"/>
  </w:num>
  <w:num w:numId="44">
    <w:abstractNumId w:val="50"/>
  </w:num>
  <w:num w:numId="45">
    <w:abstractNumId w:val="52"/>
  </w:num>
  <w:num w:numId="46">
    <w:abstractNumId w:val="54"/>
  </w:num>
  <w:num w:numId="47">
    <w:abstractNumId w:val="55"/>
  </w:num>
  <w:num w:numId="48">
    <w:abstractNumId w:val="56"/>
  </w:num>
  <w:num w:numId="49">
    <w:abstractNumId w:val="57"/>
  </w:num>
  <w:num w:numId="50">
    <w:abstractNumId w:val="58"/>
  </w:num>
  <w:num w:numId="51">
    <w:abstractNumId w:val="19"/>
  </w:num>
  <w:num w:numId="52">
    <w:abstractNumId w:val="41"/>
  </w:num>
  <w:num w:numId="53">
    <w:abstractNumId w:val="44"/>
  </w:num>
  <w:num w:numId="54">
    <w:abstractNumId w:val="24"/>
  </w:num>
  <w:num w:numId="55">
    <w:abstractNumId w:val="18"/>
  </w:num>
  <w:num w:numId="56">
    <w:abstractNumId w:val="38"/>
  </w:num>
  <w:num w:numId="57">
    <w:abstractNumId w:val="51"/>
  </w:num>
  <w:num w:numId="58">
    <w:abstractNumId w:val="49"/>
  </w:num>
  <w:num w:numId="59">
    <w:abstractNumId w:val="38"/>
    <w:lvlOverride w:ilvl="0">
      <w:startOverride w:val="1"/>
    </w:lvlOverride>
    <w:lvlOverride w:ilvl="1">
      <w:startOverride w:val="1"/>
    </w:lvlOverride>
  </w:num>
  <w:num w:numId="60">
    <w:abstractNumId w:val="35"/>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2D5C"/>
    <w:rsid w:val="0000036F"/>
    <w:rsid w:val="00000472"/>
    <w:rsid w:val="00000CDA"/>
    <w:rsid w:val="0000270F"/>
    <w:rsid w:val="00003017"/>
    <w:rsid w:val="00003C0A"/>
    <w:rsid w:val="00003DA6"/>
    <w:rsid w:val="00004A86"/>
    <w:rsid w:val="00004DE7"/>
    <w:rsid w:val="00005F8B"/>
    <w:rsid w:val="00006210"/>
    <w:rsid w:val="00006B28"/>
    <w:rsid w:val="00006E1F"/>
    <w:rsid w:val="000070D7"/>
    <w:rsid w:val="0000713D"/>
    <w:rsid w:val="0000786D"/>
    <w:rsid w:val="00007C3A"/>
    <w:rsid w:val="00010E7B"/>
    <w:rsid w:val="00010F73"/>
    <w:rsid w:val="00011D28"/>
    <w:rsid w:val="00012406"/>
    <w:rsid w:val="000126EF"/>
    <w:rsid w:val="00012E69"/>
    <w:rsid w:val="00013262"/>
    <w:rsid w:val="0001384C"/>
    <w:rsid w:val="00015CF2"/>
    <w:rsid w:val="00015DE0"/>
    <w:rsid w:val="00016669"/>
    <w:rsid w:val="000167C9"/>
    <w:rsid w:val="00016D84"/>
    <w:rsid w:val="0001714B"/>
    <w:rsid w:val="0001788C"/>
    <w:rsid w:val="00017896"/>
    <w:rsid w:val="00017D12"/>
    <w:rsid w:val="00020576"/>
    <w:rsid w:val="00021607"/>
    <w:rsid w:val="00023070"/>
    <w:rsid w:val="0002440E"/>
    <w:rsid w:val="000258DF"/>
    <w:rsid w:val="00027017"/>
    <w:rsid w:val="00027161"/>
    <w:rsid w:val="00030EEA"/>
    <w:rsid w:val="00031C1B"/>
    <w:rsid w:val="00032DB2"/>
    <w:rsid w:val="000333B4"/>
    <w:rsid w:val="000333D8"/>
    <w:rsid w:val="00033798"/>
    <w:rsid w:val="00033C0A"/>
    <w:rsid w:val="00033D3F"/>
    <w:rsid w:val="000345D8"/>
    <w:rsid w:val="000348CD"/>
    <w:rsid w:val="00034B08"/>
    <w:rsid w:val="00034B2E"/>
    <w:rsid w:val="0003513E"/>
    <w:rsid w:val="0003606B"/>
    <w:rsid w:val="00036409"/>
    <w:rsid w:val="0003738C"/>
    <w:rsid w:val="00037C0D"/>
    <w:rsid w:val="00040334"/>
    <w:rsid w:val="00040AE9"/>
    <w:rsid w:val="00040C3A"/>
    <w:rsid w:val="0004176A"/>
    <w:rsid w:val="000418E7"/>
    <w:rsid w:val="000422ED"/>
    <w:rsid w:val="000428AA"/>
    <w:rsid w:val="00043C10"/>
    <w:rsid w:val="00044159"/>
    <w:rsid w:val="000443AB"/>
    <w:rsid w:val="000444CD"/>
    <w:rsid w:val="0004481A"/>
    <w:rsid w:val="00044991"/>
    <w:rsid w:val="00044DFD"/>
    <w:rsid w:val="000455F8"/>
    <w:rsid w:val="0004618D"/>
    <w:rsid w:val="00046395"/>
    <w:rsid w:val="00050A98"/>
    <w:rsid w:val="00052C79"/>
    <w:rsid w:val="000531B7"/>
    <w:rsid w:val="00054266"/>
    <w:rsid w:val="00054BCE"/>
    <w:rsid w:val="00054D12"/>
    <w:rsid w:val="00055001"/>
    <w:rsid w:val="00055963"/>
    <w:rsid w:val="00056D96"/>
    <w:rsid w:val="00062052"/>
    <w:rsid w:val="00062A19"/>
    <w:rsid w:val="00062AD7"/>
    <w:rsid w:val="00062B74"/>
    <w:rsid w:val="000646CE"/>
    <w:rsid w:val="00064797"/>
    <w:rsid w:val="00064A26"/>
    <w:rsid w:val="00064D5C"/>
    <w:rsid w:val="00064F88"/>
    <w:rsid w:val="000659A5"/>
    <w:rsid w:val="0006606E"/>
    <w:rsid w:val="000664AA"/>
    <w:rsid w:val="00066DC3"/>
    <w:rsid w:val="0006713F"/>
    <w:rsid w:val="00067387"/>
    <w:rsid w:val="000673D7"/>
    <w:rsid w:val="00067A78"/>
    <w:rsid w:val="0007068E"/>
    <w:rsid w:val="0007147B"/>
    <w:rsid w:val="000716C5"/>
    <w:rsid w:val="00071A85"/>
    <w:rsid w:val="00072804"/>
    <w:rsid w:val="00072A6F"/>
    <w:rsid w:val="00073559"/>
    <w:rsid w:val="00073936"/>
    <w:rsid w:val="0007430D"/>
    <w:rsid w:val="00074A70"/>
    <w:rsid w:val="00075E23"/>
    <w:rsid w:val="000762AD"/>
    <w:rsid w:val="00076B8E"/>
    <w:rsid w:val="0007700D"/>
    <w:rsid w:val="00082D95"/>
    <w:rsid w:val="000832CE"/>
    <w:rsid w:val="00083869"/>
    <w:rsid w:val="000838F8"/>
    <w:rsid w:val="00083BAC"/>
    <w:rsid w:val="000852BF"/>
    <w:rsid w:val="0008725D"/>
    <w:rsid w:val="000873CC"/>
    <w:rsid w:val="00087F4C"/>
    <w:rsid w:val="00091369"/>
    <w:rsid w:val="0009140E"/>
    <w:rsid w:val="00093196"/>
    <w:rsid w:val="00093275"/>
    <w:rsid w:val="0009344A"/>
    <w:rsid w:val="000936FF"/>
    <w:rsid w:val="00093C1D"/>
    <w:rsid w:val="00093F14"/>
    <w:rsid w:val="0009424C"/>
    <w:rsid w:val="000949E4"/>
    <w:rsid w:val="00097447"/>
    <w:rsid w:val="000978D9"/>
    <w:rsid w:val="000A0655"/>
    <w:rsid w:val="000A0D6F"/>
    <w:rsid w:val="000A13C7"/>
    <w:rsid w:val="000A1D35"/>
    <w:rsid w:val="000A2C5F"/>
    <w:rsid w:val="000A3352"/>
    <w:rsid w:val="000A392E"/>
    <w:rsid w:val="000A3ADC"/>
    <w:rsid w:val="000A495B"/>
    <w:rsid w:val="000A546E"/>
    <w:rsid w:val="000A56CB"/>
    <w:rsid w:val="000A575F"/>
    <w:rsid w:val="000A5CD6"/>
    <w:rsid w:val="000A6FC1"/>
    <w:rsid w:val="000A73B5"/>
    <w:rsid w:val="000A7E6B"/>
    <w:rsid w:val="000A7EA7"/>
    <w:rsid w:val="000B0AD2"/>
    <w:rsid w:val="000B21D2"/>
    <w:rsid w:val="000B2D3E"/>
    <w:rsid w:val="000B33A5"/>
    <w:rsid w:val="000B389F"/>
    <w:rsid w:val="000B3EDC"/>
    <w:rsid w:val="000B421C"/>
    <w:rsid w:val="000B5C0D"/>
    <w:rsid w:val="000B60D1"/>
    <w:rsid w:val="000B68EE"/>
    <w:rsid w:val="000B7004"/>
    <w:rsid w:val="000B77D4"/>
    <w:rsid w:val="000C185A"/>
    <w:rsid w:val="000C1AEB"/>
    <w:rsid w:val="000C21D9"/>
    <w:rsid w:val="000C2D1E"/>
    <w:rsid w:val="000C3FAF"/>
    <w:rsid w:val="000C4333"/>
    <w:rsid w:val="000C46DB"/>
    <w:rsid w:val="000C49E5"/>
    <w:rsid w:val="000C5BC3"/>
    <w:rsid w:val="000C5BC5"/>
    <w:rsid w:val="000C606A"/>
    <w:rsid w:val="000D0406"/>
    <w:rsid w:val="000D0883"/>
    <w:rsid w:val="000D10DB"/>
    <w:rsid w:val="000D2264"/>
    <w:rsid w:val="000D2B31"/>
    <w:rsid w:val="000D2FEA"/>
    <w:rsid w:val="000D3087"/>
    <w:rsid w:val="000D35D1"/>
    <w:rsid w:val="000D381F"/>
    <w:rsid w:val="000D38BF"/>
    <w:rsid w:val="000D4302"/>
    <w:rsid w:val="000D4EDA"/>
    <w:rsid w:val="000D5546"/>
    <w:rsid w:val="000D5F45"/>
    <w:rsid w:val="000D63AB"/>
    <w:rsid w:val="000D6940"/>
    <w:rsid w:val="000D7D62"/>
    <w:rsid w:val="000D7F8F"/>
    <w:rsid w:val="000E0408"/>
    <w:rsid w:val="000E15E0"/>
    <w:rsid w:val="000E2F92"/>
    <w:rsid w:val="000E36DB"/>
    <w:rsid w:val="000E5573"/>
    <w:rsid w:val="000E5EB5"/>
    <w:rsid w:val="000E5F2D"/>
    <w:rsid w:val="000E696E"/>
    <w:rsid w:val="000E6F30"/>
    <w:rsid w:val="000E74A1"/>
    <w:rsid w:val="000E7DB1"/>
    <w:rsid w:val="000E7DBD"/>
    <w:rsid w:val="000E7F36"/>
    <w:rsid w:val="000F1731"/>
    <w:rsid w:val="000F32C6"/>
    <w:rsid w:val="000F4860"/>
    <w:rsid w:val="000F5F5D"/>
    <w:rsid w:val="000F6422"/>
    <w:rsid w:val="000F743F"/>
    <w:rsid w:val="0010163B"/>
    <w:rsid w:val="0010177D"/>
    <w:rsid w:val="00101D95"/>
    <w:rsid w:val="0010210A"/>
    <w:rsid w:val="00103340"/>
    <w:rsid w:val="00103DAA"/>
    <w:rsid w:val="001048C3"/>
    <w:rsid w:val="00104D50"/>
    <w:rsid w:val="00105618"/>
    <w:rsid w:val="00105BF1"/>
    <w:rsid w:val="001063C9"/>
    <w:rsid w:val="00106D45"/>
    <w:rsid w:val="00107131"/>
    <w:rsid w:val="001072D6"/>
    <w:rsid w:val="0010736F"/>
    <w:rsid w:val="0011146D"/>
    <w:rsid w:val="0011253A"/>
    <w:rsid w:val="001137BC"/>
    <w:rsid w:val="00113F73"/>
    <w:rsid w:val="001148E3"/>
    <w:rsid w:val="00114FA2"/>
    <w:rsid w:val="0011518A"/>
    <w:rsid w:val="0011559D"/>
    <w:rsid w:val="001159C2"/>
    <w:rsid w:val="00116A99"/>
    <w:rsid w:val="00116DE9"/>
    <w:rsid w:val="0011729F"/>
    <w:rsid w:val="00121CC2"/>
    <w:rsid w:val="00121DA5"/>
    <w:rsid w:val="001244C2"/>
    <w:rsid w:val="0012463E"/>
    <w:rsid w:val="001256DB"/>
    <w:rsid w:val="00125A0D"/>
    <w:rsid w:val="001271B3"/>
    <w:rsid w:val="001272DF"/>
    <w:rsid w:val="0013019B"/>
    <w:rsid w:val="001302EC"/>
    <w:rsid w:val="00130369"/>
    <w:rsid w:val="0013066B"/>
    <w:rsid w:val="001317DE"/>
    <w:rsid w:val="00132556"/>
    <w:rsid w:val="00132991"/>
    <w:rsid w:val="00133B71"/>
    <w:rsid w:val="00133EE5"/>
    <w:rsid w:val="00133EF2"/>
    <w:rsid w:val="00134213"/>
    <w:rsid w:val="001348B4"/>
    <w:rsid w:val="0013490B"/>
    <w:rsid w:val="00134CAE"/>
    <w:rsid w:val="001352D9"/>
    <w:rsid w:val="001362A8"/>
    <w:rsid w:val="001362B9"/>
    <w:rsid w:val="00136BF2"/>
    <w:rsid w:val="00136BFD"/>
    <w:rsid w:val="00136C80"/>
    <w:rsid w:val="00137311"/>
    <w:rsid w:val="00137AFC"/>
    <w:rsid w:val="00137B73"/>
    <w:rsid w:val="00137DCE"/>
    <w:rsid w:val="0014020B"/>
    <w:rsid w:val="00140950"/>
    <w:rsid w:val="001414D2"/>
    <w:rsid w:val="00144B35"/>
    <w:rsid w:val="00144E97"/>
    <w:rsid w:val="00144F9D"/>
    <w:rsid w:val="001459AD"/>
    <w:rsid w:val="001464BE"/>
    <w:rsid w:val="00146846"/>
    <w:rsid w:val="00146DFF"/>
    <w:rsid w:val="00147374"/>
    <w:rsid w:val="0014754E"/>
    <w:rsid w:val="00150901"/>
    <w:rsid w:val="001510A1"/>
    <w:rsid w:val="001518CD"/>
    <w:rsid w:val="00153902"/>
    <w:rsid w:val="0015428A"/>
    <w:rsid w:val="00154311"/>
    <w:rsid w:val="0015476E"/>
    <w:rsid w:val="00155CBD"/>
    <w:rsid w:val="0015623F"/>
    <w:rsid w:val="0015653E"/>
    <w:rsid w:val="001567E9"/>
    <w:rsid w:val="00156F91"/>
    <w:rsid w:val="0016081C"/>
    <w:rsid w:val="00160C68"/>
    <w:rsid w:val="00160CA0"/>
    <w:rsid w:val="00161153"/>
    <w:rsid w:val="00162442"/>
    <w:rsid w:val="001629BF"/>
    <w:rsid w:val="001644A9"/>
    <w:rsid w:val="001654DC"/>
    <w:rsid w:val="00165B4C"/>
    <w:rsid w:val="00166E75"/>
    <w:rsid w:val="00167A34"/>
    <w:rsid w:val="00171A98"/>
    <w:rsid w:val="00172786"/>
    <w:rsid w:val="00173BFF"/>
    <w:rsid w:val="00173E25"/>
    <w:rsid w:val="00176353"/>
    <w:rsid w:val="001770BB"/>
    <w:rsid w:val="00177605"/>
    <w:rsid w:val="001777FD"/>
    <w:rsid w:val="001801B2"/>
    <w:rsid w:val="001801CE"/>
    <w:rsid w:val="00180AF9"/>
    <w:rsid w:val="00181F9D"/>
    <w:rsid w:val="001820E3"/>
    <w:rsid w:val="00182194"/>
    <w:rsid w:val="00182884"/>
    <w:rsid w:val="00183B96"/>
    <w:rsid w:val="00184368"/>
    <w:rsid w:val="00184CD1"/>
    <w:rsid w:val="00186218"/>
    <w:rsid w:val="001904BF"/>
    <w:rsid w:val="00191D9E"/>
    <w:rsid w:val="001933B3"/>
    <w:rsid w:val="00193B22"/>
    <w:rsid w:val="00193E53"/>
    <w:rsid w:val="00196576"/>
    <w:rsid w:val="001A07DA"/>
    <w:rsid w:val="001A1574"/>
    <w:rsid w:val="001A326F"/>
    <w:rsid w:val="001A39C9"/>
    <w:rsid w:val="001A4B19"/>
    <w:rsid w:val="001A5490"/>
    <w:rsid w:val="001A56BE"/>
    <w:rsid w:val="001A5B85"/>
    <w:rsid w:val="001A6142"/>
    <w:rsid w:val="001A630A"/>
    <w:rsid w:val="001A75FF"/>
    <w:rsid w:val="001A7821"/>
    <w:rsid w:val="001A7870"/>
    <w:rsid w:val="001A7C80"/>
    <w:rsid w:val="001B05AB"/>
    <w:rsid w:val="001B0833"/>
    <w:rsid w:val="001B0C57"/>
    <w:rsid w:val="001B0D91"/>
    <w:rsid w:val="001B24D6"/>
    <w:rsid w:val="001B2DA4"/>
    <w:rsid w:val="001B397A"/>
    <w:rsid w:val="001B4214"/>
    <w:rsid w:val="001B4452"/>
    <w:rsid w:val="001B4E9A"/>
    <w:rsid w:val="001B58DF"/>
    <w:rsid w:val="001B5E4F"/>
    <w:rsid w:val="001B7CF7"/>
    <w:rsid w:val="001C1334"/>
    <w:rsid w:val="001C15BB"/>
    <w:rsid w:val="001C1B41"/>
    <w:rsid w:val="001C1FDD"/>
    <w:rsid w:val="001C2204"/>
    <w:rsid w:val="001C28B1"/>
    <w:rsid w:val="001C3B7C"/>
    <w:rsid w:val="001C4035"/>
    <w:rsid w:val="001C65C8"/>
    <w:rsid w:val="001C7030"/>
    <w:rsid w:val="001C741A"/>
    <w:rsid w:val="001C7D24"/>
    <w:rsid w:val="001C7FB9"/>
    <w:rsid w:val="001D0110"/>
    <w:rsid w:val="001D018F"/>
    <w:rsid w:val="001D0A2D"/>
    <w:rsid w:val="001D0C3F"/>
    <w:rsid w:val="001D0FE9"/>
    <w:rsid w:val="001D2A57"/>
    <w:rsid w:val="001D3235"/>
    <w:rsid w:val="001D4838"/>
    <w:rsid w:val="001D4DCB"/>
    <w:rsid w:val="001D5563"/>
    <w:rsid w:val="001D5A5A"/>
    <w:rsid w:val="001D5CAE"/>
    <w:rsid w:val="001D63AA"/>
    <w:rsid w:val="001D65EF"/>
    <w:rsid w:val="001D679A"/>
    <w:rsid w:val="001D72C4"/>
    <w:rsid w:val="001D79BD"/>
    <w:rsid w:val="001D7D0B"/>
    <w:rsid w:val="001E040F"/>
    <w:rsid w:val="001E0794"/>
    <w:rsid w:val="001E0E8D"/>
    <w:rsid w:val="001E199C"/>
    <w:rsid w:val="001E3A62"/>
    <w:rsid w:val="001E44AA"/>
    <w:rsid w:val="001E616F"/>
    <w:rsid w:val="001E626D"/>
    <w:rsid w:val="001E730E"/>
    <w:rsid w:val="001E7F5B"/>
    <w:rsid w:val="001F0BAC"/>
    <w:rsid w:val="001F1FCA"/>
    <w:rsid w:val="001F2493"/>
    <w:rsid w:val="001F2A99"/>
    <w:rsid w:val="001F3C33"/>
    <w:rsid w:val="001F5239"/>
    <w:rsid w:val="001F5D11"/>
    <w:rsid w:val="001F5F72"/>
    <w:rsid w:val="001F7317"/>
    <w:rsid w:val="002003C5"/>
    <w:rsid w:val="0020078A"/>
    <w:rsid w:val="00200B5E"/>
    <w:rsid w:val="00201954"/>
    <w:rsid w:val="00201C43"/>
    <w:rsid w:val="0020213A"/>
    <w:rsid w:val="00205360"/>
    <w:rsid w:val="00205A88"/>
    <w:rsid w:val="00205C87"/>
    <w:rsid w:val="00206580"/>
    <w:rsid w:val="00206FD6"/>
    <w:rsid w:val="002078BA"/>
    <w:rsid w:val="00210CEC"/>
    <w:rsid w:val="00210D4F"/>
    <w:rsid w:val="00211639"/>
    <w:rsid w:val="002119CF"/>
    <w:rsid w:val="00212DC0"/>
    <w:rsid w:val="00212FEF"/>
    <w:rsid w:val="00213CE7"/>
    <w:rsid w:val="00213F65"/>
    <w:rsid w:val="0021411E"/>
    <w:rsid w:val="00214F4E"/>
    <w:rsid w:val="002163E3"/>
    <w:rsid w:val="00216603"/>
    <w:rsid w:val="0021687A"/>
    <w:rsid w:val="00216DB0"/>
    <w:rsid w:val="00216E12"/>
    <w:rsid w:val="00217D58"/>
    <w:rsid w:val="00221710"/>
    <w:rsid w:val="00221882"/>
    <w:rsid w:val="00223E1A"/>
    <w:rsid w:val="0022476D"/>
    <w:rsid w:val="002250A3"/>
    <w:rsid w:val="002271E8"/>
    <w:rsid w:val="002275B6"/>
    <w:rsid w:val="00227D9F"/>
    <w:rsid w:val="00231A7E"/>
    <w:rsid w:val="00232699"/>
    <w:rsid w:val="00233556"/>
    <w:rsid w:val="00233754"/>
    <w:rsid w:val="00233ADE"/>
    <w:rsid w:val="00234195"/>
    <w:rsid w:val="00234374"/>
    <w:rsid w:val="00235176"/>
    <w:rsid w:val="00235217"/>
    <w:rsid w:val="002402FE"/>
    <w:rsid w:val="00241871"/>
    <w:rsid w:val="002420FF"/>
    <w:rsid w:val="00242435"/>
    <w:rsid w:val="002430EF"/>
    <w:rsid w:val="0024399A"/>
    <w:rsid w:val="0024436B"/>
    <w:rsid w:val="00244577"/>
    <w:rsid w:val="0024466B"/>
    <w:rsid w:val="0024466D"/>
    <w:rsid w:val="00244DD4"/>
    <w:rsid w:val="00245C2A"/>
    <w:rsid w:val="0024609E"/>
    <w:rsid w:val="00246249"/>
    <w:rsid w:val="00246D1F"/>
    <w:rsid w:val="00247102"/>
    <w:rsid w:val="00247403"/>
    <w:rsid w:val="00247491"/>
    <w:rsid w:val="00247542"/>
    <w:rsid w:val="002501DF"/>
    <w:rsid w:val="00250332"/>
    <w:rsid w:val="0025035A"/>
    <w:rsid w:val="00251449"/>
    <w:rsid w:val="00251AD4"/>
    <w:rsid w:val="002527A9"/>
    <w:rsid w:val="0025289F"/>
    <w:rsid w:val="002528A3"/>
    <w:rsid w:val="00252D46"/>
    <w:rsid w:val="00253ECD"/>
    <w:rsid w:val="00254086"/>
    <w:rsid w:val="00255156"/>
    <w:rsid w:val="002561F9"/>
    <w:rsid w:val="0025645E"/>
    <w:rsid w:val="002571C0"/>
    <w:rsid w:val="0025721A"/>
    <w:rsid w:val="0025788C"/>
    <w:rsid w:val="0025798F"/>
    <w:rsid w:val="00260014"/>
    <w:rsid w:val="0026030B"/>
    <w:rsid w:val="0026036B"/>
    <w:rsid w:val="00260498"/>
    <w:rsid w:val="00260B9D"/>
    <w:rsid w:val="00261BD4"/>
    <w:rsid w:val="00263846"/>
    <w:rsid w:val="00264356"/>
    <w:rsid w:val="00264C08"/>
    <w:rsid w:val="00265763"/>
    <w:rsid w:val="00265CC8"/>
    <w:rsid w:val="00266B61"/>
    <w:rsid w:val="0026712A"/>
    <w:rsid w:val="002677F7"/>
    <w:rsid w:val="0027028C"/>
    <w:rsid w:val="002704DB"/>
    <w:rsid w:val="00270CCF"/>
    <w:rsid w:val="00270DB4"/>
    <w:rsid w:val="00272278"/>
    <w:rsid w:val="00272949"/>
    <w:rsid w:val="00273B48"/>
    <w:rsid w:val="00273D36"/>
    <w:rsid w:val="002740CD"/>
    <w:rsid w:val="002743BB"/>
    <w:rsid w:val="00276D62"/>
    <w:rsid w:val="002773C2"/>
    <w:rsid w:val="0027745A"/>
    <w:rsid w:val="00281754"/>
    <w:rsid w:val="00281999"/>
    <w:rsid w:val="002849DB"/>
    <w:rsid w:val="002849E0"/>
    <w:rsid w:val="00284C10"/>
    <w:rsid w:val="00284DE8"/>
    <w:rsid w:val="00285772"/>
    <w:rsid w:val="00285F07"/>
    <w:rsid w:val="00287511"/>
    <w:rsid w:val="002878DF"/>
    <w:rsid w:val="00287AD5"/>
    <w:rsid w:val="00290140"/>
    <w:rsid w:val="002915A4"/>
    <w:rsid w:val="00291852"/>
    <w:rsid w:val="00291E29"/>
    <w:rsid w:val="00293632"/>
    <w:rsid w:val="00293798"/>
    <w:rsid w:val="002939B1"/>
    <w:rsid w:val="00293A69"/>
    <w:rsid w:val="0029596C"/>
    <w:rsid w:val="002978D3"/>
    <w:rsid w:val="002A0AAE"/>
    <w:rsid w:val="002A0C80"/>
    <w:rsid w:val="002A0D92"/>
    <w:rsid w:val="002A16EB"/>
    <w:rsid w:val="002A1A35"/>
    <w:rsid w:val="002A3A10"/>
    <w:rsid w:val="002A4AF0"/>
    <w:rsid w:val="002A55D8"/>
    <w:rsid w:val="002A5820"/>
    <w:rsid w:val="002A58AC"/>
    <w:rsid w:val="002A5980"/>
    <w:rsid w:val="002A59D5"/>
    <w:rsid w:val="002A5E63"/>
    <w:rsid w:val="002A6421"/>
    <w:rsid w:val="002A6D6E"/>
    <w:rsid w:val="002A797C"/>
    <w:rsid w:val="002B049F"/>
    <w:rsid w:val="002B0DD0"/>
    <w:rsid w:val="002B190D"/>
    <w:rsid w:val="002B1F3F"/>
    <w:rsid w:val="002B2064"/>
    <w:rsid w:val="002B26AA"/>
    <w:rsid w:val="002B26C1"/>
    <w:rsid w:val="002B28B9"/>
    <w:rsid w:val="002B31DE"/>
    <w:rsid w:val="002B381F"/>
    <w:rsid w:val="002B3A7D"/>
    <w:rsid w:val="002B49C5"/>
    <w:rsid w:val="002B5CA7"/>
    <w:rsid w:val="002B6699"/>
    <w:rsid w:val="002B6BA5"/>
    <w:rsid w:val="002B76B0"/>
    <w:rsid w:val="002B7DEB"/>
    <w:rsid w:val="002B7ED9"/>
    <w:rsid w:val="002C0080"/>
    <w:rsid w:val="002C04F4"/>
    <w:rsid w:val="002C2904"/>
    <w:rsid w:val="002C2B7C"/>
    <w:rsid w:val="002C34A2"/>
    <w:rsid w:val="002C4287"/>
    <w:rsid w:val="002C42C4"/>
    <w:rsid w:val="002C4389"/>
    <w:rsid w:val="002C591F"/>
    <w:rsid w:val="002C5A13"/>
    <w:rsid w:val="002C65E0"/>
    <w:rsid w:val="002C6DAE"/>
    <w:rsid w:val="002C7762"/>
    <w:rsid w:val="002D13C9"/>
    <w:rsid w:val="002D18B6"/>
    <w:rsid w:val="002D18D9"/>
    <w:rsid w:val="002D2B26"/>
    <w:rsid w:val="002D2BDD"/>
    <w:rsid w:val="002D31B6"/>
    <w:rsid w:val="002D38A8"/>
    <w:rsid w:val="002D432A"/>
    <w:rsid w:val="002D4D51"/>
    <w:rsid w:val="002D57F2"/>
    <w:rsid w:val="002D57F7"/>
    <w:rsid w:val="002D660F"/>
    <w:rsid w:val="002D6D48"/>
    <w:rsid w:val="002D6D92"/>
    <w:rsid w:val="002D6DFA"/>
    <w:rsid w:val="002D7EA2"/>
    <w:rsid w:val="002E07B0"/>
    <w:rsid w:val="002E1155"/>
    <w:rsid w:val="002E118C"/>
    <w:rsid w:val="002E11D8"/>
    <w:rsid w:val="002E187C"/>
    <w:rsid w:val="002E2223"/>
    <w:rsid w:val="002E2BFD"/>
    <w:rsid w:val="002E3978"/>
    <w:rsid w:val="002E3FDE"/>
    <w:rsid w:val="002E417C"/>
    <w:rsid w:val="002E4339"/>
    <w:rsid w:val="002E5579"/>
    <w:rsid w:val="002E583B"/>
    <w:rsid w:val="002E67C3"/>
    <w:rsid w:val="002E68C8"/>
    <w:rsid w:val="002E78CE"/>
    <w:rsid w:val="002F0CCD"/>
    <w:rsid w:val="002F0FB2"/>
    <w:rsid w:val="002F1177"/>
    <w:rsid w:val="002F16EA"/>
    <w:rsid w:val="002F1ED2"/>
    <w:rsid w:val="002F225F"/>
    <w:rsid w:val="002F2677"/>
    <w:rsid w:val="002F26D5"/>
    <w:rsid w:val="002F2D34"/>
    <w:rsid w:val="002F3751"/>
    <w:rsid w:val="002F3CDA"/>
    <w:rsid w:val="002F3F97"/>
    <w:rsid w:val="002F464F"/>
    <w:rsid w:val="002F485D"/>
    <w:rsid w:val="002F596C"/>
    <w:rsid w:val="002F6F78"/>
    <w:rsid w:val="00300DE6"/>
    <w:rsid w:val="00301F70"/>
    <w:rsid w:val="00302733"/>
    <w:rsid w:val="003034B3"/>
    <w:rsid w:val="003037F0"/>
    <w:rsid w:val="00303974"/>
    <w:rsid w:val="003039F4"/>
    <w:rsid w:val="0030433B"/>
    <w:rsid w:val="003045D6"/>
    <w:rsid w:val="00304AD9"/>
    <w:rsid w:val="0030512D"/>
    <w:rsid w:val="00305956"/>
    <w:rsid w:val="00306486"/>
    <w:rsid w:val="003067D6"/>
    <w:rsid w:val="00306880"/>
    <w:rsid w:val="00306C37"/>
    <w:rsid w:val="00307920"/>
    <w:rsid w:val="00307EE5"/>
    <w:rsid w:val="003106C3"/>
    <w:rsid w:val="0031128E"/>
    <w:rsid w:val="003112A9"/>
    <w:rsid w:val="00311901"/>
    <w:rsid w:val="00311A6F"/>
    <w:rsid w:val="003122F4"/>
    <w:rsid w:val="00312F2F"/>
    <w:rsid w:val="00312F89"/>
    <w:rsid w:val="00314078"/>
    <w:rsid w:val="003144B2"/>
    <w:rsid w:val="00314D9F"/>
    <w:rsid w:val="00316517"/>
    <w:rsid w:val="00317250"/>
    <w:rsid w:val="00321576"/>
    <w:rsid w:val="0032186D"/>
    <w:rsid w:val="00322373"/>
    <w:rsid w:val="003229C1"/>
    <w:rsid w:val="00323190"/>
    <w:rsid w:val="00323253"/>
    <w:rsid w:val="0032363A"/>
    <w:rsid w:val="00323FAD"/>
    <w:rsid w:val="0032412C"/>
    <w:rsid w:val="003247D2"/>
    <w:rsid w:val="003252C8"/>
    <w:rsid w:val="00325B5A"/>
    <w:rsid w:val="003273E8"/>
    <w:rsid w:val="003273FC"/>
    <w:rsid w:val="003274CA"/>
    <w:rsid w:val="00330B2C"/>
    <w:rsid w:val="00331015"/>
    <w:rsid w:val="00331547"/>
    <w:rsid w:val="0033169F"/>
    <w:rsid w:val="00331880"/>
    <w:rsid w:val="00331DB6"/>
    <w:rsid w:val="00332F4D"/>
    <w:rsid w:val="00333392"/>
    <w:rsid w:val="003340F9"/>
    <w:rsid w:val="003351CA"/>
    <w:rsid w:val="0033623A"/>
    <w:rsid w:val="00336412"/>
    <w:rsid w:val="00336DBE"/>
    <w:rsid w:val="003402C6"/>
    <w:rsid w:val="00340E9B"/>
    <w:rsid w:val="00341340"/>
    <w:rsid w:val="00341959"/>
    <w:rsid w:val="00341D78"/>
    <w:rsid w:val="00342457"/>
    <w:rsid w:val="003427C3"/>
    <w:rsid w:val="00342A5D"/>
    <w:rsid w:val="00343226"/>
    <w:rsid w:val="003450CB"/>
    <w:rsid w:val="00345F7F"/>
    <w:rsid w:val="00346643"/>
    <w:rsid w:val="00346C95"/>
    <w:rsid w:val="00346D2B"/>
    <w:rsid w:val="0034711A"/>
    <w:rsid w:val="00347342"/>
    <w:rsid w:val="0034738C"/>
    <w:rsid w:val="00347B81"/>
    <w:rsid w:val="00350FEF"/>
    <w:rsid w:val="003513C8"/>
    <w:rsid w:val="00351630"/>
    <w:rsid w:val="00351BF8"/>
    <w:rsid w:val="0035379E"/>
    <w:rsid w:val="00353892"/>
    <w:rsid w:val="00353F8E"/>
    <w:rsid w:val="0035504C"/>
    <w:rsid w:val="00355188"/>
    <w:rsid w:val="003553B9"/>
    <w:rsid w:val="003555B8"/>
    <w:rsid w:val="00355E3E"/>
    <w:rsid w:val="00356185"/>
    <w:rsid w:val="0035729D"/>
    <w:rsid w:val="00357E90"/>
    <w:rsid w:val="00360221"/>
    <w:rsid w:val="00360380"/>
    <w:rsid w:val="00360575"/>
    <w:rsid w:val="00360DF5"/>
    <w:rsid w:val="00360E13"/>
    <w:rsid w:val="00361765"/>
    <w:rsid w:val="00361EE2"/>
    <w:rsid w:val="0036247E"/>
    <w:rsid w:val="00363772"/>
    <w:rsid w:val="003639E7"/>
    <w:rsid w:val="00363A3F"/>
    <w:rsid w:val="00364E00"/>
    <w:rsid w:val="0036502F"/>
    <w:rsid w:val="0036510E"/>
    <w:rsid w:val="0036565E"/>
    <w:rsid w:val="003661B2"/>
    <w:rsid w:val="0036634F"/>
    <w:rsid w:val="003675E5"/>
    <w:rsid w:val="00367BDC"/>
    <w:rsid w:val="00367C3F"/>
    <w:rsid w:val="00370FAE"/>
    <w:rsid w:val="00372131"/>
    <w:rsid w:val="00373626"/>
    <w:rsid w:val="003738D7"/>
    <w:rsid w:val="00373A0C"/>
    <w:rsid w:val="00373B73"/>
    <w:rsid w:val="00373E57"/>
    <w:rsid w:val="003742C8"/>
    <w:rsid w:val="00374B7D"/>
    <w:rsid w:val="003752E2"/>
    <w:rsid w:val="00376D82"/>
    <w:rsid w:val="00377287"/>
    <w:rsid w:val="00377BCD"/>
    <w:rsid w:val="003803A8"/>
    <w:rsid w:val="00380441"/>
    <w:rsid w:val="00380B64"/>
    <w:rsid w:val="00380BCE"/>
    <w:rsid w:val="00380DD1"/>
    <w:rsid w:val="00381275"/>
    <w:rsid w:val="003818C1"/>
    <w:rsid w:val="003819B8"/>
    <w:rsid w:val="00383FF6"/>
    <w:rsid w:val="00385C70"/>
    <w:rsid w:val="0038683C"/>
    <w:rsid w:val="003868E9"/>
    <w:rsid w:val="00386A0A"/>
    <w:rsid w:val="00386CF0"/>
    <w:rsid w:val="00386D33"/>
    <w:rsid w:val="00387318"/>
    <w:rsid w:val="00387B9A"/>
    <w:rsid w:val="00387E8F"/>
    <w:rsid w:val="00387FC1"/>
    <w:rsid w:val="003912A6"/>
    <w:rsid w:val="00392130"/>
    <w:rsid w:val="003921AA"/>
    <w:rsid w:val="00393445"/>
    <w:rsid w:val="00394AF9"/>
    <w:rsid w:val="00394CD0"/>
    <w:rsid w:val="0039660E"/>
    <w:rsid w:val="003966F9"/>
    <w:rsid w:val="003978EF"/>
    <w:rsid w:val="00397AFA"/>
    <w:rsid w:val="00397C9F"/>
    <w:rsid w:val="00397FAA"/>
    <w:rsid w:val="003A31E7"/>
    <w:rsid w:val="003A3ACF"/>
    <w:rsid w:val="003A3E55"/>
    <w:rsid w:val="003A431E"/>
    <w:rsid w:val="003A5976"/>
    <w:rsid w:val="003A5CF9"/>
    <w:rsid w:val="003A6220"/>
    <w:rsid w:val="003A6E09"/>
    <w:rsid w:val="003A723B"/>
    <w:rsid w:val="003A724A"/>
    <w:rsid w:val="003B0471"/>
    <w:rsid w:val="003B0C66"/>
    <w:rsid w:val="003B3CD9"/>
    <w:rsid w:val="003B5118"/>
    <w:rsid w:val="003B56B1"/>
    <w:rsid w:val="003B771B"/>
    <w:rsid w:val="003B78A3"/>
    <w:rsid w:val="003B7B5D"/>
    <w:rsid w:val="003B7E9C"/>
    <w:rsid w:val="003B7EF5"/>
    <w:rsid w:val="003C1A9C"/>
    <w:rsid w:val="003C2014"/>
    <w:rsid w:val="003C2AB7"/>
    <w:rsid w:val="003C676B"/>
    <w:rsid w:val="003C7713"/>
    <w:rsid w:val="003C7BD0"/>
    <w:rsid w:val="003D13EF"/>
    <w:rsid w:val="003D1FF6"/>
    <w:rsid w:val="003D319A"/>
    <w:rsid w:val="003D3BC2"/>
    <w:rsid w:val="003D3BED"/>
    <w:rsid w:val="003D439F"/>
    <w:rsid w:val="003D4D71"/>
    <w:rsid w:val="003D4F84"/>
    <w:rsid w:val="003D5097"/>
    <w:rsid w:val="003D58F2"/>
    <w:rsid w:val="003D59E3"/>
    <w:rsid w:val="003D64EB"/>
    <w:rsid w:val="003D679D"/>
    <w:rsid w:val="003E0169"/>
    <w:rsid w:val="003E0EC0"/>
    <w:rsid w:val="003E151B"/>
    <w:rsid w:val="003E1570"/>
    <w:rsid w:val="003E22ED"/>
    <w:rsid w:val="003E22FD"/>
    <w:rsid w:val="003E2556"/>
    <w:rsid w:val="003E2978"/>
    <w:rsid w:val="003E2B6D"/>
    <w:rsid w:val="003E315B"/>
    <w:rsid w:val="003E36E8"/>
    <w:rsid w:val="003E40BD"/>
    <w:rsid w:val="003E4145"/>
    <w:rsid w:val="003E52CE"/>
    <w:rsid w:val="003E5767"/>
    <w:rsid w:val="003E58D3"/>
    <w:rsid w:val="003E5D2C"/>
    <w:rsid w:val="003E6CA1"/>
    <w:rsid w:val="003E6F59"/>
    <w:rsid w:val="003E7128"/>
    <w:rsid w:val="003E7ACD"/>
    <w:rsid w:val="003F0C00"/>
    <w:rsid w:val="003F1E68"/>
    <w:rsid w:val="003F2AEF"/>
    <w:rsid w:val="003F342F"/>
    <w:rsid w:val="003F3694"/>
    <w:rsid w:val="003F38EE"/>
    <w:rsid w:val="003F3CFA"/>
    <w:rsid w:val="003F46B5"/>
    <w:rsid w:val="003F49E4"/>
    <w:rsid w:val="003F4FFA"/>
    <w:rsid w:val="003F56FC"/>
    <w:rsid w:val="003F6E8F"/>
    <w:rsid w:val="003F7E40"/>
    <w:rsid w:val="004009FC"/>
    <w:rsid w:val="004011E9"/>
    <w:rsid w:val="00401A7F"/>
    <w:rsid w:val="00401D94"/>
    <w:rsid w:val="004031A1"/>
    <w:rsid w:val="004036B0"/>
    <w:rsid w:val="00404F46"/>
    <w:rsid w:val="00405361"/>
    <w:rsid w:val="00405C29"/>
    <w:rsid w:val="00412250"/>
    <w:rsid w:val="00412267"/>
    <w:rsid w:val="00414227"/>
    <w:rsid w:val="00414E06"/>
    <w:rsid w:val="00415BBD"/>
    <w:rsid w:val="0041616C"/>
    <w:rsid w:val="00416470"/>
    <w:rsid w:val="004165C2"/>
    <w:rsid w:val="00417460"/>
    <w:rsid w:val="0041778C"/>
    <w:rsid w:val="0041782F"/>
    <w:rsid w:val="00417AC6"/>
    <w:rsid w:val="004205DD"/>
    <w:rsid w:val="004216C5"/>
    <w:rsid w:val="00421995"/>
    <w:rsid w:val="00422594"/>
    <w:rsid w:val="0042303C"/>
    <w:rsid w:val="004231F7"/>
    <w:rsid w:val="00423E1B"/>
    <w:rsid w:val="00424207"/>
    <w:rsid w:val="00424962"/>
    <w:rsid w:val="004254C0"/>
    <w:rsid w:val="0042575D"/>
    <w:rsid w:val="00426097"/>
    <w:rsid w:val="0042699F"/>
    <w:rsid w:val="00427BBB"/>
    <w:rsid w:val="00427FE1"/>
    <w:rsid w:val="00430576"/>
    <w:rsid w:val="004314FA"/>
    <w:rsid w:val="00431645"/>
    <w:rsid w:val="0043231F"/>
    <w:rsid w:val="0043250E"/>
    <w:rsid w:val="00432C81"/>
    <w:rsid w:val="0043310F"/>
    <w:rsid w:val="0043456A"/>
    <w:rsid w:val="004347ED"/>
    <w:rsid w:val="004348D0"/>
    <w:rsid w:val="00435797"/>
    <w:rsid w:val="00435BC8"/>
    <w:rsid w:val="00436503"/>
    <w:rsid w:val="00436FF4"/>
    <w:rsid w:val="004378F2"/>
    <w:rsid w:val="004378FB"/>
    <w:rsid w:val="00437CB9"/>
    <w:rsid w:val="00437E20"/>
    <w:rsid w:val="00440B67"/>
    <w:rsid w:val="00440F62"/>
    <w:rsid w:val="00441200"/>
    <w:rsid w:val="00441AA4"/>
    <w:rsid w:val="00441D14"/>
    <w:rsid w:val="00441ECB"/>
    <w:rsid w:val="004424FF"/>
    <w:rsid w:val="00443644"/>
    <w:rsid w:val="00443A59"/>
    <w:rsid w:val="00443D9D"/>
    <w:rsid w:val="00444095"/>
    <w:rsid w:val="0044444F"/>
    <w:rsid w:val="00444C04"/>
    <w:rsid w:val="00446198"/>
    <w:rsid w:val="00446A19"/>
    <w:rsid w:val="00446A1B"/>
    <w:rsid w:val="00447215"/>
    <w:rsid w:val="00447F13"/>
    <w:rsid w:val="00450CA7"/>
    <w:rsid w:val="00450E3A"/>
    <w:rsid w:val="00450EE8"/>
    <w:rsid w:val="0045185C"/>
    <w:rsid w:val="00452A66"/>
    <w:rsid w:val="004538B2"/>
    <w:rsid w:val="00453C42"/>
    <w:rsid w:val="0045640E"/>
    <w:rsid w:val="00456CCA"/>
    <w:rsid w:val="0046102F"/>
    <w:rsid w:val="004611CE"/>
    <w:rsid w:val="00462771"/>
    <w:rsid w:val="004629DE"/>
    <w:rsid w:val="00462D95"/>
    <w:rsid w:val="00462F00"/>
    <w:rsid w:val="00463AB9"/>
    <w:rsid w:val="00463C21"/>
    <w:rsid w:val="00463C4C"/>
    <w:rsid w:val="00464741"/>
    <w:rsid w:val="00464949"/>
    <w:rsid w:val="00465EDC"/>
    <w:rsid w:val="00466977"/>
    <w:rsid w:val="004669A8"/>
    <w:rsid w:val="00466D04"/>
    <w:rsid w:val="00467534"/>
    <w:rsid w:val="00467B7E"/>
    <w:rsid w:val="00467D54"/>
    <w:rsid w:val="00470046"/>
    <w:rsid w:val="00470053"/>
    <w:rsid w:val="00470193"/>
    <w:rsid w:val="00470B7D"/>
    <w:rsid w:val="00470E85"/>
    <w:rsid w:val="004719E3"/>
    <w:rsid w:val="004724C1"/>
    <w:rsid w:val="0047286F"/>
    <w:rsid w:val="00473258"/>
    <w:rsid w:val="00473B36"/>
    <w:rsid w:val="00474206"/>
    <w:rsid w:val="0047462B"/>
    <w:rsid w:val="00474B8A"/>
    <w:rsid w:val="0047544B"/>
    <w:rsid w:val="0047563F"/>
    <w:rsid w:val="004762C7"/>
    <w:rsid w:val="00477592"/>
    <w:rsid w:val="00480CDD"/>
    <w:rsid w:val="004812FD"/>
    <w:rsid w:val="004821E1"/>
    <w:rsid w:val="004826DF"/>
    <w:rsid w:val="00482CA2"/>
    <w:rsid w:val="004837BD"/>
    <w:rsid w:val="00484683"/>
    <w:rsid w:val="00484DA5"/>
    <w:rsid w:val="00484DFB"/>
    <w:rsid w:val="004859F8"/>
    <w:rsid w:val="00485B91"/>
    <w:rsid w:val="00485F16"/>
    <w:rsid w:val="00486431"/>
    <w:rsid w:val="0048651E"/>
    <w:rsid w:val="004866AE"/>
    <w:rsid w:val="00486F1C"/>
    <w:rsid w:val="00487237"/>
    <w:rsid w:val="00487A71"/>
    <w:rsid w:val="00490384"/>
    <w:rsid w:val="004904D3"/>
    <w:rsid w:val="00490E0C"/>
    <w:rsid w:val="004910CC"/>
    <w:rsid w:val="004921AB"/>
    <w:rsid w:val="0049241D"/>
    <w:rsid w:val="004929C8"/>
    <w:rsid w:val="004930F4"/>
    <w:rsid w:val="0049419D"/>
    <w:rsid w:val="0049462E"/>
    <w:rsid w:val="00494D3F"/>
    <w:rsid w:val="00494F1F"/>
    <w:rsid w:val="004956F6"/>
    <w:rsid w:val="00495A60"/>
    <w:rsid w:val="00495F35"/>
    <w:rsid w:val="00496186"/>
    <w:rsid w:val="004976AC"/>
    <w:rsid w:val="004A05B5"/>
    <w:rsid w:val="004A11F8"/>
    <w:rsid w:val="004A1E90"/>
    <w:rsid w:val="004A2094"/>
    <w:rsid w:val="004A258B"/>
    <w:rsid w:val="004A3419"/>
    <w:rsid w:val="004A5052"/>
    <w:rsid w:val="004A5667"/>
    <w:rsid w:val="004A617D"/>
    <w:rsid w:val="004A779E"/>
    <w:rsid w:val="004A7E5C"/>
    <w:rsid w:val="004B01BA"/>
    <w:rsid w:val="004B0299"/>
    <w:rsid w:val="004B1BE5"/>
    <w:rsid w:val="004B2554"/>
    <w:rsid w:val="004B2BAC"/>
    <w:rsid w:val="004B2DCD"/>
    <w:rsid w:val="004B316C"/>
    <w:rsid w:val="004B31A2"/>
    <w:rsid w:val="004B327C"/>
    <w:rsid w:val="004B3ACD"/>
    <w:rsid w:val="004B3DE0"/>
    <w:rsid w:val="004B3E96"/>
    <w:rsid w:val="004B541C"/>
    <w:rsid w:val="004B5851"/>
    <w:rsid w:val="004B5E6C"/>
    <w:rsid w:val="004C051E"/>
    <w:rsid w:val="004C06B6"/>
    <w:rsid w:val="004C0C8C"/>
    <w:rsid w:val="004C124F"/>
    <w:rsid w:val="004C1FA2"/>
    <w:rsid w:val="004C20D2"/>
    <w:rsid w:val="004C3017"/>
    <w:rsid w:val="004C4074"/>
    <w:rsid w:val="004C4B62"/>
    <w:rsid w:val="004C54C9"/>
    <w:rsid w:val="004C5730"/>
    <w:rsid w:val="004C5B63"/>
    <w:rsid w:val="004C5E9F"/>
    <w:rsid w:val="004C609C"/>
    <w:rsid w:val="004C69F4"/>
    <w:rsid w:val="004C6A80"/>
    <w:rsid w:val="004C7413"/>
    <w:rsid w:val="004D0630"/>
    <w:rsid w:val="004D0917"/>
    <w:rsid w:val="004D1337"/>
    <w:rsid w:val="004D194D"/>
    <w:rsid w:val="004D19C3"/>
    <w:rsid w:val="004D2149"/>
    <w:rsid w:val="004D3DAE"/>
    <w:rsid w:val="004D4178"/>
    <w:rsid w:val="004D4704"/>
    <w:rsid w:val="004D4BC8"/>
    <w:rsid w:val="004D4FEE"/>
    <w:rsid w:val="004D5ED4"/>
    <w:rsid w:val="004D6025"/>
    <w:rsid w:val="004D6460"/>
    <w:rsid w:val="004D6AC8"/>
    <w:rsid w:val="004D6DF5"/>
    <w:rsid w:val="004D7133"/>
    <w:rsid w:val="004D7AF3"/>
    <w:rsid w:val="004D7BEE"/>
    <w:rsid w:val="004D7EB0"/>
    <w:rsid w:val="004E0DAA"/>
    <w:rsid w:val="004E1D1E"/>
    <w:rsid w:val="004E2649"/>
    <w:rsid w:val="004E274B"/>
    <w:rsid w:val="004E3657"/>
    <w:rsid w:val="004E3B05"/>
    <w:rsid w:val="004E4675"/>
    <w:rsid w:val="004E4868"/>
    <w:rsid w:val="004E4F80"/>
    <w:rsid w:val="004E54FC"/>
    <w:rsid w:val="004E58ED"/>
    <w:rsid w:val="004E6D2E"/>
    <w:rsid w:val="004E7996"/>
    <w:rsid w:val="004F00C5"/>
    <w:rsid w:val="004F10D6"/>
    <w:rsid w:val="004F1AF1"/>
    <w:rsid w:val="004F2C05"/>
    <w:rsid w:val="004F34D2"/>
    <w:rsid w:val="004F3C45"/>
    <w:rsid w:val="004F3CB3"/>
    <w:rsid w:val="004F4ACF"/>
    <w:rsid w:val="004F5006"/>
    <w:rsid w:val="004F545F"/>
    <w:rsid w:val="004F57C9"/>
    <w:rsid w:val="004F604D"/>
    <w:rsid w:val="004F68A8"/>
    <w:rsid w:val="004F6A8C"/>
    <w:rsid w:val="004F6BA3"/>
    <w:rsid w:val="004F6FF8"/>
    <w:rsid w:val="004F73D9"/>
    <w:rsid w:val="00501399"/>
    <w:rsid w:val="00501D9A"/>
    <w:rsid w:val="005024B9"/>
    <w:rsid w:val="00502E53"/>
    <w:rsid w:val="00503A50"/>
    <w:rsid w:val="0050429C"/>
    <w:rsid w:val="00504D4C"/>
    <w:rsid w:val="005055D2"/>
    <w:rsid w:val="00505D03"/>
    <w:rsid w:val="0050633D"/>
    <w:rsid w:val="00506F9B"/>
    <w:rsid w:val="005070E5"/>
    <w:rsid w:val="00507BC4"/>
    <w:rsid w:val="00510255"/>
    <w:rsid w:val="00510325"/>
    <w:rsid w:val="00512714"/>
    <w:rsid w:val="005128E4"/>
    <w:rsid w:val="005133DB"/>
    <w:rsid w:val="00513CB7"/>
    <w:rsid w:val="00513E30"/>
    <w:rsid w:val="0051487D"/>
    <w:rsid w:val="005155B3"/>
    <w:rsid w:val="00516871"/>
    <w:rsid w:val="005169D0"/>
    <w:rsid w:val="00516BD4"/>
    <w:rsid w:val="00516C63"/>
    <w:rsid w:val="00520AD9"/>
    <w:rsid w:val="00521C8E"/>
    <w:rsid w:val="0052356C"/>
    <w:rsid w:val="00523FBE"/>
    <w:rsid w:val="0052405D"/>
    <w:rsid w:val="0052469C"/>
    <w:rsid w:val="00524C2F"/>
    <w:rsid w:val="00524E67"/>
    <w:rsid w:val="00525560"/>
    <w:rsid w:val="0052567E"/>
    <w:rsid w:val="005263C7"/>
    <w:rsid w:val="00527688"/>
    <w:rsid w:val="005276EF"/>
    <w:rsid w:val="00530051"/>
    <w:rsid w:val="0053029D"/>
    <w:rsid w:val="0053089A"/>
    <w:rsid w:val="00530E8B"/>
    <w:rsid w:val="00531F93"/>
    <w:rsid w:val="0053252B"/>
    <w:rsid w:val="0053366D"/>
    <w:rsid w:val="00534382"/>
    <w:rsid w:val="00534464"/>
    <w:rsid w:val="0053714C"/>
    <w:rsid w:val="00537AEC"/>
    <w:rsid w:val="00537E23"/>
    <w:rsid w:val="00537E73"/>
    <w:rsid w:val="00537F8A"/>
    <w:rsid w:val="00540577"/>
    <w:rsid w:val="005406CB"/>
    <w:rsid w:val="00540C2B"/>
    <w:rsid w:val="005410E2"/>
    <w:rsid w:val="00542583"/>
    <w:rsid w:val="00542A9F"/>
    <w:rsid w:val="00542C2F"/>
    <w:rsid w:val="005432FB"/>
    <w:rsid w:val="00543FF6"/>
    <w:rsid w:val="00544007"/>
    <w:rsid w:val="00544570"/>
    <w:rsid w:val="00544C49"/>
    <w:rsid w:val="0054575C"/>
    <w:rsid w:val="00545A37"/>
    <w:rsid w:val="00547331"/>
    <w:rsid w:val="0054741E"/>
    <w:rsid w:val="005477CF"/>
    <w:rsid w:val="00547E2E"/>
    <w:rsid w:val="00550D2B"/>
    <w:rsid w:val="00550FA9"/>
    <w:rsid w:val="0055106F"/>
    <w:rsid w:val="00551166"/>
    <w:rsid w:val="005516A1"/>
    <w:rsid w:val="00552344"/>
    <w:rsid w:val="0055250F"/>
    <w:rsid w:val="00553FAF"/>
    <w:rsid w:val="00555008"/>
    <w:rsid w:val="00556013"/>
    <w:rsid w:val="00557B7A"/>
    <w:rsid w:val="005613EE"/>
    <w:rsid w:val="00561A87"/>
    <w:rsid w:val="00562D6B"/>
    <w:rsid w:val="00563887"/>
    <w:rsid w:val="005644B8"/>
    <w:rsid w:val="00565026"/>
    <w:rsid w:val="00565A04"/>
    <w:rsid w:val="00566347"/>
    <w:rsid w:val="00566BC9"/>
    <w:rsid w:val="005674CB"/>
    <w:rsid w:val="00570607"/>
    <w:rsid w:val="005715B7"/>
    <w:rsid w:val="00572DDE"/>
    <w:rsid w:val="00573798"/>
    <w:rsid w:val="0057402A"/>
    <w:rsid w:val="00574E64"/>
    <w:rsid w:val="00575540"/>
    <w:rsid w:val="00575E2A"/>
    <w:rsid w:val="0057643D"/>
    <w:rsid w:val="00576F11"/>
    <w:rsid w:val="00577046"/>
    <w:rsid w:val="005771D0"/>
    <w:rsid w:val="00580333"/>
    <w:rsid w:val="00581023"/>
    <w:rsid w:val="0058194B"/>
    <w:rsid w:val="00582FE3"/>
    <w:rsid w:val="005844FB"/>
    <w:rsid w:val="00584D24"/>
    <w:rsid w:val="00585A8F"/>
    <w:rsid w:val="00585E67"/>
    <w:rsid w:val="00585FFF"/>
    <w:rsid w:val="0058619A"/>
    <w:rsid w:val="00587B64"/>
    <w:rsid w:val="00587C05"/>
    <w:rsid w:val="00587D9C"/>
    <w:rsid w:val="00590A5F"/>
    <w:rsid w:val="00591708"/>
    <w:rsid w:val="005918C2"/>
    <w:rsid w:val="0059191A"/>
    <w:rsid w:val="00591D12"/>
    <w:rsid w:val="005921DF"/>
    <w:rsid w:val="005921FF"/>
    <w:rsid w:val="005923CF"/>
    <w:rsid w:val="005928B4"/>
    <w:rsid w:val="00594D35"/>
    <w:rsid w:val="00595FA8"/>
    <w:rsid w:val="00596572"/>
    <w:rsid w:val="00596713"/>
    <w:rsid w:val="005967AB"/>
    <w:rsid w:val="00596865"/>
    <w:rsid w:val="005968C8"/>
    <w:rsid w:val="00597060"/>
    <w:rsid w:val="00597E86"/>
    <w:rsid w:val="005A0415"/>
    <w:rsid w:val="005A1C4B"/>
    <w:rsid w:val="005A2996"/>
    <w:rsid w:val="005A31FF"/>
    <w:rsid w:val="005A36F2"/>
    <w:rsid w:val="005A46A2"/>
    <w:rsid w:val="005A5320"/>
    <w:rsid w:val="005A545C"/>
    <w:rsid w:val="005A55AD"/>
    <w:rsid w:val="005A5F2C"/>
    <w:rsid w:val="005A68B1"/>
    <w:rsid w:val="005A6D0E"/>
    <w:rsid w:val="005A71C6"/>
    <w:rsid w:val="005A763E"/>
    <w:rsid w:val="005A7D4B"/>
    <w:rsid w:val="005B018D"/>
    <w:rsid w:val="005B027C"/>
    <w:rsid w:val="005B0326"/>
    <w:rsid w:val="005B048D"/>
    <w:rsid w:val="005B1236"/>
    <w:rsid w:val="005B142C"/>
    <w:rsid w:val="005B1C5F"/>
    <w:rsid w:val="005B2461"/>
    <w:rsid w:val="005B2C69"/>
    <w:rsid w:val="005B3203"/>
    <w:rsid w:val="005B3A06"/>
    <w:rsid w:val="005B458F"/>
    <w:rsid w:val="005B4B89"/>
    <w:rsid w:val="005B5041"/>
    <w:rsid w:val="005B52B0"/>
    <w:rsid w:val="005B5E1E"/>
    <w:rsid w:val="005B66E4"/>
    <w:rsid w:val="005B6806"/>
    <w:rsid w:val="005B6890"/>
    <w:rsid w:val="005B6CED"/>
    <w:rsid w:val="005C0276"/>
    <w:rsid w:val="005C04F7"/>
    <w:rsid w:val="005C0612"/>
    <w:rsid w:val="005C0771"/>
    <w:rsid w:val="005C0EB2"/>
    <w:rsid w:val="005C13B1"/>
    <w:rsid w:val="005C1795"/>
    <w:rsid w:val="005C2271"/>
    <w:rsid w:val="005C4225"/>
    <w:rsid w:val="005C4651"/>
    <w:rsid w:val="005C4767"/>
    <w:rsid w:val="005C612F"/>
    <w:rsid w:val="005C71A5"/>
    <w:rsid w:val="005C7488"/>
    <w:rsid w:val="005C7A43"/>
    <w:rsid w:val="005D01EF"/>
    <w:rsid w:val="005D1F4F"/>
    <w:rsid w:val="005D3109"/>
    <w:rsid w:val="005D35DB"/>
    <w:rsid w:val="005D4463"/>
    <w:rsid w:val="005D4B0E"/>
    <w:rsid w:val="005D4BFB"/>
    <w:rsid w:val="005D5539"/>
    <w:rsid w:val="005D5CD2"/>
    <w:rsid w:val="005D6134"/>
    <w:rsid w:val="005E09DC"/>
    <w:rsid w:val="005E1599"/>
    <w:rsid w:val="005E3919"/>
    <w:rsid w:val="005E39C7"/>
    <w:rsid w:val="005E4081"/>
    <w:rsid w:val="005E421A"/>
    <w:rsid w:val="005E42FF"/>
    <w:rsid w:val="005E45A4"/>
    <w:rsid w:val="005E5437"/>
    <w:rsid w:val="005E5580"/>
    <w:rsid w:val="005E59D9"/>
    <w:rsid w:val="005E63E4"/>
    <w:rsid w:val="005E6507"/>
    <w:rsid w:val="005E66E5"/>
    <w:rsid w:val="005E717B"/>
    <w:rsid w:val="005E7A61"/>
    <w:rsid w:val="005F0DAD"/>
    <w:rsid w:val="005F0F33"/>
    <w:rsid w:val="005F10FD"/>
    <w:rsid w:val="005F2090"/>
    <w:rsid w:val="005F25C4"/>
    <w:rsid w:val="005F2C47"/>
    <w:rsid w:val="005F400F"/>
    <w:rsid w:val="005F4948"/>
    <w:rsid w:val="005F6475"/>
    <w:rsid w:val="005F6AA6"/>
    <w:rsid w:val="005F74FD"/>
    <w:rsid w:val="005F7FD1"/>
    <w:rsid w:val="00600784"/>
    <w:rsid w:val="00600824"/>
    <w:rsid w:val="00600DEB"/>
    <w:rsid w:val="00601BF0"/>
    <w:rsid w:val="00601D10"/>
    <w:rsid w:val="00601D9C"/>
    <w:rsid w:val="006020BF"/>
    <w:rsid w:val="00602481"/>
    <w:rsid w:val="00602BE9"/>
    <w:rsid w:val="006031D9"/>
    <w:rsid w:val="0060419C"/>
    <w:rsid w:val="006049D5"/>
    <w:rsid w:val="00605636"/>
    <w:rsid w:val="00605639"/>
    <w:rsid w:val="00605DF3"/>
    <w:rsid w:val="00605F21"/>
    <w:rsid w:val="00606418"/>
    <w:rsid w:val="006078DA"/>
    <w:rsid w:val="00610545"/>
    <w:rsid w:val="00610598"/>
    <w:rsid w:val="00610629"/>
    <w:rsid w:val="00610B66"/>
    <w:rsid w:val="00610D16"/>
    <w:rsid w:val="00611411"/>
    <w:rsid w:val="006118C9"/>
    <w:rsid w:val="00612699"/>
    <w:rsid w:val="00614867"/>
    <w:rsid w:val="00614F48"/>
    <w:rsid w:val="0061565D"/>
    <w:rsid w:val="00616517"/>
    <w:rsid w:val="00616733"/>
    <w:rsid w:val="00616C27"/>
    <w:rsid w:val="00617C65"/>
    <w:rsid w:val="00617F15"/>
    <w:rsid w:val="00620D96"/>
    <w:rsid w:val="0062206A"/>
    <w:rsid w:val="00622465"/>
    <w:rsid w:val="00622D9E"/>
    <w:rsid w:val="00623415"/>
    <w:rsid w:val="0062361B"/>
    <w:rsid w:val="00623732"/>
    <w:rsid w:val="00623FE7"/>
    <w:rsid w:val="00624B07"/>
    <w:rsid w:val="00624C18"/>
    <w:rsid w:val="0062695B"/>
    <w:rsid w:val="00626A1D"/>
    <w:rsid w:val="00626A68"/>
    <w:rsid w:val="00626ADB"/>
    <w:rsid w:val="0062761B"/>
    <w:rsid w:val="00627772"/>
    <w:rsid w:val="00627A84"/>
    <w:rsid w:val="00627C9F"/>
    <w:rsid w:val="00630099"/>
    <w:rsid w:val="0063010A"/>
    <w:rsid w:val="006302B8"/>
    <w:rsid w:val="00630421"/>
    <w:rsid w:val="006308B0"/>
    <w:rsid w:val="00630B51"/>
    <w:rsid w:val="00630F0A"/>
    <w:rsid w:val="006311E9"/>
    <w:rsid w:val="00632039"/>
    <w:rsid w:val="00632354"/>
    <w:rsid w:val="00632CED"/>
    <w:rsid w:val="00633006"/>
    <w:rsid w:val="00634275"/>
    <w:rsid w:val="006346E4"/>
    <w:rsid w:val="00634931"/>
    <w:rsid w:val="00634B00"/>
    <w:rsid w:val="00636164"/>
    <w:rsid w:val="00636B12"/>
    <w:rsid w:val="00637390"/>
    <w:rsid w:val="00637A7D"/>
    <w:rsid w:val="00641554"/>
    <w:rsid w:val="00641FFA"/>
    <w:rsid w:val="00642011"/>
    <w:rsid w:val="00642053"/>
    <w:rsid w:val="00642299"/>
    <w:rsid w:val="006427A2"/>
    <w:rsid w:val="00642810"/>
    <w:rsid w:val="006432DF"/>
    <w:rsid w:val="00644457"/>
    <w:rsid w:val="00645394"/>
    <w:rsid w:val="0064625E"/>
    <w:rsid w:val="00646318"/>
    <w:rsid w:val="00646AAA"/>
    <w:rsid w:val="00647CBF"/>
    <w:rsid w:val="00647F10"/>
    <w:rsid w:val="006501D8"/>
    <w:rsid w:val="00651686"/>
    <w:rsid w:val="006517C3"/>
    <w:rsid w:val="00651A84"/>
    <w:rsid w:val="00652129"/>
    <w:rsid w:val="00652333"/>
    <w:rsid w:val="00653942"/>
    <w:rsid w:val="00653C47"/>
    <w:rsid w:val="00654110"/>
    <w:rsid w:val="00654330"/>
    <w:rsid w:val="00654AA0"/>
    <w:rsid w:val="0065564D"/>
    <w:rsid w:val="00655DC3"/>
    <w:rsid w:val="006565CC"/>
    <w:rsid w:val="00656DA6"/>
    <w:rsid w:val="0066006C"/>
    <w:rsid w:val="00661526"/>
    <w:rsid w:val="00663EF4"/>
    <w:rsid w:val="006650A7"/>
    <w:rsid w:val="00665324"/>
    <w:rsid w:val="00665BA0"/>
    <w:rsid w:val="00665F90"/>
    <w:rsid w:val="006663B3"/>
    <w:rsid w:val="0066736C"/>
    <w:rsid w:val="0066745B"/>
    <w:rsid w:val="00667EDE"/>
    <w:rsid w:val="006700BC"/>
    <w:rsid w:val="00672DEF"/>
    <w:rsid w:val="00675D16"/>
    <w:rsid w:val="00676BEC"/>
    <w:rsid w:val="006774F4"/>
    <w:rsid w:val="00677817"/>
    <w:rsid w:val="00677AD8"/>
    <w:rsid w:val="0068001B"/>
    <w:rsid w:val="0068009E"/>
    <w:rsid w:val="00680B66"/>
    <w:rsid w:val="0068105A"/>
    <w:rsid w:val="00682960"/>
    <w:rsid w:val="00682A00"/>
    <w:rsid w:val="00683B3E"/>
    <w:rsid w:val="0068401C"/>
    <w:rsid w:val="006844D5"/>
    <w:rsid w:val="00684A8E"/>
    <w:rsid w:val="00684ADA"/>
    <w:rsid w:val="006857A6"/>
    <w:rsid w:val="00685917"/>
    <w:rsid w:val="00685A94"/>
    <w:rsid w:val="00686C4E"/>
    <w:rsid w:val="00687233"/>
    <w:rsid w:val="00687C60"/>
    <w:rsid w:val="006928EA"/>
    <w:rsid w:val="00693F43"/>
    <w:rsid w:val="00694B5E"/>
    <w:rsid w:val="006954B6"/>
    <w:rsid w:val="006959DA"/>
    <w:rsid w:val="006A12EA"/>
    <w:rsid w:val="006A17D2"/>
    <w:rsid w:val="006A26BC"/>
    <w:rsid w:val="006A2D14"/>
    <w:rsid w:val="006A2FCE"/>
    <w:rsid w:val="006A34E3"/>
    <w:rsid w:val="006A501D"/>
    <w:rsid w:val="006A5279"/>
    <w:rsid w:val="006A5D09"/>
    <w:rsid w:val="006A686E"/>
    <w:rsid w:val="006A6C28"/>
    <w:rsid w:val="006A6E4C"/>
    <w:rsid w:val="006A73E6"/>
    <w:rsid w:val="006B0320"/>
    <w:rsid w:val="006B09B1"/>
    <w:rsid w:val="006B09F4"/>
    <w:rsid w:val="006B0A06"/>
    <w:rsid w:val="006B0F85"/>
    <w:rsid w:val="006B15CE"/>
    <w:rsid w:val="006B17C3"/>
    <w:rsid w:val="006B1A48"/>
    <w:rsid w:val="006B21B2"/>
    <w:rsid w:val="006B2CC7"/>
    <w:rsid w:val="006B2D5C"/>
    <w:rsid w:val="006B33C4"/>
    <w:rsid w:val="006B3714"/>
    <w:rsid w:val="006B51B9"/>
    <w:rsid w:val="006B57E1"/>
    <w:rsid w:val="006B5B8E"/>
    <w:rsid w:val="006B6F29"/>
    <w:rsid w:val="006B71F6"/>
    <w:rsid w:val="006B7B32"/>
    <w:rsid w:val="006B7FA2"/>
    <w:rsid w:val="006C0FB6"/>
    <w:rsid w:val="006C17B3"/>
    <w:rsid w:val="006C1D5B"/>
    <w:rsid w:val="006C1E07"/>
    <w:rsid w:val="006C3B01"/>
    <w:rsid w:val="006C4D27"/>
    <w:rsid w:val="006C4DAF"/>
    <w:rsid w:val="006C4EB1"/>
    <w:rsid w:val="006C58EB"/>
    <w:rsid w:val="006C7244"/>
    <w:rsid w:val="006C7306"/>
    <w:rsid w:val="006D0B3C"/>
    <w:rsid w:val="006D0C89"/>
    <w:rsid w:val="006D0E40"/>
    <w:rsid w:val="006D2C15"/>
    <w:rsid w:val="006D362F"/>
    <w:rsid w:val="006D39C6"/>
    <w:rsid w:val="006D4453"/>
    <w:rsid w:val="006D5ED9"/>
    <w:rsid w:val="006D640D"/>
    <w:rsid w:val="006D7534"/>
    <w:rsid w:val="006E0166"/>
    <w:rsid w:val="006E03C1"/>
    <w:rsid w:val="006E0769"/>
    <w:rsid w:val="006E1697"/>
    <w:rsid w:val="006E1A3B"/>
    <w:rsid w:val="006E2162"/>
    <w:rsid w:val="006E26D2"/>
    <w:rsid w:val="006E31B4"/>
    <w:rsid w:val="006E3E8D"/>
    <w:rsid w:val="006E3EFB"/>
    <w:rsid w:val="006E434B"/>
    <w:rsid w:val="006E5002"/>
    <w:rsid w:val="006E56C1"/>
    <w:rsid w:val="006E5B92"/>
    <w:rsid w:val="006E5BA8"/>
    <w:rsid w:val="006E5E19"/>
    <w:rsid w:val="006E6C59"/>
    <w:rsid w:val="006E7B34"/>
    <w:rsid w:val="006E7E93"/>
    <w:rsid w:val="006F0078"/>
    <w:rsid w:val="006F241B"/>
    <w:rsid w:val="006F2B4A"/>
    <w:rsid w:val="006F34E3"/>
    <w:rsid w:val="006F47F5"/>
    <w:rsid w:val="006F491C"/>
    <w:rsid w:val="006F4CE6"/>
    <w:rsid w:val="006F5AAE"/>
    <w:rsid w:val="006F7EE3"/>
    <w:rsid w:val="00701519"/>
    <w:rsid w:val="00701F15"/>
    <w:rsid w:val="00702D07"/>
    <w:rsid w:val="00702F28"/>
    <w:rsid w:val="00704084"/>
    <w:rsid w:val="00704237"/>
    <w:rsid w:val="007042C0"/>
    <w:rsid w:val="00705668"/>
    <w:rsid w:val="00705C69"/>
    <w:rsid w:val="0070697F"/>
    <w:rsid w:val="007079BD"/>
    <w:rsid w:val="00707B7D"/>
    <w:rsid w:val="00710772"/>
    <w:rsid w:val="00710C1C"/>
    <w:rsid w:val="00711B80"/>
    <w:rsid w:val="00711E01"/>
    <w:rsid w:val="00711F99"/>
    <w:rsid w:val="007124F8"/>
    <w:rsid w:val="00712926"/>
    <w:rsid w:val="00713A87"/>
    <w:rsid w:val="00713B81"/>
    <w:rsid w:val="007146D8"/>
    <w:rsid w:val="00715FF5"/>
    <w:rsid w:val="00716537"/>
    <w:rsid w:val="00720893"/>
    <w:rsid w:val="00720928"/>
    <w:rsid w:val="007209F2"/>
    <w:rsid w:val="00720F8E"/>
    <w:rsid w:val="007215FD"/>
    <w:rsid w:val="0072199C"/>
    <w:rsid w:val="00721F44"/>
    <w:rsid w:val="007222C5"/>
    <w:rsid w:val="00722D18"/>
    <w:rsid w:val="00723A38"/>
    <w:rsid w:val="00724E06"/>
    <w:rsid w:val="007253B8"/>
    <w:rsid w:val="007255DB"/>
    <w:rsid w:val="00725E74"/>
    <w:rsid w:val="007274DE"/>
    <w:rsid w:val="00727C60"/>
    <w:rsid w:val="007301C7"/>
    <w:rsid w:val="007303F5"/>
    <w:rsid w:val="0073271A"/>
    <w:rsid w:val="00733344"/>
    <w:rsid w:val="00733FB1"/>
    <w:rsid w:val="00734F47"/>
    <w:rsid w:val="00735244"/>
    <w:rsid w:val="00735C10"/>
    <w:rsid w:val="00735E15"/>
    <w:rsid w:val="00736621"/>
    <w:rsid w:val="0073741F"/>
    <w:rsid w:val="00740F7E"/>
    <w:rsid w:val="00741CA3"/>
    <w:rsid w:val="0074209F"/>
    <w:rsid w:val="007421AC"/>
    <w:rsid w:val="007425C7"/>
    <w:rsid w:val="007438F1"/>
    <w:rsid w:val="00744387"/>
    <w:rsid w:val="007443FF"/>
    <w:rsid w:val="007444E9"/>
    <w:rsid w:val="0074488D"/>
    <w:rsid w:val="00744C3C"/>
    <w:rsid w:val="00745443"/>
    <w:rsid w:val="0074602F"/>
    <w:rsid w:val="0074626D"/>
    <w:rsid w:val="0074649B"/>
    <w:rsid w:val="0074670B"/>
    <w:rsid w:val="00747573"/>
    <w:rsid w:val="007518E6"/>
    <w:rsid w:val="007519C9"/>
    <w:rsid w:val="00751A7E"/>
    <w:rsid w:val="0075265F"/>
    <w:rsid w:val="007527F2"/>
    <w:rsid w:val="00752DDB"/>
    <w:rsid w:val="00754E1F"/>
    <w:rsid w:val="007555B4"/>
    <w:rsid w:val="00755646"/>
    <w:rsid w:val="007558BB"/>
    <w:rsid w:val="00755F68"/>
    <w:rsid w:val="00755FDC"/>
    <w:rsid w:val="0075623D"/>
    <w:rsid w:val="00756563"/>
    <w:rsid w:val="007565AA"/>
    <w:rsid w:val="00757EE9"/>
    <w:rsid w:val="00762321"/>
    <w:rsid w:val="0076258E"/>
    <w:rsid w:val="00765397"/>
    <w:rsid w:val="00765557"/>
    <w:rsid w:val="007658BB"/>
    <w:rsid w:val="00766170"/>
    <w:rsid w:val="00766228"/>
    <w:rsid w:val="0076643F"/>
    <w:rsid w:val="00766855"/>
    <w:rsid w:val="00766EA0"/>
    <w:rsid w:val="00766FD3"/>
    <w:rsid w:val="00767578"/>
    <w:rsid w:val="007716DA"/>
    <w:rsid w:val="00771AA0"/>
    <w:rsid w:val="007720A3"/>
    <w:rsid w:val="00772433"/>
    <w:rsid w:val="00772EFA"/>
    <w:rsid w:val="00774C6F"/>
    <w:rsid w:val="007753D7"/>
    <w:rsid w:val="00776913"/>
    <w:rsid w:val="0077707F"/>
    <w:rsid w:val="00780581"/>
    <w:rsid w:val="0078174E"/>
    <w:rsid w:val="00782585"/>
    <w:rsid w:val="00782C20"/>
    <w:rsid w:val="00782CFB"/>
    <w:rsid w:val="0078460C"/>
    <w:rsid w:val="00784766"/>
    <w:rsid w:val="00784E03"/>
    <w:rsid w:val="00785651"/>
    <w:rsid w:val="00785691"/>
    <w:rsid w:val="00785B6E"/>
    <w:rsid w:val="007877A3"/>
    <w:rsid w:val="00790178"/>
    <w:rsid w:val="00790243"/>
    <w:rsid w:val="00790F8B"/>
    <w:rsid w:val="00790FAB"/>
    <w:rsid w:val="00791A91"/>
    <w:rsid w:val="007923B6"/>
    <w:rsid w:val="00792A15"/>
    <w:rsid w:val="00793CB7"/>
    <w:rsid w:val="00794475"/>
    <w:rsid w:val="00794641"/>
    <w:rsid w:val="007950AC"/>
    <w:rsid w:val="00795619"/>
    <w:rsid w:val="00796236"/>
    <w:rsid w:val="00796A26"/>
    <w:rsid w:val="00796E24"/>
    <w:rsid w:val="007A17E4"/>
    <w:rsid w:val="007A26BF"/>
    <w:rsid w:val="007A29E9"/>
    <w:rsid w:val="007A4039"/>
    <w:rsid w:val="007A46C7"/>
    <w:rsid w:val="007A4794"/>
    <w:rsid w:val="007A5817"/>
    <w:rsid w:val="007A7FED"/>
    <w:rsid w:val="007B01BB"/>
    <w:rsid w:val="007B03A8"/>
    <w:rsid w:val="007B05F9"/>
    <w:rsid w:val="007B0CE3"/>
    <w:rsid w:val="007B2B9C"/>
    <w:rsid w:val="007B3C7F"/>
    <w:rsid w:val="007B4920"/>
    <w:rsid w:val="007B5D67"/>
    <w:rsid w:val="007B60E9"/>
    <w:rsid w:val="007B6CC3"/>
    <w:rsid w:val="007B7113"/>
    <w:rsid w:val="007B752C"/>
    <w:rsid w:val="007B7C16"/>
    <w:rsid w:val="007C0286"/>
    <w:rsid w:val="007C0C13"/>
    <w:rsid w:val="007C0DA5"/>
    <w:rsid w:val="007C1B4C"/>
    <w:rsid w:val="007C2330"/>
    <w:rsid w:val="007C2FF6"/>
    <w:rsid w:val="007C3334"/>
    <w:rsid w:val="007C351D"/>
    <w:rsid w:val="007C68C5"/>
    <w:rsid w:val="007C6F65"/>
    <w:rsid w:val="007C7891"/>
    <w:rsid w:val="007D0039"/>
    <w:rsid w:val="007D0B97"/>
    <w:rsid w:val="007D0C8C"/>
    <w:rsid w:val="007D1432"/>
    <w:rsid w:val="007D2484"/>
    <w:rsid w:val="007D2494"/>
    <w:rsid w:val="007D2B69"/>
    <w:rsid w:val="007D2B98"/>
    <w:rsid w:val="007D33BB"/>
    <w:rsid w:val="007D4F01"/>
    <w:rsid w:val="007D5AD1"/>
    <w:rsid w:val="007D733F"/>
    <w:rsid w:val="007D7C4D"/>
    <w:rsid w:val="007D7F07"/>
    <w:rsid w:val="007E001F"/>
    <w:rsid w:val="007E03CE"/>
    <w:rsid w:val="007E0A89"/>
    <w:rsid w:val="007E0D10"/>
    <w:rsid w:val="007E0D92"/>
    <w:rsid w:val="007E14EC"/>
    <w:rsid w:val="007E1554"/>
    <w:rsid w:val="007E1751"/>
    <w:rsid w:val="007E1768"/>
    <w:rsid w:val="007E21BC"/>
    <w:rsid w:val="007E2B3E"/>
    <w:rsid w:val="007E41D2"/>
    <w:rsid w:val="007E4D79"/>
    <w:rsid w:val="007E5009"/>
    <w:rsid w:val="007E585F"/>
    <w:rsid w:val="007E5A40"/>
    <w:rsid w:val="007E5D40"/>
    <w:rsid w:val="007E6198"/>
    <w:rsid w:val="007E6417"/>
    <w:rsid w:val="007F0264"/>
    <w:rsid w:val="007F0496"/>
    <w:rsid w:val="007F0713"/>
    <w:rsid w:val="007F0A18"/>
    <w:rsid w:val="007F0C72"/>
    <w:rsid w:val="007F0D3D"/>
    <w:rsid w:val="007F171B"/>
    <w:rsid w:val="007F1CD8"/>
    <w:rsid w:val="007F22E5"/>
    <w:rsid w:val="007F2DC3"/>
    <w:rsid w:val="007F3406"/>
    <w:rsid w:val="007F400D"/>
    <w:rsid w:val="007F4A97"/>
    <w:rsid w:val="007F4C17"/>
    <w:rsid w:val="007F5537"/>
    <w:rsid w:val="007F6080"/>
    <w:rsid w:val="007F62F3"/>
    <w:rsid w:val="007F6F48"/>
    <w:rsid w:val="007F6F94"/>
    <w:rsid w:val="007F7087"/>
    <w:rsid w:val="007F79C4"/>
    <w:rsid w:val="007F7D9D"/>
    <w:rsid w:val="00800701"/>
    <w:rsid w:val="0080085C"/>
    <w:rsid w:val="00802E55"/>
    <w:rsid w:val="00802E76"/>
    <w:rsid w:val="00802E9F"/>
    <w:rsid w:val="0080398A"/>
    <w:rsid w:val="00803F1C"/>
    <w:rsid w:val="008042E2"/>
    <w:rsid w:val="0080600E"/>
    <w:rsid w:val="0080612C"/>
    <w:rsid w:val="008069D1"/>
    <w:rsid w:val="00806CE0"/>
    <w:rsid w:val="00810E0A"/>
    <w:rsid w:val="008124AE"/>
    <w:rsid w:val="0081449E"/>
    <w:rsid w:val="008146EC"/>
    <w:rsid w:val="0081496B"/>
    <w:rsid w:val="00814F29"/>
    <w:rsid w:val="00815207"/>
    <w:rsid w:val="00815A24"/>
    <w:rsid w:val="00815E08"/>
    <w:rsid w:val="00816112"/>
    <w:rsid w:val="00816A42"/>
    <w:rsid w:val="00817276"/>
    <w:rsid w:val="00817612"/>
    <w:rsid w:val="00817AA5"/>
    <w:rsid w:val="00817B08"/>
    <w:rsid w:val="00817E57"/>
    <w:rsid w:val="008210A7"/>
    <w:rsid w:val="0082287D"/>
    <w:rsid w:val="00825309"/>
    <w:rsid w:val="008258DE"/>
    <w:rsid w:val="00825F67"/>
    <w:rsid w:val="00825FF9"/>
    <w:rsid w:val="00826860"/>
    <w:rsid w:val="00827365"/>
    <w:rsid w:val="00827622"/>
    <w:rsid w:val="00830677"/>
    <w:rsid w:val="008309CD"/>
    <w:rsid w:val="00830F17"/>
    <w:rsid w:val="0083146E"/>
    <w:rsid w:val="00832873"/>
    <w:rsid w:val="00832E7E"/>
    <w:rsid w:val="008338A4"/>
    <w:rsid w:val="00834158"/>
    <w:rsid w:val="00835819"/>
    <w:rsid w:val="0083588E"/>
    <w:rsid w:val="00836060"/>
    <w:rsid w:val="0083613A"/>
    <w:rsid w:val="008375A0"/>
    <w:rsid w:val="00837C45"/>
    <w:rsid w:val="00841368"/>
    <w:rsid w:val="00841B6E"/>
    <w:rsid w:val="00841E8D"/>
    <w:rsid w:val="00842033"/>
    <w:rsid w:val="00842510"/>
    <w:rsid w:val="00842F50"/>
    <w:rsid w:val="008436B8"/>
    <w:rsid w:val="00844730"/>
    <w:rsid w:val="00844798"/>
    <w:rsid w:val="00845447"/>
    <w:rsid w:val="008457C2"/>
    <w:rsid w:val="00845DC2"/>
    <w:rsid w:val="00846555"/>
    <w:rsid w:val="00846B63"/>
    <w:rsid w:val="00847AD3"/>
    <w:rsid w:val="00847D66"/>
    <w:rsid w:val="008504EE"/>
    <w:rsid w:val="008505C6"/>
    <w:rsid w:val="00850E4D"/>
    <w:rsid w:val="00851BEA"/>
    <w:rsid w:val="008538D3"/>
    <w:rsid w:val="00853BE2"/>
    <w:rsid w:val="00853F9D"/>
    <w:rsid w:val="0085423E"/>
    <w:rsid w:val="0085567C"/>
    <w:rsid w:val="008556CA"/>
    <w:rsid w:val="008563A3"/>
    <w:rsid w:val="00857A82"/>
    <w:rsid w:val="00857D41"/>
    <w:rsid w:val="00857E41"/>
    <w:rsid w:val="0086030A"/>
    <w:rsid w:val="0086031A"/>
    <w:rsid w:val="008611BC"/>
    <w:rsid w:val="00861880"/>
    <w:rsid w:val="008619A1"/>
    <w:rsid w:val="00862C66"/>
    <w:rsid w:val="00863641"/>
    <w:rsid w:val="00863D37"/>
    <w:rsid w:val="00864227"/>
    <w:rsid w:val="008657F3"/>
    <w:rsid w:val="00865FF3"/>
    <w:rsid w:val="008664EC"/>
    <w:rsid w:val="008668F6"/>
    <w:rsid w:val="008673AE"/>
    <w:rsid w:val="00870199"/>
    <w:rsid w:val="0087074B"/>
    <w:rsid w:val="00873836"/>
    <w:rsid w:val="00873AE0"/>
    <w:rsid w:val="00873F92"/>
    <w:rsid w:val="00874507"/>
    <w:rsid w:val="008762FF"/>
    <w:rsid w:val="00876822"/>
    <w:rsid w:val="00876A9F"/>
    <w:rsid w:val="0087747E"/>
    <w:rsid w:val="0087759E"/>
    <w:rsid w:val="00880BC8"/>
    <w:rsid w:val="00881157"/>
    <w:rsid w:val="00881B88"/>
    <w:rsid w:val="00881D89"/>
    <w:rsid w:val="0088252D"/>
    <w:rsid w:val="008833C1"/>
    <w:rsid w:val="00885450"/>
    <w:rsid w:val="00885737"/>
    <w:rsid w:val="00885974"/>
    <w:rsid w:val="00885CA7"/>
    <w:rsid w:val="00885E54"/>
    <w:rsid w:val="00887BD0"/>
    <w:rsid w:val="008902F5"/>
    <w:rsid w:val="00890650"/>
    <w:rsid w:val="00890C56"/>
    <w:rsid w:val="0089369B"/>
    <w:rsid w:val="00893713"/>
    <w:rsid w:val="00894D26"/>
    <w:rsid w:val="00895389"/>
    <w:rsid w:val="00895D38"/>
    <w:rsid w:val="00896099"/>
    <w:rsid w:val="00896807"/>
    <w:rsid w:val="00896F65"/>
    <w:rsid w:val="0089759E"/>
    <w:rsid w:val="00897C86"/>
    <w:rsid w:val="00897E12"/>
    <w:rsid w:val="008A21D5"/>
    <w:rsid w:val="008A2B89"/>
    <w:rsid w:val="008A4985"/>
    <w:rsid w:val="008A4B90"/>
    <w:rsid w:val="008A5EA2"/>
    <w:rsid w:val="008A63C6"/>
    <w:rsid w:val="008A6B26"/>
    <w:rsid w:val="008A71D1"/>
    <w:rsid w:val="008A72C5"/>
    <w:rsid w:val="008A75D0"/>
    <w:rsid w:val="008A7874"/>
    <w:rsid w:val="008A7E0F"/>
    <w:rsid w:val="008B08E2"/>
    <w:rsid w:val="008B12F5"/>
    <w:rsid w:val="008B192D"/>
    <w:rsid w:val="008B1BBB"/>
    <w:rsid w:val="008B2D49"/>
    <w:rsid w:val="008B31CA"/>
    <w:rsid w:val="008B41A1"/>
    <w:rsid w:val="008B4414"/>
    <w:rsid w:val="008B5196"/>
    <w:rsid w:val="008B5210"/>
    <w:rsid w:val="008B59E8"/>
    <w:rsid w:val="008B744E"/>
    <w:rsid w:val="008B751D"/>
    <w:rsid w:val="008B793B"/>
    <w:rsid w:val="008B7C48"/>
    <w:rsid w:val="008C056E"/>
    <w:rsid w:val="008C0A49"/>
    <w:rsid w:val="008C0C3D"/>
    <w:rsid w:val="008C0DF6"/>
    <w:rsid w:val="008C2925"/>
    <w:rsid w:val="008C383C"/>
    <w:rsid w:val="008C4927"/>
    <w:rsid w:val="008C4CAA"/>
    <w:rsid w:val="008C5146"/>
    <w:rsid w:val="008C5543"/>
    <w:rsid w:val="008C5D8E"/>
    <w:rsid w:val="008C60CB"/>
    <w:rsid w:val="008C6103"/>
    <w:rsid w:val="008C6598"/>
    <w:rsid w:val="008C6949"/>
    <w:rsid w:val="008C6EAF"/>
    <w:rsid w:val="008C7891"/>
    <w:rsid w:val="008C7CC5"/>
    <w:rsid w:val="008C7DB1"/>
    <w:rsid w:val="008D019B"/>
    <w:rsid w:val="008D1A69"/>
    <w:rsid w:val="008D1FC9"/>
    <w:rsid w:val="008D21E0"/>
    <w:rsid w:val="008D2E8E"/>
    <w:rsid w:val="008D3187"/>
    <w:rsid w:val="008D33B3"/>
    <w:rsid w:val="008D3FA1"/>
    <w:rsid w:val="008D4727"/>
    <w:rsid w:val="008D4768"/>
    <w:rsid w:val="008D4C94"/>
    <w:rsid w:val="008D65CF"/>
    <w:rsid w:val="008E075C"/>
    <w:rsid w:val="008E11CA"/>
    <w:rsid w:val="008E1471"/>
    <w:rsid w:val="008E1940"/>
    <w:rsid w:val="008E2248"/>
    <w:rsid w:val="008E2A39"/>
    <w:rsid w:val="008E2FC3"/>
    <w:rsid w:val="008E3759"/>
    <w:rsid w:val="008E6E7A"/>
    <w:rsid w:val="008E7255"/>
    <w:rsid w:val="008F0CBE"/>
    <w:rsid w:val="008F12CF"/>
    <w:rsid w:val="008F1912"/>
    <w:rsid w:val="008F1F8A"/>
    <w:rsid w:val="008F2478"/>
    <w:rsid w:val="008F25BE"/>
    <w:rsid w:val="008F3479"/>
    <w:rsid w:val="008F3E0A"/>
    <w:rsid w:val="008F425A"/>
    <w:rsid w:val="008F45C9"/>
    <w:rsid w:val="008F531D"/>
    <w:rsid w:val="008F5E8B"/>
    <w:rsid w:val="008F5FB3"/>
    <w:rsid w:val="008F66DC"/>
    <w:rsid w:val="008F6E37"/>
    <w:rsid w:val="008F7553"/>
    <w:rsid w:val="008F7754"/>
    <w:rsid w:val="00901A4C"/>
    <w:rsid w:val="00902609"/>
    <w:rsid w:val="0090270B"/>
    <w:rsid w:val="00902F13"/>
    <w:rsid w:val="009041DC"/>
    <w:rsid w:val="009042DB"/>
    <w:rsid w:val="00904BD6"/>
    <w:rsid w:val="0090550F"/>
    <w:rsid w:val="00905C12"/>
    <w:rsid w:val="0090692F"/>
    <w:rsid w:val="00906B42"/>
    <w:rsid w:val="00906CDA"/>
    <w:rsid w:val="00906DDF"/>
    <w:rsid w:val="00906E40"/>
    <w:rsid w:val="00907063"/>
    <w:rsid w:val="009072E5"/>
    <w:rsid w:val="00907F68"/>
    <w:rsid w:val="00910381"/>
    <w:rsid w:val="009105A9"/>
    <w:rsid w:val="0091085A"/>
    <w:rsid w:val="00911823"/>
    <w:rsid w:val="00911DA9"/>
    <w:rsid w:val="009121A0"/>
    <w:rsid w:val="00912B46"/>
    <w:rsid w:val="0091348F"/>
    <w:rsid w:val="009148CF"/>
    <w:rsid w:val="0091583A"/>
    <w:rsid w:val="00916621"/>
    <w:rsid w:val="009169CB"/>
    <w:rsid w:val="0091708C"/>
    <w:rsid w:val="00920A58"/>
    <w:rsid w:val="00920A8C"/>
    <w:rsid w:val="00920AB3"/>
    <w:rsid w:val="009215BC"/>
    <w:rsid w:val="009219E0"/>
    <w:rsid w:val="00921F39"/>
    <w:rsid w:val="00922964"/>
    <w:rsid w:val="009238E7"/>
    <w:rsid w:val="00925367"/>
    <w:rsid w:val="00926AA0"/>
    <w:rsid w:val="00926D09"/>
    <w:rsid w:val="00926D4F"/>
    <w:rsid w:val="009271A8"/>
    <w:rsid w:val="009275F3"/>
    <w:rsid w:val="00927ED8"/>
    <w:rsid w:val="0093120D"/>
    <w:rsid w:val="0093313B"/>
    <w:rsid w:val="00934959"/>
    <w:rsid w:val="009349BE"/>
    <w:rsid w:val="00934A2C"/>
    <w:rsid w:val="00934DFB"/>
    <w:rsid w:val="009366E0"/>
    <w:rsid w:val="00937BCD"/>
    <w:rsid w:val="0094120E"/>
    <w:rsid w:val="009424DA"/>
    <w:rsid w:val="00943552"/>
    <w:rsid w:val="0094444C"/>
    <w:rsid w:val="00944605"/>
    <w:rsid w:val="00944C59"/>
    <w:rsid w:val="00944F05"/>
    <w:rsid w:val="00945A76"/>
    <w:rsid w:val="0094696E"/>
    <w:rsid w:val="00946D94"/>
    <w:rsid w:val="009470BC"/>
    <w:rsid w:val="009500D7"/>
    <w:rsid w:val="009508AA"/>
    <w:rsid w:val="00950E0E"/>
    <w:rsid w:val="0095229E"/>
    <w:rsid w:val="0095245A"/>
    <w:rsid w:val="0095257D"/>
    <w:rsid w:val="00952EDD"/>
    <w:rsid w:val="00953A64"/>
    <w:rsid w:val="00954991"/>
    <w:rsid w:val="00955AA1"/>
    <w:rsid w:val="00955C93"/>
    <w:rsid w:val="00956375"/>
    <w:rsid w:val="009567A7"/>
    <w:rsid w:val="009575D3"/>
    <w:rsid w:val="00957E2C"/>
    <w:rsid w:val="00960612"/>
    <w:rsid w:val="009609D4"/>
    <w:rsid w:val="00960AF4"/>
    <w:rsid w:val="00961148"/>
    <w:rsid w:val="00961AAB"/>
    <w:rsid w:val="00964AF5"/>
    <w:rsid w:val="00964E61"/>
    <w:rsid w:val="00965364"/>
    <w:rsid w:val="00965692"/>
    <w:rsid w:val="00966665"/>
    <w:rsid w:val="00967045"/>
    <w:rsid w:val="0096706E"/>
    <w:rsid w:val="00971178"/>
    <w:rsid w:val="009719FA"/>
    <w:rsid w:val="00972540"/>
    <w:rsid w:val="00972CBA"/>
    <w:rsid w:val="00972E9F"/>
    <w:rsid w:val="00973852"/>
    <w:rsid w:val="00974C38"/>
    <w:rsid w:val="00975C4E"/>
    <w:rsid w:val="00975E4C"/>
    <w:rsid w:val="00975F13"/>
    <w:rsid w:val="00976633"/>
    <w:rsid w:val="0097742E"/>
    <w:rsid w:val="00977B1C"/>
    <w:rsid w:val="00977F70"/>
    <w:rsid w:val="00980930"/>
    <w:rsid w:val="00980E04"/>
    <w:rsid w:val="00980EDD"/>
    <w:rsid w:val="00981174"/>
    <w:rsid w:val="00981FBA"/>
    <w:rsid w:val="00982296"/>
    <w:rsid w:val="00982443"/>
    <w:rsid w:val="00982BBB"/>
    <w:rsid w:val="00984198"/>
    <w:rsid w:val="00984380"/>
    <w:rsid w:val="00985B24"/>
    <w:rsid w:val="00986095"/>
    <w:rsid w:val="00986489"/>
    <w:rsid w:val="009901A9"/>
    <w:rsid w:val="0099106A"/>
    <w:rsid w:val="00991613"/>
    <w:rsid w:val="00991EC9"/>
    <w:rsid w:val="00992087"/>
    <w:rsid w:val="009922A2"/>
    <w:rsid w:val="00995985"/>
    <w:rsid w:val="009959C9"/>
    <w:rsid w:val="0099633B"/>
    <w:rsid w:val="00996BB4"/>
    <w:rsid w:val="00997BC5"/>
    <w:rsid w:val="00997FDB"/>
    <w:rsid w:val="009A0323"/>
    <w:rsid w:val="009A09E9"/>
    <w:rsid w:val="009A1B4C"/>
    <w:rsid w:val="009A1C21"/>
    <w:rsid w:val="009A25F6"/>
    <w:rsid w:val="009A30F6"/>
    <w:rsid w:val="009A3DB8"/>
    <w:rsid w:val="009A4AE5"/>
    <w:rsid w:val="009A4EB4"/>
    <w:rsid w:val="009A4EC8"/>
    <w:rsid w:val="009A4F41"/>
    <w:rsid w:val="009A5495"/>
    <w:rsid w:val="009A56F1"/>
    <w:rsid w:val="009A585B"/>
    <w:rsid w:val="009A607F"/>
    <w:rsid w:val="009A69A0"/>
    <w:rsid w:val="009A7A66"/>
    <w:rsid w:val="009A7BAD"/>
    <w:rsid w:val="009A7DF4"/>
    <w:rsid w:val="009B1688"/>
    <w:rsid w:val="009B2830"/>
    <w:rsid w:val="009B3386"/>
    <w:rsid w:val="009B342D"/>
    <w:rsid w:val="009B381B"/>
    <w:rsid w:val="009B4994"/>
    <w:rsid w:val="009B50A1"/>
    <w:rsid w:val="009B52CE"/>
    <w:rsid w:val="009B58EB"/>
    <w:rsid w:val="009B5EF1"/>
    <w:rsid w:val="009B62CA"/>
    <w:rsid w:val="009B6461"/>
    <w:rsid w:val="009B6585"/>
    <w:rsid w:val="009B7333"/>
    <w:rsid w:val="009B7D05"/>
    <w:rsid w:val="009C04E8"/>
    <w:rsid w:val="009C0C08"/>
    <w:rsid w:val="009C121B"/>
    <w:rsid w:val="009C1254"/>
    <w:rsid w:val="009C1B1A"/>
    <w:rsid w:val="009C23B6"/>
    <w:rsid w:val="009C244A"/>
    <w:rsid w:val="009C2EB6"/>
    <w:rsid w:val="009C3BA8"/>
    <w:rsid w:val="009C3D85"/>
    <w:rsid w:val="009C4A30"/>
    <w:rsid w:val="009C6760"/>
    <w:rsid w:val="009C6A0D"/>
    <w:rsid w:val="009C777D"/>
    <w:rsid w:val="009C7BAA"/>
    <w:rsid w:val="009C7D64"/>
    <w:rsid w:val="009C7EA2"/>
    <w:rsid w:val="009D0B41"/>
    <w:rsid w:val="009D1995"/>
    <w:rsid w:val="009D1A08"/>
    <w:rsid w:val="009D230B"/>
    <w:rsid w:val="009D2BE3"/>
    <w:rsid w:val="009D3A41"/>
    <w:rsid w:val="009D3EF3"/>
    <w:rsid w:val="009D74D7"/>
    <w:rsid w:val="009D7611"/>
    <w:rsid w:val="009D7991"/>
    <w:rsid w:val="009E0B61"/>
    <w:rsid w:val="009E1BAF"/>
    <w:rsid w:val="009E21ED"/>
    <w:rsid w:val="009E3012"/>
    <w:rsid w:val="009E4975"/>
    <w:rsid w:val="009E4E91"/>
    <w:rsid w:val="009E53DE"/>
    <w:rsid w:val="009E55C9"/>
    <w:rsid w:val="009E5DD1"/>
    <w:rsid w:val="009E5FE1"/>
    <w:rsid w:val="009E60A2"/>
    <w:rsid w:val="009E6CC1"/>
    <w:rsid w:val="009E7C0B"/>
    <w:rsid w:val="009E7E3B"/>
    <w:rsid w:val="009F093B"/>
    <w:rsid w:val="009F33BF"/>
    <w:rsid w:val="009F40AE"/>
    <w:rsid w:val="009F4735"/>
    <w:rsid w:val="009F50F4"/>
    <w:rsid w:val="009F5402"/>
    <w:rsid w:val="009F6313"/>
    <w:rsid w:val="009F6409"/>
    <w:rsid w:val="009F6C1A"/>
    <w:rsid w:val="009F7549"/>
    <w:rsid w:val="00A0131C"/>
    <w:rsid w:val="00A01E78"/>
    <w:rsid w:val="00A025AC"/>
    <w:rsid w:val="00A03143"/>
    <w:rsid w:val="00A04095"/>
    <w:rsid w:val="00A04AF7"/>
    <w:rsid w:val="00A05477"/>
    <w:rsid w:val="00A064A4"/>
    <w:rsid w:val="00A10402"/>
    <w:rsid w:val="00A104DF"/>
    <w:rsid w:val="00A11176"/>
    <w:rsid w:val="00A12050"/>
    <w:rsid w:val="00A129F4"/>
    <w:rsid w:val="00A133CD"/>
    <w:rsid w:val="00A1346B"/>
    <w:rsid w:val="00A13D36"/>
    <w:rsid w:val="00A15BCA"/>
    <w:rsid w:val="00A160DA"/>
    <w:rsid w:val="00A16B1B"/>
    <w:rsid w:val="00A17003"/>
    <w:rsid w:val="00A174BE"/>
    <w:rsid w:val="00A178DD"/>
    <w:rsid w:val="00A20460"/>
    <w:rsid w:val="00A217EC"/>
    <w:rsid w:val="00A219A8"/>
    <w:rsid w:val="00A21B9A"/>
    <w:rsid w:val="00A25E38"/>
    <w:rsid w:val="00A261CC"/>
    <w:rsid w:val="00A26681"/>
    <w:rsid w:val="00A27D5F"/>
    <w:rsid w:val="00A30A66"/>
    <w:rsid w:val="00A31632"/>
    <w:rsid w:val="00A322CA"/>
    <w:rsid w:val="00A328B3"/>
    <w:rsid w:val="00A32F4A"/>
    <w:rsid w:val="00A33F2C"/>
    <w:rsid w:val="00A34625"/>
    <w:rsid w:val="00A357AB"/>
    <w:rsid w:val="00A357FF"/>
    <w:rsid w:val="00A35CBB"/>
    <w:rsid w:val="00A36165"/>
    <w:rsid w:val="00A36B39"/>
    <w:rsid w:val="00A3776C"/>
    <w:rsid w:val="00A379F0"/>
    <w:rsid w:val="00A40637"/>
    <w:rsid w:val="00A40EE9"/>
    <w:rsid w:val="00A411BD"/>
    <w:rsid w:val="00A41959"/>
    <w:rsid w:val="00A427A2"/>
    <w:rsid w:val="00A42CF6"/>
    <w:rsid w:val="00A43282"/>
    <w:rsid w:val="00A44165"/>
    <w:rsid w:val="00A44474"/>
    <w:rsid w:val="00A4449E"/>
    <w:rsid w:val="00A458BB"/>
    <w:rsid w:val="00A46904"/>
    <w:rsid w:val="00A46BA2"/>
    <w:rsid w:val="00A477D3"/>
    <w:rsid w:val="00A503DE"/>
    <w:rsid w:val="00A50B61"/>
    <w:rsid w:val="00A50B7B"/>
    <w:rsid w:val="00A50D2D"/>
    <w:rsid w:val="00A50FCF"/>
    <w:rsid w:val="00A51744"/>
    <w:rsid w:val="00A51FFA"/>
    <w:rsid w:val="00A528D1"/>
    <w:rsid w:val="00A5335B"/>
    <w:rsid w:val="00A54597"/>
    <w:rsid w:val="00A550B7"/>
    <w:rsid w:val="00A55B8D"/>
    <w:rsid w:val="00A55C58"/>
    <w:rsid w:val="00A55C7B"/>
    <w:rsid w:val="00A55CB6"/>
    <w:rsid w:val="00A57F82"/>
    <w:rsid w:val="00A60715"/>
    <w:rsid w:val="00A60DF4"/>
    <w:rsid w:val="00A610CD"/>
    <w:rsid w:val="00A62487"/>
    <w:rsid w:val="00A62AE2"/>
    <w:rsid w:val="00A62CF1"/>
    <w:rsid w:val="00A635E2"/>
    <w:rsid w:val="00A637C7"/>
    <w:rsid w:val="00A63DEF"/>
    <w:rsid w:val="00A65066"/>
    <w:rsid w:val="00A658E1"/>
    <w:rsid w:val="00A666C4"/>
    <w:rsid w:val="00A66A12"/>
    <w:rsid w:val="00A678CE"/>
    <w:rsid w:val="00A67FD8"/>
    <w:rsid w:val="00A70A0C"/>
    <w:rsid w:val="00A7105A"/>
    <w:rsid w:val="00A71B59"/>
    <w:rsid w:val="00A72174"/>
    <w:rsid w:val="00A7230A"/>
    <w:rsid w:val="00A72957"/>
    <w:rsid w:val="00A731BF"/>
    <w:rsid w:val="00A73892"/>
    <w:rsid w:val="00A74077"/>
    <w:rsid w:val="00A740B9"/>
    <w:rsid w:val="00A74A27"/>
    <w:rsid w:val="00A7503A"/>
    <w:rsid w:val="00A757F2"/>
    <w:rsid w:val="00A75A9C"/>
    <w:rsid w:val="00A77001"/>
    <w:rsid w:val="00A77765"/>
    <w:rsid w:val="00A817B6"/>
    <w:rsid w:val="00A81E6D"/>
    <w:rsid w:val="00A82517"/>
    <w:rsid w:val="00A82D33"/>
    <w:rsid w:val="00A837F7"/>
    <w:rsid w:val="00A83D29"/>
    <w:rsid w:val="00A84403"/>
    <w:rsid w:val="00A849C5"/>
    <w:rsid w:val="00A84A29"/>
    <w:rsid w:val="00A84EEE"/>
    <w:rsid w:val="00A859F8"/>
    <w:rsid w:val="00A862F8"/>
    <w:rsid w:val="00A866D0"/>
    <w:rsid w:val="00A86937"/>
    <w:rsid w:val="00A87156"/>
    <w:rsid w:val="00A90A31"/>
    <w:rsid w:val="00A918C1"/>
    <w:rsid w:val="00A91E4D"/>
    <w:rsid w:val="00A9258C"/>
    <w:rsid w:val="00A93048"/>
    <w:rsid w:val="00A93138"/>
    <w:rsid w:val="00A9431C"/>
    <w:rsid w:val="00A95457"/>
    <w:rsid w:val="00A95C36"/>
    <w:rsid w:val="00A962B6"/>
    <w:rsid w:val="00A96352"/>
    <w:rsid w:val="00A9699D"/>
    <w:rsid w:val="00A9736E"/>
    <w:rsid w:val="00A978BF"/>
    <w:rsid w:val="00A97BA9"/>
    <w:rsid w:val="00A97C04"/>
    <w:rsid w:val="00A97FB6"/>
    <w:rsid w:val="00AA0751"/>
    <w:rsid w:val="00AA09A2"/>
    <w:rsid w:val="00AA09B7"/>
    <w:rsid w:val="00AA1294"/>
    <w:rsid w:val="00AA25CC"/>
    <w:rsid w:val="00AA299D"/>
    <w:rsid w:val="00AA2DB7"/>
    <w:rsid w:val="00AA3666"/>
    <w:rsid w:val="00AA380B"/>
    <w:rsid w:val="00AA3DE2"/>
    <w:rsid w:val="00AA3DF8"/>
    <w:rsid w:val="00AA4463"/>
    <w:rsid w:val="00AA5754"/>
    <w:rsid w:val="00AA5991"/>
    <w:rsid w:val="00AA652D"/>
    <w:rsid w:val="00AB0351"/>
    <w:rsid w:val="00AB0C45"/>
    <w:rsid w:val="00AB15C9"/>
    <w:rsid w:val="00AB184F"/>
    <w:rsid w:val="00AB1C07"/>
    <w:rsid w:val="00AB2F76"/>
    <w:rsid w:val="00AB314E"/>
    <w:rsid w:val="00AB36A9"/>
    <w:rsid w:val="00AB446E"/>
    <w:rsid w:val="00AB4568"/>
    <w:rsid w:val="00AB48B7"/>
    <w:rsid w:val="00AB5F5A"/>
    <w:rsid w:val="00AB608E"/>
    <w:rsid w:val="00AB60D9"/>
    <w:rsid w:val="00AB62FD"/>
    <w:rsid w:val="00AB7183"/>
    <w:rsid w:val="00AB76A6"/>
    <w:rsid w:val="00AC0121"/>
    <w:rsid w:val="00AC02FB"/>
    <w:rsid w:val="00AC0E01"/>
    <w:rsid w:val="00AC1248"/>
    <w:rsid w:val="00AC19CB"/>
    <w:rsid w:val="00AC2AC5"/>
    <w:rsid w:val="00AC3102"/>
    <w:rsid w:val="00AC3617"/>
    <w:rsid w:val="00AC434B"/>
    <w:rsid w:val="00AC47C4"/>
    <w:rsid w:val="00AC58EA"/>
    <w:rsid w:val="00AC5B89"/>
    <w:rsid w:val="00AC5F68"/>
    <w:rsid w:val="00AC6C7A"/>
    <w:rsid w:val="00AC750B"/>
    <w:rsid w:val="00AD0EA1"/>
    <w:rsid w:val="00AD1B35"/>
    <w:rsid w:val="00AD1D81"/>
    <w:rsid w:val="00AD2972"/>
    <w:rsid w:val="00AD2DA0"/>
    <w:rsid w:val="00AD31E9"/>
    <w:rsid w:val="00AD37DF"/>
    <w:rsid w:val="00AD4990"/>
    <w:rsid w:val="00AD6A7C"/>
    <w:rsid w:val="00AD7F4B"/>
    <w:rsid w:val="00AE0CEB"/>
    <w:rsid w:val="00AE103A"/>
    <w:rsid w:val="00AE16DB"/>
    <w:rsid w:val="00AE1770"/>
    <w:rsid w:val="00AE3479"/>
    <w:rsid w:val="00AE3A24"/>
    <w:rsid w:val="00AE4924"/>
    <w:rsid w:val="00AE5488"/>
    <w:rsid w:val="00AE67E1"/>
    <w:rsid w:val="00AE6AC2"/>
    <w:rsid w:val="00AE6F91"/>
    <w:rsid w:val="00AE76FF"/>
    <w:rsid w:val="00AF076C"/>
    <w:rsid w:val="00AF0DA1"/>
    <w:rsid w:val="00AF1882"/>
    <w:rsid w:val="00AF1EC1"/>
    <w:rsid w:val="00AF1F07"/>
    <w:rsid w:val="00AF240F"/>
    <w:rsid w:val="00AF2A67"/>
    <w:rsid w:val="00AF3064"/>
    <w:rsid w:val="00AF3E3C"/>
    <w:rsid w:val="00AF423D"/>
    <w:rsid w:val="00AF46CA"/>
    <w:rsid w:val="00AF4C2C"/>
    <w:rsid w:val="00AF4D3A"/>
    <w:rsid w:val="00AF52A5"/>
    <w:rsid w:val="00AF5571"/>
    <w:rsid w:val="00AF58A6"/>
    <w:rsid w:val="00AF6A32"/>
    <w:rsid w:val="00AF6C98"/>
    <w:rsid w:val="00B00095"/>
    <w:rsid w:val="00B00247"/>
    <w:rsid w:val="00B011F3"/>
    <w:rsid w:val="00B0192B"/>
    <w:rsid w:val="00B01E46"/>
    <w:rsid w:val="00B02C3B"/>
    <w:rsid w:val="00B02FBE"/>
    <w:rsid w:val="00B0341D"/>
    <w:rsid w:val="00B05B37"/>
    <w:rsid w:val="00B05B81"/>
    <w:rsid w:val="00B06317"/>
    <w:rsid w:val="00B06C1C"/>
    <w:rsid w:val="00B077CE"/>
    <w:rsid w:val="00B102E9"/>
    <w:rsid w:val="00B10569"/>
    <w:rsid w:val="00B11062"/>
    <w:rsid w:val="00B125B3"/>
    <w:rsid w:val="00B13110"/>
    <w:rsid w:val="00B131AB"/>
    <w:rsid w:val="00B14767"/>
    <w:rsid w:val="00B14C6A"/>
    <w:rsid w:val="00B14F30"/>
    <w:rsid w:val="00B1664E"/>
    <w:rsid w:val="00B16EB9"/>
    <w:rsid w:val="00B1736D"/>
    <w:rsid w:val="00B17949"/>
    <w:rsid w:val="00B21524"/>
    <w:rsid w:val="00B21948"/>
    <w:rsid w:val="00B2412B"/>
    <w:rsid w:val="00B24174"/>
    <w:rsid w:val="00B2426C"/>
    <w:rsid w:val="00B25D62"/>
    <w:rsid w:val="00B262A4"/>
    <w:rsid w:val="00B26584"/>
    <w:rsid w:val="00B26863"/>
    <w:rsid w:val="00B2694A"/>
    <w:rsid w:val="00B26FB4"/>
    <w:rsid w:val="00B2753D"/>
    <w:rsid w:val="00B302C7"/>
    <w:rsid w:val="00B30539"/>
    <w:rsid w:val="00B30977"/>
    <w:rsid w:val="00B314DB"/>
    <w:rsid w:val="00B316B6"/>
    <w:rsid w:val="00B32E6F"/>
    <w:rsid w:val="00B33256"/>
    <w:rsid w:val="00B349D1"/>
    <w:rsid w:val="00B34ACE"/>
    <w:rsid w:val="00B34AEA"/>
    <w:rsid w:val="00B356B0"/>
    <w:rsid w:val="00B36240"/>
    <w:rsid w:val="00B3701B"/>
    <w:rsid w:val="00B3718B"/>
    <w:rsid w:val="00B40069"/>
    <w:rsid w:val="00B401BC"/>
    <w:rsid w:val="00B4041B"/>
    <w:rsid w:val="00B41C05"/>
    <w:rsid w:val="00B42FC7"/>
    <w:rsid w:val="00B434AA"/>
    <w:rsid w:val="00B43AE5"/>
    <w:rsid w:val="00B43CAB"/>
    <w:rsid w:val="00B44C7C"/>
    <w:rsid w:val="00B456B1"/>
    <w:rsid w:val="00B4632A"/>
    <w:rsid w:val="00B46722"/>
    <w:rsid w:val="00B46F78"/>
    <w:rsid w:val="00B473D0"/>
    <w:rsid w:val="00B476CE"/>
    <w:rsid w:val="00B5011B"/>
    <w:rsid w:val="00B51482"/>
    <w:rsid w:val="00B51871"/>
    <w:rsid w:val="00B530F1"/>
    <w:rsid w:val="00B54507"/>
    <w:rsid w:val="00B55621"/>
    <w:rsid w:val="00B56419"/>
    <w:rsid w:val="00B56B37"/>
    <w:rsid w:val="00B570E7"/>
    <w:rsid w:val="00B57F96"/>
    <w:rsid w:val="00B60964"/>
    <w:rsid w:val="00B6113A"/>
    <w:rsid w:val="00B61F6A"/>
    <w:rsid w:val="00B62880"/>
    <w:rsid w:val="00B63484"/>
    <w:rsid w:val="00B65B7D"/>
    <w:rsid w:val="00B65FAC"/>
    <w:rsid w:val="00B66225"/>
    <w:rsid w:val="00B6650F"/>
    <w:rsid w:val="00B66DDF"/>
    <w:rsid w:val="00B70686"/>
    <w:rsid w:val="00B71779"/>
    <w:rsid w:val="00B71885"/>
    <w:rsid w:val="00B72332"/>
    <w:rsid w:val="00B723B5"/>
    <w:rsid w:val="00B727DB"/>
    <w:rsid w:val="00B73061"/>
    <w:rsid w:val="00B732CC"/>
    <w:rsid w:val="00B74B77"/>
    <w:rsid w:val="00B75A71"/>
    <w:rsid w:val="00B77B86"/>
    <w:rsid w:val="00B819AD"/>
    <w:rsid w:val="00B83312"/>
    <w:rsid w:val="00B84D3D"/>
    <w:rsid w:val="00B85D0F"/>
    <w:rsid w:val="00B86AB7"/>
    <w:rsid w:val="00B873D4"/>
    <w:rsid w:val="00B87ADF"/>
    <w:rsid w:val="00B90333"/>
    <w:rsid w:val="00B90768"/>
    <w:rsid w:val="00B90EC1"/>
    <w:rsid w:val="00B917C7"/>
    <w:rsid w:val="00B91CAC"/>
    <w:rsid w:val="00B92C9B"/>
    <w:rsid w:val="00B92D5A"/>
    <w:rsid w:val="00B93439"/>
    <w:rsid w:val="00B93FE4"/>
    <w:rsid w:val="00B9432B"/>
    <w:rsid w:val="00B94589"/>
    <w:rsid w:val="00B94B27"/>
    <w:rsid w:val="00B955AE"/>
    <w:rsid w:val="00B95CD3"/>
    <w:rsid w:val="00B95DE5"/>
    <w:rsid w:val="00B96D12"/>
    <w:rsid w:val="00B97310"/>
    <w:rsid w:val="00BA0A5E"/>
    <w:rsid w:val="00BA15BA"/>
    <w:rsid w:val="00BA1C9C"/>
    <w:rsid w:val="00BA1D94"/>
    <w:rsid w:val="00BA22DC"/>
    <w:rsid w:val="00BA2600"/>
    <w:rsid w:val="00BA276C"/>
    <w:rsid w:val="00BA4746"/>
    <w:rsid w:val="00BA483C"/>
    <w:rsid w:val="00BA53BB"/>
    <w:rsid w:val="00BA573E"/>
    <w:rsid w:val="00BA5D29"/>
    <w:rsid w:val="00BA7312"/>
    <w:rsid w:val="00BA792D"/>
    <w:rsid w:val="00BA7F1C"/>
    <w:rsid w:val="00BB01F4"/>
    <w:rsid w:val="00BB0213"/>
    <w:rsid w:val="00BB11A2"/>
    <w:rsid w:val="00BB1F5B"/>
    <w:rsid w:val="00BB2F90"/>
    <w:rsid w:val="00BB306F"/>
    <w:rsid w:val="00BB35E4"/>
    <w:rsid w:val="00BB361B"/>
    <w:rsid w:val="00BB369E"/>
    <w:rsid w:val="00BB4116"/>
    <w:rsid w:val="00BB4253"/>
    <w:rsid w:val="00BB49EB"/>
    <w:rsid w:val="00BB52E6"/>
    <w:rsid w:val="00BB5322"/>
    <w:rsid w:val="00BB5FC7"/>
    <w:rsid w:val="00BB658B"/>
    <w:rsid w:val="00BB75D1"/>
    <w:rsid w:val="00BB7C91"/>
    <w:rsid w:val="00BC1427"/>
    <w:rsid w:val="00BC18C9"/>
    <w:rsid w:val="00BC4041"/>
    <w:rsid w:val="00BC4280"/>
    <w:rsid w:val="00BC433F"/>
    <w:rsid w:val="00BC4DAA"/>
    <w:rsid w:val="00BC4F90"/>
    <w:rsid w:val="00BC57DB"/>
    <w:rsid w:val="00BC5941"/>
    <w:rsid w:val="00BC6005"/>
    <w:rsid w:val="00BC65A4"/>
    <w:rsid w:val="00BC668B"/>
    <w:rsid w:val="00BC668F"/>
    <w:rsid w:val="00BC6C67"/>
    <w:rsid w:val="00BC70E9"/>
    <w:rsid w:val="00BD2703"/>
    <w:rsid w:val="00BD33F7"/>
    <w:rsid w:val="00BD495B"/>
    <w:rsid w:val="00BD4A59"/>
    <w:rsid w:val="00BD4B89"/>
    <w:rsid w:val="00BD6286"/>
    <w:rsid w:val="00BE047B"/>
    <w:rsid w:val="00BE0D78"/>
    <w:rsid w:val="00BE120D"/>
    <w:rsid w:val="00BE167E"/>
    <w:rsid w:val="00BE1783"/>
    <w:rsid w:val="00BE1964"/>
    <w:rsid w:val="00BE2400"/>
    <w:rsid w:val="00BE2AE0"/>
    <w:rsid w:val="00BE2BCF"/>
    <w:rsid w:val="00BE358A"/>
    <w:rsid w:val="00BE3FD6"/>
    <w:rsid w:val="00BE4A27"/>
    <w:rsid w:val="00BE4C47"/>
    <w:rsid w:val="00BE5815"/>
    <w:rsid w:val="00BE73F9"/>
    <w:rsid w:val="00BF03D8"/>
    <w:rsid w:val="00BF0ACA"/>
    <w:rsid w:val="00BF16B8"/>
    <w:rsid w:val="00BF180B"/>
    <w:rsid w:val="00BF1A40"/>
    <w:rsid w:val="00BF29A0"/>
    <w:rsid w:val="00BF3461"/>
    <w:rsid w:val="00BF34CC"/>
    <w:rsid w:val="00BF4338"/>
    <w:rsid w:val="00BF4D34"/>
    <w:rsid w:val="00BF5612"/>
    <w:rsid w:val="00BF58F8"/>
    <w:rsid w:val="00BF5954"/>
    <w:rsid w:val="00BF5AF5"/>
    <w:rsid w:val="00BF6B82"/>
    <w:rsid w:val="00BF6FD8"/>
    <w:rsid w:val="00BF7F7C"/>
    <w:rsid w:val="00BF7FB9"/>
    <w:rsid w:val="00C0168E"/>
    <w:rsid w:val="00C01D45"/>
    <w:rsid w:val="00C01DED"/>
    <w:rsid w:val="00C020AD"/>
    <w:rsid w:val="00C0258D"/>
    <w:rsid w:val="00C0275D"/>
    <w:rsid w:val="00C02BF2"/>
    <w:rsid w:val="00C02D36"/>
    <w:rsid w:val="00C03680"/>
    <w:rsid w:val="00C03F9C"/>
    <w:rsid w:val="00C04314"/>
    <w:rsid w:val="00C045F5"/>
    <w:rsid w:val="00C04624"/>
    <w:rsid w:val="00C047D9"/>
    <w:rsid w:val="00C04F37"/>
    <w:rsid w:val="00C05355"/>
    <w:rsid w:val="00C054DF"/>
    <w:rsid w:val="00C0580F"/>
    <w:rsid w:val="00C05BCB"/>
    <w:rsid w:val="00C05EC5"/>
    <w:rsid w:val="00C062C0"/>
    <w:rsid w:val="00C10C6B"/>
    <w:rsid w:val="00C10DB6"/>
    <w:rsid w:val="00C11042"/>
    <w:rsid w:val="00C12378"/>
    <w:rsid w:val="00C13281"/>
    <w:rsid w:val="00C135D0"/>
    <w:rsid w:val="00C13D44"/>
    <w:rsid w:val="00C143A1"/>
    <w:rsid w:val="00C14978"/>
    <w:rsid w:val="00C152A5"/>
    <w:rsid w:val="00C15A62"/>
    <w:rsid w:val="00C15E41"/>
    <w:rsid w:val="00C169C4"/>
    <w:rsid w:val="00C174CA"/>
    <w:rsid w:val="00C174FE"/>
    <w:rsid w:val="00C20E98"/>
    <w:rsid w:val="00C21762"/>
    <w:rsid w:val="00C21E02"/>
    <w:rsid w:val="00C22BEF"/>
    <w:rsid w:val="00C233AC"/>
    <w:rsid w:val="00C2355D"/>
    <w:rsid w:val="00C23663"/>
    <w:rsid w:val="00C236C1"/>
    <w:rsid w:val="00C24543"/>
    <w:rsid w:val="00C247B9"/>
    <w:rsid w:val="00C25319"/>
    <w:rsid w:val="00C25480"/>
    <w:rsid w:val="00C256A2"/>
    <w:rsid w:val="00C2727F"/>
    <w:rsid w:val="00C2728C"/>
    <w:rsid w:val="00C300ED"/>
    <w:rsid w:val="00C30B92"/>
    <w:rsid w:val="00C32539"/>
    <w:rsid w:val="00C329B6"/>
    <w:rsid w:val="00C33726"/>
    <w:rsid w:val="00C34113"/>
    <w:rsid w:val="00C3457E"/>
    <w:rsid w:val="00C34CEF"/>
    <w:rsid w:val="00C34EB1"/>
    <w:rsid w:val="00C3552C"/>
    <w:rsid w:val="00C3601A"/>
    <w:rsid w:val="00C3617B"/>
    <w:rsid w:val="00C3623E"/>
    <w:rsid w:val="00C401C4"/>
    <w:rsid w:val="00C4110A"/>
    <w:rsid w:val="00C415F7"/>
    <w:rsid w:val="00C4160B"/>
    <w:rsid w:val="00C41985"/>
    <w:rsid w:val="00C41D81"/>
    <w:rsid w:val="00C4272B"/>
    <w:rsid w:val="00C42BE7"/>
    <w:rsid w:val="00C42C24"/>
    <w:rsid w:val="00C42DCE"/>
    <w:rsid w:val="00C433C4"/>
    <w:rsid w:val="00C437CD"/>
    <w:rsid w:val="00C441D8"/>
    <w:rsid w:val="00C44748"/>
    <w:rsid w:val="00C4519A"/>
    <w:rsid w:val="00C456BB"/>
    <w:rsid w:val="00C45D0C"/>
    <w:rsid w:val="00C470D5"/>
    <w:rsid w:val="00C50392"/>
    <w:rsid w:val="00C512B7"/>
    <w:rsid w:val="00C51515"/>
    <w:rsid w:val="00C52032"/>
    <w:rsid w:val="00C5332A"/>
    <w:rsid w:val="00C533FC"/>
    <w:rsid w:val="00C54035"/>
    <w:rsid w:val="00C5507E"/>
    <w:rsid w:val="00C554CF"/>
    <w:rsid w:val="00C5660B"/>
    <w:rsid w:val="00C56CCD"/>
    <w:rsid w:val="00C578A4"/>
    <w:rsid w:val="00C604DB"/>
    <w:rsid w:val="00C60EAA"/>
    <w:rsid w:val="00C616B6"/>
    <w:rsid w:val="00C62087"/>
    <w:rsid w:val="00C62141"/>
    <w:rsid w:val="00C62241"/>
    <w:rsid w:val="00C62CFF"/>
    <w:rsid w:val="00C639C6"/>
    <w:rsid w:val="00C639FB"/>
    <w:rsid w:val="00C64328"/>
    <w:rsid w:val="00C66807"/>
    <w:rsid w:val="00C66B72"/>
    <w:rsid w:val="00C66E3D"/>
    <w:rsid w:val="00C67E67"/>
    <w:rsid w:val="00C72736"/>
    <w:rsid w:val="00C73345"/>
    <w:rsid w:val="00C73D8E"/>
    <w:rsid w:val="00C74057"/>
    <w:rsid w:val="00C746F6"/>
    <w:rsid w:val="00C7582E"/>
    <w:rsid w:val="00C76B5B"/>
    <w:rsid w:val="00C80D43"/>
    <w:rsid w:val="00C825C1"/>
    <w:rsid w:val="00C842DF"/>
    <w:rsid w:val="00C846BF"/>
    <w:rsid w:val="00C85A89"/>
    <w:rsid w:val="00C85B93"/>
    <w:rsid w:val="00C86F17"/>
    <w:rsid w:val="00C90F7C"/>
    <w:rsid w:val="00C9157C"/>
    <w:rsid w:val="00C9176B"/>
    <w:rsid w:val="00C91F1F"/>
    <w:rsid w:val="00C92371"/>
    <w:rsid w:val="00C923B9"/>
    <w:rsid w:val="00C925E5"/>
    <w:rsid w:val="00C92BBF"/>
    <w:rsid w:val="00C92DFD"/>
    <w:rsid w:val="00C930A7"/>
    <w:rsid w:val="00C9346A"/>
    <w:rsid w:val="00C9443A"/>
    <w:rsid w:val="00C95188"/>
    <w:rsid w:val="00C9567A"/>
    <w:rsid w:val="00C96218"/>
    <w:rsid w:val="00C96C27"/>
    <w:rsid w:val="00C97B5F"/>
    <w:rsid w:val="00C97E31"/>
    <w:rsid w:val="00CA115B"/>
    <w:rsid w:val="00CA438E"/>
    <w:rsid w:val="00CA594D"/>
    <w:rsid w:val="00CA6001"/>
    <w:rsid w:val="00CA77C5"/>
    <w:rsid w:val="00CA7EA3"/>
    <w:rsid w:val="00CB0403"/>
    <w:rsid w:val="00CB1B22"/>
    <w:rsid w:val="00CB212D"/>
    <w:rsid w:val="00CB2660"/>
    <w:rsid w:val="00CB33DA"/>
    <w:rsid w:val="00CB5024"/>
    <w:rsid w:val="00CB51F9"/>
    <w:rsid w:val="00CB5D0D"/>
    <w:rsid w:val="00CB6A15"/>
    <w:rsid w:val="00CB6BBC"/>
    <w:rsid w:val="00CB7019"/>
    <w:rsid w:val="00CB75DC"/>
    <w:rsid w:val="00CB768E"/>
    <w:rsid w:val="00CC0526"/>
    <w:rsid w:val="00CC1515"/>
    <w:rsid w:val="00CC25EE"/>
    <w:rsid w:val="00CC2FB9"/>
    <w:rsid w:val="00CC47DA"/>
    <w:rsid w:val="00CC4AD2"/>
    <w:rsid w:val="00CC4FB6"/>
    <w:rsid w:val="00CC5B9A"/>
    <w:rsid w:val="00CC5E90"/>
    <w:rsid w:val="00CC62A2"/>
    <w:rsid w:val="00CC7B6E"/>
    <w:rsid w:val="00CD046C"/>
    <w:rsid w:val="00CD1103"/>
    <w:rsid w:val="00CD1947"/>
    <w:rsid w:val="00CD1B0D"/>
    <w:rsid w:val="00CD21DC"/>
    <w:rsid w:val="00CD2990"/>
    <w:rsid w:val="00CD3E9E"/>
    <w:rsid w:val="00CD4998"/>
    <w:rsid w:val="00CD4BA5"/>
    <w:rsid w:val="00CD4E79"/>
    <w:rsid w:val="00CD5E40"/>
    <w:rsid w:val="00CD72F1"/>
    <w:rsid w:val="00CE076C"/>
    <w:rsid w:val="00CE0F5A"/>
    <w:rsid w:val="00CE17C9"/>
    <w:rsid w:val="00CE434E"/>
    <w:rsid w:val="00CE4A64"/>
    <w:rsid w:val="00CE5199"/>
    <w:rsid w:val="00CE547B"/>
    <w:rsid w:val="00CE6537"/>
    <w:rsid w:val="00CE66D5"/>
    <w:rsid w:val="00CE6E41"/>
    <w:rsid w:val="00CE7F4A"/>
    <w:rsid w:val="00CF012B"/>
    <w:rsid w:val="00CF02D8"/>
    <w:rsid w:val="00CF0768"/>
    <w:rsid w:val="00CF102F"/>
    <w:rsid w:val="00CF29AF"/>
    <w:rsid w:val="00CF2B4C"/>
    <w:rsid w:val="00CF4F4B"/>
    <w:rsid w:val="00CF5907"/>
    <w:rsid w:val="00CF5C49"/>
    <w:rsid w:val="00CF61A2"/>
    <w:rsid w:val="00CF637A"/>
    <w:rsid w:val="00CF6787"/>
    <w:rsid w:val="00D0014F"/>
    <w:rsid w:val="00D00928"/>
    <w:rsid w:val="00D01C13"/>
    <w:rsid w:val="00D01FD1"/>
    <w:rsid w:val="00D02DB7"/>
    <w:rsid w:val="00D030DD"/>
    <w:rsid w:val="00D044BD"/>
    <w:rsid w:val="00D04F27"/>
    <w:rsid w:val="00D050C7"/>
    <w:rsid w:val="00D0541B"/>
    <w:rsid w:val="00D05894"/>
    <w:rsid w:val="00D059DE"/>
    <w:rsid w:val="00D066BF"/>
    <w:rsid w:val="00D068DE"/>
    <w:rsid w:val="00D07045"/>
    <w:rsid w:val="00D108E9"/>
    <w:rsid w:val="00D10F5B"/>
    <w:rsid w:val="00D1165D"/>
    <w:rsid w:val="00D11A5E"/>
    <w:rsid w:val="00D12665"/>
    <w:rsid w:val="00D13D09"/>
    <w:rsid w:val="00D13E22"/>
    <w:rsid w:val="00D13FCE"/>
    <w:rsid w:val="00D14489"/>
    <w:rsid w:val="00D149F1"/>
    <w:rsid w:val="00D15FDF"/>
    <w:rsid w:val="00D163F2"/>
    <w:rsid w:val="00D167FE"/>
    <w:rsid w:val="00D17319"/>
    <w:rsid w:val="00D173C6"/>
    <w:rsid w:val="00D174CB"/>
    <w:rsid w:val="00D17CC0"/>
    <w:rsid w:val="00D20226"/>
    <w:rsid w:val="00D202AC"/>
    <w:rsid w:val="00D205AB"/>
    <w:rsid w:val="00D211CE"/>
    <w:rsid w:val="00D21320"/>
    <w:rsid w:val="00D21891"/>
    <w:rsid w:val="00D21966"/>
    <w:rsid w:val="00D21F40"/>
    <w:rsid w:val="00D225AC"/>
    <w:rsid w:val="00D2288C"/>
    <w:rsid w:val="00D2333E"/>
    <w:rsid w:val="00D233EB"/>
    <w:rsid w:val="00D235B3"/>
    <w:rsid w:val="00D239E9"/>
    <w:rsid w:val="00D24A7F"/>
    <w:rsid w:val="00D2628F"/>
    <w:rsid w:val="00D2659E"/>
    <w:rsid w:val="00D26A84"/>
    <w:rsid w:val="00D27B53"/>
    <w:rsid w:val="00D27DA0"/>
    <w:rsid w:val="00D306D1"/>
    <w:rsid w:val="00D306F3"/>
    <w:rsid w:val="00D30856"/>
    <w:rsid w:val="00D308F8"/>
    <w:rsid w:val="00D31334"/>
    <w:rsid w:val="00D31642"/>
    <w:rsid w:val="00D31674"/>
    <w:rsid w:val="00D32002"/>
    <w:rsid w:val="00D329C8"/>
    <w:rsid w:val="00D33614"/>
    <w:rsid w:val="00D33852"/>
    <w:rsid w:val="00D33903"/>
    <w:rsid w:val="00D33A9C"/>
    <w:rsid w:val="00D34291"/>
    <w:rsid w:val="00D343B8"/>
    <w:rsid w:val="00D34786"/>
    <w:rsid w:val="00D34CF4"/>
    <w:rsid w:val="00D367BC"/>
    <w:rsid w:val="00D3681A"/>
    <w:rsid w:val="00D373F6"/>
    <w:rsid w:val="00D37B53"/>
    <w:rsid w:val="00D37D8B"/>
    <w:rsid w:val="00D409A3"/>
    <w:rsid w:val="00D43835"/>
    <w:rsid w:val="00D43A4E"/>
    <w:rsid w:val="00D44154"/>
    <w:rsid w:val="00D44A7F"/>
    <w:rsid w:val="00D45802"/>
    <w:rsid w:val="00D47537"/>
    <w:rsid w:val="00D47A8E"/>
    <w:rsid w:val="00D5022E"/>
    <w:rsid w:val="00D506C4"/>
    <w:rsid w:val="00D50CF0"/>
    <w:rsid w:val="00D50D9E"/>
    <w:rsid w:val="00D50EDB"/>
    <w:rsid w:val="00D51633"/>
    <w:rsid w:val="00D5221D"/>
    <w:rsid w:val="00D524E7"/>
    <w:rsid w:val="00D52D14"/>
    <w:rsid w:val="00D5389D"/>
    <w:rsid w:val="00D5390E"/>
    <w:rsid w:val="00D543A9"/>
    <w:rsid w:val="00D5671A"/>
    <w:rsid w:val="00D56CA0"/>
    <w:rsid w:val="00D56E07"/>
    <w:rsid w:val="00D57276"/>
    <w:rsid w:val="00D57E70"/>
    <w:rsid w:val="00D60299"/>
    <w:rsid w:val="00D60F3A"/>
    <w:rsid w:val="00D62D3D"/>
    <w:rsid w:val="00D62EE3"/>
    <w:rsid w:val="00D652B5"/>
    <w:rsid w:val="00D65495"/>
    <w:rsid w:val="00D664FC"/>
    <w:rsid w:val="00D712D3"/>
    <w:rsid w:val="00D71422"/>
    <w:rsid w:val="00D7151E"/>
    <w:rsid w:val="00D72DC6"/>
    <w:rsid w:val="00D74D79"/>
    <w:rsid w:val="00D7519B"/>
    <w:rsid w:val="00D752E8"/>
    <w:rsid w:val="00D7558D"/>
    <w:rsid w:val="00D7603D"/>
    <w:rsid w:val="00D76222"/>
    <w:rsid w:val="00D7684D"/>
    <w:rsid w:val="00D77087"/>
    <w:rsid w:val="00D8013E"/>
    <w:rsid w:val="00D80BAC"/>
    <w:rsid w:val="00D80EF8"/>
    <w:rsid w:val="00D81D92"/>
    <w:rsid w:val="00D81DB1"/>
    <w:rsid w:val="00D82F90"/>
    <w:rsid w:val="00D832DD"/>
    <w:rsid w:val="00D84275"/>
    <w:rsid w:val="00D84F1F"/>
    <w:rsid w:val="00D85EAB"/>
    <w:rsid w:val="00D85EF7"/>
    <w:rsid w:val="00D86479"/>
    <w:rsid w:val="00D86926"/>
    <w:rsid w:val="00D86B6A"/>
    <w:rsid w:val="00D86C32"/>
    <w:rsid w:val="00D87369"/>
    <w:rsid w:val="00D8739D"/>
    <w:rsid w:val="00D900B7"/>
    <w:rsid w:val="00D90284"/>
    <w:rsid w:val="00D91194"/>
    <w:rsid w:val="00D91F0B"/>
    <w:rsid w:val="00D92701"/>
    <w:rsid w:val="00D9291F"/>
    <w:rsid w:val="00D92C49"/>
    <w:rsid w:val="00D92CC8"/>
    <w:rsid w:val="00D9324C"/>
    <w:rsid w:val="00D94A3B"/>
    <w:rsid w:val="00D95DF8"/>
    <w:rsid w:val="00D961AB"/>
    <w:rsid w:val="00D96D5B"/>
    <w:rsid w:val="00D97446"/>
    <w:rsid w:val="00D974F6"/>
    <w:rsid w:val="00D97645"/>
    <w:rsid w:val="00D97C45"/>
    <w:rsid w:val="00DA2039"/>
    <w:rsid w:val="00DA380D"/>
    <w:rsid w:val="00DA442B"/>
    <w:rsid w:val="00DA4592"/>
    <w:rsid w:val="00DA6760"/>
    <w:rsid w:val="00DA7111"/>
    <w:rsid w:val="00DA7B5F"/>
    <w:rsid w:val="00DA7BF2"/>
    <w:rsid w:val="00DB0A25"/>
    <w:rsid w:val="00DB11C3"/>
    <w:rsid w:val="00DB1255"/>
    <w:rsid w:val="00DB1335"/>
    <w:rsid w:val="00DB1657"/>
    <w:rsid w:val="00DB330D"/>
    <w:rsid w:val="00DB397C"/>
    <w:rsid w:val="00DB4E83"/>
    <w:rsid w:val="00DB54DF"/>
    <w:rsid w:val="00DB567E"/>
    <w:rsid w:val="00DB67A8"/>
    <w:rsid w:val="00DB69E7"/>
    <w:rsid w:val="00DB6BC5"/>
    <w:rsid w:val="00DB6CA2"/>
    <w:rsid w:val="00DB7307"/>
    <w:rsid w:val="00DC0183"/>
    <w:rsid w:val="00DC01D2"/>
    <w:rsid w:val="00DC0551"/>
    <w:rsid w:val="00DC0D80"/>
    <w:rsid w:val="00DC1048"/>
    <w:rsid w:val="00DC11E7"/>
    <w:rsid w:val="00DC16EC"/>
    <w:rsid w:val="00DC1A2E"/>
    <w:rsid w:val="00DC1E9C"/>
    <w:rsid w:val="00DC278B"/>
    <w:rsid w:val="00DC30E6"/>
    <w:rsid w:val="00DC337C"/>
    <w:rsid w:val="00DC51DD"/>
    <w:rsid w:val="00DC5C29"/>
    <w:rsid w:val="00DC6A10"/>
    <w:rsid w:val="00DC6F0A"/>
    <w:rsid w:val="00DC6F6C"/>
    <w:rsid w:val="00DC7023"/>
    <w:rsid w:val="00DC769A"/>
    <w:rsid w:val="00DC7E66"/>
    <w:rsid w:val="00DD0BBA"/>
    <w:rsid w:val="00DD1443"/>
    <w:rsid w:val="00DD3D86"/>
    <w:rsid w:val="00DD3E65"/>
    <w:rsid w:val="00DD410F"/>
    <w:rsid w:val="00DD4B1F"/>
    <w:rsid w:val="00DD4C4D"/>
    <w:rsid w:val="00DD5A63"/>
    <w:rsid w:val="00DD5AE8"/>
    <w:rsid w:val="00DD6425"/>
    <w:rsid w:val="00DD65CF"/>
    <w:rsid w:val="00DD6D14"/>
    <w:rsid w:val="00DD6F74"/>
    <w:rsid w:val="00DD7305"/>
    <w:rsid w:val="00DD79A0"/>
    <w:rsid w:val="00DE02F3"/>
    <w:rsid w:val="00DE07D2"/>
    <w:rsid w:val="00DE09A5"/>
    <w:rsid w:val="00DE0A59"/>
    <w:rsid w:val="00DE10E2"/>
    <w:rsid w:val="00DE21FB"/>
    <w:rsid w:val="00DE2805"/>
    <w:rsid w:val="00DE2DCE"/>
    <w:rsid w:val="00DE69B6"/>
    <w:rsid w:val="00DE6CA6"/>
    <w:rsid w:val="00DE710B"/>
    <w:rsid w:val="00DE7267"/>
    <w:rsid w:val="00DF01D3"/>
    <w:rsid w:val="00DF0C1C"/>
    <w:rsid w:val="00DF0FC5"/>
    <w:rsid w:val="00DF1B4B"/>
    <w:rsid w:val="00DF1BCE"/>
    <w:rsid w:val="00DF23CD"/>
    <w:rsid w:val="00DF26AA"/>
    <w:rsid w:val="00DF3094"/>
    <w:rsid w:val="00DF41C7"/>
    <w:rsid w:val="00DF4BDC"/>
    <w:rsid w:val="00DF4DC3"/>
    <w:rsid w:val="00DF640C"/>
    <w:rsid w:val="00DF6BF3"/>
    <w:rsid w:val="00DF6D65"/>
    <w:rsid w:val="00E00575"/>
    <w:rsid w:val="00E007B6"/>
    <w:rsid w:val="00E01699"/>
    <w:rsid w:val="00E01F68"/>
    <w:rsid w:val="00E0238B"/>
    <w:rsid w:val="00E025B6"/>
    <w:rsid w:val="00E02F88"/>
    <w:rsid w:val="00E0340B"/>
    <w:rsid w:val="00E04626"/>
    <w:rsid w:val="00E05117"/>
    <w:rsid w:val="00E0542D"/>
    <w:rsid w:val="00E054BE"/>
    <w:rsid w:val="00E05590"/>
    <w:rsid w:val="00E05963"/>
    <w:rsid w:val="00E05D6B"/>
    <w:rsid w:val="00E07283"/>
    <w:rsid w:val="00E07651"/>
    <w:rsid w:val="00E0789D"/>
    <w:rsid w:val="00E07A00"/>
    <w:rsid w:val="00E07F44"/>
    <w:rsid w:val="00E101DA"/>
    <w:rsid w:val="00E103EC"/>
    <w:rsid w:val="00E11D79"/>
    <w:rsid w:val="00E11EFC"/>
    <w:rsid w:val="00E12008"/>
    <w:rsid w:val="00E12799"/>
    <w:rsid w:val="00E129DA"/>
    <w:rsid w:val="00E12D6E"/>
    <w:rsid w:val="00E132E4"/>
    <w:rsid w:val="00E1365D"/>
    <w:rsid w:val="00E14A07"/>
    <w:rsid w:val="00E14B62"/>
    <w:rsid w:val="00E168F4"/>
    <w:rsid w:val="00E16A50"/>
    <w:rsid w:val="00E206A7"/>
    <w:rsid w:val="00E209A8"/>
    <w:rsid w:val="00E20EBA"/>
    <w:rsid w:val="00E2197C"/>
    <w:rsid w:val="00E219C7"/>
    <w:rsid w:val="00E21F0D"/>
    <w:rsid w:val="00E2257A"/>
    <w:rsid w:val="00E226AD"/>
    <w:rsid w:val="00E22D0B"/>
    <w:rsid w:val="00E2332B"/>
    <w:rsid w:val="00E236F6"/>
    <w:rsid w:val="00E23E3D"/>
    <w:rsid w:val="00E23EAA"/>
    <w:rsid w:val="00E24E60"/>
    <w:rsid w:val="00E264ED"/>
    <w:rsid w:val="00E27E1F"/>
    <w:rsid w:val="00E30427"/>
    <w:rsid w:val="00E3130F"/>
    <w:rsid w:val="00E3162A"/>
    <w:rsid w:val="00E3282D"/>
    <w:rsid w:val="00E32E6B"/>
    <w:rsid w:val="00E3423E"/>
    <w:rsid w:val="00E34783"/>
    <w:rsid w:val="00E34B77"/>
    <w:rsid w:val="00E34F67"/>
    <w:rsid w:val="00E36321"/>
    <w:rsid w:val="00E36709"/>
    <w:rsid w:val="00E375F7"/>
    <w:rsid w:val="00E379FB"/>
    <w:rsid w:val="00E40EAA"/>
    <w:rsid w:val="00E419AB"/>
    <w:rsid w:val="00E42AB4"/>
    <w:rsid w:val="00E42DC6"/>
    <w:rsid w:val="00E43157"/>
    <w:rsid w:val="00E43391"/>
    <w:rsid w:val="00E44FB5"/>
    <w:rsid w:val="00E453A4"/>
    <w:rsid w:val="00E4564E"/>
    <w:rsid w:val="00E45999"/>
    <w:rsid w:val="00E461CE"/>
    <w:rsid w:val="00E4688F"/>
    <w:rsid w:val="00E47274"/>
    <w:rsid w:val="00E475CB"/>
    <w:rsid w:val="00E50985"/>
    <w:rsid w:val="00E5125E"/>
    <w:rsid w:val="00E51274"/>
    <w:rsid w:val="00E5183E"/>
    <w:rsid w:val="00E52120"/>
    <w:rsid w:val="00E52778"/>
    <w:rsid w:val="00E53522"/>
    <w:rsid w:val="00E549B6"/>
    <w:rsid w:val="00E555A6"/>
    <w:rsid w:val="00E568F8"/>
    <w:rsid w:val="00E57951"/>
    <w:rsid w:val="00E60984"/>
    <w:rsid w:val="00E611C5"/>
    <w:rsid w:val="00E6134B"/>
    <w:rsid w:val="00E6159B"/>
    <w:rsid w:val="00E61B3B"/>
    <w:rsid w:val="00E625E8"/>
    <w:rsid w:val="00E632A1"/>
    <w:rsid w:val="00E638E9"/>
    <w:rsid w:val="00E63F00"/>
    <w:rsid w:val="00E64439"/>
    <w:rsid w:val="00E645F8"/>
    <w:rsid w:val="00E64C50"/>
    <w:rsid w:val="00E65121"/>
    <w:rsid w:val="00E65231"/>
    <w:rsid w:val="00E65819"/>
    <w:rsid w:val="00E65D77"/>
    <w:rsid w:val="00E6751B"/>
    <w:rsid w:val="00E67D4F"/>
    <w:rsid w:val="00E67FE0"/>
    <w:rsid w:val="00E7044F"/>
    <w:rsid w:val="00E7135B"/>
    <w:rsid w:val="00E720CA"/>
    <w:rsid w:val="00E73DA2"/>
    <w:rsid w:val="00E73F34"/>
    <w:rsid w:val="00E75431"/>
    <w:rsid w:val="00E77E37"/>
    <w:rsid w:val="00E801E9"/>
    <w:rsid w:val="00E80CF9"/>
    <w:rsid w:val="00E80D57"/>
    <w:rsid w:val="00E80E0C"/>
    <w:rsid w:val="00E8218A"/>
    <w:rsid w:val="00E82893"/>
    <w:rsid w:val="00E82C83"/>
    <w:rsid w:val="00E82DD9"/>
    <w:rsid w:val="00E830D2"/>
    <w:rsid w:val="00E83C3F"/>
    <w:rsid w:val="00E83F5C"/>
    <w:rsid w:val="00E840EE"/>
    <w:rsid w:val="00E841AF"/>
    <w:rsid w:val="00E84E07"/>
    <w:rsid w:val="00E84EB5"/>
    <w:rsid w:val="00E85662"/>
    <w:rsid w:val="00E85940"/>
    <w:rsid w:val="00E8629D"/>
    <w:rsid w:val="00E8789F"/>
    <w:rsid w:val="00E91BB5"/>
    <w:rsid w:val="00E925A2"/>
    <w:rsid w:val="00E93FD8"/>
    <w:rsid w:val="00E943D5"/>
    <w:rsid w:val="00E94A36"/>
    <w:rsid w:val="00E94F70"/>
    <w:rsid w:val="00E956AB"/>
    <w:rsid w:val="00E960F8"/>
    <w:rsid w:val="00E9616C"/>
    <w:rsid w:val="00E96CB0"/>
    <w:rsid w:val="00E96E07"/>
    <w:rsid w:val="00E972B6"/>
    <w:rsid w:val="00E97B71"/>
    <w:rsid w:val="00EA00A7"/>
    <w:rsid w:val="00EA030C"/>
    <w:rsid w:val="00EA058D"/>
    <w:rsid w:val="00EA0A0E"/>
    <w:rsid w:val="00EA0ACD"/>
    <w:rsid w:val="00EA0D25"/>
    <w:rsid w:val="00EA16FC"/>
    <w:rsid w:val="00EA19D6"/>
    <w:rsid w:val="00EA2F70"/>
    <w:rsid w:val="00EA3D34"/>
    <w:rsid w:val="00EA403C"/>
    <w:rsid w:val="00EA4459"/>
    <w:rsid w:val="00EA4702"/>
    <w:rsid w:val="00EA4837"/>
    <w:rsid w:val="00EA5851"/>
    <w:rsid w:val="00EA5C48"/>
    <w:rsid w:val="00EA5D1F"/>
    <w:rsid w:val="00EA68AD"/>
    <w:rsid w:val="00EA7377"/>
    <w:rsid w:val="00EA7ACF"/>
    <w:rsid w:val="00EB0237"/>
    <w:rsid w:val="00EB0C85"/>
    <w:rsid w:val="00EB0CC8"/>
    <w:rsid w:val="00EB0EBD"/>
    <w:rsid w:val="00EB1228"/>
    <w:rsid w:val="00EB1957"/>
    <w:rsid w:val="00EB1FA6"/>
    <w:rsid w:val="00EB26D3"/>
    <w:rsid w:val="00EB2AC2"/>
    <w:rsid w:val="00EB2D76"/>
    <w:rsid w:val="00EB413B"/>
    <w:rsid w:val="00EB454D"/>
    <w:rsid w:val="00EB60D2"/>
    <w:rsid w:val="00EB6707"/>
    <w:rsid w:val="00EB711E"/>
    <w:rsid w:val="00EC0C52"/>
    <w:rsid w:val="00EC1260"/>
    <w:rsid w:val="00EC3A91"/>
    <w:rsid w:val="00EC44E7"/>
    <w:rsid w:val="00EC4F92"/>
    <w:rsid w:val="00EC5871"/>
    <w:rsid w:val="00EC5F21"/>
    <w:rsid w:val="00EC5FC9"/>
    <w:rsid w:val="00EC6162"/>
    <w:rsid w:val="00EC64BE"/>
    <w:rsid w:val="00EC64D5"/>
    <w:rsid w:val="00EC6FCD"/>
    <w:rsid w:val="00EC75CD"/>
    <w:rsid w:val="00ED019B"/>
    <w:rsid w:val="00ED14D5"/>
    <w:rsid w:val="00ED1A3E"/>
    <w:rsid w:val="00ED1B04"/>
    <w:rsid w:val="00ED248C"/>
    <w:rsid w:val="00ED24B7"/>
    <w:rsid w:val="00ED2824"/>
    <w:rsid w:val="00ED2B97"/>
    <w:rsid w:val="00ED52D6"/>
    <w:rsid w:val="00ED67F1"/>
    <w:rsid w:val="00ED6FC5"/>
    <w:rsid w:val="00ED75BD"/>
    <w:rsid w:val="00ED76BE"/>
    <w:rsid w:val="00ED7C53"/>
    <w:rsid w:val="00EE07CF"/>
    <w:rsid w:val="00EE0EF2"/>
    <w:rsid w:val="00EE0F3C"/>
    <w:rsid w:val="00EE1908"/>
    <w:rsid w:val="00EE1F51"/>
    <w:rsid w:val="00EE24F9"/>
    <w:rsid w:val="00EE30EC"/>
    <w:rsid w:val="00EE3EEA"/>
    <w:rsid w:val="00EE4625"/>
    <w:rsid w:val="00EE51CE"/>
    <w:rsid w:val="00EE52BC"/>
    <w:rsid w:val="00EE5AB2"/>
    <w:rsid w:val="00EF1FDC"/>
    <w:rsid w:val="00EF25E4"/>
    <w:rsid w:val="00EF3AAC"/>
    <w:rsid w:val="00EF3ACE"/>
    <w:rsid w:val="00EF3BB3"/>
    <w:rsid w:val="00EF3F5D"/>
    <w:rsid w:val="00EF43BB"/>
    <w:rsid w:val="00EF4D4A"/>
    <w:rsid w:val="00EF55FC"/>
    <w:rsid w:val="00EF5AE5"/>
    <w:rsid w:val="00EF619B"/>
    <w:rsid w:val="00EF769D"/>
    <w:rsid w:val="00EF7710"/>
    <w:rsid w:val="00EF7B0E"/>
    <w:rsid w:val="00F00014"/>
    <w:rsid w:val="00F00623"/>
    <w:rsid w:val="00F00735"/>
    <w:rsid w:val="00F00B55"/>
    <w:rsid w:val="00F02506"/>
    <w:rsid w:val="00F027CA"/>
    <w:rsid w:val="00F02AD1"/>
    <w:rsid w:val="00F03977"/>
    <w:rsid w:val="00F03E44"/>
    <w:rsid w:val="00F0417F"/>
    <w:rsid w:val="00F0509B"/>
    <w:rsid w:val="00F05752"/>
    <w:rsid w:val="00F065B7"/>
    <w:rsid w:val="00F06BB9"/>
    <w:rsid w:val="00F07BE5"/>
    <w:rsid w:val="00F107B2"/>
    <w:rsid w:val="00F10827"/>
    <w:rsid w:val="00F10EF7"/>
    <w:rsid w:val="00F10F5F"/>
    <w:rsid w:val="00F1104D"/>
    <w:rsid w:val="00F1181D"/>
    <w:rsid w:val="00F11B32"/>
    <w:rsid w:val="00F11CDE"/>
    <w:rsid w:val="00F11CF8"/>
    <w:rsid w:val="00F121B8"/>
    <w:rsid w:val="00F1272B"/>
    <w:rsid w:val="00F12E5C"/>
    <w:rsid w:val="00F13E1E"/>
    <w:rsid w:val="00F147DC"/>
    <w:rsid w:val="00F14E7D"/>
    <w:rsid w:val="00F176F0"/>
    <w:rsid w:val="00F206EC"/>
    <w:rsid w:val="00F22ACC"/>
    <w:rsid w:val="00F22F20"/>
    <w:rsid w:val="00F23C77"/>
    <w:rsid w:val="00F23DB8"/>
    <w:rsid w:val="00F250C7"/>
    <w:rsid w:val="00F2536B"/>
    <w:rsid w:val="00F253CC"/>
    <w:rsid w:val="00F2579B"/>
    <w:rsid w:val="00F257B1"/>
    <w:rsid w:val="00F2600C"/>
    <w:rsid w:val="00F276F1"/>
    <w:rsid w:val="00F2796D"/>
    <w:rsid w:val="00F279CC"/>
    <w:rsid w:val="00F27A79"/>
    <w:rsid w:val="00F3016F"/>
    <w:rsid w:val="00F301F1"/>
    <w:rsid w:val="00F30798"/>
    <w:rsid w:val="00F318EF"/>
    <w:rsid w:val="00F32627"/>
    <w:rsid w:val="00F328BD"/>
    <w:rsid w:val="00F33748"/>
    <w:rsid w:val="00F33955"/>
    <w:rsid w:val="00F3684D"/>
    <w:rsid w:val="00F3692A"/>
    <w:rsid w:val="00F37106"/>
    <w:rsid w:val="00F37746"/>
    <w:rsid w:val="00F3776F"/>
    <w:rsid w:val="00F37DDD"/>
    <w:rsid w:val="00F42467"/>
    <w:rsid w:val="00F42AAE"/>
    <w:rsid w:val="00F4360C"/>
    <w:rsid w:val="00F4406D"/>
    <w:rsid w:val="00F44FED"/>
    <w:rsid w:val="00F45942"/>
    <w:rsid w:val="00F45B86"/>
    <w:rsid w:val="00F460BD"/>
    <w:rsid w:val="00F46421"/>
    <w:rsid w:val="00F46DCE"/>
    <w:rsid w:val="00F506DB"/>
    <w:rsid w:val="00F5078B"/>
    <w:rsid w:val="00F50950"/>
    <w:rsid w:val="00F50C83"/>
    <w:rsid w:val="00F50E2F"/>
    <w:rsid w:val="00F519CF"/>
    <w:rsid w:val="00F51EC3"/>
    <w:rsid w:val="00F5266C"/>
    <w:rsid w:val="00F537C8"/>
    <w:rsid w:val="00F54ECA"/>
    <w:rsid w:val="00F5569F"/>
    <w:rsid w:val="00F56BA5"/>
    <w:rsid w:val="00F56C88"/>
    <w:rsid w:val="00F607B9"/>
    <w:rsid w:val="00F60E22"/>
    <w:rsid w:val="00F60E5B"/>
    <w:rsid w:val="00F61A1A"/>
    <w:rsid w:val="00F62600"/>
    <w:rsid w:val="00F62748"/>
    <w:rsid w:val="00F62D1E"/>
    <w:rsid w:val="00F63A6D"/>
    <w:rsid w:val="00F640C5"/>
    <w:rsid w:val="00F64DB1"/>
    <w:rsid w:val="00F6703B"/>
    <w:rsid w:val="00F674B2"/>
    <w:rsid w:val="00F67B09"/>
    <w:rsid w:val="00F67C38"/>
    <w:rsid w:val="00F72BD4"/>
    <w:rsid w:val="00F775BF"/>
    <w:rsid w:val="00F80327"/>
    <w:rsid w:val="00F8067B"/>
    <w:rsid w:val="00F82DD5"/>
    <w:rsid w:val="00F82E43"/>
    <w:rsid w:val="00F84D44"/>
    <w:rsid w:val="00F852F7"/>
    <w:rsid w:val="00F8543B"/>
    <w:rsid w:val="00F85A52"/>
    <w:rsid w:val="00F8690D"/>
    <w:rsid w:val="00F869AF"/>
    <w:rsid w:val="00F90CC2"/>
    <w:rsid w:val="00F90EF6"/>
    <w:rsid w:val="00F91160"/>
    <w:rsid w:val="00F91542"/>
    <w:rsid w:val="00F917D1"/>
    <w:rsid w:val="00F92433"/>
    <w:rsid w:val="00F92B8C"/>
    <w:rsid w:val="00F94216"/>
    <w:rsid w:val="00F9491D"/>
    <w:rsid w:val="00F954CA"/>
    <w:rsid w:val="00F957AE"/>
    <w:rsid w:val="00F9653B"/>
    <w:rsid w:val="00F96778"/>
    <w:rsid w:val="00F96BAF"/>
    <w:rsid w:val="00F979A7"/>
    <w:rsid w:val="00F97E62"/>
    <w:rsid w:val="00FA02EB"/>
    <w:rsid w:val="00FA093F"/>
    <w:rsid w:val="00FA174E"/>
    <w:rsid w:val="00FA1A78"/>
    <w:rsid w:val="00FA1FAA"/>
    <w:rsid w:val="00FA2E9D"/>
    <w:rsid w:val="00FA384C"/>
    <w:rsid w:val="00FA4035"/>
    <w:rsid w:val="00FA4293"/>
    <w:rsid w:val="00FA5957"/>
    <w:rsid w:val="00FA7494"/>
    <w:rsid w:val="00FA7605"/>
    <w:rsid w:val="00FA77B7"/>
    <w:rsid w:val="00FA7864"/>
    <w:rsid w:val="00FB069F"/>
    <w:rsid w:val="00FB07CF"/>
    <w:rsid w:val="00FB0C38"/>
    <w:rsid w:val="00FB14D9"/>
    <w:rsid w:val="00FB1666"/>
    <w:rsid w:val="00FB2096"/>
    <w:rsid w:val="00FB2A1C"/>
    <w:rsid w:val="00FB3D94"/>
    <w:rsid w:val="00FB3F5D"/>
    <w:rsid w:val="00FB43DD"/>
    <w:rsid w:val="00FB4EB8"/>
    <w:rsid w:val="00FB5202"/>
    <w:rsid w:val="00FB5D3B"/>
    <w:rsid w:val="00FB62CF"/>
    <w:rsid w:val="00FB64DE"/>
    <w:rsid w:val="00FB68F0"/>
    <w:rsid w:val="00FB695B"/>
    <w:rsid w:val="00FC1660"/>
    <w:rsid w:val="00FC3A9E"/>
    <w:rsid w:val="00FC3D2C"/>
    <w:rsid w:val="00FC3E44"/>
    <w:rsid w:val="00FC4122"/>
    <w:rsid w:val="00FC415B"/>
    <w:rsid w:val="00FC4881"/>
    <w:rsid w:val="00FC551C"/>
    <w:rsid w:val="00FC5691"/>
    <w:rsid w:val="00FC634A"/>
    <w:rsid w:val="00FC7D96"/>
    <w:rsid w:val="00FD05AE"/>
    <w:rsid w:val="00FD19E8"/>
    <w:rsid w:val="00FD1CEF"/>
    <w:rsid w:val="00FD21EF"/>
    <w:rsid w:val="00FD26A1"/>
    <w:rsid w:val="00FD2E3F"/>
    <w:rsid w:val="00FD3C3B"/>
    <w:rsid w:val="00FD3D23"/>
    <w:rsid w:val="00FD4F75"/>
    <w:rsid w:val="00FD5921"/>
    <w:rsid w:val="00FD70E8"/>
    <w:rsid w:val="00FD729D"/>
    <w:rsid w:val="00FD79FF"/>
    <w:rsid w:val="00FE0851"/>
    <w:rsid w:val="00FE0BC9"/>
    <w:rsid w:val="00FE0EE6"/>
    <w:rsid w:val="00FE15F2"/>
    <w:rsid w:val="00FE1F1B"/>
    <w:rsid w:val="00FE1F8C"/>
    <w:rsid w:val="00FE350D"/>
    <w:rsid w:val="00FE45EF"/>
    <w:rsid w:val="00FE4928"/>
    <w:rsid w:val="00FE5E14"/>
    <w:rsid w:val="00FE66A3"/>
    <w:rsid w:val="00FE6B45"/>
    <w:rsid w:val="00FE7B0C"/>
    <w:rsid w:val="00FF11B9"/>
    <w:rsid w:val="00FF222C"/>
    <w:rsid w:val="00FF342C"/>
    <w:rsid w:val="00FF3556"/>
    <w:rsid w:val="00FF4706"/>
    <w:rsid w:val="00FF4D55"/>
    <w:rsid w:val="00FF4E38"/>
    <w:rsid w:val="00FF5851"/>
    <w:rsid w:val="00FF7B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0"/>
    <w:lsdException w:name="toc 5" w:uiPriority="0"/>
    <w:lsdException w:name="toc 6" w:uiPriority="39"/>
    <w:lsdException w:name="toc 7" w:uiPriority="39"/>
    <w:lsdException w:name="toc 8" w:uiPriority="39"/>
    <w:lsdException w:name="toc 9" w:uiPriority="39"/>
    <w:lsdException w:name="footnote text" w:qFormat="1"/>
    <w:lsdException w:name="annotation text" w:uiPriority="0"/>
    <w:lsdException w:name="header" w:uiPriority="0"/>
    <w:lsdException w:name="footer" w:uiPriority="0"/>
    <w:lsdException w:name="caption" w:uiPriority="35" w:qFormat="1"/>
    <w:lsdException w:name="footnote reference"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53D7"/>
    <w:pPr>
      <w:pBdr>
        <w:top w:val="nil"/>
        <w:left w:val="nil"/>
        <w:bottom w:val="nil"/>
        <w:right w:val="nil"/>
        <w:between w:val="nil"/>
        <w:bar w:val="nil"/>
      </w:pBdr>
    </w:pPr>
    <w:rPr>
      <w:sz w:val="24"/>
      <w:szCs w:val="24"/>
      <w:bdr w:val="nil"/>
    </w:rPr>
  </w:style>
  <w:style w:type="paragraph" w:styleId="Ttulo1">
    <w:name w:val="heading 1"/>
    <w:basedOn w:val="Normal"/>
    <w:next w:val="Normal"/>
    <w:link w:val="Ttulo1Car"/>
    <w:qFormat/>
    <w:rsid w:val="00E24E60"/>
    <w:pPr>
      <w:keepNext/>
      <w:numPr>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num" w:pos="1440"/>
      </w:tabs>
      <w:ind w:left="1440"/>
      <w:outlineLvl w:val="0"/>
    </w:pPr>
    <w:rPr>
      <w:rFonts w:ascii="Cambria" w:eastAsia="Times New Roman" w:hAnsi="Cambria"/>
      <w:b/>
      <w:sz w:val="20"/>
      <w:szCs w:val="20"/>
      <w:bdr w:val="none" w:sz="0" w:space="0" w:color="auto"/>
      <w:lang w:val="es-ES_tradnl"/>
    </w:rPr>
  </w:style>
  <w:style w:type="paragraph" w:styleId="Ttulo2">
    <w:name w:val="heading 2"/>
    <w:basedOn w:val="Normal"/>
    <w:next w:val="Normal"/>
    <w:link w:val="Ttulo2Car"/>
    <w:qFormat/>
    <w:rsid w:val="00E24E60"/>
    <w:pPr>
      <w:keepNext/>
      <w:numPr>
        <w:ilvl w:val="2"/>
      </w:numPr>
      <w:pBdr>
        <w:top w:val="none" w:sz="0" w:space="0" w:color="auto"/>
        <w:left w:val="none" w:sz="0" w:space="0" w:color="auto"/>
        <w:bottom w:val="none" w:sz="0" w:space="0" w:color="auto"/>
        <w:right w:val="none" w:sz="0" w:space="0" w:color="auto"/>
        <w:between w:val="none" w:sz="0" w:space="0" w:color="auto"/>
        <w:bar w:val="none" w:sz="0" w:color="auto"/>
      </w:pBdr>
      <w:ind w:firstLine="720"/>
      <w:jc w:val="both"/>
      <w:outlineLvl w:val="1"/>
    </w:pPr>
    <w:rPr>
      <w:rFonts w:ascii="Cambria" w:eastAsia="Times New Roman" w:hAnsi="Cambria"/>
      <w:b/>
      <w:sz w:val="20"/>
      <w:szCs w:val="20"/>
      <w:bdr w:val="none" w:sz="0" w:space="0" w:color="auto"/>
      <w:lang w:val="es-ES_tradnl"/>
    </w:rPr>
  </w:style>
  <w:style w:type="paragraph" w:styleId="Ttulo3">
    <w:name w:val="heading 3"/>
    <w:basedOn w:val="Normal"/>
    <w:next w:val="Normal"/>
    <w:link w:val="Ttulo3Car"/>
    <w:qFormat/>
    <w:rsid w:val="004B316C"/>
    <w:pPr>
      <w:keepNext/>
      <w:keepLines/>
      <w:spacing w:before="200"/>
      <w:outlineLvl w:val="2"/>
    </w:pPr>
    <w:rPr>
      <w:rFonts w:ascii="Cambria" w:eastAsia="Times New Roman" w:hAnsi="Cambria"/>
      <w:b/>
      <w:bCs/>
      <w:color w:val="4F81BD"/>
    </w:rPr>
  </w:style>
  <w:style w:type="paragraph" w:styleId="Ttulo4">
    <w:name w:val="heading 4"/>
    <w:basedOn w:val="Normal"/>
    <w:next w:val="Normal"/>
    <w:link w:val="Ttulo4Car"/>
    <w:qFormat/>
    <w:rsid w:val="004B316C"/>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Arial" w:eastAsia="Times New Roman" w:hAnsi="Arial"/>
      <w:b/>
      <w:szCs w:val="20"/>
      <w:bdr w:val="none" w:sz="0" w:space="0" w:color="auto"/>
    </w:rPr>
  </w:style>
  <w:style w:type="paragraph" w:styleId="Ttulo5">
    <w:name w:val="heading 5"/>
    <w:basedOn w:val="Normal"/>
    <w:next w:val="Normal"/>
    <w:link w:val="Ttulo5Car"/>
    <w:qFormat/>
    <w:rsid w:val="004B316C"/>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4"/>
    </w:pPr>
    <w:rPr>
      <w:rFonts w:eastAsia="Times New Roman"/>
      <w:sz w:val="22"/>
      <w:szCs w:val="20"/>
      <w:bdr w:val="none" w:sz="0" w:space="0" w:color="auto"/>
    </w:rPr>
  </w:style>
  <w:style w:type="paragraph" w:styleId="Ttulo6">
    <w:name w:val="heading 6"/>
    <w:basedOn w:val="Normal"/>
    <w:next w:val="Normal"/>
    <w:link w:val="Ttulo6Car"/>
    <w:qFormat/>
    <w:rsid w:val="004B316C"/>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5"/>
    </w:pPr>
    <w:rPr>
      <w:rFonts w:eastAsia="Times New Roman"/>
      <w:i/>
      <w:sz w:val="22"/>
      <w:szCs w:val="20"/>
      <w:bdr w:val="none" w:sz="0" w:space="0" w:color="auto"/>
    </w:rPr>
  </w:style>
  <w:style w:type="paragraph" w:styleId="Ttulo7">
    <w:name w:val="heading 7"/>
    <w:basedOn w:val="Normal"/>
    <w:next w:val="Normal"/>
    <w:link w:val="Ttulo7Car"/>
    <w:qFormat/>
    <w:rsid w:val="004B316C"/>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6"/>
    </w:pPr>
    <w:rPr>
      <w:rFonts w:ascii="Arial" w:eastAsia="Times New Roman" w:hAnsi="Arial"/>
      <w:sz w:val="20"/>
      <w:szCs w:val="20"/>
      <w:bdr w:val="none" w:sz="0" w:space="0" w:color="auto"/>
    </w:rPr>
  </w:style>
  <w:style w:type="paragraph" w:styleId="Ttulo8">
    <w:name w:val="heading 8"/>
    <w:basedOn w:val="Normal"/>
    <w:next w:val="Normal"/>
    <w:link w:val="Ttulo8Car"/>
    <w:qFormat/>
    <w:rsid w:val="004B316C"/>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7"/>
    </w:pPr>
    <w:rPr>
      <w:rFonts w:ascii="Arial" w:eastAsia="Times New Roman" w:hAnsi="Arial"/>
      <w:i/>
      <w:sz w:val="20"/>
      <w:szCs w:val="20"/>
      <w:bdr w:val="none" w:sz="0" w:space="0" w:color="auto"/>
    </w:rPr>
  </w:style>
  <w:style w:type="paragraph" w:styleId="Ttulo9">
    <w:name w:val="heading 9"/>
    <w:basedOn w:val="Normal"/>
    <w:next w:val="Normal"/>
    <w:link w:val="Ttulo9Car"/>
    <w:qFormat/>
    <w:rsid w:val="004B316C"/>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8"/>
    </w:pPr>
    <w:rPr>
      <w:rFonts w:ascii="Arial" w:eastAsia="Times New Roman" w:hAnsi="Arial"/>
      <w:b/>
      <w:i/>
      <w:sz w:val="18"/>
      <w:szCs w:val="20"/>
      <w:bdr w:val="none" w:sz="0" w:space="0" w:color="aut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7753D7"/>
    <w:rPr>
      <w:u w:val="single"/>
    </w:rPr>
  </w:style>
  <w:style w:type="paragraph" w:customStyle="1" w:styleId="Cabeceraypie">
    <w:name w:val="Cabecera y pie"/>
    <w:rsid w:val="007753D7"/>
    <w:pPr>
      <w:pBdr>
        <w:top w:val="nil"/>
        <w:left w:val="nil"/>
        <w:bottom w:val="nil"/>
        <w:right w:val="nil"/>
        <w:between w:val="nil"/>
        <w:bar w:val="nil"/>
      </w:pBdr>
      <w:tabs>
        <w:tab w:val="right" w:pos="9020"/>
      </w:tabs>
    </w:pPr>
    <w:rPr>
      <w:rFonts w:ascii="Helvetica" w:hAnsi="Arial Unicode MS" w:cs="Arial Unicode MS"/>
      <w:color w:val="000000"/>
      <w:sz w:val="24"/>
      <w:szCs w:val="24"/>
      <w:bdr w:val="nil"/>
      <w:lang w:val="es-ES" w:eastAsia="es-ES"/>
    </w:rPr>
  </w:style>
  <w:style w:type="paragraph" w:styleId="Piedepgina">
    <w:name w:val="footer"/>
    <w:link w:val="PiedepginaCar"/>
    <w:rsid w:val="007753D7"/>
    <w:pPr>
      <w:pBdr>
        <w:top w:val="nil"/>
        <w:left w:val="nil"/>
        <w:bottom w:val="nil"/>
        <w:right w:val="nil"/>
        <w:between w:val="nil"/>
        <w:bar w:val="nil"/>
      </w:pBdr>
      <w:tabs>
        <w:tab w:val="center" w:pos="4513"/>
        <w:tab w:val="right" w:pos="9026"/>
      </w:tabs>
    </w:pPr>
    <w:rPr>
      <w:rFonts w:ascii="Cambria" w:eastAsia="Cambria" w:hAnsi="Cambria" w:cs="Cambria"/>
      <w:color w:val="000000"/>
      <w:sz w:val="24"/>
      <w:szCs w:val="24"/>
      <w:u w:color="000000"/>
      <w:bdr w:val="nil"/>
      <w:lang w:eastAsia="es-ES"/>
    </w:rPr>
  </w:style>
  <w:style w:type="paragraph" w:customStyle="1" w:styleId="Cuerpo">
    <w:name w:val="Cuerpo"/>
    <w:rsid w:val="007753D7"/>
    <w:pPr>
      <w:pBdr>
        <w:top w:val="nil"/>
        <w:left w:val="nil"/>
        <w:bottom w:val="nil"/>
        <w:right w:val="nil"/>
        <w:between w:val="nil"/>
        <w:bar w:val="nil"/>
      </w:pBdr>
    </w:pPr>
    <w:rPr>
      <w:rFonts w:ascii="Cambria" w:eastAsia="Cambria" w:hAnsi="Cambria" w:cs="Cambria"/>
      <w:color w:val="000000"/>
      <w:sz w:val="24"/>
      <w:szCs w:val="24"/>
      <w:u w:color="000000"/>
      <w:bdr w:val="nil"/>
      <w:lang w:val="es-ES" w:eastAsia="es-ES"/>
    </w:rPr>
  </w:style>
  <w:style w:type="paragraph" w:styleId="Sangradetextonormal">
    <w:name w:val="Body Text Indent"/>
    <w:link w:val="SangradetextonormalCar"/>
    <w:rsid w:val="007753D7"/>
    <w:pPr>
      <w:pBdr>
        <w:top w:val="nil"/>
        <w:left w:val="nil"/>
        <w:bottom w:val="nil"/>
        <w:right w:val="nil"/>
        <w:between w:val="nil"/>
        <w:bar w:val="nil"/>
      </w:pBdr>
      <w:ind w:left="2160" w:hanging="720"/>
    </w:pPr>
    <w:rPr>
      <w:rFonts w:eastAsia="Times New Roman"/>
      <w:color w:val="000000"/>
      <w:sz w:val="24"/>
      <w:szCs w:val="24"/>
      <w:u w:color="000000"/>
      <w:bdr w:val="nil"/>
      <w:lang w:val="es-ES_tradnl" w:eastAsia="es-ES"/>
    </w:rPr>
  </w:style>
  <w:style w:type="paragraph" w:customStyle="1" w:styleId="MediumGrid1-Accent21">
    <w:name w:val="Medium Grid 1 - Accent 21"/>
    <w:link w:val="MediumGrid1-Accent2Char"/>
    <w:qFormat/>
    <w:rsid w:val="007753D7"/>
    <w:pPr>
      <w:pBdr>
        <w:top w:val="nil"/>
        <w:left w:val="nil"/>
        <w:bottom w:val="nil"/>
        <w:right w:val="nil"/>
        <w:between w:val="nil"/>
        <w:bar w:val="nil"/>
      </w:pBdr>
      <w:ind w:left="720"/>
    </w:pPr>
    <w:rPr>
      <w:rFonts w:ascii="Cambria" w:eastAsia="Cambria" w:hAnsi="Cambria" w:cs="Cambria"/>
      <w:color w:val="000000"/>
      <w:sz w:val="24"/>
      <w:szCs w:val="24"/>
      <w:u w:color="000000"/>
      <w:bdr w:val="nil"/>
      <w:lang w:eastAsia="es-ES"/>
    </w:rPr>
  </w:style>
  <w:style w:type="numbering" w:customStyle="1" w:styleId="List0">
    <w:name w:val="List 0"/>
    <w:basedOn w:val="Estiloimportado1"/>
    <w:rsid w:val="007753D7"/>
    <w:pPr>
      <w:numPr>
        <w:numId w:val="31"/>
      </w:numPr>
    </w:pPr>
  </w:style>
  <w:style w:type="numbering" w:customStyle="1" w:styleId="Estiloimportado1">
    <w:name w:val="Estilo importado 1"/>
    <w:rsid w:val="007753D7"/>
  </w:style>
  <w:style w:type="numbering" w:customStyle="1" w:styleId="List1">
    <w:name w:val="List 1"/>
    <w:basedOn w:val="Estiloimportado2"/>
    <w:rsid w:val="007753D7"/>
    <w:pPr>
      <w:numPr>
        <w:numId w:val="1"/>
      </w:numPr>
    </w:pPr>
  </w:style>
  <w:style w:type="numbering" w:customStyle="1" w:styleId="Estiloimportado2">
    <w:name w:val="Estilo importado 2"/>
    <w:rsid w:val="007753D7"/>
  </w:style>
  <w:style w:type="numbering" w:customStyle="1" w:styleId="List21">
    <w:name w:val="List 21"/>
    <w:basedOn w:val="Estiloimportado3"/>
    <w:rsid w:val="007753D7"/>
    <w:pPr>
      <w:numPr>
        <w:numId w:val="52"/>
      </w:numPr>
    </w:pPr>
  </w:style>
  <w:style w:type="numbering" w:customStyle="1" w:styleId="Estiloimportado3">
    <w:name w:val="Estilo importado 3"/>
    <w:rsid w:val="007753D7"/>
  </w:style>
  <w:style w:type="numbering" w:customStyle="1" w:styleId="List31">
    <w:name w:val="List 31"/>
    <w:basedOn w:val="Estiloimportado4"/>
    <w:rsid w:val="007753D7"/>
    <w:pPr>
      <w:numPr>
        <w:numId w:val="51"/>
      </w:numPr>
    </w:pPr>
  </w:style>
  <w:style w:type="numbering" w:customStyle="1" w:styleId="Estiloimportado4">
    <w:name w:val="Estilo importado 4"/>
    <w:rsid w:val="007753D7"/>
  </w:style>
  <w:style w:type="numbering" w:customStyle="1" w:styleId="List41">
    <w:name w:val="List 41"/>
    <w:basedOn w:val="Estiloimportado5"/>
    <w:rsid w:val="007753D7"/>
    <w:pPr>
      <w:numPr>
        <w:numId w:val="2"/>
      </w:numPr>
    </w:pPr>
  </w:style>
  <w:style w:type="numbering" w:customStyle="1" w:styleId="Estiloimportado5">
    <w:name w:val="Estilo importado 5"/>
    <w:rsid w:val="007753D7"/>
  </w:style>
  <w:style w:type="numbering" w:customStyle="1" w:styleId="List51">
    <w:name w:val="List 51"/>
    <w:basedOn w:val="Estiloimportado6"/>
    <w:rsid w:val="007753D7"/>
    <w:pPr>
      <w:numPr>
        <w:numId w:val="53"/>
      </w:numPr>
    </w:pPr>
  </w:style>
  <w:style w:type="numbering" w:customStyle="1" w:styleId="Estiloimportado6">
    <w:name w:val="Estilo importado 6"/>
    <w:rsid w:val="007753D7"/>
  </w:style>
  <w:style w:type="numbering" w:customStyle="1" w:styleId="List6">
    <w:name w:val="List 6"/>
    <w:basedOn w:val="Estiloimportado7"/>
    <w:rsid w:val="007753D7"/>
    <w:pPr>
      <w:numPr>
        <w:numId w:val="3"/>
      </w:numPr>
    </w:pPr>
  </w:style>
  <w:style w:type="numbering" w:customStyle="1" w:styleId="Estiloimportado7">
    <w:name w:val="Estilo importado 7"/>
    <w:rsid w:val="007753D7"/>
  </w:style>
  <w:style w:type="numbering" w:customStyle="1" w:styleId="List7">
    <w:name w:val="List 7"/>
    <w:basedOn w:val="Estiloimportado8"/>
    <w:rsid w:val="007753D7"/>
    <w:pPr>
      <w:numPr>
        <w:numId w:val="4"/>
      </w:numPr>
    </w:pPr>
  </w:style>
  <w:style w:type="numbering" w:customStyle="1" w:styleId="Estiloimportado8">
    <w:name w:val="Estilo importado 8"/>
    <w:rsid w:val="007753D7"/>
  </w:style>
  <w:style w:type="numbering" w:customStyle="1" w:styleId="List8">
    <w:name w:val="List 8"/>
    <w:basedOn w:val="Estiloimportado9"/>
    <w:rsid w:val="007753D7"/>
    <w:pPr>
      <w:numPr>
        <w:numId w:val="5"/>
      </w:numPr>
    </w:pPr>
  </w:style>
  <w:style w:type="numbering" w:customStyle="1" w:styleId="Estiloimportado9">
    <w:name w:val="Estilo importado 9"/>
    <w:rsid w:val="007753D7"/>
  </w:style>
  <w:style w:type="numbering" w:customStyle="1" w:styleId="List9">
    <w:name w:val="List 9"/>
    <w:basedOn w:val="Estiloimportado10"/>
    <w:rsid w:val="007753D7"/>
    <w:pPr>
      <w:numPr>
        <w:numId w:val="22"/>
      </w:numPr>
    </w:pPr>
  </w:style>
  <w:style w:type="numbering" w:customStyle="1" w:styleId="Estiloimportado10">
    <w:name w:val="Estilo importado 10"/>
    <w:rsid w:val="007753D7"/>
  </w:style>
  <w:style w:type="numbering" w:customStyle="1" w:styleId="List10">
    <w:name w:val="List 10"/>
    <w:basedOn w:val="Estiloimportado11"/>
    <w:rsid w:val="007753D7"/>
    <w:pPr>
      <w:numPr>
        <w:numId w:val="6"/>
      </w:numPr>
    </w:pPr>
  </w:style>
  <w:style w:type="numbering" w:customStyle="1" w:styleId="Estiloimportado11">
    <w:name w:val="Estilo importado 11"/>
    <w:rsid w:val="007753D7"/>
  </w:style>
  <w:style w:type="numbering" w:customStyle="1" w:styleId="List11">
    <w:name w:val="List 11"/>
    <w:basedOn w:val="Estiloimportado12"/>
    <w:rsid w:val="007753D7"/>
    <w:pPr>
      <w:numPr>
        <w:numId w:val="7"/>
      </w:numPr>
    </w:pPr>
  </w:style>
  <w:style w:type="numbering" w:customStyle="1" w:styleId="Estiloimportado12">
    <w:name w:val="Estilo importado 12"/>
    <w:rsid w:val="007753D7"/>
  </w:style>
  <w:style w:type="numbering" w:customStyle="1" w:styleId="List12">
    <w:name w:val="List 12"/>
    <w:basedOn w:val="Estiloimportado13"/>
    <w:rsid w:val="007753D7"/>
    <w:pPr>
      <w:numPr>
        <w:numId w:val="36"/>
      </w:numPr>
    </w:pPr>
  </w:style>
  <w:style w:type="numbering" w:customStyle="1" w:styleId="Estiloimportado13">
    <w:name w:val="Estilo importado 13"/>
    <w:rsid w:val="007753D7"/>
  </w:style>
  <w:style w:type="numbering" w:customStyle="1" w:styleId="List13">
    <w:name w:val="List 13"/>
    <w:basedOn w:val="Estiloimportado14"/>
    <w:rsid w:val="007753D7"/>
    <w:pPr>
      <w:numPr>
        <w:numId w:val="42"/>
      </w:numPr>
    </w:pPr>
  </w:style>
  <w:style w:type="numbering" w:customStyle="1" w:styleId="Estiloimportado14">
    <w:name w:val="Estilo importado 14"/>
    <w:rsid w:val="007753D7"/>
  </w:style>
  <w:style w:type="numbering" w:customStyle="1" w:styleId="List14">
    <w:name w:val="List 14"/>
    <w:basedOn w:val="Estiloimportado15"/>
    <w:rsid w:val="007753D7"/>
    <w:pPr>
      <w:numPr>
        <w:numId w:val="17"/>
      </w:numPr>
    </w:pPr>
  </w:style>
  <w:style w:type="numbering" w:customStyle="1" w:styleId="Estiloimportado15">
    <w:name w:val="Estilo importado 15"/>
    <w:rsid w:val="007753D7"/>
  </w:style>
  <w:style w:type="numbering" w:customStyle="1" w:styleId="List15">
    <w:name w:val="List 15"/>
    <w:basedOn w:val="Estiloimportado16"/>
    <w:rsid w:val="007753D7"/>
    <w:pPr>
      <w:numPr>
        <w:numId w:val="16"/>
      </w:numPr>
    </w:pPr>
  </w:style>
  <w:style w:type="numbering" w:customStyle="1" w:styleId="Estiloimportado16">
    <w:name w:val="Estilo importado 16"/>
    <w:rsid w:val="007753D7"/>
  </w:style>
  <w:style w:type="numbering" w:customStyle="1" w:styleId="List16">
    <w:name w:val="List 16"/>
    <w:basedOn w:val="Estiloimportado16"/>
    <w:rsid w:val="007753D7"/>
    <w:pPr>
      <w:numPr>
        <w:numId w:val="10"/>
      </w:numPr>
    </w:pPr>
  </w:style>
  <w:style w:type="numbering" w:customStyle="1" w:styleId="List17">
    <w:name w:val="List 17"/>
    <w:basedOn w:val="Estiloimportado17"/>
    <w:rsid w:val="007753D7"/>
    <w:pPr>
      <w:numPr>
        <w:numId w:val="25"/>
      </w:numPr>
    </w:pPr>
  </w:style>
  <w:style w:type="numbering" w:customStyle="1" w:styleId="Estiloimportado17">
    <w:name w:val="Estilo importado 17"/>
    <w:rsid w:val="007753D7"/>
  </w:style>
  <w:style w:type="numbering" w:customStyle="1" w:styleId="List18">
    <w:name w:val="List 18"/>
    <w:basedOn w:val="Estiloimportado18"/>
    <w:rsid w:val="007753D7"/>
    <w:pPr>
      <w:numPr>
        <w:numId w:val="27"/>
      </w:numPr>
    </w:pPr>
  </w:style>
  <w:style w:type="numbering" w:customStyle="1" w:styleId="Estiloimportado18">
    <w:name w:val="Estilo importado 18"/>
    <w:rsid w:val="007753D7"/>
  </w:style>
  <w:style w:type="numbering" w:customStyle="1" w:styleId="List19">
    <w:name w:val="List 19"/>
    <w:basedOn w:val="Estiloimportado10"/>
    <w:rsid w:val="007753D7"/>
    <w:pPr>
      <w:numPr>
        <w:numId w:val="19"/>
      </w:numPr>
    </w:pPr>
  </w:style>
  <w:style w:type="numbering" w:customStyle="1" w:styleId="List20">
    <w:name w:val="List 20"/>
    <w:basedOn w:val="Estiloimportado12"/>
    <w:rsid w:val="007753D7"/>
    <w:pPr>
      <w:numPr>
        <w:numId w:val="43"/>
      </w:numPr>
    </w:pPr>
  </w:style>
  <w:style w:type="numbering" w:customStyle="1" w:styleId="List211">
    <w:name w:val="List 211"/>
    <w:basedOn w:val="Estiloimportado19"/>
    <w:rsid w:val="007753D7"/>
    <w:pPr>
      <w:numPr>
        <w:numId w:val="38"/>
      </w:numPr>
    </w:pPr>
  </w:style>
  <w:style w:type="numbering" w:customStyle="1" w:styleId="Estiloimportado19">
    <w:name w:val="Estilo importado 19"/>
    <w:rsid w:val="007753D7"/>
  </w:style>
  <w:style w:type="numbering" w:customStyle="1" w:styleId="List22">
    <w:name w:val="List 22"/>
    <w:basedOn w:val="Estiloimportado19"/>
    <w:rsid w:val="007753D7"/>
    <w:pPr>
      <w:numPr>
        <w:numId w:val="28"/>
      </w:numPr>
    </w:pPr>
  </w:style>
  <w:style w:type="numbering" w:customStyle="1" w:styleId="List23">
    <w:name w:val="List 23"/>
    <w:basedOn w:val="Estiloimportado19"/>
    <w:rsid w:val="007753D7"/>
    <w:pPr>
      <w:numPr>
        <w:numId w:val="18"/>
      </w:numPr>
    </w:pPr>
  </w:style>
  <w:style w:type="numbering" w:customStyle="1" w:styleId="List24">
    <w:name w:val="List 24"/>
    <w:basedOn w:val="Estiloimportado20"/>
    <w:rsid w:val="007753D7"/>
    <w:pPr>
      <w:numPr>
        <w:numId w:val="13"/>
      </w:numPr>
    </w:pPr>
  </w:style>
  <w:style w:type="numbering" w:customStyle="1" w:styleId="Estiloimportado20">
    <w:name w:val="Estilo importado 20"/>
    <w:rsid w:val="007753D7"/>
  </w:style>
  <w:style w:type="numbering" w:customStyle="1" w:styleId="List25">
    <w:name w:val="List 25"/>
    <w:basedOn w:val="Estiloimportado21"/>
    <w:rsid w:val="007753D7"/>
    <w:pPr>
      <w:numPr>
        <w:numId w:val="15"/>
      </w:numPr>
    </w:pPr>
  </w:style>
  <w:style w:type="numbering" w:customStyle="1" w:styleId="Estiloimportado21">
    <w:name w:val="Estilo importado 21"/>
    <w:rsid w:val="007753D7"/>
  </w:style>
  <w:style w:type="numbering" w:customStyle="1" w:styleId="List26">
    <w:name w:val="List 26"/>
    <w:basedOn w:val="Estiloimportado22"/>
    <w:rsid w:val="007753D7"/>
    <w:pPr>
      <w:numPr>
        <w:numId w:val="49"/>
      </w:numPr>
    </w:pPr>
  </w:style>
  <w:style w:type="numbering" w:customStyle="1" w:styleId="Estiloimportado22">
    <w:name w:val="Estilo importado 22"/>
    <w:rsid w:val="007753D7"/>
  </w:style>
  <w:style w:type="numbering" w:customStyle="1" w:styleId="List27">
    <w:name w:val="List 27"/>
    <w:basedOn w:val="Estiloimportado23"/>
    <w:rsid w:val="007753D7"/>
    <w:pPr>
      <w:numPr>
        <w:numId w:val="41"/>
      </w:numPr>
    </w:pPr>
  </w:style>
  <w:style w:type="numbering" w:customStyle="1" w:styleId="Estiloimportado23">
    <w:name w:val="Estilo importado 23"/>
    <w:rsid w:val="007753D7"/>
  </w:style>
  <w:style w:type="numbering" w:customStyle="1" w:styleId="List28">
    <w:name w:val="List 28"/>
    <w:basedOn w:val="Estiloimportado24"/>
    <w:rsid w:val="007753D7"/>
    <w:pPr>
      <w:numPr>
        <w:numId w:val="30"/>
      </w:numPr>
    </w:pPr>
  </w:style>
  <w:style w:type="numbering" w:customStyle="1" w:styleId="Estiloimportado24">
    <w:name w:val="Estilo importado 24"/>
    <w:rsid w:val="007753D7"/>
  </w:style>
  <w:style w:type="numbering" w:customStyle="1" w:styleId="List29">
    <w:name w:val="List 29"/>
    <w:basedOn w:val="Estiloimportado25"/>
    <w:rsid w:val="007753D7"/>
    <w:pPr>
      <w:numPr>
        <w:numId w:val="34"/>
      </w:numPr>
    </w:pPr>
  </w:style>
  <w:style w:type="numbering" w:customStyle="1" w:styleId="Estiloimportado25">
    <w:name w:val="Estilo importado 25"/>
    <w:rsid w:val="007753D7"/>
  </w:style>
  <w:style w:type="numbering" w:customStyle="1" w:styleId="List30">
    <w:name w:val="List 30"/>
    <w:basedOn w:val="Estiloimportado26"/>
    <w:rsid w:val="007753D7"/>
    <w:pPr>
      <w:numPr>
        <w:numId w:val="32"/>
      </w:numPr>
    </w:pPr>
  </w:style>
  <w:style w:type="numbering" w:customStyle="1" w:styleId="Estiloimportado26">
    <w:name w:val="Estilo importado 26"/>
    <w:rsid w:val="007753D7"/>
  </w:style>
  <w:style w:type="numbering" w:customStyle="1" w:styleId="List311">
    <w:name w:val="List 311"/>
    <w:basedOn w:val="Estiloimportado27"/>
    <w:rsid w:val="007753D7"/>
    <w:pPr>
      <w:numPr>
        <w:numId w:val="45"/>
      </w:numPr>
    </w:pPr>
  </w:style>
  <w:style w:type="numbering" w:customStyle="1" w:styleId="Estiloimportado27">
    <w:name w:val="Estilo importado 27"/>
    <w:rsid w:val="007753D7"/>
  </w:style>
  <w:style w:type="numbering" w:customStyle="1" w:styleId="List32">
    <w:name w:val="List 32"/>
    <w:basedOn w:val="Estiloimportado28"/>
    <w:rsid w:val="007753D7"/>
    <w:pPr>
      <w:numPr>
        <w:numId w:val="48"/>
      </w:numPr>
    </w:pPr>
  </w:style>
  <w:style w:type="numbering" w:customStyle="1" w:styleId="Estiloimportado28">
    <w:name w:val="Estilo importado 28"/>
    <w:rsid w:val="007753D7"/>
  </w:style>
  <w:style w:type="paragraph" w:styleId="Textonotapie">
    <w:name w:val="footnote text"/>
    <w:aliases w:val="Footnote Text Char Char Char Char Char,Footnote Text Char Char Char Char,FA Fu,Footnote reference,Footnote Text Char Char Char,FA Fußnotentext,FA Fuﬂnotentext,Texto nota pie Car,Footnote Text Cha,Footnote Text Char Char,footnote text,Ca"/>
    <w:link w:val="TextonotapieCar2"/>
    <w:uiPriority w:val="99"/>
    <w:qFormat/>
    <w:rsid w:val="007753D7"/>
    <w:pPr>
      <w:pBdr>
        <w:top w:val="nil"/>
        <w:left w:val="nil"/>
        <w:bottom w:val="nil"/>
        <w:right w:val="nil"/>
        <w:between w:val="nil"/>
        <w:bar w:val="nil"/>
      </w:pBdr>
    </w:pPr>
    <w:rPr>
      <w:rFonts w:ascii="Calibri" w:eastAsia="Calibri" w:hAnsi="Calibri" w:cs="Calibri"/>
      <w:color w:val="000000"/>
      <w:u w:color="000000"/>
      <w:bdr w:val="nil"/>
      <w:lang w:eastAsia="es-ES"/>
    </w:rPr>
  </w:style>
  <w:style w:type="numbering" w:customStyle="1" w:styleId="List33">
    <w:name w:val="List 33"/>
    <w:basedOn w:val="Estiloimportado29"/>
    <w:rsid w:val="007753D7"/>
    <w:pPr>
      <w:numPr>
        <w:numId w:val="26"/>
      </w:numPr>
    </w:pPr>
  </w:style>
  <w:style w:type="numbering" w:customStyle="1" w:styleId="Estiloimportado29">
    <w:name w:val="Estilo importado 29"/>
    <w:rsid w:val="007753D7"/>
  </w:style>
  <w:style w:type="numbering" w:customStyle="1" w:styleId="List34">
    <w:name w:val="List 34"/>
    <w:basedOn w:val="Estiloimportado30"/>
    <w:rsid w:val="007753D7"/>
    <w:pPr>
      <w:numPr>
        <w:numId w:val="11"/>
      </w:numPr>
    </w:pPr>
  </w:style>
  <w:style w:type="numbering" w:customStyle="1" w:styleId="Estiloimportado30">
    <w:name w:val="Estilo importado 30"/>
    <w:rsid w:val="007753D7"/>
  </w:style>
  <w:style w:type="numbering" w:customStyle="1" w:styleId="List35">
    <w:name w:val="List 35"/>
    <w:basedOn w:val="Estiloimportado31"/>
    <w:rsid w:val="007753D7"/>
    <w:pPr>
      <w:numPr>
        <w:numId w:val="8"/>
      </w:numPr>
    </w:pPr>
  </w:style>
  <w:style w:type="numbering" w:customStyle="1" w:styleId="Estiloimportado31">
    <w:name w:val="Estilo importado 31"/>
    <w:rsid w:val="007753D7"/>
  </w:style>
  <w:style w:type="numbering" w:customStyle="1" w:styleId="List36">
    <w:name w:val="List 36"/>
    <w:basedOn w:val="Estiloimportado32"/>
    <w:rsid w:val="007753D7"/>
    <w:pPr>
      <w:numPr>
        <w:numId w:val="14"/>
      </w:numPr>
    </w:pPr>
  </w:style>
  <w:style w:type="numbering" w:customStyle="1" w:styleId="Estiloimportado32">
    <w:name w:val="Estilo importado 32"/>
    <w:rsid w:val="007753D7"/>
  </w:style>
  <w:style w:type="numbering" w:customStyle="1" w:styleId="List37">
    <w:name w:val="List 37"/>
    <w:basedOn w:val="Estiloimportado33"/>
    <w:rsid w:val="007753D7"/>
    <w:pPr>
      <w:numPr>
        <w:numId w:val="47"/>
      </w:numPr>
    </w:pPr>
  </w:style>
  <w:style w:type="numbering" w:customStyle="1" w:styleId="Estiloimportado33">
    <w:name w:val="Estilo importado 33"/>
    <w:rsid w:val="007753D7"/>
  </w:style>
  <w:style w:type="numbering" w:customStyle="1" w:styleId="List38">
    <w:name w:val="List 38"/>
    <w:basedOn w:val="Estiloimportado34"/>
    <w:rsid w:val="007753D7"/>
    <w:pPr>
      <w:numPr>
        <w:numId w:val="35"/>
      </w:numPr>
    </w:pPr>
  </w:style>
  <w:style w:type="numbering" w:customStyle="1" w:styleId="Estiloimportado34">
    <w:name w:val="Estilo importado 34"/>
    <w:rsid w:val="007753D7"/>
  </w:style>
  <w:style w:type="numbering" w:customStyle="1" w:styleId="List39">
    <w:name w:val="List 39"/>
    <w:basedOn w:val="Estiloimportado35"/>
    <w:rsid w:val="007753D7"/>
    <w:pPr>
      <w:numPr>
        <w:numId w:val="46"/>
      </w:numPr>
    </w:pPr>
  </w:style>
  <w:style w:type="numbering" w:customStyle="1" w:styleId="Estiloimportado35">
    <w:name w:val="Estilo importado 35"/>
    <w:rsid w:val="007753D7"/>
  </w:style>
  <w:style w:type="numbering" w:customStyle="1" w:styleId="List40">
    <w:name w:val="List 40"/>
    <w:basedOn w:val="Estiloimportado36"/>
    <w:rsid w:val="007753D7"/>
    <w:pPr>
      <w:numPr>
        <w:numId w:val="21"/>
      </w:numPr>
    </w:pPr>
  </w:style>
  <w:style w:type="numbering" w:customStyle="1" w:styleId="Estiloimportado36">
    <w:name w:val="Estilo importado 36"/>
    <w:rsid w:val="007753D7"/>
  </w:style>
  <w:style w:type="numbering" w:customStyle="1" w:styleId="List411">
    <w:name w:val="List 411"/>
    <w:basedOn w:val="Estiloimportado37"/>
    <w:rsid w:val="007753D7"/>
    <w:pPr>
      <w:numPr>
        <w:numId w:val="44"/>
      </w:numPr>
    </w:pPr>
  </w:style>
  <w:style w:type="numbering" w:customStyle="1" w:styleId="Estiloimportado37">
    <w:name w:val="Estilo importado 37"/>
    <w:rsid w:val="007753D7"/>
  </w:style>
  <w:style w:type="numbering" w:customStyle="1" w:styleId="List42">
    <w:name w:val="List 42"/>
    <w:basedOn w:val="Estiloimportado12"/>
    <w:rsid w:val="007753D7"/>
    <w:pPr>
      <w:numPr>
        <w:numId w:val="12"/>
      </w:numPr>
    </w:pPr>
  </w:style>
  <w:style w:type="numbering" w:customStyle="1" w:styleId="List43">
    <w:name w:val="List 43"/>
    <w:basedOn w:val="Estiloimportado38"/>
    <w:rsid w:val="007753D7"/>
    <w:pPr>
      <w:numPr>
        <w:numId w:val="23"/>
      </w:numPr>
    </w:pPr>
  </w:style>
  <w:style w:type="numbering" w:customStyle="1" w:styleId="Estiloimportado38">
    <w:name w:val="Estilo importado 38"/>
    <w:rsid w:val="007753D7"/>
  </w:style>
  <w:style w:type="numbering" w:customStyle="1" w:styleId="List44">
    <w:name w:val="List 44"/>
    <w:basedOn w:val="Estiloimportado39"/>
    <w:rsid w:val="007753D7"/>
    <w:pPr>
      <w:numPr>
        <w:numId w:val="40"/>
      </w:numPr>
    </w:pPr>
  </w:style>
  <w:style w:type="numbering" w:customStyle="1" w:styleId="Estiloimportado39">
    <w:name w:val="Estilo importado 39"/>
    <w:rsid w:val="007753D7"/>
  </w:style>
  <w:style w:type="numbering" w:customStyle="1" w:styleId="List45">
    <w:name w:val="List 45"/>
    <w:basedOn w:val="Estiloimportado40"/>
    <w:rsid w:val="007753D7"/>
    <w:pPr>
      <w:numPr>
        <w:numId w:val="20"/>
      </w:numPr>
    </w:pPr>
  </w:style>
  <w:style w:type="numbering" w:customStyle="1" w:styleId="Estiloimportado40">
    <w:name w:val="Estilo importado 40"/>
    <w:rsid w:val="007753D7"/>
  </w:style>
  <w:style w:type="numbering" w:customStyle="1" w:styleId="List46">
    <w:name w:val="List 46"/>
    <w:basedOn w:val="Estiloimportado41"/>
    <w:rsid w:val="007753D7"/>
    <w:pPr>
      <w:numPr>
        <w:numId w:val="24"/>
      </w:numPr>
    </w:pPr>
  </w:style>
  <w:style w:type="numbering" w:customStyle="1" w:styleId="Estiloimportado41">
    <w:name w:val="Estilo importado 41"/>
    <w:rsid w:val="007753D7"/>
  </w:style>
  <w:style w:type="numbering" w:customStyle="1" w:styleId="List47">
    <w:name w:val="List 47"/>
    <w:basedOn w:val="Estiloimportado42"/>
    <w:rsid w:val="007753D7"/>
    <w:pPr>
      <w:numPr>
        <w:numId w:val="29"/>
      </w:numPr>
    </w:pPr>
  </w:style>
  <w:style w:type="numbering" w:customStyle="1" w:styleId="Estiloimportado42">
    <w:name w:val="Estilo importado 42"/>
    <w:rsid w:val="007753D7"/>
  </w:style>
  <w:style w:type="numbering" w:customStyle="1" w:styleId="List48">
    <w:name w:val="List 48"/>
    <w:basedOn w:val="Estiloimportado43"/>
    <w:rsid w:val="007753D7"/>
    <w:pPr>
      <w:numPr>
        <w:numId w:val="50"/>
      </w:numPr>
    </w:pPr>
  </w:style>
  <w:style w:type="numbering" w:customStyle="1" w:styleId="Estiloimportado43">
    <w:name w:val="Estilo importado 43"/>
    <w:rsid w:val="007753D7"/>
  </w:style>
  <w:style w:type="numbering" w:customStyle="1" w:styleId="List49">
    <w:name w:val="List 49"/>
    <w:basedOn w:val="Estiloimportado44"/>
    <w:rsid w:val="007753D7"/>
    <w:pPr>
      <w:numPr>
        <w:numId w:val="39"/>
      </w:numPr>
    </w:pPr>
  </w:style>
  <w:style w:type="numbering" w:customStyle="1" w:styleId="Estiloimportado44">
    <w:name w:val="Estilo importado 44"/>
    <w:rsid w:val="007753D7"/>
  </w:style>
  <w:style w:type="numbering" w:customStyle="1" w:styleId="List50">
    <w:name w:val="List 50"/>
    <w:basedOn w:val="Estiloimportado45"/>
    <w:rsid w:val="007753D7"/>
    <w:pPr>
      <w:numPr>
        <w:numId w:val="37"/>
      </w:numPr>
    </w:pPr>
  </w:style>
  <w:style w:type="numbering" w:customStyle="1" w:styleId="Estiloimportado45">
    <w:name w:val="Estilo importado 45"/>
    <w:rsid w:val="007753D7"/>
  </w:style>
  <w:style w:type="numbering" w:customStyle="1" w:styleId="List511">
    <w:name w:val="List 511"/>
    <w:basedOn w:val="Estiloimportado46"/>
    <w:rsid w:val="007753D7"/>
    <w:pPr>
      <w:numPr>
        <w:numId w:val="33"/>
      </w:numPr>
    </w:pPr>
  </w:style>
  <w:style w:type="numbering" w:customStyle="1" w:styleId="Estiloimportado46">
    <w:name w:val="Estilo importado 46"/>
    <w:rsid w:val="007753D7"/>
  </w:style>
  <w:style w:type="numbering" w:customStyle="1" w:styleId="List52">
    <w:name w:val="List 52"/>
    <w:basedOn w:val="Estiloimportado1"/>
    <w:rsid w:val="007753D7"/>
    <w:pPr>
      <w:numPr>
        <w:numId w:val="9"/>
      </w:numPr>
    </w:pPr>
  </w:style>
  <w:style w:type="paragraph" w:styleId="Textodeglobo">
    <w:name w:val="Balloon Text"/>
    <w:basedOn w:val="Normal"/>
    <w:link w:val="TextodegloboCar"/>
    <w:semiHidden/>
    <w:unhideWhenUsed/>
    <w:rsid w:val="009B381B"/>
    <w:rPr>
      <w:rFonts w:ascii="Tahoma" w:hAnsi="Tahoma" w:cs="Tahoma"/>
      <w:sz w:val="16"/>
      <w:szCs w:val="16"/>
    </w:rPr>
  </w:style>
  <w:style w:type="character" w:customStyle="1" w:styleId="TextodegloboCar">
    <w:name w:val="Texto de globo Car"/>
    <w:link w:val="Textodeglobo"/>
    <w:semiHidden/>
    <w:rsid w:val="009B381B"/>
    <w:rPr>
      <w:rFonts w:ascii="Tahoma" w:hAnsi="Tahoma" w:cs="Tahoma"/>
      <w:sz w:val="16"/>
      <w:szCs w:val="16"/>
      <w:lang w:val="en-US" w:eastAsia="en-US"/>
    </w:rPr>
  </w:style>
  <w:style w:type="paragraph" w:styleId="Encabezado">
    <w:name w:val="header"/>
    <w:aliases w:val="encabezado"/>
    <w:basedOn w:val="Normal"/>
    <w:link w:val="EncabezadoCar"/>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link w:val="Encabezado"/>
    <w:rsid w:val="00D81D92"/>
    <w:rPr>
      <w:rFonts w:ascii="Univers" w:eastAsia="Times New Roman" w:hAnsi="Univers" w:cs="Univers"/>
      <w:sz w:val="24"/>
      <w:szCs w:val="24"/>
      <w:bdr w:val="none" w:sz="0" w:space="0" w:color="auto"/>
      <w:lang w:val="en-US" w:eastAsia="en-US"/>
    </w:rPr>
  </w:style>
  <w:style w:type="character" w:customStyle="1" w:styleId="Ttulo1Car">
    <w:name w:val="Título 1 Car"/>
    <w:link w:val="Ttulo1"/>
    <w:rsid w:val="00E24E60"/>
    <w:rPr>
      <w:rFonts w:ascii="Cambria" w:eastAsia="Times New Roman" w:hAnsi="Cambria"/>
      <w:b/>
      <w:lang w:val="es-ES_tradnl"/>
    </w:rPr>
  </w:style>
  <w:style w:type="table" w:styleId="Sombreadomedio1-nfasis2">
    <w:name w:val="Medium Shading 1 Accent 2"/>
    <w:basedOn w:val="Tablanormal"/>
    <w:uiPriority w:val="63"/>
    <w:rsid w:val="006A17D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5C4225"/>
    <w:pPr>
      <w:tabs>
        <w:tab w:val="left" w:pos="1440"/>
        <w:tab w:val="right" w:leader="dot" w:pos="9350"/>
      </w:tabs>
      <w:spacing w:after="100"/>
      <w:ind w:left="1440" w:hanging="720"/>
    </w:pPr>
  </w:style>
  <w:style w:type="paragraph" w:styleId="TDC1">
    <w:name w:val="toc 1"/>
    <w:basedOn w:val="Normal"/>
    <w:next w:val="Normal"/>
    <w:autoRedefine/>
    <w:uiPriority w:val="39"/>
    <w:unhideWhenUsed/>
    <w:rsid w:val="005C4225"/>
    <w:pPr>
      <w:spacing w:after="100"/>
    </w:pPr>
    <w:rPr>
      <w:rFonts w:ascii="Calibri" w:hAnsi="Calibri"/>
      <w:sz w:val="22"/>
    </w:rPr>
  </w:style>
  <w:style w:type="paragraph" w:styleId="TDC3">
    <w:name w:val="toc 3"/>
    <w:basedOn w:val="Normal"/>
    <w:next w:val="Normal"/>
    <w:autoRedefine/>
    <w:uiPriority w:val="39"/>
    <w:unhideWhenUsed/>
    <w:rsid w:val="005C4225"/>
    <w:pPr>
      <w:tabs>
        <w:tab w:val="left" w:pos="880"/>
        <w:tab w:val="right" w:leader="dot" w:pos="9350"/>
      </w:tabs>
      <w:spacing w:after="100"/>
      <w:ind w:left="2160" w:hanging="720"/>
    </w:pPr>
  </w:style>
  <w:style w:type="paragraph" w:styleId="TDC4">
    <w:name w:val="toc 4"/>
    <w:basedOn w:val="Normal"/>
    <w:next w:val="Normal"/>
    <w:autoRedefine/>
    <w:unhideWhenUsed/>
    <w:rsid w:val="005C4225"/>
    <w:pPr>
      <w:spacing w:after="100"/>
      <w:ind w:left="720"/>
    </w:pPr>
  </w:style>
  <w:style w:type="character" w:styleId="Nmerodepgina">
    <w:name w:val="page number"/>
    <w:basedOn w:val="Fuentedeprrafopredeter"/>
    <w:rsid w:val="00040C3A"/>
  </w:style>
  <w:style w:type="character" w:customStyle="1" w:styleId="PiedepginaCar">
    <w:name w:val="Pie de página Car"/>
    <w:link w:val="Piedepgina"/>
    <w:rsid w:val="00A50FCF"/>
    <w:rPr>
      <w:rFonts w:ascii="Cambria" w:eastAsia="Cambria" w:hAnsi="Cambria" w:cs="Cambria"/>
      <w:color w:val="000000"/>
      <w:sz w:val="24"/>
      <w:szCs w:val="24"/>
      <w:u w:color="000000"/>
      <w:lang w:val="en-US"/>
    </w:rPr>
  </w:style>
  <w:style w:type="character" w:customStyle="1" w:styleId="Ttulo3Car">
    <w:name w:val="Título 3 Car"/>
    <w:link w:val="Ttulo3"/>
    <w:rsid w:val="004B316C"/>
    <w:rPr>
      <w:rFonts w:ascii="Cambria" w:eastAsia="Times New Roman" w:hAnsi="Cambria" w:cs="Times New Roman"/>
      <w:b/>
      <w:bCs/>
      <w:color w:val="4F81BD"/>
      <w:sz w:val="24"/>
      <w:szCs w:val="24"/>
      <w:lang w:val="en-US" w:eastAsia="en-US"/>
    </w:rPr>
  </w:style>
  <w:style w:type="character" w:customStyle="1" w:styleId="Ttulo2Car">
    <w:name w:val="Título 2 Car"/>
    <w:link w:val="Ttulo2"/>
    <w:rsid w:val="00E24E60"/>
    <w:rPr>
      <w:rFonts w:ascii="Cambria" w:eastAsia="Times New Roman" w:hAnsi="Cambria"/>
      <w:b/>
      <w:bdr w:val="none" w:sz="0" w:space="0" w:color="auto"/>
      <w:lang w:val="es-ES_tradnl" w:eastAsia="en-US"/>
    </w:rPr>
  </w:style>
  <w:style w:type="character" w:customStyle="1" w:styleId="Ttulo4Car">
    <w:name w:val="Título 4 Car"/>
    <w:link w:val="Ttulo4"/>
    <w:rsid w:val="004B316C"/>
    <w:rPr>
      <w:rFonts w:ascii="Arial" w:eastAsia="Times New Roman" w:hAnsi="Arial"/>
      <w:b/>
      <w:sz w:val="24"/>
      <w:bdr w:val="none" w:sz="0" w:space="0" w:color="auto"/>
      <w:lang w:val="en-US" w:eastAsia="en-US"/>
    </w:rPr>
  </w:style>
  <w:style w:type="character" w:customStyle="1" w:styleId="Ttulo5Car">
    <w:name w:val="Título 5 Car"/>
    <w:link w:val="Ttulo5"/>
    <w:rsid w:val="004B316C"/>
    <w:rPr>
      <w:rFonts w:eastAsia="Times New Roman"/>
      <w:sz w:val="22"/>
      <w:bdr w:val="none" w:sz="0" w:space="0" w:color="auto"/>
      <w:lang w:val="en-US" w:eastAsia="en-US"/>
    </w:rPr>
  </w:style>
  <w:style w:type="character" w:customStyle="1" w:styleId="Ttulo6Car">
    <w:name w:val="Título 6 Car"/>
    <w:link w:val="Ttulo6"/>
    <w:rsid w:val="004B316C"/>
    <w:rPr>
      <w:rFonts w:eastAsia="Times New Roman"/>
      <w:i/>
      <w:sz w:val="22"/>
      <w:bdr w:val="none" w:sz="0" w:space="0" w:color="auto"/>
      <w:lang w:val="en-US" w:eastAsia="en-US"/>
    </w:rPr>
  </w:style>
  <w:style w:type="character" w:customStyle="1" w:styleId="Ttulo7Car">
    <w:name w:val="Título 7 Car"/>
    <w:link w:val="Ttulo7"/>
    <w:rsid w:val="004B316C"/>
    <w:rPr>
      <w:rFonts w:ascii="Arial" w:eastAsia="Times New Roman" w:hAnsi="Arial"/>
      <w:bdr w:val="none" w:sz="0" w:space="0" w:color="auto"/>
      <w:lang w:val="en-US" w:eastAsia="en-US"/>
    </w:rPr>
  </w:style>
  <w:style w:type="character" w:customStyle="1" w:styleId="Ttulo8Car">
    <w:name w:val="Título 8 Car"/>
    <w:link w:val="Ttulo8"/>
    <w:rsid w:val="004B316C"/>
    <w:rPr>
      <w:rFonts w:ascii="Arial" w:eastAsia="Times New Roman" w:hAnsi="Arial"/>
      <w:i/>
      <w:bdr w:val="none" w:sz="0" w:space="0" w:color="auto"/>
      <w:lang w:val="en-US" w:eastAsia="en-US"/>
    </w:rPr>
  </w:style>
  <w:style w:type="character" w:customStyle="1" w:styleId="Ttulo9Car">
    <w:name w:val="Título 9 Car"/>
    <w:link w:val="Ttulo9"/>
    <w:rsid w:val="004B316C"/>
    <w:rPr>
      <w:rFonts w:ascii="Arial" w:eastAsia="Times New Roman" w:hAnsi="Arial"/>
      <w:b/>
      <w:i/>
      <w:sz w:val="18"/>
      <w:bdr w:val="none" w:sz="0" w:space="0" w:color="auto"/>
      <w:lang w:val="en-US" w:eastAsia="en-US"/>
    </w:rPr>
  </w:style>
  <w:style w:type="numbering" w:customStyle="1" w:styleId="NoList1">
    <w:name w:val="No List1"/>
    <w:next w:val="Sinlista"/>
    <w:semiHidden/>
    <w:unhideWhenUsed/>
    <w:rsid w:val="004B316C"/>
  </w:style>
  <w:style w:type="character" w:customStyle="1" w:styleId="SangradetextonormalCar">
    <w:name w:val="Sangría de texto normal Car"/>
    <w:link w:val="Sangradetextonormal"/>
    <w:rsid w:val="004B316C"/>
    <w:rPr>
      <w:rFonts w:eastAsia="Times New Roman"/>
      <w:color w:val="000000"/>
      <w:sz w:val="24"/>
      <w:szCs w:val="24"/>
      <w:u w:color="000000"/>
      <w:lang w:val="es-ES_tradnl"/>
    </w:rPr>
  </w:style>
  <w:style w:type="character" w:customStyle="1" w:styleId="TextonotapieCar2">
    <w:name w:val="Texto nota pie Car2"/>
    <w:aliases w:val="Footnote Text Char Char Char Char Char Car1,Footnote Text Char Char Char Char Car1,FA Fu Car1,Footnote reference Car1,Footnote Text Char Char Char Car1,FA Fußnotentext Car1,FA Fuﬂnotentext Car,Texto nota pie Car Car1,Ca Car"/>
    <w:link w:val="Textonotapie"/>
    <w:uiPriority w:val="99"/>
    <w:qFormat/>
    <w:rsid w:val="004B316C"/>
    <w:rPr>
      <w:rFonts w:ascii="Calibri" w:eastAsia="Calibri" w:hAnsi="Calibri" w:cs="Calibri"/>
      <w:color w:val="000000"/>
      <w:u w:color="000000"/>
      <w:lang w:val="en-US"/>
    </w:rPr>
  </w:style>
  <w:style w:type="character" w:styleId="Refdenotaalpie">
    <w:name w:val="footnote reference"/>
    <w:aliases w:val="Footnotes refss,Texto de nota al pie,Appel note de bas de page,Footnote number,referencia nota al pie,BVI fnr,f,Ref. de nota al pie.,Footnote symbol,Footnote,4_G,16 Point,Superscript 6 Point,Texto nota al pie,Ref. de nota al pi,Ref,R"/>
    <w:qFormat/>
    <w:rsid w:val="004B316C"/>
    <w:rPr>
      <w:rFonts w:ascii="Verdana" w:hAnsi="Verdana"/>
      <w:sz w:val="22"/>
      <w:vertAlign w:val="superscript"/>
    </w:rPr>
  </w:style>
  <w:style w:type="character" w:customStyle="1" w:styleId="Style">
    <w:name w:val="Style"/>
    <w:rsid w:val="004B316C"/>
    <w:rPr>
      <w:rFonts w:ascii="Times New Roman" w:hAnsi="Times New Roman"/>
      <w:sz w:val="22"/>
      <w:vertAlign w:val="superscript"/>
    </w:rPr>
  </w:style>
  <w:style w:type="paragraph" w:customStyle="1" w:styleId="Style1">
    <w:name w:val="Style1"/>
    <w:basedOn w:val="Textonotapie"/>
    <w:autoRedefine/>
    <w:rsid w:val="004B316C"/>
    <w:p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ascii="Univers" w:eastAsia="Times New Roman" w:hAnsi="Univers" w:cs="Times New Roman"/>
      <w:color w:val="auto"/>
      <w:sz w:val="16"/>
      <w:szCs w:val="16"/>
      <w:bdr w:val="none" w:sz="0" w:space="0" w:color="auto"/>
      <w:lang w:val="es-PY" w:eastAsia="en-US"/>
    </w:rPr>
  </w:style>
  <w:style w:type="paragraph" w:customStyle="1" w:styleId="Style10">
    <w:name w:val="Style 1"/>
    <w:basedOn w:val="Normal"/>
    <w:uiPriority w:val="99"/>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96" w:line="408" w:lineRule="atLeast"/>
      <w:jc w:val="both"/>
    </w:pPr>
    <w:rPr>
      <w:rFonts w:eastAsia="Times New Roman"/>
      <w:bdr w:val="none" w:sz="0" w:space="0" w:color="auto"/>
    </w:rPr>
  </w:style>
  <w:style w:type="paragraph" w:customStyle="1" w:styleId="Style4">
    <w:name w:val="Style 4"/>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408" w:lineRule="atLeast"/>
      <w:jc w:val="both"/>
    </w:pPr>
    <w:rPr>
      <w:rFonts w:eastAsia="Times New Roman"/>
      <w:bdr w:val="none" w:sz="0" w:space="0" w:color="auto"/>
    </w:rPr>
  </w:style>
  <w:style w:type="paragraph" w:customStyle="1" w:styleId="Style31">
    <w:name w:val="Style 31"/>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3204" w:line="1116" w:lineRule="exact"/>
      <w:jc w:val="center"/>
    </w:pPr>
    <w:rPr>
      <w:rFonts w:eastAsia="Times New Roman"/>
      <w:bdr w:val="none" w:sz="0" w:space="0" w:color="auto"/>
    </w:rPr>
  </w:style>
  <w:style w:type="paragraph" w:customStyle="1" w:styleId="Style36">
    <w:name w:val="Style 36"/>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60" w:line="384" w:lineRule="atLeast"/>
      <w:ind w:right="72"/>
      <w:jc w:val="both"/>
    </w:pPr>
    <w:rPr>
      <w:rFonts w:eastAsia="Times New Roman"/>
      <w:bdr w:val="none" w:sz="0" w:space="0" w:color="auto"/>
    </w:rPr>
  </w:style>
  <w:style w:type="paragraph" w:customStyle="1" w:styleId="Style11">
    <w:name w:val="Style 11"/>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60" w:line="360" w:lineRule="auto"/>
      <w:jc w:val="both"/>
    </w:pPr>
    <w:rPr>
      <w:rFonts w:eastAsia="Times New Roman"/>
      <w:bdr w:val="none" w:sz="0" w:space="0" w:color="auto"/>
    </w:rPr>
  </w:style>
  <w:style w:type="paragraph" w:customStyle="1" w:styleId="Style14">
    <w:name w:val="Style 14"/>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60" w:line="384" w:lineRule="atLeast"/>
      <w:ind w:left="504" w:right="72" w:hanging="504"/>
      <w:jc w:val="both"/>
    </w:pPr>
    <w:rPr>
      <w:rFonts w:eastAsia="Times New Roman"/>
      <w:bdr w:val="none" w:sz="0" w:space="0" w:color="auto"/>
    </w:rPr>
  </w:style>
  <w:style w:type="paragraph" w:customStyle="1" w:styleId="Style27">
    <w:name w:val="Style 27"/>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96" w:line="360" w:lineRule="auto"/>
      <w:ind w:left="360" w:hanging="360"/>
      <w:jc w:val="both"/>
    </w:pPr>
    <w:rPr>
      <w:rFonts w:eastAsia="Times New Roman"/>
      <w:bdr w:val="none" w:sz="0" w:space="0" w:color="auto"/>
    </w:rPr>
  </w:style>
  <w:style w:type="paragraph" w:customStyle="1" w:styleId="Style16">
    <w:name w:val="Style 16"/>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360" w:hanging="360"/>
      <w:jc w:val="both"/>
    </w:pPr>
    <w:rPr>
      <w:rFonts w:eastAsia="Times New Roman"/>
      <w:bdr w:val="none" w:sz="0" w:space="0" w:color="auto"/>
    </w:rPr>
  </w:style>
  <w:style w:type="paragraph" w:customStyle="1" w:styleId="Style17">
    <w:name w:val="Style 17"/>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bdr w:val="none" w:sz="0" w:space="0" w:color="auto"/>
    </w:rPr>
  </w:style>
  <w:style w:type="paragraph" w:customStyle="1" w:styleId="Style19">
    <w:name w:val="Style 19"/>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360" w:lineRule="auto"/>
      <w:ind w:left="504" w:right="72" w:hanging="504"/>
      <w:jc w:val="both"/>
    </w:pPr>
    <w:rPr>
      <w:rFonts w:eastAsia="Times New Roman"/>
      <w:bdr w:val="none" w:sz="0" w:space="0" w:color="auto"/>
    </w:rPr>
  </w:style>
  <w:style w:type="paragraph" w:customStyle="1" w:styleId="Style21">
    <w:name w:val="Style 21"/>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16"/>
      <w:ind w:right="864"/>
      <w:jc w:val="both"/>
    </w:pPr>
    <w:rPr>
      <w:rFonts w:eastAsia="Times New Roman"/>
      <w:bdr w:val="none" w:sz="0" w:space="0" w:color="auto"/>
    </w:rPr>
  </w:style>
  <w:style w:type="paragraph" w:customStyle="1" w:styleId="Style22">
    <w:name w:val="Style 22"/>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16"/>
      <w:ind w:right="864"/>
    </w:pPr>
    <w:rPr>
      <w:rFonts w:eastAsia="Times New Roman"/>
      <w:bdr w:val="none" w:sz="0" w:space="0" w:color="auto"/>
    </w:rPr>
  </w:style>
  <w:style w:type="paragraph" w:customStyle="1" w:styleId="Style24">
    <w:name w:val="Style 24"/>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60" w:line="360" w:lineRule="auto"/>
      <w:ind w:left="504" w:right="72" w:hanging="504"/>
      <w:jc w:val="both"/>
    </w:pPr>
    <w:rPr>
      <w:rFonts w:eastAsia="Times New Roman"/>
      <w:bdr w:val="none" w:sz="0" w:space="0" w:color="auto"/>
    </w:rPr>
  </w:style>
  <w:style w:type="paragraph" w:styleId="Mapadeldocumento">
    <w:name w:val="Document Map"/>
    <w:basedOn w:val="Normal"/>
    <w:link w:val="MapadeldocumentoCar"/>
    <w:semiHidden/>
    <w:rsid w:val="004B316C"/>
    <w:pPr>
      <w:pBdr>
        <w:top w:val="none" w:sz="0" w:space="0" w:color="auto"/>
        <w:left w:val="none" w:sz="0" w:space="0" w:color="auto"/>
        <w:bottom w:val="none" w:sz="0" w:space="0" w:color="auto"/>
        <w:right w:val="none" w:sz="0" w:space="0" w:color="auto"/>
        <w:between w:val="none" w:sz="0" w:space="0" w:color="auto"/>
        <w:bar w:val="none" w:sz="0" w:color="auto"/>
      </w:pBdr>
      <w:shd w:val="clear" w:color="auto" w:fill="000080"/>
    </w:pPr>
    <w:rPr>
      <w:rFonts w:ascii="Tahoma" w:eastAsia="Times New Roman" w:hAnsi="Tahoma" w:cs="Tahoma"/>
      <w:sz w:val="20"/>
      <w:szCs w:val="20"/>
      <w:bdr w:val="none" w:sz="0" w:space="0" w:color="auto"/>
    </w:rPr>
  </w:style>
  <w:style w:type="character" w:customStyle="1" w:styleId="MapadeldocumentoCar">
    <w:name w:val="Mapa del documento Car"/>
    <w:link w:val="Mapadeldocumento"/>
    <w:semiHidden/>
    <w:rsid w:val="004B316C"/>
    <w:rPr>
      <w:rFonts w:ascii="Tahoma" w:eastAsia="Times New Roman" w:hAnsi="Tahoma" w:cs="Tahoma"/>
      <w:bdr w:val="none" w:sz="0" w:space="0" w:color="auto"/>
      <w:shd w:val="clear" w:color="auto" w:fill="000080"/>
      <w:lang w:val="en-US" w:eastAsia="en-US"/>
    </w:rPr>
  </w:style>
  <w:style w:type="paragraph" w:styleId="Textoindependiente">
    <w:name w:val="Body Text"/>
    <w:basedOn w:val="Normal"/>
    <w:link w:val="TextoindependienteCar"/>
    <w:rsid w:val="004B316C"/>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eastAsia="Times New Roman"/>
      <w:sz w:val="20"/>
      <w:szCs w:val="20"/>
      <w:bdr w:val="none" w:sz="0" w:space="0" w:color="auto"/>
    </w:rPr>
  </w:style>
  <w:style w:type="character" w:customStyle="1" w:styleId="TextoindependienteCar">
    <w:name w:val="Texto independiente Car"/>
    <w:link w:val="Textoindependiente"/>
    <w:rsid w:val="004B316C"/>
    <w:rPr>
      <w:rFonts w:eastAsia="Times New Roman"/>
      <w:bdr w:val="none" w:sz="0" w:space="0" w:color="auto"/>
      <w:lang w:val="en-US" w:eastAsia="en-US"/>
    </w:rPr>
  </w:style>
  <w:style w:type="paragraph" w:customStyle="1" w:styleId="Style6">
    <w:name w:val="Style 6"/>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52"/>
      <w:jc w:val="both"/>
    </w:pPr>
    <w:rPr>
      <w:rFonts w:eastAsia="Times New Roman"/>
      <w:bdr w:val="none" w:sz="0" w:space="0" w:color="auto"/>
    </w:rPr>
  </w:style>
  <w:style w:type="paragraph" w:customStyle="1" w:styleId="Style29">
    <w:name w:val="Style 29"/>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52"/>
      <w:ind w:right="72"/>
      <w:jc w:val="both"/>
    </w:pPr>
    <w:rPr>
      <w:rFonts w:eastAsia="Times New Roman"/>
      <w:bdr w:val="none" w:sz="0" w:space="0" w:color="auto"/>
    </w:rPr>
  </w:style>
  <w:style w:type="paragraph" w:customStyle="1" w:styleId="Style28">
    <w:name w:val="Style 28"/>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52"/>
      <w:ind w:left="72"/>
      <w:jc w:val="both"/>
    </w:pPr>
    <w:rPr>
      <w:rFonts w:eastAsia="Times New Roman"/>
      <w:bdr w:val="none" w:sz="0" w:space="0" w:color="auto"/>
    </w:rPr>
  </w:style>
  <w:style w:type="paragraph" w:customStyle="1" w:styleId="Style26">
    <w:name w:val="Style 26"/>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pPr>
    <w:rPr>
      <w:rFonts w:eastAsia="Times New Roman"/>
      <w:bdr w:val="none" w:sz="0" w:space="0" w:color="auto"/>
    </w:rPr>
  </w:style>
  <w:style w:type="paragraph" w:customStyle="1" w:styleId="Style100">
    <w:name w:val="Style 10"/>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720"/>
      <w:jc w:val="both"/>
    </w:pPr>
    <w:rPr>
      <w:rFonts w:eastAsia="Times New Roman"/>
      <w:bdr w:val="none" w:sz="0" w:space="0" w:color="auto"/>
    </w:rPr>
  </w:style>
  <w:style w:type="paragraph" w:customStyle="1" w:styleId="Style12">
    <w:name w:val="Style 12"/>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pPr>
    <w:rPr>
      <w:rFonts w:eastAsia="Times New Roman"/>
      <w:bdr w:val="none" w:sz="0" w:space="0" w:color="auto"/>
    </w:rPr>
  </w:style>
  <w:style w:type="paragraph" w:customStyle="1" w:styleId="Style13">
    <w:name w:val="Style 13"/>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right="72" w:firstLine="72"/>
      <w:jc w:val="both"/>
    </w:pPr>
    <w:rPr>
      <w:rFonts w:eastAsia="Times New Roman"/>
      <w:bdr w:val="none" w:sz="0" w:space="0" w:color="auto"/>
    </w:rPr>
  </w:style>
  <w:style w:type="paragraph" w:customStyle="1" w:styleId="Style2">
    <w:name w:val="Style 2"/>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bdr w:val="none" w:sz="0" w:space="0" w:color="auto"/>
    </w:rPr>
  </w:style>
  <w:style w:type="paragraph" w:customStyle="1" w:styleId="Style15">
    <w:name w:val="Style 15"/>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648" w:right="72"/>
    </w:pPr>
    <w:rPr>
      <w:rFonts w:eastAsia="Times New Roman"/>
      <w:bdr w:val="none" w:sz="0" w:space="0" w:color="auto"/>
    </w:rPr>
  </w:style>
  <w:style w:type="paragraph" w:customStyle="1" w:styleId="Style25">
    <w:name w:val="Style 25"/>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both"/>
    </w:pPr>
    <w:rPr>
      <w:rFonts w:eastAsia="Times New Roman"/>
      <w:bdr w:val="none" w:sz="0" w:space="0" w:color="auto"/>
    </w:rPr>
  </w:style>
  <w:style w:type="paragraph" w:customStyle="1" w:styleId="Style18">
    <w:name w:val="Style 18"/>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bdr w:val="none" w:sz="0" w:space="0" w:color="auto"/>
    </w:rPr>
  </w:style>
  <w:style w:type="paragraph" w:customStyle="1" w:styleId="Style20">
    <w:name w:val="Style 20"/>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72"/>
    </w:pPr>
    <w:rPr>
      <w:rFonts w:eastAsia="Times New Roman"/>
      <w:bdr w:val="none" w:sz="0" w:space="0" w:color="auto"/>
    </w:rPr>
  </w:style>
  <w:style w:type="table" w:styleId="Tablaconcuadrcula">
    <w:name w:val="Table Grid"/>
    <w:basedOn w:val="Tablanormal"/>
    <w:rsid w:val="004B316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B316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Textoennegrita">
    <w:name w:val="Strong"/>
    <w:uiPriority w:val="22"/>
    <w:qFormat/>
    <w:rsid w:val="004B316C"/>
    <w:rPr>
      <w:b/>
      <w:bCs/>
    </w:rPr>
  </w:style>
  <w:style w:type="character" w:customStyle="1" w:styleId="Heading1CharCharCharCharCharChar">
    <w:name w:val="Heading 1 Char Char Char Char Char Char"/>
    <w:rsid w:val="004B316C"/>
    <w:rPr>
      <w:rFonts w:ascii="Univers" w:hAnsi="Univers" w:cs="Arial"/>
      <w:kern w:val="36"/>
      <w:sz w:val="22"/>
      <w:szCs w:val="22"/>
      <w:lang w:val="en-US" w:eastAsia="en-US" w:bidi="ar-SA"/>
    </w:rPr>
  </w:style>
  <w:style w:type="paragraph" w:styleId="Sangra2detindependiente">
    <w:name w:val="Body Text Indent 2"/>
    <w:basedOn w:val="Normal"/>
    <w:link w:val="Sangra2detindependienteCar"/>
    <w:rsid w:val="004B316C"/>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ind w:left="360"/>
    </w:pPr>
    <w:rPr>
      <w:rFonts w:eastAsia="Times New Roman"/>
      <w:sz w:val="20"/>
      <w:szCs w:val="20"/>
      <w:bdr w:val="none" w:sz="0" w:space="0" w:color="auto"/>
    </w:rPr>
  </w:style>
  <w:style w:type="character" w:customStyle="1" w:styleId="Sangra2detindependienteCar">
    <w:name w:val="Sangría 2 de t. independiente Car"/>
    <w:link w:val="Sangra2detindependiente"/>
    <w:rsid w:val="004B316C"/>
    <w:rPr>
      <w:rFonts w:eastAsia="Times New Roman"/>
      <w:bdr w:val="none" w:sz="0" w:space="0" w:color="auto"/>
      <w:lang w:val="en-US" w:eastAsia="en-US"/>
    </w:rPr>
  </w:style>
  <w:style w:type="paragraph" w:customStyle="1" w:styleId="Default">
    <w:name w:val="Default"/>
    <w:rsid w:val="004B316C"/>
    <w:pPr>
      <w:autoSpaceDE w:val="0"/>
      <w:autoSpaceDN w:val="0"/>
      <w:adjustRightInd w:val="0"/>
    </w:pPr>
    <w:rPr>
      <w:rFonts w:eastAsia="Times New Roman"/>
      <w:color w:val="000000"/>
      <w:sz w:val="24"/>
      <w:szCs w:val="24"/>
    </w:rPr>
  </w:style>
  <w:style w:type="character" w:customStyle="1" w:styleId="ju-005fpara--char">
    <w:name w:val="ju-005fpara--char"/>
    <w:basedOn w:val="Fuentedeprrafopredeter"/>
    <w:rsid w:val="004B316C"/>
  </w:style>
  <w:style w:type="paragraph" w:customStyle="1" w:styleId="Sinespaciado1">
    <w:name w:val="Sin espaciado1"/>
    <w:qFormat/>
    <w:rsid w:val="004B316C"/>
    <w:rPr>
      <w:rFonts w:ascii="Calibri" w:eastAsia="Calibri" w:hAnsi="Calibri"/>
      <w:sz w:val="22"/>
      <w:szCs w:val="22"/>
      <w:lang w:val="es-ES"/>
    </w:rPr>
  </w:style>
  <w:style w:type="character" w:customStyle="1" w:styleId="normal--char">
    <w:name w:val="normal--char"/>
    <w:basedOn w:val="Fuentedeprrafopredeter"/>
    <w:rsid w:val="004B316C"/>
  </w:style>
  <w:style w:type="paragraph" w:styleId="Ttulo">
    <w:name w:val="Title"/>
    <w:basedOn w:val="Normal"/>
    <w:link w:val="TtuloCar"/>
    <w:qFormat/>
    <w:rsid w:val="004B316C"/>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ascii="Univers" w:eastAsia="Times New Roman" w:hAnsi="Univers"/>
      <w:b/>
      <w:sz w:val="22"/>
      <w:szCs w:val="20"/>
      <w:bdr w:val="none" w:sz="0" w:space="0" w:color="auto"/>
      <w:lang w:val="es-ES"/>
    </w:rPr>
  </w:style>
  <w:style w:type="character" w:customStyle="1" w:styleId="TtuloCar">
    <w:name w:val="Título Car"/>
    <w:link w:val="Ttulo"/>
    <w:rsid w:val="004B316C"/>
    <w:rPr>
      <w:rFonts w:ascii="Univers" w:eastAsia="Times New Roman" w:hAnsi="Univers"/>
      <w:b/>
      <w:sz w:val="22"/>
      <w:bdr w:val="none" w:sz="0" w:space="0" w:color="auto"/>
      <w:lang w:eastAsia="en-US"/>
    </w:rPr>
  </w:style>
  <w:style w:type="character" w:customStyle="1" w:styleId="antetitulo1">
    <w:name w:val="antetitulo1"/>
    <w:rsid w:val="004B316C"/>
    <w:rPr>
      <w:rFonts w:ascii="Verdana" w:hAnsi="Verdana"/>
      <w:b w:val="0"/>
      <w:bCs w:val="0"/>
      <w:strike w:val="0"/>
      <w:dstrike w:val="0"/>
      <w:color w:val="CC0000"/>
      <w:sz w:val="15"/>
      <w:szCs w:val="15"/>
      <w:u w:val="none"/>
      <w:effect w:val="none"/>
    </w:rPr>
  </w:style>
  <w:style w:type="character" w:customStyle="1" w:styleId="ju-005fcase-0020char--char">
    <w:name w:val="ju-005fcase-0020char--char"/>
    <w:basedOn w:val="Fuentedeprrafopredeter"/>
    <w:rsid w:val="004B316C"/>
  </w:style>
  <w:style w:type="paragraph" w:customStyle="1" w:styleId="Blockquote">
    <w:name w:val="Blockquote"/>
    <w:basedOn w:val="Normal"/>
    <w:rsid w:val="004B316C"/>
    <w:pPr>
      <w:pBdr>
        <w:top w:val="none" w:sz="0" w:space="0" w:color="auto"/>
        <w:left w:val="none" w:sz="0" w:space="0" w:color="auto"/>
        <w:bottom w:val="none" w:sz="0" w:space="0" w:color="auto"/>
        <w:right w:val="none" w:sz="0" w:space="0" w:color="auto"/>
        <w:between w:val="none" w:sz="0" w:space="0" w:color="auto"/>
        <w:bar w:val="none" w:sz="0" w:color="auto"/>
      </w:pBdr>
      <w:spacing w:before="100" w:after="100"/>
      <w:ind w:left="360" w:right="360"/>
    </w:pPr>
    <w:rPr>
      <w:rFonts w:eastAsia="Times New Roman"/>
      <w:snapToGrid w:val="0"/>
      <w:szCs w:val="20"/>
      <w:bdr w:val="none" w:sz="0" w:space="0" w:color="auto"/>
    </w:rPr>
  </w:style>
  <w:style w:type="paragraph" w:styleId="TDC5">
    <w:name w:val="toc 5"/>
    <w:basedOn w:val="Normal"/>
    <w:next w:val="Normal"/>
    <w:autoRedefine/>
    <w:semiHidden/>
    <w:rsid w:val="004B316C"/>
    <w:pPr>
      <w:pBdr>
        <w:top w:val="none" w:sz="0" w:space="0" w:color="auto"/>
        <w:left w:val="none" w:sz="0" w:space="0" w:color="auto"/>
        <w:bottom w:val="none" w:sz="0" w:space="0" w:color="auto"/>
        <w:right w:val="none" w:sz="0" w:space="0" w:color="auto"/>
        <w:between w:val="none" w:sz="0" w:space="0" w:color="auto"/>
        <w:bar w:val="none" w:sz="0" w:color="auto"/>
      </w:pBdr>
      <w:ind w:left="800"/>
    </w:pPr>
    <w:rPr>
      <w:rFonts w:eastAsia="Times New Roman"/>
      <w:sz w:val="20"/>
      <w:szCs w:val="20"/>
      <w:bdr w:val="none" w:sz="0" w:space="0" w:color="auto"/>
    </w:rPr>
  </w:style>
  <w:style w:type="character" w:customStyle="1" w:styleId="TextonotapieCar1">
    <w:name w:val="Texto nota pie Car1"/>
    <w:aliases w:val="ft Car,FA Fu Car,Footnote Text Char Char Char Char Char Car,Footnote Text Char Char Char Char Car,Footnote reference Car,Texto nota pie Car Car,Footnote Text Char Char Char Car,texto de nota al pie Car,FA Fußnotentext Car"/>
    <w:semiHidden/>
    <w:locked/>
    <w:rsid w:val="004B316C"/>
    <w:rPr>
      <w:rFonts w:cs="Times New Roman"/>
      <w:lang w:val="es-ES_tradnl" w:eastAsia="en-US" w:bidi="ar-SA"/>
    </w:rPr>
  </w:style>
  <w:style w:type="paragraph" w:customStyle="1" w:styleId="Car">
    <w:name w:val="Car"/>
    <w:basedOn w:val="Normal"/>
    <w:rsid w:val="004B316C"/>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eastAsia="Times New Roman"/>
      <w:noProof/>
      <w:color w:val="000000"/>
      <w:sz w:val="20"/>
      <w:szCs w:val="20"/>
      <w:bdr w:val="none" w:sz="0" w:space="0" w:color="auto"/>
      <w:lang w:val="es-CO" w:eastAsia="es-ES"/>
    </w:rPr>
  </w:style>
  <w:style w:type="paragraph" w:customStyle="1" w:styleId="Prrafonumerado">
    <w:name w:val="Párrafo numerado"/>
    <w:basedOn w:val="Normal"/>
    <w:autoRedefine/>
    <w:rsid w:val="004B316C"/>
    <w:pPr>
      <w:pBdr>
        <w:top w:val="none" w:sz="0" w:space="0" w:color="auto"/>
        <w:left w:val="none" w:sz="0" w:space="0" w:color="auto"/>
        <w:bottom w:val="none" w:sz="0" w:space="0" w:color="auto"/>
        <w:right w:val="none" w:sz="0" w:space="0" w:color="auto"/>
        <w:between w:val="none" w:sz="0" w:space="0" w:color="auto"/>
        <w:bar w:val="none" w:sz="0" w:color="auto"/>
      </w:pBdr>
      <w:tabs>
        <w:tab w:val="left" w:pos="0"/>
      </w:tabs>
      <w:ind w:left="720" w:right="760"/>
      <w:jc w:val="both"/>
    </w:pPr>
    <w:rPr>
      <w:rFonts w:ascii="Univers" w:eastAsia="Times New Roman" w:hAnsi="Univers"/>
      <w:sz w:val="18"/>
      <w:szCs w:val="18"/>
      <w:bdr w:val="none" w:sz="0" w:space="0" w:color="auto"/>
      <w:lang w:val="es-CO" w:eastAsia="es-ES"/>
    </w:rPr>
  </w:style>
  <w:style w:type="paragraph" w:styleId="Textoindependiente3">
    <w:name w:val="Body Text 3"/>
    <w:basedOn w:val="Normal"/>
    <w:link w:val="Textoindependiente3Car"/>
    <w:rsid w:val="004B316C"/>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eastAsia="Times New Roman"/>
      <w:sz w:val="16"/>
      <w:szCs w:val="16"/>
      <w:bdr w:val="none" w:sz="0" w:space="0" w:color="auto"/>
    </w:rPr>
  </w:style>
  <w:style w:type="character" w:customStyle="1" w:styleId="Textoindependiente3Car">
    <w:name w:val="Texto independiente 3 Car"/>
    <w:link w:val="Textoindependiente3"/>
    <w:rsid w:val="004B316C"/>
    <w:rPr>
      <w:rFonts w:eastAsia="Times New Roman"/>
      <w:sz w:val="16"/>
      <w:szCs w:val="16"/>
      <w:bdr w:val="none" w:sz="0" w:space="0" w:color="auto"/>
      <w:lang w:val="en-US" w:eastAsia="en-US"/>
    </w:rPr>
  </w:style>
  <w:style w:type="paragraph" w:styleId="Sangra3detindependiente">
    <w:name w:val="Body Text Indent 3"/>
    <w:basedOn w:val="Normal"/>
    <w:link w:val="Sangra3detindependienteCar"/>
    <w:rsid w:val="004B316C"/>
    <w:pPr>
      <w:pBdr>
        <w:top w:val="none" w:sz="0" w:space="0" w:color="auto"/>
        <w:left w:val="none" w:sz="0" w:space="0" w:color="auto"/>
        <w:bottom w:val="none" w:sz="0" w:space="0" w:color="auto"/>
        <w:right w:val="none" w:sz="0" w:space="0" w:color="auto"/>
        <w:between w:val="none" w:sz="0" w:space="0" w:color="auto"/>
        <w:bar w:val="none" w:sz="0" w:color="auto"/>
      </w:pBdr>
      <w:spacing w:after="120"/>
      <w:ind w:left="360"/>
    </w:pPr>
    <w:rPr>
      <w:rFonts w:eastAsia="Times New Roman"/>
      <w:sz w:val="16"/>
      <w:szCs w:val="16"/>
      <w:bdr w:val="none" w:sz="0" w:space="0" w:color="auto"/>
    </w:rPr>
  </w:style>
  <w:style w:type="character" w:customStyle="1" w:styleId="Sangra3detindependienteCar">
    <w:name w:val="Sangría 3 de t. independiente Car"/>
    <w:link w:val="Sangra3detindependiente"/>
    <w:rsid w:val="004B316C"/>
    <w:rPr>
      <w:rFonts w:eastAsia="Times New Roman"/>
      <w:sz w:val="16"/>
      <w:szCs w:val="16"/>
      <w:bdr w:val="none" w:sz="0" w:space="0" w:color="auto"/>
      <w:lang w:val="en-US" w:eastAsia="en-US"/>
    </w:rPr>
  </w:style>
  <w:style w:type="character" w:customStyle="1" w:styleId="FootnoteCharacters">
    <w:name w:val="Footnote Characters"/>
    <w:rsid w:val="004B316C"/>
    <w:rPr>
      <w:vertAlign w:val="superscript"/>
    </w:rPr>
  </w:style>
  <w:style w:type="character" w:customStyle="1" w:styleId="WW-FootnoteCharacters">
    <w:name w:val="WW-Footnote Characters"/>
    <w:rsid w:val="004B316C"/>
    <w:rPr>
      <w:rFonts w:ascii="Universal" w:hAnsi="Universal"/>
      <w:sz w:val="16"/>
      <w:vertAlign w:val="superscript"/>
    </w:rPr>
  </w:style>
  <w:style w:type="character" w:customStyle="1" w:styleId="textonavy1">
    <w:name w:val="texto_navy1"/>
    <w:rsid w:val="004B316C"/>
    <w:rPr>
      <w:color w:val="000080"/>
    </w:rPr>
  </w:style>
  <w:style w:type="paragraph" w:customStyle="1" w:styleId="Style3">
    <w:name w:val="Style 3"/>
    <w:basedOn w:val="Normal"/>
    <w:uiPriority w:val="99"/>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360" w:lineRule="auto"/>
      <w:jc w:val="both"/>
    </w:pPr>
    <w:rPr>
      <w:rFonts w:eastAsia="Times New Roman"/>
      <w:bdr w:val="none" w:sz="0" w:space="0" w:color="auto"/>
    </w:rPr>
  </w:style>
  <w:style w:type="paragraph" w:customStyle="1" w:styleId="Style5">
    <w:name w:val="Style 5"/>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52" w:line="360" w:lineRule="auto"/>
      <w:jc w:val="both"/>
    </w:pPr>
    <w:rPr>
      <w:rFonts w:eastAsia="Times New Roman"/>
      <w:bdr w:val="none" w:sz="0" w:space="0" w:color="auto"/>
    </w:rPr>
  </w:style>
  <w:style w:type="paragraph" w:customStyle="1" w:styleId="Style7">
    <w:name w:val="Style 7"/>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60" w:line="360" w:lineRule="auto"/>
      <w:ind w:right="72"/>
      <w:jc w:val="both"/>
    </w:pPr>
    <w:rPr>
      <w:rFonts w:eastAsia="Times New Roman"/>
      <w:bdr w:val="none" w:sz="0" w:space="0" w:color="auto"/>
    </w:rPr>
  </w:style>
  <w:style w:type="character" w:styleId="nfasis">
    <w:name w:val="Emphasis"/>
    <w:qFormat/>
    <w:rsid w:val="004B316C"/>
    <w:rPr>
      <w:i/>
      <w:iCs/>
    </w:rPr>
  </w:style>
  <w:style w:type="character" w:styleId="Refdecomentario">
    <w:name w:val="annotation reference"/>
    <w:semiHidden/>
    <w:rsid w:val="004B316C"/>
    <w:rPr>
      <w:sz w:val="16"/>
      <w:szCs w:val="16"/>
    </w:rPr>
  </w:style>
  <w:style w:type="paragraph" w:styleId="Textocomentario">
    <w:name w:val="annotation text"/>
    <w:basedOn w:val="Normal"/>
    <w:link w:val="TextocomentarioCar"/>
    <w:semiHidden/>
    <w:rsid w:val="004B316C"/>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rPr>
  </w:style>
  <w:style w:type="character" w:customStyle="1" w:styleId="TextocomentarioCar">
    <w:name w:val="Texto comentario Car"/>
    <w:link w:val="Textocomentario"/>
    <w:semiHidden/>
    <w:rsid w:val="004B316C"/>
    <w:rPr>
      <w:rFonts w:eastAsia="Times New Roman"/>
      <w:bdr w:val="none" w:sz="0" w:space="0" w:color="auto"/>
      <w:lang w:val="en-US" w:eastAsia="en-US"/>
    </w:rPr>
  </w:style>
  <w:style w:type="character" w:customStyle="1" w:styleId="st1">
    <w:name w:val="st1"/>
    <w:basedOn w:val="Fuentedeprrafopredeter"/>
    <w:rsid w:val="006F34E3"/>
  </w:style>
  <w:style w:type="paragraph" w:styleId="Textoindependiente2">
    <w:name w:val="Body Text 2"/>
    <w:basedOn w:val="Normal"/>
    <w:link w:val="Textoindependiente2Car"/>
    <w:uiPriority w:val="99"/>
    <w:semiHidden/>
    <w:unhideWhenUsed/>
    <w:rsid w:val="005F74FD"/>
    <w:pPr>
      <w:spacing w:after="120" w:line="480" w:lineRule="auto"/>
    </w:pPr>
  </w:style>
  <w:style w:type="character" w:customStyle="1" w:styleId="Textoindependiente2Car">
    <w:name w:val="Texto independiente 2 Car"/>
    <w:link w:val="Textoindependiente2"/>
    <w:uiPriority w:val="99"/>
    <w:semiHidden/>
    <w:rsid w:val="005F74FD"/>
    <w:rPr>
      <w:sz w:val="24"/>
      <w:szCs w:val="24"/>
      <w:lang w:val="en-US" w:eastAsia="en-US"/>
    </w:rPr>
  </w:style>
  <w:style w:type="paragraph" w:styleId="Textosinformato">
    <w:name w:val="Plain Text"/>
    <w:basedOn w:val="Normal"/>
    <w:link w:val="TextosinformatoCar"/>
    <w:unhideWhenUsed/>
    <w:rsid w:val="006D5ED9"/>
    <w:rPr>
      <w:rFonts w:ascii="Consolas" w:hAnsi="Consolas" w:cs="Consolas"/>
      <w:sz w:val="21"/>
      <w:szCs w:val="21"/>
    </w:rPr>
  </w:style>
  <w:style w:type="character" w:customStyle="1" w:styleId="TextosinformatoCar">
    <w:name w:val="Texto sin formato Car"/>
    <w:link w:val="Textosinformato"/>
    <w:uiPriority w:val="99"/>
    <w:semiHidden/>
    <w:rsid w:val="006D5ED9"/>
    <w:rPr>
      <w:rFonts w:ascii="Consolas" w:hAnsi="Consolas" w:cs="Consolas"/>
      <w:sz w:val="21"/>
      <w:szCs w:val="21"/>
      <w:lang w:val="en-US" w:eastAsia="en-US"/>
    </w:rPr>
  </w:style>
  <w:style w:type="character" w:customStyle="1" w:styleId="MediumGrid1-Accent2Char">
    <w:name w:val="Medium Grid 1 - Accent 2 Char"/>
    <w:link w:val="MediumGrid1-Accent21"/>
    <w:locked/>
    <w:rsid w:val="00AA09B7"/>
    <w:rPr>
      <w:rFonts w:ascii="Cambria" w:eastAsia="Cambria" w:hAnsi="Cambria" w:cs="Cambria"/>
      <w:color w:val="000000"/>
      <w:sz w:val="24"/>
      <w:szCs w:val="24"/>
      <w:u w:color="000000"/>
      <w:lang w:val="en-US"/>
    </w:rPr>
  </w:style>
  <w:style w:type="character" w:customStyle="1" w:styleId="LightGrid-Accent11">
    <w:name w:val="Light Grid - Accent 11"/>
    <w:uiPriority w:val="99"/>
    <w:semiHidden/>
    <w:rsid w:val="00273D36"/>
    <w:rPr>
      <w:color w:val="808080"/>
    </w:rPr>
  </w:style>
  <w:style w:type="paragraph" w:styleId="Asuntodelcomentario">
    <w:name w:val="annotation subject"/>
    <w:basedOn w:val="Textocomentario"/>
    <w:next w:val="Textocomentario"/>
    <w:link w:val="AsuntodelcomentarioCar"/>
    <w:uiPriority w:val="99"/>
    <w:semiHidden/>
    <w:unhideWhenUsed/>
    <w:rsid w:val="00B46722"/>
    <w:pPr>
      <w:pBdr>
        <w:top w:val="nil"/>
        <w:left w:val="nil"/>
        <w:bottom w:val="nil"/>
        <w:right w:val="nil"/>
        <w:between w:val="nil"/>
        <w:bar w:val="nil"/>
      </w:pBdr>
    </w:pPr>
    <w:rPr>
      <w:rFonts w:eastAsia="Arial Unicode MS"/>
      <w:b/>
      <w:bCs/>
      <w:bdr w:val="nil"/>
    </w:rPr>
  </w:style>
  <w:style w:type="character" w:customStyle="1" w:styleId="AsuntodelcomentarioCar">
    <w:name w:val="Asunto del comentario Car"/>
    <w:link w:val="Asuntodelcomentario"/>
    <w:uiPriority w:val="99"/>
    <w:semiHidden/>
    <w:rsid w:val="00B46722"/>
    <w:rPr>
      <w:rFonts w:eastAsia="Times New Roman"/>
      <w:b/>
      <w:bCs/>
      <w:bdr w:val="nil"/>
      <w:lang w:val="en-US" w:eastAsia="en-US"/>
    </w:rPr>
  </w:style>
  <w:style w:type="paragraph" w:styleId="Prrafodelista">
    <w:name w:val="List Paragraph"/>
    <w:basedOn w:val="Normal"/>
    <w:qFormat/>
    <w:rsid w:val="00351630"/>
    <w:pPr>
      <w:ind w:left="720"/>
    </w:pPr>
  </w:style>
  <w:style w:type="character" w:styleId="Hipervnculovisitado">
    <w:name w:val="FollowedHyperlink"/>
    <w:uiPriority w:val="99"/>
    <w:semiHidden/>
    <w:unhideWhenUsed/>
    <w:rsid w:val="00213F65"/>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0"/>
    <w:lsdException w:name="toc 5" w:uiPriority="0"/>
    <w:lsdException w:name="toc 6" w:uiPriority="39"/>
    <w:lsdException w:name="toc 7" w:uiPriority="39"/>
    <w:lsdException w:name="toc 8" w:uiPriority="39"/>
    <w:lsdException w:name="toc 9" w:uiPriority="39"/>
    <w:lsdException w:name="footnote text" w:qFormat="1"/>
    <w:lsdException w:name="annotation text" w:uiPriority="0"/>
    <w:lsdException w:name="header" w:uiPriority="0"/>
    <w:lsdException w:name="footer" w:uiPriority="0"/>
    <w:lsdException w:name="caption" w:uiPriority="35" w:qFormat="1"/>
    <w:lsdException w:name="footnote reference"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53D7"/>
    <w:pPr>
      <w:pBdr>
        <w:top w:val="nil"/>
        <w:left w:val="nil"/>
        <w:bottom w:val="nil"/>
        <w:right w:val="nil"/>
        <w:between w:val="nil"/>
        <w:bar w:val="nil"/>
      </w:pBdr>
    </w:pPr>
    <w:rPr>
      <w:sz w:val="24"/>
      <w:szCs w:val="24"/>
      <w:bdr w:val="nil"/>
    </w:rPr>
  </w:style>
  <w:style w:type="paragraph" w:styleId="Ttulo1">
    <w:name w:val="heading 1"/>
    <w:basedOn w:val="Normal"/>
    <w:next w:val="Normal"/>
    <w:link w:val="Ttulo1Car"/>
    <w:qFormat/>
    <w:rsid w:val="00E24E60"/>
    <w:pPr>
      <w:keepNext/>
      <w:numPr>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num" w:pos="1440"/>
      </w:tabs>
      <w:ind w:left="1440"/>
      <w:outlineLvl w:val="0"/>
    </w:pPr>
    <w:rPr>
      <w:rFonts w:ascii="Cambria" w:eastAsia="Times New Roman" w:hAnsi="Cambria"/>
      <w:b/>
      <w:sz w:val="20"/>
      <w:szCs w:val="20"/>
      <w:bdr w:val="none" w:sz="0" w:space="0" w:color="auto"/>
      <w:lang w:val="es-ES_tradnl"/>
    </w:rPr>
  </w:style>
  <w:style w:type="paragraph" w:styleId="Ttulo2">
    <w:name w:val="heading 2"/>
    <w:basedOn w:val="Normal"/>
    <w:next w:val="Normal"/>
    <w:link w:val="Ttulo2Car"/>
    <w:qFormat/>
    <w:rsid w:val="00E24E60"/>
    <w:pPr>
      <w:keepNext/>
      <w:numPr>
        <w:ilvl w:val="2"/>
      </w:numPr>
      <w:pBdr>
        <w:top w:val="none" w:sz="0" w:space="0" w:color="auto"/>
        <w:left w:val="none" w:sz="0" w:space="0" w:color="auto"/>
        <w:bottom w:val="none" w:sz="0" w:space="0" w:color="auto"/>
        <w:right w:val="none" w:sz="0" w:space="0" w:color="auto"/>
        <w:between w:val="none" w:sz="0" w:space="0" w:color="auto"/>
        <w:bar w:val="none" w:sz="0" w:color="auto"/>
      </w:pBdr>
      <w:ind w:firstLine="720"/>
      <w:jc w:val="both"/>
      <w:outlineLvl w:val="1"/>
    </w:pPr>
    <w:rPr>
      <w:rFonts w:ascii="Cambria" w:eastAsia="Times New Roman" w:hAnsi="Cambria"/>
      <w:b/>
      <w:sz w:val="20"/>
      <w:szCs w:val="20"/>
      <w:bdr w:val="none" w:sz="0" w:space="0" w:color="auto"/>
      <w:lang w:val="es-ES_tradnl"/>
    </w:rPr>
  </w:style>
  <w:style w:type="paragraph" w:styleId="Ttulo3">
    <w:name w:val="heading 3"/>
    <w:basedOn w:val="Normal"/>
    <w:next w:val="Normal"/>
    <w:link w:val="Ttulo3Car"/>
    <w:qFormat/>
    <w:rsid w:val="004B316C"/>
    <w:pPr>
      <w:keepNext/>
      <w:keepLines/>
      <w:spacing w:before="200"/>
      <w:outlineLvl w:val="2"/>
    </w:pPr>
    <w:rPr>
      <w:rFonts w:ascii="Cambria" w:eastAsia="Times New Roman" w:hAnsi="Cambria"/>
      <w:b/>
      <w:bCs/>
      <w:color w:val="4F81BD"/>
    </w:rPr>
  </w:style>
  <w:style w:type="paragraph" w:styleId="Ttulo4">
    <w:name w:val="heading 4"/>
    <w:basedOn w:val="Normal"/>
    <w:next w:val="Normal"/>
    <w:link w:val="Ttulo4Car"/>
    <w:qFormat/>
    <w:rsid w:val="004B316C"/>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Arial" w:eastAsia="Times New Roman" w:hAnsi="Arial"/>
      <w:b/>
      <w:szCs w:val="20"/>
      <w:bdr w:val="none" w:sz="0" w:space="0" w:color="auto"/>
    </w:rPr>
  </w:style>
  <w:style w:type="paragraph" w:styleId="Ttulo5">
    <w:name w:val="heading 5"/>
    <w:basedOn w:val="Normal"/>
    <w:next w:val="Normal"/>
    <w:link w:val="Ttulo5Car"/>
    <w:qFormat/>
    <w:rsid w:val="004B316C"/>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4"/>
    </w:pPr>
    <w:rPr>
      <w:rFonts w:eastAsia="Times New Roman"/>
      <w:sz w:val="22"/>
      <w:szCs w:val="20"/>
      <w:bdr w:val="none" w:sz="0" w:space="0" w:color="auto"/>
    </w:rPr>
  </w:style>
  <w:style w:type="paragraph" w:styleId="Ttulo6">
    <w:name w:val="heading 6"/>
    <w:basedOn w:val="Normal"/>
    <w:next w:val="Normal"/>
    <w:link w:val="Ttulo6Car"/>
    <w:qFormat/>
    <w:rsid w:val="004B316C"/>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5"/>
    </w:pPr>
    <w:rPr>
      <w:rFonts w:eastAsia="Times New Roman"/>
      <w:i/>
      <w:sz w:val="22"/>
      <w:szCs w:val="20"/>
      <w:bdr w:val="none" w:sz="0" w:space="0" w:color="auto"/>
    </w:rPr>
  </w:style>
  <w:style w:type="paragraph" w:styleId="Ttulo7">
    <w:name w:val="heading 7"/>
    <w:basedOn w:val="Normal"/>
    <w:next w:val="Normal"/>
    <w:link w:val="Ttulo7Car"/>
    <w:qFormat/>
    <w:rsid w:val="004B316C"/>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6"/>
    </w:pPr>
    <w:rPr>
      <w:rFonts w:ascii="Arial" w:eastAsia="Times New Roman" w:hAnsi="Arial"/>
      <w:sz w:val="20"/>
      <w:szCs w:val="20"/>
      <w:bdr w:val="none" w:sz="0" w:space="0" w:color="auto"/>
    </w:rPr>
  </w:style>
  <w:style w:type="paragraph" w:styleId="Ttulo8">
    <w:name w:val="heading 8"/>
    <w:basedOn w:val="Normal"/>
    <w:next w:val="Normal"/>
    <w:link w:val="Ttulo8Car"/>
    <w:qFormat/>
    <w:rsid w:val="004B316C"/>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7"/>
    </w:pPr>
    <w:rPr>
      <w:rFonts w:ascii="Arial" w:eastAsia="Times New Roman" w:hAnsi="Arial"/>
      <w:i/>
      <w:sz w:val="20"/>
      <w:szCs w:val="20"/>
      <w:bdr w:val="none" w:sz="0" w:space="0" w:color="auto"/>
    </w:rPr>
  </w:style>
  <w:style w:type="paragraph" w:styleId="Ttulo9">
    <w:name w:val="heading 9"/>
    <w:basedOn w:val="Normal"/>
    <w:next w:val="Normal"/>
    <w:link w:val="Ttulo9Car"/>
    <w:qFormat/>
    <w:rsid w:val="004B316C"/>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8"/>
    </w:pPr>
    <w:rPr>
      <w:rFonts w:ascii="Arial" w:eastAsia="Times New Roman" w:hAnsi="Arial"/>
      <w:b/>
      <w:i/>
      <w:sz w:val="18"/>
      <w:szCs w:val="20"/>
      <w:bdr w:val="none" w:sz="0" w:space="0" w:color="aut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7753D7"/>
    <w:rPr>
      <w:u w:val="single"/>
    </w:rPr>
  </w:style>
  <w:style w:type="paragraph" w:customStyle="1" w:styleId="Cabeceraypie">
    <w:name w:val="Cabecera y pie"/>
    <w:rsid w:val="007753D7"/>
    <w:pPr>
      <w:pBdr>
        <w:top w:val="nil"/>
        <w:left w:val="nil"/>
        <w:bottom w:val="nil"/>
        <w:right w:val="nil"/>
        <w:between w:val="nil"/>
        <w:bar w:val="nil"/>
      </w:pBdr>
      <w:tabs>
        <w:tab w:val="right" w:pos="9020"/>
      </w:tabs>
    </w:pPr>
    <w:rPr>
      <w:rFonts w:ascii="Helvetica" w:hAnsi="Arial Unicode MS" w:cs="Arial Unicode MS"/>
      <w:color w:val="000000"/>
      <w:sz w:val="24"/>
      <w:szCs w:val="24"/>
      <w:bdr w:val="nil"/>
      <w:lang w:val="es-ES" w:eastAsia="es-ES"/>
    </w:rPr>
  </w:style>
  <w:style w:type="paragraph" w:styleId="Piedepgina">
    <w:name w:val="footer"/>
    <w:link w:val="PiedepginaCar"/>
    <w:rsid w:val="007753D7"/>
    <w:pPr>
      <w:pBdr>
        <w:top w:val="nil"/>
        <w:left w:val="nil"/>
        <w:bottom w:val="nil"/>
        <w:right w:val="nil"/>
        <w:between w:val="nil"/>
        <w:bar w:val="nil"/>
      </w:pBdr>
      <w:tabs>
        <w:tab w:val="center" w:pos="4513"/>
        <w:tab w:val="right" w:pos="9026"/>
      </w:tabs>
    </w:pPr>
    <w:rPr>
      <w:rFonts w:ascii="Cambria" w:eastAsia="Cambria" w:hAnsi="Cambria" w:cs="Cambria"/>
      <w:color w:val="000000"/>
      <w:sz w:val="24"/>
      <w:szCs w:val="24"/>
      <w:u w:color="000000"/>
      <w:bdr w:val="nil"/>
      <w:lang w:eastAsia="es-ES"/>
    </w:rPr>
  </w:style>
  <w:style w:type="paragraph" w:customStyle="1" w:styleId="Cuerpo">
    <w:name w:val="Cuerpo"/>
    <w:rsid w:val="007753D7"/>
    <w:pPr>
      <w:pBdr>
        <w:top w:val="nil"/>
        <w:left w:val="nil"/>
        <w:bottom w:val="nil"/>
        <w:right w:val="nil"/>
        <w:between w:val="nil"/>
        <w:bar w:val="nil"/>
      </w:pBdr>
    </w:pPr>
    <w:rPr>
      <w:rFonts w:ascii="Cambria" w:eastAsia="Cambria" w:hAnsi="Cambria" w:cs="Cambria"/>
      <w:color w:val="000000"/>
      <w:sz w:val="24"/>
      <w:szCs w:val="24"/>
      <w:u w:color="000000"/>
      <w:bdr w:val="nil"/>
      <w:lang w:val="es-ES" w:eastAsia="es-ES"/>
    </w:rPr>
  </w:style>
  <w:style w:type="paragraph" w:styleId="Sangradetextonormal">
    <w:name w:val="Body Text Indent"/>
    <w:link w:val="SangradetextonormalCar"/>
    <w:rsid w:val="007753D7"/>
    <w:pPr>
      <w:pBdr>
        <w:top w:val="nil"/>
        <w:left w:val="nil"/>
        <w:bottom w:val="nil"/>
        <w:right w:val="nil"/>
        <w:between w:val="nil"/>
        <w:bar w:val="nil"/>
      </w:pBdr>
      <w:ind w:left="2160" w:hanging="720"/>
    </w:pPr>
    <w:rPr>
      <w:rFonts w:eastAsia="Times New Roman"/>
      <w:color w:val="000000"/>
      <w:sz w:val="24"/>
      <w:szCs w:val="24"/>
      <w:u w:color="000000"/>
      <w:bdr w:val="nil"/>
      <w:lang w:val="es-ES_tradnl" w:eastAsia="es-ES"/>
    </w:rPr>
  </w:style>
  <w:style w:type="paragraph" w:customStyle="1" w:styleId="MediumGrid1-Accent21">
    <w:name w:val="Medium Grid 1 - Accent 21"/>
    <w:link w:val="MediumGrid1-Accent2Char"/>
    <w:qFormat/>
    <w:rsid w:val="007753D7"/>
    <w:pPr>
      <w:pBdr>
        <w:top w:val="nil"/>
        <w:left w:val="nil"/>
        <w:bottom w:val="nil"/>
        <w:right w:val="nil"/>
        <w:between w:val="nil"/>
        <w:bar w:val="nil"/>
      </w:pBdr>
      <w:ind w:left="720"/>
    </w:pPr>
    <w:rPr>
      <w:rFonts w:ascii="Cambria" w:eastAsia="Cambria" w:hAnsi="Cambria" w:cs="Cambria"/>
      <w:color w:val="000000"/>
      <w:sz w:val="24"/>
      <w:szCs w:val="24"/>
      <w:u w:color="000000"/>
      <w:bdr w:val="nil"/>
      <w:lang w:eastAsia="es-ES"/>
    </w:rPr>
  </w:style>
  <w:style w:type="numbering" w:customStyle="1" w:styleId="List0">
    <w:name w:val="List 0"/>
    <w:basedOn w:val="Estiloimportado1"/>
    <w:rsid w:val="007753D7"/>
    <w:pPr>
      <w:numPr>
        <w:numId w:val="31"/>
      </w:numPr>
    </w:pPr>
  </w:style>
  <w:style w:type="numbering" w:customStyle="1" w:styleId="Estiloimportado1">
    <w:name w:val="Estilo importado 1"/>
    <w:rsid w:val="007753D7"/>
  </w:style>
  <w:style w:type="numbering" w:customStyle="1" w:styleId="List1">
    <w:name w:val="List 1"/>
    <w:basedOn w:val="Estiloimportado2"/>
    <w:rsid w:val="007753D7"/>
    <w:pPr>
      <w:numPr>
        <w:numId w:val="1"/>
      </w:numPr>
    </w:pPr>
  </w:style>
  <w:style w:type="numbering" w:customStyle="1" w:styleId="Estiloimportado2">
    <w:name w:val="Estilo importado 2"/>
    <w:rsid w:val="007753D7"/>
  </w:style>
  <w:style w:type="numbering" w:customStyle="1" w:styleId="List21">
    <w:name w:val="List 21"/>
    <w:basedOn w:val="Estiloimportado3"/>
    <w:rsid w:val="007753D7"/>
    <w:pPr>
      <w:numPr>
        <w:numId w:val="52"/>
      </w:numPr>
    </w:pPr>
  </w:style>
  <w:style w:type="numbering" w:customStyle="1" w:styleId="Estiloimportado3">
    <w:name w:val="Estilo importado 3"/>
    <w:rsid w:val="007753D7"/>
  </w:style>
  <w:style w:type="numbering" w:customStyle="1" w:styleId="List31">
    <w:name w:val="List 31"/>
    <w:basedOn w:val="Estiloimportado4"/>
    <w:rsid w:val="007753D7"/>
    <w:pPr>
      <w:numPr>
        <w:numId w:val="51"/>
      </w:numPr>
    </w:pPr>
  </w:style>
  <w:style w:type="numbering" w:customStyle="1" w:styleId="Estiloimportado4">
    <w:name w:val="Estilo importado 4"/>
    <w:rsid w:val="007753D7"/>
  </w:style>
  <w:style w:type="numbering" w:customStyle="1" w:styleId="List41">
    <w:name w:val="List 41"/>
    <w:basedOn w:val="Estiloimportado5"/>
    <w:rsid w:val="007753D7"/>
    <w:pPr>
      <w:numPr>
        <w:numId w:val="2"/>
      </w:numPr>
    </w:pPr>
  </w:style>
  <w:style w:type="numbering" w:customStyle="1" w:styleId="Estiloimportado5">
    <w:name w:val="Estilo importado 5"/>
    <w:rsid w:val="007753D7"/>
  </w:style>
  <w:style w:type="numbering" w:customStyle="1" w:styleId="List51">
    <w:name w:val="List 51"/>
    <w:basedOn w:val="Estiloimportado6"/>
    <w:rsid w:val="007753D7"/>
    <w:pPr>
      <w:numPr>
        <w:numId w:val="53"/>
      </w:numPr>
    </w:pPr>
  </w:style>
  <w:style w:type="numbering" w:customStyle="1" w:styleId="Estiloimportado6">
    <w:name w:val="Estilo importado 6"/>
    <w:rsid w:val="007753D7"/>
  </w:style>
  <w:style w:type="numbering" w:customStyle="1" w:styleId="List6">
    <w:name w:val="List 6"/>
    <w:basedOn w:val="Estiloimportado7"/>
    <w:rsid w:val="007753D7"/>
    <w:pPr>
      <w:numPr>
        <w:numId w:val="3"/>
      </w:numPr>
    </w:pPr>
  </w:style>
  <w:style w:type="numbering" w:customStyle="1" w:styleId="Estiloimportado7">
    <w:name w:val="Estilo importado 7"/>
    <w:rsid w:val="007753D7"/>
  </w:style>
  <w:style w:type="numbering" w:customStyle="1" w:styleId="List7">
    <w:name w:val="List 7"/>
    <w:basedOn w:val="Estiloimportado8"/>
    <w:rsid w:val="007753D7"/>
    <w:pPr>
      <w:numPr>
        <w:numId w:val="4"/>
      </w:numPr>
    </w:pPr>
  </w:style>
  <w:style w:type="numbering" w:customStyle="1" w:styleId="Estiloimportado8">
    <w:name w:val="Estilo importado 8"/>
    <w:rsid w:val="007753D7"/>
  </w:style>
  <w:style w:type="numbering" w:customStyle="1" w:styleId="List8">
    <w:name w:val="List 8"/>
    <w:basedOn w:val="Estiloimportado9"/>
    <w:rsid w:val="007753D7"/>
    <w:pPr>
      <w:numPr>
        <w:numId w:val="5"/>
      </w:numPr>
    </w:pPr>
  </w:style>
  <w:style w:type="numbering" w:customStyle="1" w:styleId="Estiloimportado9">
    <w:name w:val="Estilo importado 9"/>
    <w:rsid w:val="007753D7"/>
  </w:style>
  <w:style w:type="numbering" w:customStyle="1" w:styleId="List9">
    <w:name w:val="List 9"/>
    <w:basedOn w:val="Estiloimportado10"/>
    <w:rsid w:val="007753D7"/>
    <w:pPr>
      <w:numPr>
        <w:numId w:val="22"/>
      </w:numPr>
    </w:pPr>
  </w:style>
  <w:style w:type="numbering" w:customStyle="1" w:styleId="Estiloimportado10">
    <w:name w:val="Estilo importado 10"/>
    <w:rsid w:val="007753D7"/>
  </w:style>
  <w:style w:type="numbering" w:customStyle="1" w:styleId="List10">
    <w:name w:val="List 10"/>
    <w:basedOn w:val="Estiloimportado11"/>
    <w:rsid w:val="007753D7"/>
    <w:pPr>
      <w:numPr>
        <w:numId w:val="6"/>
      </w:numPr>
    </w:pPr>
  </w:style>
  <w:style w:type="numbering" w:customStyle="1" w:styleId="Estiloimportado11">
    <w:name w:val="Estilo importado 11"/>
    <w:rsid w:val="007753D7"/>
  </w:style>
  <w:style w:type="numbering" w:customStyle="1" w:styleId="List11">
    <w:name w:val="List 11"/>
    <w:basedOn w:val="Estiloimportado12"/>
    <w:rsid w:val="007753D7"/>
    <w:pPr>
      <w:numPr>
        <w:numId w:val="7"/>
      </w:numPr>
    </w:pPr>
  </w:style>
  <w:style w:type="numbering" w:customStyle="1" w:styleId="Estiloimportado12">
    <w:name w:val="Estilo importado 12"/>
    <w:rsid w:val="007753D7"/>
  </w:style>
  <w:style w:type="numbering" w:customStyle="1" w:styleId="List12">
    <w:name w:val="List 12"/>
    <w:basedOn w:val="Estiloimportado13"/>
    <w:rsid w:val="007753D7"/>
    <w:pPr>
      <w:numPr>
        <w:numId w:val="36"/>
      </w:numPr>
    </w:pPr>
  </w:style>
  <w:style w:type="numbering" w:customStyle="1" w:styleId="Estiloimportado13">
    <w:name w:val="Estilo importado 13"/>
    <w:rsid w:val="007753D7"/>
  </w:style>
  <w:style w:type="numbering" w:customStyle="1" w:styleId="List13">
    <w:name w:val="List 13"/>
    <w:basedOn w:val="Estiloimportado14"/>
    <w:rsid w:val="007753D7"/>
    <w:pPr>
      <w:numPr>
        <w:numId w:val="42"/>
      </w:numPr>
    </w:pPr>
  </w:style>
  <w:style w:type="numbering" w:customStyle="1" w:styleId="Estiloimportado14">
    <w:name w:val="Estilo importado 14"/>
    <w:rsid w:val="007753D7"/>
  </w:style>
  <w:style w:type="numbering" w:customStyle="1" w:styleId="List14">
    <w:name w:val="List 14"/>
    <w:basedOn w:val="Estiloimportado15"/>
    <w:rsid w:val="007753D7"/>
    <w:pPr>
      <w:numPr>
        <w:numId w:val="17"/>
      </w:numPr>
    </w:pPr>
  </w:style>
  <w:style w:type="numbering" w:customStyle="1" w:styleId="Estiloimportado15">
    <w:name w:val="Estilo importado 15"/>
    <w:rsid w:val="007753D7"/>
  </w:style>
  <w:style w:type="numbering" w:customStyle="1" w:styleId="List15">
    <w:name w:val="List 15"/>
    <w:basedOn w:val="Estiloimportado16"/>
    <w:rsid w:val="007753D7"/>
    <w:pPr>
      <w:numPr>
        <w:numId w:val="16"/>
      </w:numPr>
    </w:pPr>
  </w:style>
  <w:style w:type="numbering" w:customStyle="1" w:styleId="Estiloimportado16">
    <w:name w:val="Estilo importado 16"/>
    <w:rsid w:val="007753D7"/>
  </w:style>
  <w:style w:type="numbering" w:customStyle="1" w:styleId="List16">
    <w:name w:val="List 16"/>
    <w:basedOn w:val="Estiloimportado16"/>
    <w:rsid w:val="007753D7"/>
    <w:pPr>
      <w:numPr>
        <w:numId w:val="10"/>
      </w:numPr>
    </w:pPr>
  </w:style>
  <w:style w:type="numbering" w:customStyle="1" w:styleId="List17">
    <w:name w:val="List 17"/>
    <w:basedOn w:val="Estiloimportado17"/>
    <w:rsid w:val="007753D7"/>
    <w:pPr>
      <w:numPr>
        <w:numId w:val="25"/>
      </w:numPr>
    </w:pPr>
  </w:style>
  <w:style w:type="numbering" w:customStyle="1" w:styleId="Estiloimportado17">
    <w:name w:val="Estilo importado 17"/>
    <w:rsid w:val="007753D7"/>
  </w:style>
  <w:style w:type="numbering" w:customStyle="1" w:styleId="List18">
    <w:name w:val="List 18"/>
    <w:basedOn w:val="Estiloimportado18"/>
    <w:rsid w:val="007753D7"/>
    <w:pPr>
      <w:numPr>
        <w:numId w:val="27"/>
      </w:numPr>
    </w:pPr>
  </w:style>
  <w:style w:type="numbering" w:customStyle="1" w:styleId="Estiloimportado18">
    <w:name w:val="Estilo importado 18"/>
    <w:rsid w:val="007753D7"/>
  </w:style>
  <w:style w:type="numbering" w:customStyle="1" w:styleId="List19">
    <w:name w:val="List 19"/>
    <w:basedOn w:val="Estiloimportado10"/>
    <w:rsid w:val="007753D7"/>
    <w:pPr>
      <w:numPr>
        <w:numId w:val="19"/>
      </w:numPr>
    </w:pPr>
  </w:style>
  <w:style w:type="numbering" w:customStyle="1" w:styleId="List20">
    <w:name w:val="List 20"/>
    <w:basedOn w:val="Estiloimportado12"/>
    <w:rsid w:val="007753D7"/>
    <w:pPr>
      <w:numPr>
        <w:numId w:val="43"/>
      </w:numPr>
    </w:pPr>
  </w:style>
  <w:style w:type="numbering" w:customStyle="1" w:styleId="List211">
    <w:name w:val="List 211"/>
    <w:basedOn w:val="Estiloimportado19"/>
    <w:rsid w:val="007753D7"/>
    <w:pPr>
      <w:numPr>
        <w:numId w:val="38"/>
      </w:numPr>
    </w:pPr>
  </w:style>
  <w:style w:type="numbering" w:customStyle="1" w:styleId="Estiloimportado19">
    <w:name w:val="Estilo importado 19"/>
    <w:rsid w:val="007753D7"/>
  </w:style>
  <w:style w:type="numbering" w:customStyle="1" w:styleId="List22">
    <w:name w:val="List 22"/>
    <w:basedOn w:val="Estiloimportado19"/>
    <w:rsid w:val="007753D7"/>
    <w:pPr>
      <w:numPr>
        <w:numId w:val="28"/>
      </w:numPr>
    </w:pPr>
  </w:style>
  <w:style w:type="numbering" w:customStyle="1" w:styleId="List23">
    <w:name w:val="List 23"/>
    <w:basedOn w:val="Estiloimportado19"/>
    <w:rsid w:val="007753D7"/>
    <w:pPr>
      <w:numPr>
        <w:numId w:val="18"/>
      </w:numPr>
    </w:pPr>
  </w:style>
  <w:style w:type="numbering" w:customStyle="1" w:styleId="List24">
    <w:name w:val="List 24"/>
    <w:basedOn w:val="Estiloimportado20"/>
    <w:rsid w:val="007753D7"/>
    <w:pPr>
      <w:numPr>
        <w:numId w:val="13"/>
      </w:numPr>
    </w:pPr>
  </w:style>
  <w:style w:type="numbering" w:customStyle="1" w:styleId="Estiloimportado20">
    <w:name w:val="Estilo importado 20"/>
    <w:rsid w:val="007753D7"/>
  </w:style>
  <w:style w:type="numbering" w:customStyle="1" w:styleId="List25">
    <w:name w:val="List 25"/>
    <w:basedOn w:val="Estiloimportado21"/>
    <w:rsid w:val="007753D7"/>
    <w:pPr>
      <w:numPr>
        <w:numId w:val="15"/>
      </w:numPr>
    </w:pPr>
  </w:style>
  <w:style w:type="numbering" w:customStyle="1" w:styleId="Estiloimportado21">
    <w:name w:val="Estilo importado 21"/>
    <w:rsid w:val="007753D7"/>
  </w:style>
  <w:style w:type="numbering" w:customStyle="1" w:styleId="List26">
    <w:name w:val="List 26"/>
    <w:basedOn w:val="Estiloimportado22"/>
    <w:rsid w:val="007753D7"/>
    <w:pPr>
      <w:numPr>
        <w:numId w:val="49"/>
      </w:numPr>
    </w:pPr>
  </w:style>
  <w:style w:type="numbering" w:customStyle="1" w:styleId="Estiloimportado22">
    <w:name w:val="Estilo importado 22"/>
    <w:rsid w:val="007753D7"/>
  </w:style>
  <w:style w:type="numbering" w:customStyle="1" w:styleId="List27">
    <w:name w:val="List 27"/>
    <w:basedOn w:val="Estiloimportado23"/>
    <w:rsid w:val="007753D7"/>
    <w:pPr>
      <w:numPr>
        <w:numId w:val="41"/>
      </w:numPr>
    </w:pPr>
  </w:style>
  <w:style w:type="numbering" w:customStyle="1" w:styleId="Estiloimportado23">
    <w:name w:val="Estilo importado 23"/>
    <w:rsid w:val="007753D7"/>
  </w:style>
  <w:style w:type="numbering" w:customStyle="1" w:styleId="List28">
    <w:name w:val="List 28"/>
    <w:basedOn w:val="Estiloimportado24"/>
    <w:rsid w:val="007753D7"/>
    <w:pPr>
      <w:numPr>
        <w:numId w:val="30"/>
      </w:numPr>
    </w:pPr>
  </w:style>
  <w:style w:type="numbering" w:customStyle="1" w:styleId="Estiloimportado24">
    <w:name w:val="Estilo importado 24"/>
    <w:rsid w:val="007753D7"/>
  </w:style>
  <w:style w:type="numbering" w:customStyle="1" w:styleId="List29">
    <w:name w:val="List 29"/>
    <w:basedOn w:val="Estiloimportado25"/>
    <w:rsid w:val="007753D7"/>
    <w:pPr>
      <w:numPr>
        <w:numId w:val="34"/>
      </w:numPr>
    </w:pPr>
  </w:style>
  <w:style w:type="numbering" w:customStyle="1" w:styleId="Estiloimportado25">
    <w:name w:val="Estilo importado 25"/>
    <w:rsid w:val="007753D7"/>
  </w:style>
  <w:style w:type="numbering" w:customStyle="1" w:styleId="List30">
    <w:name w:val="List 30"/>
    <w:basedOn w:val="Estiloimportado26"/>
    <w:rsid w:val="007753D7"/>
    <w:pPr>
      <w:numPr>
        <w:numId w:val="32"/>
      </w:numPr>
    </w:pPr>
  </w:style>
  <w:style w:type="numbering" w:customStyle="1" w:styleId="Estiloimportado26">
    <w:name w:val="Estilo importado 26"/>
    <w:rsid w:val="007753D7"/>
  </w:style>
  <w:style w:type="numbering" w:customStyle="1" w:styleId="List311">
    <w:name w:val="List 311"/>
    <w:basedOn w:val="Estiloimportado27"/>
    <w:rsid w:val="007753D7"/>
    <w:pPr>
      <w:numPr>
        <w:numId w:val="45"/>
      </w:numPr>
    </w:pPr>
  </w:style>
  <w:style w:type="numbering" w:customStyle="1" w:styleId="Estiloimportado27">
    <w:name w:val="Estilo importado 27"/>
    <w:rsid w:val="007753D7"/>
  </w:style>
  <w:style w:type="numbering" w:customStyle="1" w:styleId="List32">
    <w:name w:val="List 32"/>
    <w:basedOn w:val="Estiloimportado28"/>
    <w:rsid w:val="007753D7"/>
    <w:pPr>
      <w:numPr>
        <w:numId w:val="48"/>
      </w:numPr>
    </w:pPr>
  </w:style>
  <w:style w:type="numbering" w:customStyle="1" w:styleId="Estiloimportado28">
    <w:name w:val="Estilo importado 28"/>
    <w:rsid w:val="007753D7"/>
  </w:style>
  <w:style w:type="paragraph" w:styleId="Textonotapie">
    <w:name w:val="footnote text"/>
    <w:aliases w:val="Footnote Text Char Char Char Char Char,Footnote Text Char Char Char Char,FA Fu,Footnote reference,Footnote Text Char Char Char,FA Fußnotentext,FA Fuﬂnotentext,Texto nota pie Car,Footnote Text Cha,Footnote Text Char Char,footnote text,Ca"/>
    <w:link w:val="TextonotapieCar2"/>
    <w:uiPriority w:val="99"/>
    <w:qFormat/>
    <w:rsid w:val="007753D7"/>
    <w:pPr>
      <w:pBdr>
        <w:top w:val="nil"/>
        <w:left w:val="nil"/>
        <w:bottom w:val="nil"/>
        <w:right w:val="nil"/>
        <w:between w:val="nil"/>
        <w:bar w:val="nil"/>
      </w:pBdr>
    </w:pPr>
    <w:rPr>
      <w:rFonts w:ascii="Calibri" w:eastAsia="Calibri" w:hAnsi="Calibri" w:cs="Calibri"/>
      <w:color w:val="000000"/>
      <w:u w:color="000000"/>
      <w:bdr w:val="nil"/>
      <w:lang w:eastAsia="es-ES"/>
    </w:rPr>
  </w:style>
  <w:style w:type="numbering" w:customStyle="1" w:styleId="List33">
    <w:name w:val="List 33"/>
    <w:basedOn w:val="Estiloimportado29"/>
    <w:rsid w:val="007753D7"/>
    <w:pPr>
      <w:numPr>
        <w:numId w:val="26"/>
      </w:numPr>
    </w:pPr>
  </w:style>
  <w:style w:type="numbering" w:customStyle="1" w:styleId="Estiloimportado29">
    <w:name w:val="Estilo importado 29"/>
    <w:rsid w:val="007753D7"/>
  </w:style>
  <w:style w:type="numbering" w:customStyle="1" w:styleId="List34">
    <w:name w:val="List 34"/>
    <w:basedOn w:val="Estiloimportado30"/>
    <w:rsid w:val="007753D7"/>
    <w:pPr>
      <w:numPr>
        <w:numId w:val="11"/>
      </w:numPr>
    </w:pPr>
  </w:style>
  <w:style w:type="numbering" w:customStyle="1" w:styleId="Estiloimportado30">
    <w:name w:val="Estilo importado 30"/>
    <w:rsid w:val="007753D7"/>
  </w:style>
  <w:style w:type="numbering" w:customStyle="1" w:styleId="List35">
    <w:name w:val="List 35"/>
    <w:basedOn w:val="Estiloimportado31"/>
    <w:rsid w:val="007753D7"/>
    <w:pPr>
      <w:numPr>
        <w:numId w:val="8"/>
      </w:numPr>
    </w:pPr>
  </w:style>
  <w:style w:type="numbering" w:customStyle="1" w:styleId="Estiloimportado31">
    <w:name w:val="Estilo importado 31"/>
    <w:rsid w:val="007753D7"/>
  </w:style>
  <w:style w:type="numbering" w:customStyle="1" w:styleId="List36">
    <w:name w:val="List 36"/>
    <w:basedOn w:val="Estiloimportado32"/>
    <w:rsid w:val="007753D7"/>
    <w:pPr>
      <w:numPr>
        <w:numId w:val="14"/>
      </w:numPr>
    </w:pPr>
  </w:style>
  <w:style w:type="numbering" w:customStyle="1" w:styleId="Estiloimportado32">
    <w:name w:val="Estilo importado 32"/>
    <w:rsid w:val="007753D7"/>
  </w:style>
  <w:style w:type="numbering" w:customStyle="1" w:styleId="List37">
    <w:name w:val="List 37"/>
    <w:basedOn w:val="Estiloimportado33"/>
    <w:rsid w:val="007753D7"/>
    <w:pPr>
      <w:numPr>
        <w:numId w:val="47"/>
      </w:numPr>
    </w:pPr>
  </w:style>
  <w:style w:type="numbering" w:customStyle="1" w:styleId="Estiloimportado33">
    <w:name w:val="Estilo importado 33"/>
    <w:rsid w:val="007753D7"/>
  </w:style>
  <w:style w:type="numbering" w:customStyle="1" w:styleId="List38">
    <w:name w:val="List 38"/>
    <w:basedOn w:val="Estiloimportado34"/>
    <w:rsid w:val="007753D7"/>
    <w:pPr>
      <w:numPr>
        <w:numId w:val="35"/>
      </w:numPr>
    </w:pPr>
  </w:style>
  <w:style w:type="numbering" w:customStyle="1" w:styleId="Estiloimportado34">
    <w:name w:val="Estilo importado 34"/>
    <w:rsid w:val="007753D7"/>
  </w:style>
  <w:style w:type="numbering" w:customStyle="1" w:styleId="List39">
    <w:name w:val="List 39"/>
    <w:basedOn w:val="Estiloimportado35"/>
    <w:rsid w:val="007753D7"/>
    <w:pPr>
      <w:numPr>
        <w:numId w:val="46"/>
      </w:numPr>
    </w:pPr>
  </w:style>
  <w:style w:type="numbering" w:customStyle="1" w:styleId="Estiloimportado35">
    <w:name w:val="Estilo importado 35"/>
    <w:rsid w:val="007753D7"/>
  </w:style>
  <w:style w:type="numbering" w:customStyle="1" w:styleId="List40">
    <w:name w:val="List 40"/>
    <w:basedOn w:val="Estiloimportado36"/>
    <w:rsid w:val="007753D7"/>
    <w:pPr>
      <w:numPr>
        <w:numId w:val="21"/>
      </w:numPr>
    </w:pPr>
  </w:style>
  <w:style w:type="numbering" w:customStyle="1" w:styleId="Estiloimportado36">
    <w:name w:val="Estilo importado 36"/>
    <w:rsid w:val="007753D7"/>
  </w:style>
  <w:style w:type="numbering" w:customStyle="1" w:styleId="List411">
    <w:name w:val="List 411"/>
    <w:basedOn w:val="Estiloimportado37"/>
    <w:rsid w:val="007753D7"/>
    <w:pPr>
      <w:numPr>
        <w:numId w:val="44"/>
      </w:numPr>
    </w:pPr>
  </w:style>
  <w:style w:type="numbering" w:customStyle="1" w:styleId="Estiloimportado37">
    <w:name w:val="Estilo importado 37"/>
    <w:rsid w:val="007753D7"/>
  </w:style>
  <w:style w:type="numbering" w:customStyle="1" w:styleId="List42">
    <w:name w:val="List 42"/>
    <w:basedOn w:val="Estiloimportado12"/>
    <w:rsid w:val="007753D7"/>
    <w:pPr>
      <w:numPr>
        <w:numId w:val="12"/>
      </w:numPr>
    </w:pPr>
  </w:style>
  <w:style w:type="numbering" w:customStyle="1" w:styleId="List43">
    <w:name w:val="List 43"/>
    <w:basedOn w:val="Estiloimportado38"/>
    <w:rsid w:val="007753D7"/>
    <w:pPr>
      <w:numPr>
        <w:numId w:val="23"/>
      </w:numPr>
    </w:pPr>
  </w:style>
  <w:style w:type="numbering" w:customStyle="1" w:styleId="Estiloimportado38">
    <w:name w:val="Estilo importado 38"/>
    <w:rsid w:val="007753D7"/>
  </w:style>
  <w:style w:type="numbering" w:customStyle="1" w:styleId="List44">
    <w:name w:val="List 44"/>
    <w:basedOn w:val="Estiloimportado39"/>
    <w:rsid w:val="007753D7"/>
    <w:pPr>
      <w:numPr>
        <w:numId w:val="40"/>
      </w:numPr>
    </w:pPr>
  </w:style>
  <w:style w:type="numbering" w:customStyle="1" w:styleId="Estiloimportado39">
    <w:name w:val="Estilo importado 39"/>
    <w:rsid w:val="007753D7"/>
  </w:style>
  <w:style w:type="numbering" w:customStyle="1" w:styleId="List45">
    <w:name w:val="List 45"/>
    <w:basedOn w:val="Estiloimportado40"/>
    <w:rsid w:val="007753D7"/>
    <w:pPr>
      <w:numPr>
        <w:numId w:val="20"/>
      </w:numPr>
    </w:pPr>
  </w:style>
  <w:style w:type="numbering" w:customStyle="1" w:styleId="Estiloimportado40">
    <w:name w:val="Estilo importado 40"/>
    <w:rsid w:val="007753D7"/>
  </w:style>
  <w:style w:type="numbering" w:customStyle="1" w:styleId="List46">
    <w:name w:val="List 46"/>
    <w:basedOn w:val="Estiloimportado41"/>
    <w:rsid w:val="007753D7"/>
    <w:pPr>
      <w:numPr>
        <w:numId w:val="24"/>
      </w:numPr>
    </w:pPr>
  </w:style>
  <w:style w:type="numbering" w:customStyle="1" w:styleId="Estiloimportado41">
    <w:name w:val="Estilo importado 41"/>
    <w:rsid w:val="007753D7"/>
  </w:style>
  <w:style w:type="numbering" w:customStyle="1" w:styleId="List47">
    <w:name w:val="List 47"/>
    <w:basedOn w:val="Estiloimportado42"/>
    <w:rsid w:val="007753D7"/>
    <w:pPr>
      <w:numPr>
        <w:numId w:val="29"/>
      </w:numPr>
    </w:pPr>
  </w:style>
  <w:style w:type="numbering" w:customStyle="1" w:styleId="Estiloimportado42">
    <w:name w:val="Estilo importado 42"/>
    <w:rsid w:val="007753D7"/>
  </w:style>
  <w:style w:type="numbering" w:customStyle="1" w:styleId="List48">
    <w:name w:val="List 48"/>
    <w:basedOn w:val="Estiloimportado43"/>
    <w:rsid w:val="007753D7"/>
    <w:pPr>
      <w:numPr>
        <w:numId w:val="50"/>
      </w:numPr>
    </w:pPr>
  </w:style>
  <w:style w:type="numbering" w:customStyle="1" w:styleId="Estiloimportado43">
    <w:name w:val="Estilo importado 43"/>
    <w:rsid w:val="007753D7"/>
  </w:style>
  <w:style w:type="numbering" w:customStyle="1" w:styleId="List49">
    <w:name w:val="List 49"/>
    <w:basedOn w:val="Estiloimportado44"/>
    <w:rsid w:val="007753D7"/>
    <w:pPr>
      <w:numPr>
        <w:numId w:val="39"/>
      </w:numPr>
    </w:pPr>
  </w:style>
  <w:style w:type="numbering" w:customStyle="1" w:styleId="Estiloimportado44">
    <w:name w:val="Estilo importado 44"/>
    <w:rsid w:val="007753D7"/>
  </w:style>
  <w:style w:type="numbering" w:customStyle="1" w:styleId="List50">
    <w:name w:val="List 50"/>
    <w:basedOn w:val="Estiloimportado45"/>
    <w:rsid w:val="007753D7"/>
    <w:pPr>
      <w:numPr>
        <w:numId w:val="37"/>
      </w:numPr>
    </w:pPr>
  </w:style>
  <w:style w:type="numbering" w:customStyle="1" w:styleId="Estiloimportado45">
    <w:name w:val="Estilo importado 45"/>
    <w:rsid w:val="007753D7"/>
  </w:style>
  <w:style w:type="numbering" w:customStyle="1" w:styleId="List511">
    <w:name w:val="List 511"/>
    <w:basedOn w:val="Estiloimportado46"/>
    <w:rsid w:val="007753D7"/>
    <w:pPr>
      <w:numPr>
        <w:numId w:val="33"/>
      </w:numPr>
    </w:pPr>
  </w:style>
  <w:style w:type="numbering" w:customStyle="1" w:styleId="Estiloimportado46">
    <w:name w:val="Estilo importado 46"/>
    <w:rsid w:val="007753D7"/>
  </w:style>
  <w:style w:type="numbering" w:customStyle="1" w:styleId="List52">
    <w:name w:val="List 52"/>
    <w:basedOn w:val="Estiloimportado1"/>
    <w:rsid w:val="007753D7"/>
    <w:pPr>
      <w:numPr>
        <w:numId w:val="9"/>
      </w:numPr>
    </w:pPr>
  </w:style>
  <w:style w:type="paragraph" w:styleId="Textodeglobo">
    <w:name w:val="Balloon Text"/>
    <w:basedOn w:val="Normal"/>
    <w:link w:val="TextodegloboCar"/>
    <w:semiHidden/>
    <w:unhideWhenUsed/>
    <w:rsid w:val="009B381B"/>
    <w:rPr>
      <w:rFonts w:ascii="Tahoma" w:hAnsi="Tahoma" w:cs="Tahoma"/>
      <w:sz w:val="16"/>
      <w:szCs w:val="16"/>
    </w:rPr>
  </w:style>
  <w:style w:type="character" w:customStyle="1" w:styleId="TextodegloboCar">
    <w:name w:val="Texto de globo Car"/>
    <w:link w:val="Textodeglobo"/>
    <w:semiHidden/>
    <w:rsid w:val="009B381B"/>
    <w:rPr>
      <w:rFonts w:ascii="Tahoma" w:hAnsi="Tahoma" w:cs="Tahoma"/>
      <w:sz w:val="16"/>
      <w:szCs w:val="16"/>
      <w:lang w:val="en-US" w:eastAsia="en-US"/>
    </w:rPr>
  </w:style>
  <w:style w:type="paragraph" w:styleId="Encabezado">
    <w:name w:val="header"/>
    <w:aliases w:val="encabezado"/>
    <w:basedOn w:val="Normal"/>
    <w:link w:val="EncabezadoCar"/>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link w:val="Encabezado"/>
    <w:rsid w:val="00D81D92"/>
    <w:rPr>
      <w:rFonts w:ascii="Univers" w:eastAsia="Times New Roman" w:hAnsi="Univers" w:cs="Univers"/>
      <w:sz w:val="24"/>
      <w:szCs w:val="24"/>
      <w:bdr w:val="none" w:sz="0" w:space="0" w:color="auto"/>
      <w:lang w:val="en-US" w:eastAsia="en-US"/>
    </w:rPr>
  </w:style>
  <w:style w:type="character" w:customStyle="1" w:styleId="Ttulo1Car">
    <w:name w:val="Título 1 Car"/>
    <w:link w:val="Ttulo1"/>
    <w:rsid w:val="00E24E60"/>
    <w:rPr>
      <w:rFonts w:ascii="Cambria" w:eastAsia="Times New Roman" w:hAnsi="Cambria"/>
      <w:b/>
      <w:lang w:val="es-ES_tradnl"/>
    </w:rPr>
  </w:style>
  <w:style w:type="table" w:styleId="Sombreadomedio1-nfasis2">
    <w:name w:val="Medium Shading 1 Accent 2"/>
    <w:basedOn w:val="Tablanormal"/>
    <w:uiPriority w:val="63"/>
    <w:rsid w:val="006A17D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5C4225"/>
    <w:pPr>
      <w:tabs>
        <w:tab w:val="left" w:pos="1440"/>
        <w:tab w:val="right" w:leader="dot" w:pos="9350"/>
      </w:tabs>
      <w:spacing w:after="100"/>
      <w:ind w:left="1440" w:hanging="720"/>
    </w:pPr>
  </w:style>
  <w:style w:type="paragraph" w:styleId="TDC1">
    <w:name w:val="toc 1"/>
    <w:basedOn w:val="Normal"/>
    <w:next w:val="Normal"/>
    <w:autoRedefine/>
    <w:uiPriority w:val="39"/>
    <w:unhideWhenUsed/>
    <w:rsid w:val="005C4225"/>
    <w:pPr>
      <w:spacing w:after="100"/>
    </w:pPr>
    <w:rPr>
      <w:rFonts w:ascii="Calibri" w:hAnsi="Calibri"/>
      <w:sz w:val="22"/>
    </w:rPr>
  </w:style>
  <w:style w:type="paragraph" w:styleId="TDC3">
    <w:name w:val="toc 3"/>
    <w:basedOn w:val="Normal"/>
    <w:next w:val="Normal"/>
    <w:autoRedefine/>
    <w:uiPriority w:val="39"/>
    <w:unhideWhenUsed/>
    <w:rsid w:val="005C4225"/>
    <w:pPr>
      <w:tabs>
        <w:tab w:val="left" w:pos="880"/>
        <w:tab w:val="right" w:leader="dot" w:pos="9350"/>
      </w:tabs>
      <w:spacing w:after="100"/>
      <w:ind w:left="2160" w:hanging="720"/>
    </w:pPr>
  </w:style>
  <w:style w:type="paragraph" w:styleId="TDC4">
    <w:name w:val="toc 4"/>
    <w:basedOn w:val="Normal"/>
    <w:next w:val="Normal"/>
    <w:autoRedefine/>
    <w:unhideWhenUsed/>
    <w:rsid w:val="005C4225"/>
    <w:pPr>
      <w:spacing w:after="100"/>
      <w:ind w:left="720"/>
    </w:pPr>
  </w:style>
  <w:style w:type="character" w:styleId="Nmerodepgina">
    <w:name w:val="page number"/>
    <w:basedOn w:val="Fuentedeprrafopredeter"/>
    <w:rsid w:val="00040C3A"/>
  </w:style>
  <w:style w:type="character" w:customStyle="1" w:styleId="PiedepginaCar">
    <w:name w:val="Pie de página Car"/>
    <w:link w:val="Piedepgina"/>
    <w:rsid w:val="00A50FCF"/>
    <w:rPr>
      <w:rFonts w:ascii="Cambria" w:eastAsia="Cambria" w:hAnsi="Cambria" w:cs="Cambria"/>
      <w:color w:val="000000"/>
      <w:sz w:val="24"/>
      <w:szCs w:val="24"/>
      <w:u w:color="000000"/>
      <w:lang w:val="en-US"/>
    </w:rPr>
  </w:style>
  <w:style w:type="character" w:customStyle="1" w:styleId="Ttulo3Car">
    <w:name w:val="Título 3 Car"/>
    <w:link w:val="Ttulo3"/>
    <w:rsid w:val="004B316C"/>
    <w:rPr>
      <w:rFonts w:ascii="Cambria" w:eastAsia="Times New Roman" w:hAnsi="Cambria" w:cs="Times New Roman"/>
      <w:b/>
      <w:bCs/>
      <w:color w:val="4F81BD"/>
      <w:sz w:val="24"/>
      <w:szCs w:val="24"/>
      <w:lang w:val="en-US" w:eastAsia="en-US"/>
    </w:rPr>
  </w:style>
  <w:style w:type="character" w:customStyle="1" w:styleId="Ttulo2Car">
    <w:name w:val="Título 2 Car"/>
    <w:link w:val="Ttulo2"/>
    <w:rsid w:val="00E24E60"/>
    <w:rPr>
      <w:rFonts w:ascii="Cambria" w:eastAsia="Times New Roman" w:hAnsi="Cambria"/>
      <w:b/>
      <w:bdr w:val="none" w:sz="0" w:space="0" w:color="auto"/>
      <w:lang w:val="es-ES_tradnl" w:eastAsia="en-US"/>
    </w:rPr>
  </w:style>
  <w:style w:type="character" w:customStyle="1" w:styleId="Ttulo4Car">
    <w:name w:val="Título 4 Car"/>
    <w:link w:val="Ttulo4"/>
    <w:rsid w:val="004B316C"/>
    <w:rPr>
      <w:rFonts w:ascii="Arial" w:eastAsia="Times New Roman" w:hAnsi="Arial"/>
      <w:b/>
      <w:sz w:val="24"/>
      <w:bdr w:val="none" w:sz="0" w:space="0" w:color="auto"/>
      <w:lang w:val="en-US" w:eastAsia="en-US"/>
    </w:rPr>
  </w:style>
  <w:style w:type="character" w:customStyle="1" w:styleId="Ttulo5Car">
    <w:name w:val="Título 5 Car"/>
    <w:link w:val="Ttulo5"/>
    <w:rsid w:val="004B316C"/>
    <w:rPr>
      <w:rFonts w:eastAsia="Times New Roman"/>
      <w:sz w:val="22"/>
      <w:bdr w:val="none" w:sz="0" w:space="0" w:color="auto"/>
      <w:lang w:val="en-US" w:eastAsia="en-US"/>
    </w:rPr>
  </w:style>
  <w:style w:type="character" w:customStyle="1" w:styleId="Ttulo6Car">
    <w:name w:val="Título 6 Car"/>
    <w:link w:val="Ttulo6"/>
    <w:rsid w:val="004B316C"/>
    <w:rPr>
      <w:rFonts w:eastAsia="Times New Roman"/>
      <w:i/>
      <w:sz w:val="22"/>
      <w:bdr w:val="none" w:sz="0" w:space="0" w:color="auto"/>
      <w:lang w:val="en-US" w:eastAsia="en-US"/>
    </w:rPr>
  </w:style>
  <w:style w:type="character" w:customStyle="1" w:styleId="Ttulo7Car">
    <w:name w:val="Título 7 Car"/>
    <w:link w:val="Ttulo7"/>
    <w:rsid w:val="004B316C"/>
    <w:rPr>
      <w:rFonts w:ascii="Arial" w:eastAsia="Times New Roman" w:hAnsi="Arial"/>
      <w:bdr w:val="none" w:sz="0" w:space="0" w:color="auto"/>
      <w:lang w:val="en-US" w:eastAsia="en-US"/>
    </w:rPr>
  </w:style>
  <w:style w:type="character" w:customStyle="1" w:styleId="Ttulo8Car">
    <w:name w:val="Título 8 Car"/>
    <w:link w:val="Ttulo8"/>
    <w:rsid w:val="004B316C"/>
    <w:rPr>
      <w:rFonts w:ascii="Arial" w:eastAsia="Times New Roman" w:hAnsi="Arial"/>
      <w:i/>
      <w:bdr w:val="none" w:sz="0" w:space="0" w:color="auto"/>
      <w:lang w:val="en-US" w:eastAsia="en-US"/>
    </w:rPr>
  </w:style>
  <w:style w:type="character" w:customStyle="1" w:styleId="Ttulo9Car">
    <w:name w:val="Título 9 Car"/>
    <w:link w:val="Ttulo9"/>
    <w:rsid w:val="004B316C"/>
    <w:rPr>
      <w:rFonts w:ascii="Arial" w:eastAsia="Times New Roman" w:hAnsi="Arial"/>
      <w:b/>
      <w:i/>
      <w:sz w:val="18"/>
      <w:bdr w:val="none" w:sz="0" w:space="0" w:color="auto"/>
      <w:lang w:val="en-US" w:eastAsia="en-US"/>
    </w:rPr>
  </w:style>
  <w:style w:type="numbering" w:customStyle="1" w:styleId="NoList1">
    <w:name w:val="No List1"/>
    <w:next w:val="Sinlista"/>
    <w:semiHidden/>
    <w:unhideWhenUsed/>
    <w:rsid w:val="004B316C"/>
  </w:style>
  <w:style w:type="character" w:customStyle="1" w:styleId="SangradetextonormalCar">
    <w:name w:val="Sangría de texto normal Car"/>
    <w:link w:val="Sangradetextonormal"/>
    <w:rsid w:val="004B316C"/>
    <w:rPr>
      <w:rFonts w:eastAsia="Times New Roman"/>
      <w:color w:val="000000"/>
      <w:sz w:val="24"/>
      <w:szCs w:val="24"/>
      <w:u w:color="000000"/>
      <w:lang w:val="es-ES_tradnl"/>
    </w:rPr>
  </w:style>
  <w:style w:type="character" w:customStyle="1" w:styleId="TextonotapieCar2">
    <w:name w:val="Texto nota pie Car2"/>
    <w:aliases w:val="Footnote Text Char Char Char Char Char Car1,Footnote Text Char Char Char Char Car1,FA Fu Car1,Footnote reference Car1,Footnote Text Char Char Char Car1,FA Fußnotentext Car1,FA Fuﬂnotentext Car,Texto nota pie Car Car1,Ca Car"/>
    <w:link w:val="Textonotapie"/>
    <w:uiPriority w:val="99"/>
    <w:qFormat/>
    <w:rsid w:val="004B316C"/>
    <w:rPr>
      <w:rFonts w:ascii="Calibri" w:eastAsia="Calibri" w:hAnsi="Calibri" w:cs="Calibri"/>
      <w:color w:val="000000"/>
      <w:u w:color="000000"/>
      <w:lang w:val="en-US"/>
    </w:rPr>
  </w:style>
  <w:style w:type="character" w:styleId="Refdenotaalpie">
    <w:name w:val="footnote reference"/>
    <w:aliases w:val="Footnotes refss,Texto de nota al pie,Appel note de bas de page,Footnote number,referencia nota al pie,BVI fnr,f,Ref. de nota al pie.,Footnote symbol,Footnote,4_G,16 Point,Superscript 6 Point,Texto nota al pie,Ref. de nota al pi,Ref,R"/>
    <w:qFormat/>
    <w:rsid w:val="004B316C"/>
    <w:rPr>
      <w:rFonts w:ascii="Verdana" w:hAnsi="Verdana"/>
      <w:sz w:val="22"/>
      <w:vertAlign w:val="superscript"/>
    </w:rPr>
  </w:style>
  <w:style w:type="character" w:customStyle="1" w:styleId="Style">
    <w:name w:val="Style"/>
    <w:rsid w:val="004B316C"/>
    <w:rPr>
      <w:rFonts w:ascii="Times New Roman" w:hAnsi="Times New Roman"/>
      <w:sz w:val="22"/>
      <w:vertAlign w:val="superscript"/>
    </w:rPr>
  </w:style>
  <w:style w:type="paragraph" w:customStyle="1" w:styleId="Style1">
    <w:name w:val="Style1"/>
    <w:basedOn w:val="Textonotapie"/>
    <w:autoRedefine/>
    <w:rsid w:val="004B316C"/>
    <w:p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ascii="Univers" w:eastAsia="Times New Roman" w:hAnsi="Univers" w:cs="Times New Roman"/>
      <w:color w:val="auto"/>
      <w:sz w:val="16"/>
      <w:szCs w:val="16"/>
      <w:bdr w:val="none" w:sz="0" w:space="0" w:color="auto"/>
      <w:lang w:val="es-PY" w:eastAsia="en-US"/>
    </w:rPr>
  </w:style>
  <w:style w:type="paragraph" w:customStyle="1" w:styleId="Style10">
    <w:name w:val="Style 1"/>
    <w:basedOn w:val="Normal"/>
    <w:uiPriority w:val="99"/>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96" w:line="408" w:lineRule="atLeast"/>
      <w:jc w:val="both"/>
    </w:pPr>
    <w:rPr>
      <w:rFonts w:eastAsia="Times New Roman"/>
      <w:bdr w:val="none" w:sz="0" w:space="0" w:color="auto"/>
    </w:rPr>
  </w:style>
  <w:style w:type="paragraph" w:customStyle="1" w:styleId="Style4">
    <w:name w:val="Style 4"/>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408" w:lineRule="atLeast"/>
      <w:jc w:val="both"/>
    </w:pPr>
    <w:rPr>
      <w:rFonts w:eastAsia="Times New Roman"/>
      <w:bdr w:val="none" w:sz="0" w:space="0" w:color="auto"/>
    </w:rPr>
  </w:style>
  <w:style w:type="paragraph" w:customStyle="1" w:styleId="Style31">
    <w:name w:val="Style 31"/>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3204" w:line="1116" w:lineRule="exact"/>
      <w:jc w:val="center"/>
    </w:pPr>
    <w:rPr>
      <w:rFonts w:eastAsia="Times New Roman"/>
      <w:bdr w:val="none" w:sz="0" w:space="0" w:color="auto"/>
    </w:rPr>
  </w:style>
  <w:style w:type="paragraph" w:customStyle="1" w:styleId="Style36">
    <w:name w:val="Style 36"/>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60" w:line="384" w:lineRule="atLeast"/>
      <w:ind w:right="72"/>
      <w:jc w:val="both"/>
    </w:pPr>
    <w:rPr>
      <w:rFonts w:eastAsia="Times New Roman"/>
      <w:bdr w:val="none" w:sz="0" w:space="0" w:color="auto"/>
    </w:rPr>
  </w:style>
  <w:style w:type="paragraph" w:customStyle="1" w:styleId="Style11">
    <w:name w:val="Style 11"/>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60" w:line="360" w:lineRule="auto"/>
      <w:jc w:val="both"/>
    </w:pPr>
    <w:rPr>
      <w:rFonts w:eastAsia="Times New Roman"/>
      <w:bdr w:val="none" w:sz="0" w:space="0" w:color="auto"/>
    </w:rPr>
  </w:style>
  <w:style w:type="paragraph" w:customStyle="1" w:styleId="Style14">
    <w:name w:val="Style 14"/>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60" w:line="384" w:lineRule="atLeast"/>
      <w:ind w:left="504" w:right="72" w:hanging="504"/>
      <w:jc w:val="both"/>
    </w:pPr>
    <w:rPr>
      <w:rFonts w:eastAsia="Times New Roman"/>
      <w:bdr w:val="none" w:sz="0" w:space="0" w:color="auto"/>
    </w:rPr>
  </w:style>
  <w:style w:type="paragraph" w:customStyle="1" w:styleId="Style27">
    <w:name w:val="Style 27"/>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96" w:line="360" w:lineRule="auto"/>
      <w:ind w:left="360" w:hanging="360"/>
      <w:jc w:val="both"/>
    </w:pPr>
    <w:rPr>
      <w:rFonts w:eastAsia="Times New Roman"/>
      <w:bdr w:val="none" w:sz="0" w:space="0" w:color="auto"/>
    </w:rPr>
  </w:style>
  <w:style w:type="paragraph" w:customStyle="1" w:styleId="Style16">
    <w:name w:val="Style 16"/>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360" w:hanging="360"/>
      <w:jc w:val="both"/>
    </w:pPr>
    <w:rPr>
      <w:rFonts w:eastAsia="Times New Roman"/>
      <w:bdr w:val="none" w:sz="0" w:space="0" w:color="auto"/>
    </w:rPr>
  </w:style>
  <w:style w:type="paragraph" w:customStyle="1" w:styleId="Style17">
    <w:name w:val="Style 17"/>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bdr w:val="none" w:sz="0" w:space="0" w:color="auto"/>
    </w:rPr>
  </w:style>
  <w:style w:type="paragraph" w:customStyle="1" w:styleId="Style19">
    <w:name w:val="Style 19"/>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360" w:lineRule="auto"/>
      <w:ind w:left="504" w:right="72" w:hanging="504"/>
      <w:jc w:val="both"/>
    </w:pPr>
    <w:rPr>
      <w:rFonts w:eastAsia="Times New Roman"/>
      <w:bdr w:val="none" w:sz="0" w:space="0" w:color="auto"/>
    </w:rPr>
  </w:style>
  <w:style w:type="paragraph" w:customStyle="1" w:styleId="Style21">
    <w:name w:val="Style 21"/>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16"/>
      <w:ind w:right="864"/>
      <w:jc w:val="both"/>
    </w:pPr>
    <w:rPr>
      <w:rFonts w:eastAsia="Times New Roman"/>
      <w:bdr w:val="none" w:sz="0" w:space="0" w:color="auto"/>
    </w:rPr>
  </w:style>
  <w:style w:type="paragraph" w:customStyle="1" w:styleId="Style22">
    <w:name w:val="Style 22"/>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16"/>
      <w:ind w:right="864"/>
    </w:pPr>
    <w:rPr>
      <w:rFonts w:eastAsia="Times New Roman"/>
      <w:bdr w:val="none" w:sz="0" w:space="0" w:color="auto"/>
    </w:rPr>
  </w:style>
  <w:style w:type="paragraph" w:customStyle="1" w:styleId="Style24">
    <w:name w:val="Style 24"/>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60" w:line="360" w:lineRule="auto"/>
      <w:ind w:left="504" w:right="72" w:hanging="504"/>
      <w:jc w:val="both"/>
    </w:pPr>
    <w:rPr>
      <w:rFonts w:eastAsia="Times New Roman"/>
      <w:bdr w:val="none" w:sz="0" w:space="0" w:color="auto"/>
    </w:rPr>
  </w:style>
  <w:style w:type="paragraph" w:styleId="Mapadeldocumento">
    <w:name w:val="Document Map"/>
    <w:basedOn w:val="Normal"/>
    <w:link w:val="MapadeldocumentoCar"/>
    <w:semiHidden/>
    <w:rsid w:val="004B316C"/>
    <w:pPr>
      <w:pBdr>
        <w:top w:val="none" w:sz="0" w:space="0" w:color="auto"/>
        <w:left w:val="none" w:sz="0" w:space="0" w:color="auto"/>
        <w:bottom w:val="none" w:sz="0" w:space="0" w:color="auto"/>
        <w:right w:val="none" w:sz="0" w:space="0" w:color="auto"/>
        <w:between w:val="none" w:sz="0" w:space="0" w:color="auto"/>
        <w:bar w:val="none" w:sz="0" w:color="auto"/>
      </w:pBdr>
      <w:shd w:val="clear" w:color="auto" w:fill="000080"/>
    </w:pPr>
    <w:rPr>
      <w:rFonts w:ascii="Tahoma" w:eastAsia="Times New Roman" w:hAnsi="Tahoma" w:cs="Tahoma"/>
      <w:sz w:val="20"/>
      <w:szCs w:val="20"/>
      <w:bdr w:val="none" w:sz="0" w:space="0" w:color="auto"/>
    </w:rPr>
  </w:style>
  <w:style w:type="character" w:customStyle="1" w:styleId="MapadeldocumentoCar">
    <w:name w:val="Mapa del documento Car"/>
    <w:link w:val="Mapadeldocumento"/>
    <w:semiHidden/>
    <w:rsid w:val="004B316C"/>
    <w:rPr>
      <w:rFonts w:ascii="Tahoma" w:eastAsia="Times New Roman" w:hAnsi="Tahoma" w:cs="Tahoma"/>
      <w:bdr w:val="none" w:sz="0" w:space="0" w:color="auto"/>
      <w:shd w:val="clear" w:color="auto" w:fill="000080"/>
      <w:lang w:val="en-US" w:eastAsia="en-US"/>
    </w:rPr>
  </w:style>
  <w:style w:type="paragraph" w:styleId="Textoindependiente">
    <w:name w:val="Body Text"/>
    <w:basedOn w:val="Normal"/>
    <w:link w:val="TextoindependienteCar"/>
    <w:rsid w:val="004B316C"/>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eastAsia="Times New Roman"/>
      <w:sz w:val="20"/>
      <w:szCs w:val="20"/>
      <w:bdr w:val="none" w:sz="0" w:space="0" w:color="auto"/>
    </w:rPr>
  </w:style>
  <w:style w:type="character" w:customStyle="1" w:styleId="TextoindependienteCar">
    <w:name w:val="Texto independiente Car"/>
    <w:link w:val="Textoindependiente"/>
    <w:rsid w:val="004B316C"/>
    <w:rPr>
      <w:rFonts w:eastAsia="Times New Roman"/>
      <w:bdr w:val="none" w:sz="0" w:space="0" w:color="auto"/>
      <w:lang w:val="en-US" w:eastAsia="en-US"/>
    </w:rPr>
  </w:style>
  <w:style w:type="paragraph" w:customStyle="1" w:styleId="Style6">
    <w:name w:val="Style 6"/>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52"/>
      <w:jc w:val="both"/>
    </w:pPr>
    <w:rPr>
      <w:rFonts w:eastAsia="Times New Roman"/>
      <w:bdr w:val="none" w:sz="0" w:space="0" w:color="auto"/>
    </w:rPr>
  </w:style>
  <w:style w:type="paragraph" w:customStyle="1" w:styleId="Style29">
    <w:name w:val="Style 29"/>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52"/>
      <w:ind w:right="72"/>
      <w:jc w:val="both"/>
    </w:pPr>
    <w:rPr>
      <w:rFonts w:eastAsia="Times New Roman"/>
      <w:bdr w:val="none" w:sz="0" w:space="0" w:color="auto"/>
    </w:rPr>
  </w:style>
  <w:style w:type="paragraph" w:customStyle="1" w:styleId="Style28">
    <w:name w:val="Style 28"/>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52"/>
      <w:ind w:left="72"/>
      <w:jc w:val="both"/>
    </w:pPr>
    <w:rPr>
      <w:rFonts w:eastAsia="Times New Roman"/>
      <w:bdr w:val="none" w:sz="0" w:space="0" w:color="auto"/>
    </w:rPr>
  </w:style>
  <w:style w:type="paragraph" w:customStyle="1" w:styleId="Style26">
    <w:name w:val="Style 26"/>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pPr>
    <w:rPr>
      <w:rFonts w:eastAsia="Times New Roman"/>
      <w:bdr w:val="none" w:sz="0" w:space="0" w:color="auto"/>
    </w:rPr>
  </w:style>
  <w:style w:type="paragraph" w:customStyle="1" w:styleId="Style100">
    <w:name w:val="Style 10"/>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720"/>
      <w:jc w:val="both"/>
    </w:pPr>
    <w:rPr>
      <w:rFonts w:eastAsia="Times New Roman"/>
      <w:bdr w:val="none" w:sz="0" w:space="0" w:color="auto"/>
    </w:rPr>
  </w:style>
  <w:style w:type="paragraph" w:customStyle="1" w:styleId="Style12">
    <w:name w:val="Style 12"/>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pPr>
    <w:rPr>
      <w:rFonts w:eastAsia="Times New Roman"/>
      <w:bdr w:val="none" w:sz="0" w:space="0" w:color="auto"/>
    </w:rPr>
  </w:style>
  <w:style w:type="paragraph" w:customStyle="1" w:styleId="Style13">
    <w:name w:val="Style 13"/>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right="72" w:firstLine="72"/>
      <w:jc w:val="both"/>
    </w:pPr>
    <w:rPr>
      <w:rFonts w:eastAsia="Times New Roman"/>
      <w:bdr w:val="none" w:sz="0" w:space="0" w:color="auto"/>
    </w:rPr>
  </w:style>
  <w:style w:type="paragraph" w:customStyle="1" w:styleId="Style2">
    <w:name w:val="Style 2"/>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bdr w:val="none" w:sz="0" w:space="0" w:color="auto"/>
    </w:rPr>
  </w:style>
  <w:style w:type="paragraph" w:customStyle="1" w:styleId="Style15">
    <w:name w:val="Style 15"/>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648" w:right="72"/>
    </w:pPr>
    <w:rPr>
      <w:rFonts w:eastAsia="Times New Roman"/>
      <w:bdr w:val="none" w:sz="0" w:space="0" w:color="auto"/>
    </w:rPr>
  </w:style>
  <w:style w:type="paragraph" w:customStyle="1" w:styleId="Style25">
    <w:name w:val="Style 25"/>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both"/>
    </w:pPr>
    <w:rPr>
      <w:rFonts w:eastAsia="Times New Roman"/>
      <w:bdr w:val="none" w:sz="0" w:space="0" w:color="auto"/>
    </w:rPr>
  </w:style>
  <w:style w:type="paragraph" w:customStyle="1" w:styleId="Style18">
    <w:name w:val="Style 18"/>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bdr w:val="none" w:sz="0" w:space="0" w:color="auto"/>
    </w:rPr>
  </w:style>
  <w:style w:type="paragraph" w:customStyle="1" w:styleId="Style20">
    <w:name w:val="Style 20"/>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72"/>
    </w:pPr>
    <w:rPr>
      <w:rFonts w:eastAsia="Times New Roman"/>
      <w:bdr w:val="none" w:sz="0" w:space="0" w:color="auto"/>
    </w:rPr>
  </w:style>
  <w:style w:type="table" w:styleId="Tablaconcuadrcula">
    <w:name w:val="Table Grid"/>
    <w:basedOn w:val="Tablanormal"/>
    <w:rsid w:val="004B316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B316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Textoennegrita">
    <w:name w:val="Strong"/>
    <w:uiPriority w:val="22"/>
    <w:qFormat/>
    <w:rsid w:val="004B316C"/>
    <w:rPr>
      <w:b/>
      <w:bCs/>
    </w:rPr>
  </w:style>
  <w:style w:type="character" w:customStyle="1" w:styleId="Heading1CharCharCharCharCharChar">
    <w:name w:val="Heading 1 Char Char Char Char Char Char"/>
    <w:rsid w:val="004B316C"/>
    <w:rPr>
      <w:rFonts w:ascii="Univers" w:hAnsi="Univers" w:cs="Arial"/>
      <w:kern w:val="36"/>
      <w:sz w:val="22"/>
      <w:szCs w:val="22"/>
      <w:lang w:val="en-US" w:eastAsia="en-US" w:bidi="ar-SA"/>
    </w:rPr>
  </w:style>
  <w:style w:type="paragraph" w:styleId="Sangra2detindependiente">
    <w:name w:val="Body Text Indent 2"/>
    <w:basedOn w:val="Normal"/>
    <w:link w:val="Sangra2detindependienteCar"/>
    <w:rsid w:val="004B316C"/>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ind w:left="360"/>
    </w:pPr>
    <w:rPr>
      <w:rFonts w:eastAsia="Times New Roman"/>
      <w:sz w:val="20"/>
      <w:szCs w:val="20"/>
      <w:bdr w:val="none" w:sz="0" w:space="0" w:color="auto"/>
    </w:rPr>
  </w:style>
  <w:style w:type="character" w:customStyle="1" w:styleId="Sangra2detindependienteCar">
    <w:name w:val="Sangría 2 de t. independiente Car"/>
    <w:link w:val="Sangra2detindependiente"/>
    <w:rsid w:val="004B316C"/>
    <w:rPr>
      <w:rFonts w:eastAsia="Times New Roman"/>
      <w:bdr w:val="none" w:sz="0" w:space="0" w:color="auto"/>
      <w:lang w:val="en-US" w:eastAsia="en-US"/>
    </w:rPr>
  </w:style>
  <w:style w:type="paragraph" w:customStyle="1" w:styleId="Default">
    <w:name w:val="Default"/>
    <w:rsid w:val="004B316C"/>
    <w:pPr>
      <w:autoSpaceDE w:val="0"/>
      <w:autoSpaceDN w:val="0"/>
      <w:adjustRightInd w:val="0"/>
    </w:pPr>
    <w:rPr>
      <w:rFonts w:eastAsia="Times New Roman"/>
      <w:color w:val="000000"/>
      <w:sz w:val="24"/>
      <w:szCs w:val="24"/>
    </w:rPr>
  </w:style>
  <w:style w:type="character" w:customStyle="1" w:styleId="ju-005fpara--char">
    <w:name w:val="ju-005fpara--char"/>
    <w:basedOn w:val="Fuentedeprrafopredeter"/>
    <w:rsid w:val="004B316C"/>
  </w:style>
  <w:style w:type="paragraph" w:customStyle="1" w:styleId="Sinespaciado1">
    <w:name w:val="Sin espaciado1"/>
    <w:qFormat/>
    <w:rsid w:val="004B316C"/>
    <w:rPr>
      <w:rFonts w:ascii="Calibri" w:eastAsia="Calibri" w:hAnsi="Calibri"/>
      <w:sz w:val="22"/>
      <w:szCs w:val="22"/>
      <w:lang w:val="es-ES"/>
    </w:rPr>
  </w:style>
  <w:style w:type="character" w:customStyle="1" w:styleId="normal--char">
    <w:name w:val="normal--char"/>
    <w:basedOn w:val="Fuentedeprrafopredeter"/>
    <w:rsid w:val="004B316C"/>
  </w:style>
  <w:style w:type="paragraph" w:styleId="Ttulo">
    <w:name w:val="Title"/>
    <w:basedOn w:val="Normal"/>
    <w:link w:val="TtuloCar"/>
    <w:qFormat/>
    <w:rsid w:val="004B316C"/>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ascii="Univers" w:eastAsia="Times New Roman" w:hAnsi="Univers"/>
      <w:b/>
      <w:sz w:val="22"/>
      <w:szCs w:val="20"/>
      <w:bdr w:val="none" w:sz="0" w:space="0" w:color="auto"/>
      <w:lang w:val="es-ES"/>
    </w:rPr>
  </w:style>
  <w:style w:type="character" w:customStyle="1" w:styleId="TtuloCar">
    <w:name w:val="Título Car"/>
    <w:link w:val="Ttulo"/>
    <w:rsid w:val="004B316C"/>
    <w:rPr>
      <w:rFonts w:ascii="Univers" w:eastAsia="Times New Roman" w:hAnsi="Univers"/>
      <w:b/>
      <w:sz w:val="22"/>
      <w:bdr w:val="none" w:sz="0" w:space="0" w:color="auto"/>
      <w:lang w:eastAsia="en-US"/>
    </w:rPr>
  </w:style>
  <w:style w:type="character" w:customStyle="1" w:styleId="antetitulo1">
    <w:name w:val="antetitulo1"/>
    <w:rsid w:val="004B316C"/>
    <w:rPr>
      <w:rFonts w:ascii="Verdana" w:hAnsi="Verdana"/>
      <w:b w:val="0"/>
      <w:bCs w:val="0"/>
      <w:strike w:val="0"/>
      <w:dstrike w:val="0"/>
      <w:color w:val="CC0000"/>
      <w:sz w:val="15"/>
      <w:szCs w:val="15"/>
      <w:u w:val="none"/>
      <w:effect w:val="none"/>
    </w:rPr>
  </w:style>
  <w:style w:type="character" w:customStyle="1" w:styleId="ju-005fcase-0020char--char">
    <w:name w:val="ju-005fcase-0020char--char"/>
    <w:basedOn w:val="Fuentedeprrafopredeter"/>
    <w:rsid w:val="004B316C"/>
  </w:style>
  <w:style w:type="paragraph" w:customStyle="1" w:styleId="Blockquote">
    <w:name w:val="Blockquote"/>
    <w:basedOn w:val="Normal"/>
    <w:rsid w:val="004B316C"/>
    <w:pPr>
      <w:pBdr>
        <w:top w:val="none" w:sz="0" w:space="0" w:color="auto"/>
        <w:left w:val="none" w:sz="0" w:space="0" w:color="auto"/>
        <w:bottom w:val="none" w:sz="0" w:space="0" w:color="auto"/>
        <w:right w:val="none" w:sz="0" w:space="0" w:color="auto"/>
        <w:between w:val="none" w:sz="0" w:space="0" w:color="auto"/>
        <w:bar w:val="none" w:sz="0" w:color="auto"/>
      </w:pBdr>
      <w:spacing w:before="100" w:after="100"/>
      <w:ind w:left="360" w:right="360"/>
    </w:pPr>
    <w:rPr>
      <w:rFonts w:eastAsia="Times New Roman"/>
      <w:snapToGrid w:val="0"/>
      <w:szCs w:val="20"/>
      <w:bdr w:val="none" w:sz="0" w:space="0" w:color="auto"/>
    </w:rPr>
  </w:style>
  <w:style w:type="paragraph" w:styleId="TDC5">
    <w:name w:val="toc 5"/>
    <w:basedOn w:val="Normal"/>
    <w:next w:val="Normal"/>
    <w:autoRedefine/>
    <w:semiHidden/>
    <w:rsid w:val="004B316C"/>
    <w:pPr>
      <w:pBdr>
        <w:top w:val="none" w:sz="0" w:space="0" w:color="auto"/>
        <w:left w:val="none" w:sz="0" w:space="0" w:color="auto"/>
        <w:bottom w:val="none" w:sz="0" w:space="0" w:color="auto"/>
        <w:right w:val="none" w:sz="0" w:space="0" w:color="auto"/>
        <w:between w:val="none" w:sz="0" w:space="0" w:color="auto"/>
        <w:bar w:val="none" w:sz="0" w:color="auto"/>
      </w:pBdr>
      <w:ind w:left="800"/>
    </w:pPr>
    <w:rPr>
      <w:rFonts w:eastAsia="Times New Roman"/>
      <w:sz w:val="20"/>
      <w:szCs w:val="20"/>
      <w:bdr w:val="none" w:sz="0" w:space="0" w:color="auto"/>
    </w:rPr>
  </w:style>
  <w:style w:type="character" w:customStyle="1" w:styleId="TextonotapieCar1">
    <w:name w:val="Texto nota pie Car1"/>
    <w:aliases w:val="ft Car,FA Fu Car,Footnote Text Char Char Char Char Char Car,Footnote Text Char Char Char Char Car,Footnote reference Car,Texto nota pie Car Car,Footnote Text Char Char Char Car,texto de nota al pie Car,FA Fußnotentext Car"/>
    <w:semiHidden/>
    <w:locked/>
    <w:rsid w:val="004B316C"/>
    <w:rPr>
      <w:rFonts w:cs="Times New Roman"/>
      <w:lang w:val="es-ES_tradnl" w:eastAsia="en-US" w:bidi="ar-SA"/>
    </w:rPr>
  </w:style>
  <w:style w:type="paragraph" w:customStyle="1" w:styleId="Car">
    <w:name w:val="Car"/>
    <w:basedOn w:val="Normal"/>
    <w:rsid w:val="004B316C"/>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eastAsia="Times New Roman"/>
      <w:noProof/>
      <w:color w:val="000000"/>
      <w:sz w:val="20"/>
      <w:szCs w:val="20"/>
      <w:bdr w:val="none" w:sz="0" w:space="0" w:color="auto"/>
      <w:lang w:val="es-CO" w:eastAsia="es-ES"/>
    </w:rPr>
  </w:style>
  <w:style w:type="paragraph" w:customStyle="1" w:styleId="Prrafonumerado">
    <w:name w:val="Párrafo numerado"/>
    <w:basedOn w:val="Normal"/>
    <w:autoRedefine/>
    <w:rsid w:val="004B316C"/>
    <w:pPr>
      <w:pBdr>
        <w:top w:val="none" w:sz="0" w:space="0" w:color="auto"/>
        <w:left w:val="none" w:sz="0" w:space="0" w:color="auto"/>
        <w:bottom w:val="none" w:sz="0" w:space="0" w:color="auto"/>
        <w:right w:val="none" w:sz="0" w:space="0" w:color="auto"/>
        <w:between w:val="none" w:sz="0" w:space="0" w:color="auto"/>
        <w:bar w:val="none" w:sz="0" w:color="auto"/>
      </w:pBdr>
      <w:tabs>
        <w:tab w:val="left" w:pos="0"/>
      </w:tabs>
      <w:ind w:left="720" w:right="760"/>
      <w:jc w:val="both"/>
    </w:pPr>
    <w:rPr>
      <w:rFonts w:ascii="Univers" w:eastAsia="Times New Roman" w:hAnsi="Univers"/>
      <w:sz w:val="18"/>
      <w:szCs w:val="18"/>
      <w:bdr w:val="none" w:sz="0" w:space="0" w:color="auto"/>
      <w:lang w:val="es-CO" w:eastAsia="es-ES"/>
    </w:rPr>
  </w:style>
  <w:style w:type="paragraph" w:styleId="Textoindependiente3">
    <w:name w:val="Body Text 3"/>
    <w:basedOn w:val="Normal"/>
    <w:link w:val="Textoindependiente3Car"/>
    <w:rsid w:val="004B316C"/>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eastAsia="Times New Roman"/>
      <w:sz w:val="16"/>
      <w:szCs w:val="16"/>
      <w:bdr w:val="none" w:sz="0" w:space="0" w:color="auto"/>
    </w:rPr>
  </w:style>
  <w:style w:type="character" w:customStyle="1" w:styleId="Textoindependiente3Car">
    <w:name w:val="Texto independiente 3 Car"/>
    <w:link w:val="Textoindependiente3"/>
    <w:rsid w:val="004B316C"/>
    <w:rPr>
      <w:rFonts w:eastAsia="Times New Roman"/>
      <w:sz w:val="16"/>
      <w:szCs w:val="16"/>
      <w:bdr w:val="none" w:sz="0" w:space="0" w:color="auto"/>
      <w:lang w:val="en-US" w:eastAsia="en-US"/>
    </w:rPr>
  </w:style>
  <w:style w:type="paragraph" w:styleId="Sangra3detindependiente">
    <w:name w:val="Body Text Indent 3"/>
    <w:basedOn w:val="Normal"/>
    <w:link w:val="Sangra3detindependienteCar"/>
    <w:rsid w:val="004B316C"/>
    <w:pPr>
      <w:pBdr>
        <w:top w:val="none" w:sz="0" w:space="0" w:color="auto"/>
        <w:left w:val="none" w:sz="0" w:space="0" w:color="auto"/>
        <w:bottom w:val="none" w:sz="0" w:space="0" w:color="auto"/>
        <w:right w:val="none" w:sz="0" w:space="0" w:color="auto"/>
        <w:between w:val="none" w:sz="0" w:space="0" w:color="auto"/>
        <w:bar w:val="none" w:sz="0" w:color="auto"/>
      </w:pBdr>
      <w:spacing w:after="120"/>
      <w:ind w:left="360"/>
    </w:pPr>
    <w:rPr>
      <w:rFonts w:eastAsia="Times New Roman"/>
      <w:sz w:val="16"/>
      <w:szCs w:val="16"/>
      <w:bdr w:val="none" w:sz="0" w:space="0" w:color="auto"/>
    </w:rPr>
  </w:style>
  <w:style w:type="character" w:customStyle="1" w:styleId="Sangra3detindependienteCar">
    <w:name w:val="Sangría 3 de t. independiente Car"/>
    <w:link w:val="Sangra3detindependiente"/>
    <w:rsid w:val="004B316C"/>
    <w:rPr>
      <w:rFonts w:eastAsia="Times New Roman"/>
      <w:sz w:val="16"/>
      <w:szCs w:val="16"/>
      <w:bdr w:val="none" w:sz="0" w:space="0" w:color="auto"/>
      <w:lang w:val="en-US" w:eastAsia="en-US"/>
    </w:rPr>
  </w:style>
  <w:style w:type="character" w:customStyle="1" w:styleId="FootnoteCharacters">
    <w:name w:val="Footnote Characters"/>
    <w:rsid w:val="004B316C"/>
    <w:rPr>
      <w:vertAlign w:val="superscript"/>
    </w:rPr>
  </w:style>
  <w:style w:type="character" w:customStyle="1" w:styleId="WW-FootnoteCharacters">
    <w:name w:val="WW-Footnote Characters"/>
    <w:rsid w:val="004B316C"/>
    <w:rPr>
      <w:rFonts w:ascii="Universal" w:hAnsi="Universal"/>
      <w:sz w:val="16"/>
      <w:vertAlign w:val="superscript"/>
    </w:rPr>
  </w:style>
  <w:style w:type="character" w:customStyle="1" w:styleId="textonavy1">
    <w:name w:val="texto_navy1"/>
    <w:rsid w:val="004B316C"/>
    <w:rPr>
      <w:color w:val="000080"/>
    </w:rPr>
  </w:style>
  <w:style w:type="paragraph" w:customStyle="1" w:styleId="Style3">
    <w:name w:val="Style 3"/>
    <w:basedOn w:val="Normal"/>
    <w:uiPriority w:val="99"/>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360" w:lineRule="auto"/>
      <w:jc w:val="both"/>
    </w:pPr>
    <w:rPr>
      <w:rFonts w:eastAsia="Times New Roman"/>
      <w:bdr w:val="none" w:sz="0" w:space="0" w:color="auto"/>
    </w:rPr>
  </w:style>
  <w:style w:type="paragraph" w:customStyle="1" w:styleId="Style5">
    <w:name w:val="Style 5"/>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52" w:line="360" w:lineRule="auto"/>
      <w:jc w:val="both"/>
    </w:pPr>
    <w:rPr>
      <w:rFonts w:eastAsia="Times New Roman"/>
      <w:bdr w:val="none" w:sz="0" w:space="0" w:color="auto"/>
    </w:rPr>
  </w:style>
  <w:style w:type="paragraph" w:customStyle="1" w:styleId="Style7">
    <w:name w:val="Style 7"/>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60" w:line="360" w:lineRule="auto"/>
      <w:ind w:right="72"/>
      <w:jc w:val="both"/>
    </w:pPr>
    <w:rPr>
      <w:rFonts w:eastAsia="Times New Roman"/>
      <w:bdr w:val="none" w:sz="0" w:space="0" w:color="auto"/>
    </w:rPr>
  </w:style>
  <w:style w:type="character" w:styleId="nfasis">
    <w:name w:val="Emphasis"/>
    <w:qFormat/>
    <w:rsid w:val="004B316C"/>
    <w:rPr>
      <w:i/>
      <w:iCs/>
    </w:rPr>
  </w:style>
  <w:style w:type="character" w:styleId="Refdecomentario">
    <w:name w:val="annotation reference"/>
    <w:semiHidden/>
    <w:rsid w:val="004B316C"/>
    <w:rPr>
      <w:sz w:val="16"/>
      <w:szCs w:val="16"/>
    </w:rPr>
  </w:style>
  <w:style w:type="paragraph" w:styleId="Textocomentario">
    <w:name w:val="annotation text"/>
    <w:basedOn w:val="Normal"/>
    <w:link w:val="TextocomentarioCar"/>
    <w:semiHidden/>
    <w:rsid w:val="004B316C"/>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rPr>
  </w:style>
  <w:style w:type="character" w:customStyle="1" w:styleId="TextocomentarioCar">
    <w:name w:val="Texto comentario Car"/>
    <w:link w:val="Textocomentario"/>
    <w:semiHidden/>
    <w:rsid w:val="004B316C"/>
    <w:rPr>
      <w:rFonts w:eastAsia="Times New Roman"/>
      <w:bdr w:val="none" w:sz="0" w:space="0" w:color="auto"/>
      <w:lang w:val="en-US" w:eastAsia="en-US"/>
    </w:rPr>
  </w:style>
  <w:style w:type="character" w:customStyle="1" w:styleId="st1">
    <w:name w:val="st1"/>
    <w:basedOn w:val="Fuentedeprrafopredeter"/>
    <w:rsid w:val="006F34E3"/>
  </w:style>
  <w:style w:type="paragraph" w:styleId="Textoindependiente2">
    <w:name w:val="Body Text 2"/>
    <w:basedOn w:val="Normal"/>
    <w:link w:val="Textoindependiente2Car"/>
    <w:uiPriority w:val="99"/>
    <w:semiHidden/>
    <w:unhideWhenUsed/>
    <w:rsid w:val="005F74FD"/>
    <w:pPr>
      <w:spacing w:after="120" w:line="480" w:lineRule="auto"/>
    </w:pPr>
  </w:style>
  <w:style w:type="character" w:customStyle="1" w:styleId="Textoindependiente2Car">
    <w:name w:val="Texto independiente 2 Car"/>
    <w:link w:val="Textoindependiente2"/>
    <w:uiPriority w:val="99"/>
    <w:semiHidden/>
    <w:rsid w:val="005F74FD"/>
    <w:rPr>
      <w:sz w:val="24"/>
      <w:szCs w:val="24"/>
      <w:lang w:val="en-US" w:eastAsia="en-US"/>
    </w:rPr>
  </w:style>
  <w:style w:type="paragraph" w:styleId="Textosinformato">
    <w:name w:val="Plain Text"/>
    <w:basedOn w:val="Normal"/>
    <w:link w:val="TextosinformatoCar"/>
    <w:unhideWhenUsed/>
    <w:rsid w:val="006D5ED9"/>
    <w:rPr>
      <w:rFonts w:ascii="Consolas" w:hAnsi="Consolas" w:cs="Consolas"/>
      <w:sz w:val="21"/>
      <w:szCs w:val="21"/>
    </w:rPr>
  </w:style>
  <w:style w:type="character" w:customStyle="1" w:styleId="TextosinformatoCar">
    <w:name w:val="Texto sin formato Car"/>
    <w:link w:val="Textosinformato"/>
    <w:uiPriority w:val="99"/>
    <w:semiHidden/>
    <w:rsid w:val="006D5ED9"/>
    <w:rPr>
      <w:rFonts w:ascii="Consolas" w:hAnsi="Consolas" w:cs="Consolas"/>
      <w:sz w:val="21"/>
      <w:szCs w:val="21"/>
      <w:lang w:val="en-US" w:eastAsia="en-US"/>
    </w:rPr>
  </w:style>
  <w:style w:type="character" w:customStyle="1" w:styleId="MediumGrid1-Accent2Char">
    <w:name w:val="Medium Grid 1 - Accent 2 Char"/>
    <w:link w:val="MediumGrid1-Accent21"/>
    <w:locked/>
    <w:rsid w:val="00AA09B7"/>
    <w:rPr>
      <w:rFonts w:ascii="Cambria" w:eastAsia="Cambria" w:hAnsi="Cambria" w:cs="Cambria"/>
      <w:color w:val="000000"/>
      <w:sz w:val="24"/>
      <w:szCs w:val="24"/>
      <w:u w:color="000000"/>
      <w:lang w:val="en-US"/>
    </w:rPr>
  </w:style>
  <w:style w:type="character" w:customStyle="1" w:styleId="LightGrid-Accent11">
    <w:name w:val="Light Grid - Accent 11"/>
    <w:uiPriority w:val="99"/>
    <w:semiHidden/>
    <w:rsid w:val="00273D36"/>
    <w:rPr>
      <w:color w:val="808080"/>
    </w:rPr>
  </w:style>
  <w:style w:type="paragraph" w:styleId="Asuntodelcomentario">
    <w:name w:val="annotation subject"/>
    <w:basedOn w:val="Textocomentario"/>
    <w:next w:val="Textocomentario"/>
    <w:link w:val="AsuntodelcomentarioCar"/>
    <w:uiPriority w:val="99"/>
    <w:semiHidden/>
    <w:unhideWhenUsed/>
    <w:rsid w:val="00B46722"/>
    <w:pPr>
      <w:pBdr>
        <w:top w:val="nil"/>
        <w:left w:val="nil"/>
        <w:bottom w:val="nil"/>
        <w:right w:val="nil"/>
        <w:between w:val="nil"/>
        <w:bar w:val="nil"/>
      </w:pBdr>
    </w:pPr>
    <w:rPr>
      <w:rFonts w:eastAsia="Arial Unicode MS"/>
      <w:b/>
      <w:bCs/>
      <w:bdr w:val="nil"/>
    </w:rPr>
  </w:style>
  <w:style w:type="character" w:customStyle="1" w:styleId="AsuntodelcomentarioCar">
    <w:name w:val="Asunto del comentario Car"/>
    <w:link w:val="Asuntodelcomentario"/>
    <w:uiPriority w:val="99"/>
    <w:semiHidden/>
    <w:rsid w:val="00B46722"/>
    <w:rPr>
      <w:rFonts w:eastAsia="Times New Roman"/>
      <w:b/>
      <w:bCs/>
      <w:bdr w:val="nil"/>
      <w:lang w:val="en-US" w:eastAsia="en-US"/>
    </w:rPr>
  </w:style>
  <w:style w:type="paragraph" w:styleId="Prrafodelista">
    <w:name w:val="List Paragraph"/>
    <w:basedOn w:val="Normal"/>
    <w:qFormat/>
    <w:rsid w:val="00351630"/>
    <w:pPr>
      <w:ind w:left="720"/>
    </w:pPr>
  </w:style>
  <w:style w:type="character" w:styleId="Hipervnculovisitado">
    <w:name w:val="FollowedHyperlink"/>
    <w:uiPriority w:val="99"/>
    <w:semiHidden/>
    <w:unhideWhenUsed/>
    <w:rsid w:val="00213F65"/>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002418">
      <w:bodyDiv w:val="1"/>
      <w:marLeft w:val="0"/>
      <w:marRight w:val="0"/>
      <w:marTop w:val="0"/>
      <w:marBottom w:val="0"/>
      <w:divBdr>
        <w:top w:val="none" w:sz="0" w:space="0" w:color="auto"/>
        <w:left w:val="none" w:sz="0" w:space="0" w:color="auto"/>
        <w:bottom w:val="none" w:sz="0" w:space="0" w:color="auto"/>
        <w:right w:val="none" w:sz="0" w:space="0" w:color="auto"/>
      </w:divBdr>
      <w:divsChild>
        <w:div w:id="62208305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83236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254651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276060335">
      <w:bodyDiv w:val="1"/>
      <w:marLeft w:val="0"/>
      <w:marRight w:val="0"/>
      <w:marTop w:val="0"/>
      <w:marBottom w:val="0"/>
      <w:divBdr>
        <w:top w:val="none" w:sz="0" w:space="0" w:color="auto"/>
        <w:left w:val="none" w:sz="0" w:space="0" w:color="auto"/>
        <w:bottom w:val="none" w:sz="0" w:space="0" w:color="auto"/>
        <w:right w:val="none" w:sz="0" w:space="0" w:color="auto"/>
      </w:divBdr>
    </w:div>
    <w:div w:id="362901482">
      <w:bodyDiv w:val="1"/>
      <w:marLeft w:val="0"/>
      <w:marRight w:val="0"/>
      <w:marTop w:val="0"/>
      <w:marBottom w:val="0"/>
      <w:divBdr>
        <w:top w:val="none" w:sz="0" w:space="0" w:color="auto"/>
        <w:left w:val="none" w:sz="0" w:space="0" w:color="auto"/>
        <w:bottom w:val="none" w:sz="0" w:space="0" w:color="auto"/>
        <w:right w:val="none" w:sz="0" w:space="0" w:color="auto"/>
      </w:divBdr>
    </w:div>
    <w:div w:id="669524764">
      <w:bodyDiv w:val="1"/>
      <w:marLeft w:val="0"/>
      <w:marRight w:val="0"/>
      <w:marTop w:val="0"/>
      <w:marBottom w:val="0"/>
      <w:divBdr>
        <w:top w:val="none" w:sz="0" w:space="0" w:color="auto"/>
        <w:left w:val="none" w:sz="0" w:space="0" w:color="auto"/>
        <w:bottom w:val="none" w:sz="0" w:space="0" w:color="auto"/>
        <w:right w:val="none" w:sz="0" w:space="0" w:color="auto"/>
      </w:divBdr>
    </w:div>
    <w:div w:id="847871439">
      <w:bodyDiv w:val="1"/>
      <w:marLeft w:val="0"/>
      <w:marRight w:val="0"/>
      <w:marTop w:val="0"/>
      <w:marBottom w:val="0"/>
      <w:divBdr>
        <w:top w:val="none" w:sz="0" w:space="0" w:color="auto"/>
        <w:left w:val="none" w:sz="0" w:space="0" w:color="auto"/>
        <w:bottom w:val="none" w:sz="0" w:space="0" w:color="auto"/>
        <w:right w:val="none" w:sz="0" w:space="0" w:color="auto"/>
      </w:divBdr>
      <w:divsChild>
        <w:div w:id="1261991976">
          <w:marLeft w:val="0"/>
          <w:marRight w:val="0"/>
          <w:marTop w:val="0"/>
          <w:marBottom w:val="0"/>
          <w:divBdr>
            <w:top w:val="none" w:sz="0" w:space="0" w:color="auto"/>
            <w:left w:val="none" w:sz="0" w:space="0" w:color="auto"/>
            <w:bottom w:val="none" w:sz="0" w:space="0" w:color="auto"/>
            <w:right w:val="none" w:sz="0" w:space="0" w:color="auto"/>
          </w:divBdr>
          <w:divsChild>
            <w:div w:id="353191846">
              <w:marLeft w:val="0"/>
              <w:marRight w:val="0"/>
              <w:marTop w:val="0"/>
              <w:marBottom w:val="0"/>
              <w:divBdr>
                <w:top w:val="none" w:sz="0" w:space="0" w:color="auto"/>
                <w:left w:val="none" w:sz="0" w:space="0" w:color="auto"/>
                <w:bottom w:val="none" w:sz="0" w:space="0" w:color="auto"/>
                <w:right w:val="none" w:sz="0" w:space="0" w:color="auto"/>
              </w:divBdr>
              <w:divsChild>
                <w:div w:id="1620062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384122">
      <w:bodyDiv w:val="1"/>
      <w:marLeft w:val="0"/>
      <w:marRight w:val="0"/>
      <w:marTop w:val="0"/>
      <w:marBottom w:val="0"/>
      <w:divBdr>
        <w:top w:val="none" w:sz="0" w:space="0" w:color="auto"/>
        <w:left w:val="none" w:sz="0" w:space="0" w:color="auto"/>
        <w:bottom w:val="none" w:sz="0" w:space="0" w:color="auto"/>
        <w:right w:val="none" w:sz="0" w:space="0" w:color="auto"/>
      </w:divBdr>
      <w:divsChild>
        <w:div w:id="16049217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485533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935485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071273860">
      <w:bodyDiv w:val="1"/>
      <w:marLeft w:val="0"/>
      <w:marRight w:val="0"/>
      <w:marTop w:val="0"/>
      <w:marBottom w:val="0"/>
      <w:divBdr>
        <w:top w:val="none" w:sz="0" w:space="0" w:color="auto"/>
        <w:left w:val="none" w:sz="0" w:space="0" w:color="auto"/>
        <w:bottom w:val="none" w:sz="0" w:space="0" w:color="auto"/>
        <w:right w:val="none" w:sz="0" w:space="0" w:color="auto"/>
      </w:divBdr>
    </w:div>
    <w:div w:id="1737818258">
      <w:bodyDiv w:val="1"/>
      <w:marLeft w:val="0"/>
      <w:marRight w:val="0"/>
      <w:marTop w:val="0"/>
      <w:marBottom w:val="0"/>
      <w:divBdr>
        <w:top w:val="none" w:sz="0" w:space="0" w:color="auto"/>
        <w:left w:val="none" w:sz="0" w:space="0" w:color="auto"/>
        <w:bottom w:val="none" w:sz="0" w:space="0" w:color="auto"/>
        <w:right w:val="none" w:sz="0" w:space="0" w:color="auto"/>
      </w:divBdr>
      <w:divsChild>
        <w:div w:id="176120755">
          <w:marLeft w:val="0"/>
          <w:marRight w:val="0"/>
          <w:marTop w:val="0"/>
          <w:marBottom w:val="0"/>
          <w:divBdr>
            <w:top w:val="none" w:sz="0" w:space="0" w:color="auto"/>
            <w:left w:val="none" w:sz="0" w:space="0" w:color="auto"/>
            <w:bottom w:val="none" w:sz="0" w:space="0" w:color="auto"/>
            <w:right w:val="none" w:sz="0" w:space="0" w:color="auto"/>
          </w:divBdr>
          <w:divsChild>
            <w:div w:id="1578898098">
              <w:marLeft w:val="0"/>
              <w:marRight w:val="0"/>
              <w:marTop w:val="0"/>
              <w:marBottom w:val="0"/>
              <w:divBdr>
                <w:top w:val="none" w:sz="0" w:space="0" w:color="auto"/>
                <w:left w:val="none" w:sz="0" w:space="0" w:color="auto"/>
                <w:bottom w:val="none" w:sz="0" w:space="0" w:color="auto"/>
                <w:right w:val="none" w:sz="0" w:space="0" w:color="auto"/>
              </w:divBdr>
              <w:divsChild>
                <w:div w:id="1794588942">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354569">
      <w:bodyDiv w:val="1"/>
      <w:marLeft w:val="0"/>
      <w:marRight w:val="0"/>
      <w:marTop w:val="0"/>
      <w:marBottom w:val="0"/>
      <w:divBdr>
        <w:top w:val="none" w:sz="0" w:space="0" w:color="auto"/>
        <w:left w:val="none" w:sz="0" w:space="0" w:color="auto"/>
        <w:bottom w:val="none" w:sz="0" w:space="0" w:color="auto"/>
        <w:right w:val="none" w:sz="0" w:space="0" w:color="auto"/>
      </w:divBdr>
    </w:div>
    <w:div w:id="20056659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universojus.com/codigo-civil-comercial-comentado/articulo-2561" TargetMode="External"/><Relationship Id="rId2" Type="http://schemas.openxmlformats.org/officeDocument/2006/relationships/hyperlink" Target="http://www.indh.cl/wp-content/uploads/2011/10/Valech-1.pdf" TargetMode="External"/><Relationship Id="rId1" Type="http://schemas.openxmlformats.org/officeDocument/2006/relationships/hyperlink" Target="http://www.oas.org/es/cidh/audiencias/Hearings.aspx?Lang=es&amp;Session=12&amp;page=2" TargetMode="External"/><Relationship Id="rId4" Type="http://schemas.openxmlformats.org/officeDocument/2006/relationships/hyperlink" Target="http://www.i-juridica.com/2015/05/21/suprema-23583-2014-imprescriptibilidad-de-la-acci&#243;n-reparatoria-en-contra-del-fisco-por-violaci&#243;n-a-derechos-human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329322-F1E0-4445-A113-016E60857F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13666</Words>
  <Characters>75163</Characters>
  <Application>Microsoft Office Word</Application>
  <DocSecurity>0</DocSecurity>
  <Lines>626</Lines>
  <Paragraphs>177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Toshiba</Company>
  <LinksUpToDate>false</LinksUpToDate>
  <CharactersWithSpaces>88652</CharactersWithSpaces>
  <SharedDoc>false</SharedDoc>
  <HLinks>
    <vt:vector size="306" baseType="variant">
      <vt:variant>
        <vt:i4>1703994</vt:i4>
      </vt:variant>
      <vt:variant>
        <vt:i4>128</vt:i4>
      </vt:variant>
      <vt:variant>
        <vt:i4>0</vt:i4>
      </vt:variant>
      <vt:variant>
        <vt:i4>5</vt:i4>
      </vt:variant>
      <vt:variant>
        <vt:lpwstr/>
      </vt:variant>
      <vt:variant>
        <vt:lpwstr>_Toc413397481</vt:lpwstr>
      </vt:variant>
      <vt:variant>
        <vt:i4>1703994</vt:i4>
      </vt:variant>
      <vt:variant>
        <vt:i4>122</vt:i4>
      </vt:variant>
      <vt:variant>
        <vt:i4>0</vt:i4>
      </vt:variant>
      <vt:variant>
        <vt:i4>5</vt:i4>
      </vt:variant>
      <vt:variant>
        <vt:lpwstr/>
      </vt:variant>
      <vt:variant>
        <vt:lpwstr>_Toc413397480</vt:lpwstr>
      </vt:variant>
      <vt:variant>
        <vt:i4>1376314</vt:i4>
      </vt:variant>
      <vt:variant>
        <vt:i4>116</vt:i4>
      </vt:variant>
      <vt:variant>
        <vt:i4>0</vt:i4>
      </vt:variant>
      <vt:variant>
        <vt:i4>5</vt:i4>
      </vt:variant>
      <vt:variant>
        <vt:lpwstr/>
      </vt:variant>
      <vt:variant>
        <vt:lpwstr>_Toc413397479</vt:lpwstr>
      </vt:variant>
      <vt:variant>
        <vt:i4>1376314</vt:i4>
      </vt:variant>
      <vt:variant>
        <vt:i4>110</vt:i4>
      </vt:variant>
      <vt:variant>
        <vt:i4>0</vt:i4>
      </vt:variant>
      <vt:variant>
        <vt:i4>5</vt:i4>
      </vt:variant>
      <vt:variant>
        <vt:lpwstr/>
      </vt:variant>
      <vt:variant>
        <vt:lpwstr>_Toc413397478</vt:lpwstr>
      </vt:variant>
      <vt:variant>
        <vt:i4>1376314</vt:i4>
      </vt:variant>
      <vt:variant>
        <vt:i4>104</vt:i4>
      </vt:variant>
      <vt:variant>
        <vt:i4>0</vt:i4>
      </vt:variant>
      <vt:variant>
        <vt:i4>5</vt:i4>
      </vt:variant>
      <vt:variant>
        <vt:lpwstr/>
      </vt:variant>
      <vt:variant>
        <vt:lpwstr>_Toc413397477</vt:lpwstr>
      </vt:variant>
      <vt:variant>
        <vt:i4>1376314</vt:i4>
      </vt:variant>
      <vt:variant>
        <vt:i4>98</vt:i4>
      </vt:variant>
      <vt:variant>
        <vt:i4>0</vt:i4>
      </vt:variant>
      <vt:variant>
        <vt:i4>5</vt:i4>
      </vt:variant>
      <vt:variant>
        <vt:lpwstr/>
      </vt:variant>
      <vt:variant>
        <vt:lpwstr>_Toc413397476</vt:lpwstr>
      </vt:variant>
      <vt:variant>
        <vt:i4>1376314</vt:i4>
      </vt:variant>
      <vt:variant>
        <vt:i4>92</vt:i4>
      </vt:variant>
      <vt:variant>
        <vt:i4>0</vt:i4>
      </vt:variant>
      <vt:variant>
        <vt:i4>5</vt:i4>
      </vt:variant>
      <vt:variant>
        <vt:lpwstr/>
      </vt:variant>
      <vt:variant>
        <vt:lpwstr>_Toc413397475</vt:lpwstr>
      </vt:variant>
      <vt:variant>
        <vt:i4>1376314</vt:i4>
      </vt:variant>
      <vt:variant>
        <vt:i4>86</vt:i4>
      </vt:variant>
      <vt:variant>
        <vt:i4>0</vt:i4>
      </vt:variant>
      <vt:variant>
        <vt:i4>5</vt:i4>
      </vt:variant>
      <vt:variant>
        <vt:lpwstr/>
      </vt:variant>
      <vt:variant>
        <vt:lpwstr>_Toc413397474</vt:lpwstr>
      </vt:variant>
      <vt:variant>
        <vt:i4>1376314</vt:i4>
      </vt:variant>
      <vt:variant>
        <vt:i4>80</vt:i4>
      </vt:variant>
      <vt:variant>
        <vt:i4>0</vt:i4>
      </vt:variant>
      <vt:variant>
        <vt:i4>5</vt:i4>
      </vt:variant>
      <vt:variant>
        <vt:lpwstr/>
      </vt:variant>
      <vt:variant>
        <vt:lpwstr>_Toc413397473</vt:lpwstr>
      </vt:variant>
      <vt:variant>
        <vt:i4>1376314</vt:i4>
      </vt:variant>
      <vt:variant>
        <vt:i4>74</vt:i4>
      </vt:variant>
      <vt:variant>
        <vt:i4>0</vt:i4>
      </vt:variant>
      <vt:variant>
        <vt:i4>5</vt:i4>
      </vt:variant>
      <vt:variant>
        <vt:lpwstr/>
      </vt:variant>
      <vt:variant>
        <vt:lpwstr>_Toc413397472</vt:lpwstr>
      </vt:variant>
      <vt:variant>
        <vt:i4>1376314</vt:i4>
      </vt:variant>
      <vt:variant>
        <vt:i4>68</vt:i4>
      </vt:variant>
      <vt:variant>
        <vt:i4>0</vt:i4>
      </vt:variant>
      <vt:variant>
        <vt:i4>5</vt:i4>
      </vt:variant>
      <vt:variant>
        <vt:lpwstr/>
      </vt:variant>
      <vt:variant>
        <vt:lpwstr>_Toc413397471</vt:lpwstr>
      </vt:variant>
      <vt:variant>
        <vt:i4>1376314</vt:i4>
      </vt:variant>
      <vt:variant>
        <vt:i4>62</vt:i4>
      </vt:variant>
      <vt:variant>
        <vt:i4>0</vt:i4>
      </vt:variant>
      <vt:variant>
        <vt:i4>5</vt:i4>
      </vt:variant>
      <vt:variant>
        <vt:lpwstr/>
      </vt:variant>
      <vt:variant>
        <vt:lpwstr>_Toc413397470</vt:lpwstr>
      </vt:variant>
      <vt:variant>
        <vt:i4>1310778</vt:i4>
      </vt:variant>
      <vt:variant>
        <vt:i4>56</vt:i4>
      </vt:variant>
      <vt:variant>
        <vt:i4>0</vt:i4>
      </vt:variant>
      <vt:variant>
        <vt:i4>5</vt:i4>
      </vt:variant>
      <vt:variant>
        <vt:lpwstr/>
      </vt:variant>
      <vt:variant>
        <vt:lpwstr>_Toc413397469</vt:lpwstr>
      </vt:variant>
      <vt:variant>
        <vt:i4>1310778</vt:i4>
      </vt:variant>
      <vt:variant>
        <vt:i4>50</vt:i4>
      </vt:variant>
      <vt:variant>
        <vt:i4>0</vt:i4>
      </vt:variant>
      <vt:variant>
        <vt:i4>5</vt:i4>
      </vt:variant>
      <vt:variant>
        <vt:lpwstr/>
      </vt:variant>
      <vt:variant>
        <vt:lpwstr>_Toc413397468</vt:lpwstr>
      </vt:variant>
      <vt:variant>
        <vt:i4>1310778</vt:i4>
      </vt:variant>
      <vt:variant>
        <vt:i4>44</vt:i4>
      </vt:variant>
      <vt:variant>
        <vt:i4>0</vt:i4>
      </vt:variant>
      <vt:variant>
        <vt:i4>5</vt:i4>
      </vt:variant>
      <vt:variant>
        <vt:lpwstr/>
      </vt:variant>
      <vt:variant>
        <vt:lpwstr>_Toc413397467</vt:lpwstr>
      </vt:variant>
      <vt:variant>
        <vt:i4>1310778</vt:i4>
      </vt:variant>
      <vt:variant>
        <vt:i4>38</vt:i4>
      </vt:variant>
      <vt:variant>
        <vt:i4>0</vt:i4>
      </vt:variant>
      <vt:variant>
        <vt:i4>5</vt:i4>
      </vt:variant>
      <vt:variant>
        <vt:lpwstr/>
      </vt:variant>
      <vt:variant>
        <vt:lpwstr>_Toc413397466</vt:lpwstr>
      </vt:variant>
      <vt:variant>
        <vt:i4>1310778</vt:i4>
      </vt:variant>
      <vt:variant>
        <vt:i4>32</vt:i4>
      </vt:variant>
      <vt:variant>
        <vt:i4>0</vt:i4>
      </vt:variant>
      <vt:variant>
        <vt:i4>5</vt:i4>
      </vt:variant>
      <vt:variant>
        <vt:lpwstr/>
      </vt:variant>
      <vt:variant>
        <vt:lpwstr>_Toc413397465</vt:lpwstr>
      </vt:variant>
      <vt:variant>
        <vt:i4>1310778</vt:i4>
      </vt:variant>
      <vt:variant>
        <vt:i4>26</vt:i4>
      </vt:variant>
      <vt:variant>
        <vt:i4>0</vt:i4>
      </vt:variant>
      <vt:variant>
        <vt:i4>5</vt:i4>
      </vt:variant>
      <vt:variant>
        <vt:lpwstr/>
      </vt:variant>
      <vt:variant>
        <vt:lpwstr>_Toc413397464</vt:lpwstr>
      </vt:variant>
      <vt:variant>
        <vt:i4>1310778</vt:i4>
      </vt:variant>
      <vt:variant>
        <vt:i4>20</vt:i4>
      </vt:variant>
      <vt:variant>
        <vt:i4>0</vt:i4>
      </vt:variant>
      <vt:variant>
        <vt:i4>5</vt:i4>
      </vt:variant>
      <vt:variant>
        <vt:lpwstr/>
      </vt:variant>
      <vt:variant>
        <vt:lpwstr>_Toc413397463</vt:lpwstr>
      </vt:variant>
      <vt:variant>
        <vt:i4>1310778</vt:i4>
      </vt:variant>
      <vt:variant>
        <vt:i4>14</vt:i4>
      </vt:variant>
      <vt:variant>
        <vt:i4>0</vt:i4>
      </vt:variant>
      <vt:variant>
        <vt:i4>5</vt:i4>
      </vt:variant>
      <vt:variant>
        <vt:lpwstr/>
      </vt:variant>
      <vt:variant>
        <vt:lpwstr>_Toc413397462</vt:lpwstr>
      </vt:variant>
      <vt:variant>
        <vt:i4>1310778</vt:i4>
      </vt:variant>
      <vt:variant>
        <vt:i4>8</vt:i4>
      </vt:variant>
      <vt:variant>
        <vt:i4>0</vt:i4>
      </vt:variant>
      <vt:variant>
        <vt:i4>5</vt:i4>
      </vt:variant>
      <vt:variant>
        <vt:lpwstr/>
      </vt:variant>
      <vt:variant>
        <vt:lpwstr>_Toc413397461</vt:lpwstr>
      </vt:variant>
      <vt:variant>
        <vt:i4>1310778</vt:i4>
      </vt:variant>
      <vt:variant>
        <vt:i4>2</vt:i4>
      </vt:variant>
      <vt:variant>
        <vt:i4>0</vt:i4>
      </vt:variant>
      <vt:variant>
        <vt:i4>5</vt:i4>
      </vt:variant>
      <vt:variant>
        <vt:lpwstr/>
      </vt:variant>
      <vt:variant>
        <vt:lpwstr>_Toc413397460</vt:lpwstr>
      </vt:variant>
      <vt:variant>
        <vt:i4>2490423</vt:i4>
      </vt:variant>
      <vt:variant>
        <vt:i4>84</vt:i4>
      </vt:variant>
      <vt:variant>
        <vt:i4>0</vt:i4>
      </vt:variant>
      <vt:variant>
        <vt:i4>5</vt:i4>
      </vt:variant>
      <vt:variant>
        <vt:lpwstr>http://www.i-juridica.com/2015/05/21/suprema-23583-2014-imprescriptibilidad-de-la-acción-reparatoria-en-contra-del-fisco-por-violación-a-derechos-humanos/</vt:lpwstr>
      </vt:variant>
      <vt:variant>
        <vt:lpwstr/>
      </vt:variant>
      <vt:variant>
        <vt:i4>4390930</vt:i4>
      </vt:variant>
      <vt:variant>
        <vt:i4>81</vt:i4>
      </vt:variant>
      <vt:variant>
        <vt:i4>0</vt:i4>
      </vt:variant>
      <vt:variant>
        <vt:i4>5</vt:i4>
      </vt:variant>
      <vt:variant>
        <vt:lpwstr>http://universojus.com/codigo-civil-comercial-comentado/articulo-2561</vt:lpwstr>
      </vt:variant>
      <vt:variant>
        <vt:lpwstr/>
      </vt:variant>
      <vt:variant>
        <vt:i4>3866723</vt:i4>
      </vt:variant>
      <vt:variant>
        <vt:i4>78</vt:i4>
      </vt:variant>
      <vt:variant>
        <vt:i4>0</vt:i4>
      </vt:variant>
      <vt:variant>
        <vt:i4>5</vt:i4>
      </vt:variant>
      <vt:variant>
        <vt:lpwstr>http://www.cidh.org/pdf files/Lineamientos principales para una pol%C3%ADtica integral de reparaciones.pdf</vt:lpwstr>
      </vt:variant>
      <vt:variant>
        <vt:lpwstr/>
      </vt:variant>
      <vt:variant>
        <vt:i4>262200</vt:i4>
      </vt:variant>
      <vt:variant>
        <vt:i4>75</vt:i4>
      </vt:variant>
      <vt:variant>
        <vt:i4>0</vt:i4>
      </vt:variant>
      <vt:variant>
        <vt:i4>5</vt:i4>
      </vt:variant>
      <vt:variant>
        <vt:lpwstr>http://www.ddhh.gov.cl/ddhh_rettig.html</vt:lpwstr>
      </vt:variant>
      <vt:variant>
        <vt:lpwstr/>
      </vt:variant>
      <vt:variant>
        <vt:i4>262200</vt:i4>
      </vt:variant>
      <vt:variant>
        <vt:i4>72</vt:i4>
      </vt:variant>
      <vt:variant>
        <vt:i4>0</vt:i4>
      </vt:variant>
      <vt:variant>
        <vt:i4>5</vt:i4>
      </vt:variant>
      <vt:variant>
        <vt:lpwstr>http://www.ddhh.gov.cl/ddhh_rettig.html</vt:lpwstr>
      </vt:variant>
      <vt:variant>
        <vt:lpwstr/>
      </vt:variant>
      <vt:variant>
        <vt:i4>262200</vt:i4>
      </vt:variant>
      <vt:variant>
        <vt:i4>69</vt:i4>
      </vt:variant>
      <vt:variant>
        <vt:i4>0</vt:i4>
      </vt:variant>
      <vt:variant>
        <vt:i4>5</vt:i4>
      </vt:variant>
      <vt:variant>
        <vt:lpwstr>http://www.ddhh.gov.cl/ddhh_rettig.html</vt:lpwstr>
      </vt:variant>
      <vt:variant>
        <vt:lpwstr/>
      </vt:variant>
      <vt:variant>
        <vt:i4>262200</vt:i4>
      </vt:variant>
      <vt:variant>
        <vt:i4>66</vt:i4>
      </vt:variant>
      <vt:variant>
        <vt:i4>0</vt:i4>
      </vt:variant>
      <vt:variant>
        <vt:i4>5</vt:i4>
      </vt:variant>
      <vt:variant>
        <vt:lpwstr>http://www.ddhh.gov.cl/ddhh_rettig.html</vt:lpwstr>
      </vt:variant>
      <vt:variant>
        <vt:lpwstr/>
      </vt:variant>
      <vt:variant>
        <vt:i4>262200</vt:i4>
      </vt:variant>
      <vt:variant>
        <vt:i4>63</vt:i4>
      </vt:variant>
      <vt:variant>
        <vt:i4>0</vt:i4>
      </vt:variant>
      <vt:variant>
        <vt:i4>5</vt:i4>
      </vt:variant>
      <vt:variant>
        <vt:lpwstr>http://www.ddhh.gov.cl/ddhh_rettig.html</vt:lpwstr>
      </vt:variant>
      <vt:variant>
        <vt:lpwstr/>
      </vt:variant>
      <vt:variant>
        <vt:i4>262200</vt:i4>
      </vt:variant>
      <vt:variant>
        <vt:i4>60</vt:i4>
      </vt:variant>
      <vt:variant>
        <vt:i4>0</vt:i4>
      </vt:variant>
      <vt:variant>
        <vt:i4>5</vt:i4>
      </vt:variant>
      <vt:variant>
        <vt:lpwstr>http://www.ddhh.gov.cl/ddhh_rettig.html</vt:lpwstr>
      </vt:variant>
      <vt:variant>
        <vt:lpwstr/>
      </vt:variant>
      <vt:variant>
        <vt:i4>262200</vt:i4>
      </vt:variant>
      <vt:variant>
        <vt:i4>57</vt:i4>
      </vt:variant>
      <vt:variant>
        <vt:i4>0</vt:i4>
      </vt:variant>
      <vt:variant>
        <vt:i4>5</vt:i4>
      </vt:variant>
      <vt:variant>
        <vt:lpwstr>http://www.ddhh.gov.cl/ddhh_rettig.html</vt:lpwstr>
      </vt:variant>
      <vt:variant>
        <vt:lpwstr/>
      </vt:variant>
      <vt:variant>
        <vt:i4>262200</vt:i4>
      </vt:variant>
      <vt:variant>
        <vt:i4>54</vt:i4>
      </vt:variant>
      <vt:variant>
        <vt:i4>0</vt:i4>
      </vt:variant>
      <vt:variant>
        <vt:i4>5</vt:i4>
      </vt:variant>
      <vt:variant>
        <vt:lpwstr>http://www.ddhh.gov.cl/ddhh_rettig.html</vt:lpwstr>
      </vt:variant>
      <vt:variant>
        <vt:lpwstr/>
      </vt:variant>
      <vt:variant>
        <vt:i4>262200</vt:i4>
      </vt:variant>
      <vt:variant>
        <vt:i4>51</vt:i4>
      </vt:variant>
      <vt:variant>
        <vt:i4>0</vt:i4>
      </vt:variant>
      <vt:variant>
        <vt:i4>5</vt:i4>
      </vt:variant>
      <vt:variant>
        <vt:lpwstr>http://www.ddhh.gov.cl/ddhh_rettig.html</vt:lpwstr>
      </vt:variant>
      <vt:variant>
        <vt:lpwstr/>
      </vt:variant>
      <vt:variant>
        <vt:i4>262200</vt:i4>
      </vt:variant>
      <vt:variant>
        <vt:i4>48</vt:i4>
      </vt:variant>
      <vt:variant>
        <vt:i4>0</vt:i4>
      </vt:variant>
      <vt:variant>
        <vt:i4>5</vt:i4>
      </vt:variant>
      <vt:variant>
        <vt:lpwstr>http://www.ddhh.gov.cl/ddhh_rettig.html</vt:lpwstr>
      </vt:variant>
      <vt:variant>
        <vt:lpwstr/>
      </vt:variant>
      <vt:variant>
        <vt:i4>262200</vt:i4>
      </vt:variant>
      <vt:variant>
        <vt:i4>45</vt:i4>
      </vt:variant>
      <vt:variant>
        <vt:i4>0</vt:i4>
      </vt:variant>
      <vt:variant>
        <vt:i4>5</vt:i4>
      </vt:variant>
      <vt:variant>
        <vt:lpwstr>http://www.ddhh.gov.cl/ddhh_rettig.html</vt:lpwstr>
      </vt:variant>
      <vt:variant>
        <vt:lpwstr/>
      </vt:variant>
      <vt:variant>
        <vt:i4>262200</vt:i4>
      </vt:variant>
      <vt:variant>
        <vt:i4>42</vt:i4>
      </vt:variant>
      <vt:variant>
        <vt:i4>0</vt:i4>
      </vt:variant>
      <vt:variant>
        <vt:i4>5</vt:i4>
      </vt:variant>
      <vt:variant>
        <vt:lpwstr>http://www.ddhh.gov.cl/ddhh_rettig.html</vt:lpwstr>
      </vt:variant>
      <vt:variant>
        <vt:lpwstr/>
      </vt:variant>
      <vt:variant>
        <vt:i4>262200</vt:i4>
      </vt:variant>
      <vt:variant>
        <vt:i4>39</vt:i4>
      </vt:variant>
      <vt:variant>
        <vt:i4>0</vt:i4>
      </vt:variant>
      <vt:variant>
        <vt:i4>5</vt:i4>
      </vt:variant>
      <vt:variant>
        <vt:lpwstr>http://www.ddhh.gov.cl/ddhh_rettig.html</vt:lpwstr>
      </vt:variant>
      <vt:variant>
        <vt:lpwstr/>
      </vt:variant>
      <vt:variant>
        <vt:i4>262200</vt:i4>
      </vt:variant>
      <vt:variant>
        <vt:i4>36</vt:i4>
      </vt:variant>
      <vt:variant>
        <vt:i4>0</vt:i4>
      </vt:variant>
      <vt:variant>
        <vt:i4>5</vt:i4>
      </vt:variant>
      <vt:variant>
        <vt:lpwstr>http://www.ddhh.gov.cl/ddhh_rettig.html</vt:lpwstr>
      </vt:variant>
      <vt:variant>
        <vt:lpwstr/>
      </vt:variant>
      <vt:variant>
        <vt:i4>262200</vt:i4>
      </vt:variant>
      <vt:variant>
        <vt:i4>33</vt:i4>
      </vt:variant>
      <vt:variant>
        <vt:i4>0</vt:i4>
      </vt:variant>
      <vt:variant>
        <vt:i4>5</vt:i4>
      </vt:variant>
      <vt:variant>
        <vt:lpwstr>http://www.ddhh.gov.cl/ddhh_rettig.html</vt:lpwstr>
      </vt:variant>
      <vt:variant>
        <vt:lpwstr/>
      </vt:variant>
      <vt:variant>
        <vt:i4>262200</vt:i4>
      </vt:variant>
      <vt:variant>
        <vt:i4>30</vt:i4>
      </vt:variant>
      <vt:variant>
        <vt:i4>0</vt:i4>
      </vt:variant>
      <vt:variant>
        <vt:i4>5</vt:i4>
      </vt:variant>
      <vt:variant>
        <vt:lpwstr>http://www.ddhh.gov.cl/ddhh_rettig.html</vt:lpwstr>
      </vt:variant>
      <vt:variant>
        <vt:lpwstr/>
      </vt:variant>
      <vt:variant>
        <vt:i4>262200</vt:i4>
      </vt:variant>
      <vt:variant>
        <vt:i4>27</vt:i4>
      </vt:variant>
      <vt:variant>
        <vt:i4>0</vt:i4>
      </vt:variant>
      <vt:variant>
        <vt:i4>5</vt:i4>
      </vt:variant>
      <vt:variant>
        <vt:lpwstr>http://www.ddhh.gov.cl/ddhh_rettig.html</vt:lpwstr>
      </vt:variant>
      <vt:variant>
        <vt:lpwstr/>
      </vt:variant>
      <vt:variant>
        <vt:i4>262200</vt:i4>
      </vt:variant>
      <vt:variant>
        <vt:i4>24</vt:i4>
      </vt:variant>
      <vt:variant>
        <vt:i4>0</vt:i4>
      </vt:variant>
      <vt:variant>
        <vt:i4>5</vt:i4>
      </vt:variant>
      <vt:variant>
        <vt:lpwstr>http://www.ddhh.gov.cl/ddhh_rettig.html</vt:lpwstr>
      </vt:variant>
      <vt:variant>
        <vt:lpwstr/>
      </vt:variant>
      <vt:variant>
        <vt:i4>262200</vt:i4>
      </vt:variant>
      <vt:variant>
        <vt:i4>21</vt:i4>
      </vt:variant>
      <vt:variant>
        <vt:i4>0</vt:i4>
      </vt:variant>
      <vt:variant>
        <vt:i4>5</vt:i4>
      </vt:variant>
      <vt:variant>
        <vt:lpwstr>http://www.ddhh.gov.cl/ddhh_rettig.html</vt:lpwstr>
      </vt:variant>
      <vt:variant>
        <vt:lpwstr/>
      </vt:variant>
      <vt:variant>
        <vt:i4>262200</vt:i4>
      </vt:variant>
      <vt:variant>
        <vt:i4>18</vt:i4>
      </vt:variant>
      <vt:variant>
        <vt:i4>0</vt:i4>
      </vt:variant>
      <vt:variant>
        <vt:i4>5</vt:i4>
      </vt:variant>
      <vt:variant>
        <vt:lpwstr>http://www.ddhh.gov.cl/ddhh_rettig.html</vt:lpwstr>
      </vt:variant>
      <vt:variant>
        <vt:lpwstr/>
      </vt:variant>
      <vt:variant>
        <vt:i4>262200</vt:i4>
      </vt:variant>
      <vt:variant>
        <vt:i4>15</vt:i4>
      </vt:variant>
      <vt:variant>
        <vt:i4>0</vt:i4>
      </vt:variant>
      <vt:variant>
        <vt:i4>5</vt:i4>
      </vt:variant>
      <vt:variant>
        <vt:lpwstr>http://www.ddhh.gov.cl/ddhh_rettig.html</vt:lpwstr>
      </vt:variant>
      <vt:variant>
        <vt:lpwstr/>
      </vt:variant>
      <vt:variant>
        <vt:i4>262200</vt:i4>
      </vt:variant>
      <vt:variant>
        <vt:i4>12</vt:i4>
      </vt:variant>
      <vt:variant>
        <vt:i4>0</vt:i4>
      </vt:variant>
      <vt:variant>
        <vt:i4>5</vt:i4>
      </vt:variant>
      <vt:variant>
        <vt:lpwstr>http://www.ddhh.gov.cl/ddhh_rettig.html</vt:lpwstr>
      </vt:variant>
      <vt:variant>
        <vt:lpwstr/>
      </vt:variant>
      <vt:variant>
        <vt:i4>262200</vt:i4>
      </vt:variant>
      <vt:variant>
        <vt:i4>9</vt:i4>
      </vt:variant>
      <vt:variant>
        <vt:i4>0</vt:i4>
      </vt:variant>
      <vt:variant>
        <vt:i4>5</vt:i4>
      </vt:variant>
      <vt:variant>
        <vt:lpwstr>http://www.ddhh.gov.cl/ddhh_rettig.html</vt:lpwstr>
      </vt:variant>
      <vt:variant>
        <vt:lpwstr/>
      </vt:variant>
      <vt:variant>
        <vt:i4>262200</vt:i4>
      </vt:variant>
      <vt:variant>
        <vt:i4>6</vt:i4>
      </vt:variant>
      <vt:variant>
        <vt:i4>0</vt:i4>
      </vt:variant>
      <vt:variant>
        <vt:i4>5</vt:i4>
      </vt:variant>
      <vt:variant>
        <vt:lpwstr>http://www.ddhh.gov.cl/ddhh_rettig.html</vt:lpwstr>
      </vt:variant>
      <vt:variant>
        <vt:lpwstr/>
      </vt:variant>
      <vt:variant>
        <vt:i4>262200</vt:i4>
      </vt:variant>
      <vt:variant>
        <vt:i4>3</vt:i4>
      </vt:variant>
      <vt:variant>
        <vt:i4>0</vt:i4>
      </vt:variant>
      <vt:variant>
        <vt:i4>5</vt:i4>
      </vt:variant>
      <vt:variant>
        <vt:lpwstr>http://www.ddhh.gov.cl/ddhh_rettig.html</vt:lpwstr>
      </vt:variant>
      <vt:variant>
        <vt:lpwstr/>
      </vt:variant>
      <vt:variant>
        <vt:i4>262155</vt:i4>
      </vt:variant>
      <vt:variant>
        <vt:i4>0</vt:i4>
      </vt:variant>
      <vt:variant>
        <vt:i4>0</vt:i4>
      </vt:variant>
      <vt:variant>
        <vt:i4>5</vt:i4>
      </vt:variant>
      <vt:variant>
        <vt:lpwstr>http://www.oas.org/es/cidh/audiencias/Hearings.aspx?Lang=es&amp;Session=12&amp;page=2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3</cp:revision>
  <cp:lastPrinted>2018-01-31T16:43:00Z</cp:lastPrinted>
  <dcterms:created xsi:type="dcterms:W3CDTF">2018-01-31T16:43:00Z</dcterms:created>
  <dcterms:modified xsi:type="dcterms:W3CDTF">2018-01-31T16:43:00Z</dcterms:modified>
</cp:coreProperties>
</file>