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667" w:rsidRDefault="00814B82" w:rsidP="00425667">
      <w:pPr>
        <w:suppressAutoHyphens/>
        <w:spacing w:after="0"/>
        <w:ind w:left="5760" w:firstLine="720"/>
        <w:jc w:val="right"/>
        <w:rPr>
          <w:rFonts w:ascii="Cambria" w:hAnsi="Cambria" w:cs="Arial"/>
          <w:lang w:val="pt-BR"/>
        </w:rPr>
      </w:pPr>
      <w:bookmarkStart w:id="0" w:name="_GoBack"/>
      <w:bookmarkEnd w:id="0"/>
      <w:r w:rsidRPr="00F605F2">
        <w:rPr>
          <w:rFonts w:ascii="Cambria" w:hAnsi="Cambria" w:cs="Arial"/>
          <w:lang w:val="pt-BR"/>
        </w:rPr>
        <w:t xml:space="preserve">  </w:t>
      </w:r>
    </w:p>
    <w:p w:rsidR="00814B82" w:rsidRPr="00425667" w:rsidRDefault="00814B82" w:rsidP="00425667">
      <w:pPr>
        <w:suppressAutoHyphens/>
        <w:spacing w:after="0"/>
        <w:ind w:left="5760" w:firstLine="720"/>
        <w:jc w:val="right"/>
        <w:rPr>
          <w:rFonts w:ascii="Cambria" w:hAnsi="Cambria" w:cs="Arial"/>
          <w:b/>
          <w:lang w:val="es-ES"/>
        </w:rPr>
      </w:pPr>
      <w:r w:rsidRPr="00F605F2">
        <w:rPr>
          <w:rFonts w:ascii="Cambria" w:hAnsi="Cambria" w:cs="Arial"/>
          <w:lang w:val="pt-BR"/>
        </w:rPr>
        <w:t xml:space="preserve"> </w:t>
      </w:r>
      <w:r w:rsidRPr="00425667">
        <w:rPr>
          <w:rFonts w:ascii="Cambria" w:hAnsi="Cambria" w:cs="Arial"/>
          <w:lang w:val="es-ES"/>
        </w:rPr>
        <w:t>3 de diciembre de 2014</w:t>
      </w:r>
    </w:p>
    <w:p w:rsidR="00425667" w:rsidRDefault="00425667" w:rsidP="00425667">
      <w:pPr>
        <w:widowControl w:val="0"/>
        <w:autoSpaceDE w:val="0"/>
        <w:autoSpaceDN w:val="0"/>
        <w:adjustRightInd w:val="0"/>
        <w:spacing w:after="0" w:line="240" w:lineRule="auto"/>
        <w:jc w:val="both"/>
        <w:rPr>
          <w:rFonts w:ascii="Cambria" w:hAnsi="Cambria" w:cs="Arial"/>
          <w:b/>
          <w:lang w:val="es-ES"/>
        </w:rPr>
      </w:pPr>
    </w:p>
    <w:p w:rsidR="00814B82" w:rsidRPr="00425667" w:rsidRDefault="00814B82" w:rsidP="00425667">
      <w:pPr>
        <w:widowControl w:val="0"/>
        <w:autoSpaceDE w:val="0"/>
        <w:autoSpaceDN w:val="0"/>
        <w:adjustRightInd w:val="0"/>
        <w:spacing w:after="0" w:line="240" w:lineRule="auto"/>
        <w:jc w:val="both"/>
        <w:rPr>
          <w:rFonts w:ascii="Cambria" w:hAnsi="Cambria" w:cs="Arial"/>
          <w:b/>
          <w:lang w:val="es-ES"/>
        </w:rPr>
      </w:pPr>
      <w:r w:rsidRPr="00425667">
        <w:rPr>
          <w:rFonts w:ascii="Cambria" w:hAnsi="Cambria" w:cs="Arial"/>
          <w:b/>
          <w:lang w:val="es-ES"/>
        </w:rPr>
        <w:t>Ref.:</w:t>
      </w:r>
      <w:bookmarkStart w:id="1" w:name="Peticion_n"/>
      <w:bookmarkEnd w:id="1"/>
      <w:r w:rsidRPr="00425667">
        <w:rPr>
          <w:rFonts w:ascii="Cambria" w:hAnsi="Cambria" w:cs="Arial"/>
          <w:b/>
          <w:lang w:val="es-ES"/>
        </w:rPr>
        <w:tab/>
        <w:t xml:space="preserve">Caso No. </w:t>
      </w:r>
      <w:r w:rsidRPr="00425667">
        <w:rPr>
          <w:rFonts w:ascii="Cambria" w:hAnsi="Cambria"/>
          <w:b/>
          <w:lang w:val="es-ES"/>
        </w:rPr>
        <w:t>12.453</w:t>
      </w:r>
    </w:p>
    <w:p w:rsidR="00814B82" w:rsidRPr="00F605F2" w:rsidRDefault="00814B82" w:rsidP="00425667">
      <w:pPr>
        <w:widowControl w:val="0"/>
        <w:autoSpaceDE w:val="0"/>
        <w:autoSpaceDN w:val="0"/>
        <w:adjustRightInd w:val="0"/>
        <w:spacing w:after="0" w:line="240" w:lineRule="auto"/>
        <w:ind w:firstLine="720"/>
        <w:jc w:val="both"/>
        <w:rPr>
          <w:rFonts w:ascii="Cambria" w:hAnsi="Cambria" w:cs="Arial"/>
          <w:b/>
          <w:lang w:val="es-CR"/>
        </w:rPr>
      </w:pPr>
      <w:r w:rsidRPr="00425667">
        <w:rPr>
          <w:rFonts w:ascii="Cambria" w:hAnsi="Cambria" w:cs="Arial"/>
          <w:b/>
          <w:lang w:val="es-ES"/>
        </w:rPr>
        <w:t>Olga Yolanda Maldonado Ordóñez</w:t>
      </w:r>
    </w:p>
    <w:p w:rsidR="00814B82" w:rsidRPr="00F605F2" w:rsidRDefault="00814B82" w:rsidP="00425667">
      <w:pPr>
        <w:tabs>
          <w:tab w:val="left" w:pos="720"/>
          <w:tab w:val="center" w:pos="6480"/>
        </w:tabs>
        <w:spacing w:after="0"/>
        <w:ind w:left="720"/>
        <w:jc w:val="both"/>
        <w:rPr>
          <w:rFonts w:ascii="Cambria" w:hAnsi="Cambria" w:cs="Arial"/>
          <w:b/>
          <w:lang w:val="es-ES_tradnl"/>
        </w:rPr>
      </w:pPr>
      <w:r w:rsidRPr="00F605F2">
        <w:rPr>
          <w:rFonts w:ascii="Cambria" w:hAnsi="Cambria" w:cs="Arial"/>
          <w:b/>
          <w:lang w:val="es-CR"/>
        </w:rPr>
        <w:t>Guatemala</w:t>
      </w:r>
      <w:r w:rsidRPr="00F605F2">
        <w:rPr>
          <w:rFonts w:ascii="Cambria" w:hAnsi="Cambria" w:cs="Arial"/>
          <w:b/>
          <w:lang w:val="es-ES_tradnl"/>
        </w:rPr>
        <w:t xml:space="preserve"> </w:t>
      </w:r>
    </w:p>
    <w:p w:rsidR="00814B82" w:rsidRPr="00F605F2" w:rsidRDefault="00814B82" w:rsidP="00814B82">
      <w:pPr>
        <w:tabs>
          <w:tab w:val="left" w:pos="720"/>
          <w:tab w:val="center" w:pos="6480"/>
        </w:tabs>
        <w:spacing w:after="0"/>
        <w:jc w:val="both"/>
        <w:rPr>
          <w:rFonts w:ascii="Cambria" w:hAnsi="Cambria" w:cs="Arial"/>
          <w:lang w:val="es-PE"/>
        </w:rPr>
      </w:pPr>
    </w:p>
    <w:p w:rsidR="00814B82" w:rsidRPr="00F605F2" w:rsidRDefault="00814B82" w:rsidP="00814B82">
      <w:pPr>
        <w:tabs>
          <w:tab w:val="left" w:pos="720"/>
          <w:tab w:val="center" w:pos="6480"/>
        </w:tabs>
        <w:spacing w:after="0"/>
        <w:jc w:val="both"/>
        <w:rPr>
          <w:rFonts w:ascii="Cambria" w:hAnsi="Cambria" w:cs="Arial"/>
          <w:lang w:val="es-PE"/>
        </w:rPr>
      </w:pPr>
      <w:r w:rsidRPr="00F605F2">
        <w:rPr>
          <w:rFonts w:ascii="Cambria" w:hAnsi="Cambria" w:cs="Arial"/>
          <w:lang w:val="es-PE"/>
        </w:rPr>
        <w:t>Señor Secretario:</w:t>
      </w:r>
    </w:p>
    <w:p w:rsidR="00814B82" w:rsidRPr="00F605F2" w:rsidRDefault="00814B82" w:rsidP="00814B82">
      <w:pPr>
        <w:spacing w:after="0"/>
        <w:rPr>
          <w:rFonts w:ascii="Cambria" w:hAnsi="Cambria" w:cs="Arial"/>
          <w:lang w:val="es-CO"/>
        </w:rPr>
      </w:pPr>
    </w:p>
    <w:p w:rsidR="00814B82" w:rsidRPr="00F605F2" w:rsidRDefault="00814B82" w:rsidP="00814B82">
      <w:pPr>
        <w:widowControl w:val="0"/>
        <w:autoSpaceDE w:val="0"/>
        <w:autoSpaceDN w:val="0"/>
        <w:adjustRightInd w:val="0"/>
        <w:spacing w:after="0" w:line="240" w:lineRule="auto"/>
        <w:ind w:firstLine="720"/>
        <w:jc w:val="both"/>
        <w:rPr>
          <w:rFonts w:ascii="Cambria" w:hAnsi="Cambria" w:cs="Arial"/>
          <w:lang w:val="es-CO"/>
        </w:rPr>
      </w:pPr>
      <w:r w:rsidRPr="00F605F2">
        <w:rPr>
          <w:rFonts w:ascii="Cambria" w:hAnsi="Cambria"/>
          <w:lang w:val="es-CO"/>
        </w:rPr>
        <w:t>Tengo el agrado de dirigirme a usted en nombre de la Comisión Interamericana de Derechos Humanos con el objeto</w:t>
      </w:r>
      <w:r w:rsidRPr="00F605F2">
        <w:rPr>
          <w:rFonts w:ascii="Cambria" w:hAnsi="Cambria" w:cs="Arial"/>
          <w:lang w:val="es-CO"/>
        </w:rPr>
        <w:t xml:space="preserve"> de someter a la jurisdicción de la Honorable Corte Interamericana de Derechos Humanos, el caso 12.453 – Olga Yolanda Maldonado Ordóñez respecto de la República de Guatemala (en adelante “el Estado”, “el Estado guatemalteco” o “Guatemala”). </w:t>
      </w:r>
    </w:p>
    <w:p w:rsidR="00814B82" w:rsidRPr="00F605F2" w:rsidRDefault="00814B82" w:rsidP="00814B82">
      <w:pPr>
        <w:spacing w:after="0"/>
        <w:jc w:val="both"/>
        <w:rPr>
          <w:rFonts w:ascii="Cambria" w:hAnsi="Cambria" w:cs="Arial"/>
          <w:lang w:val="es-CO"/>
        </w:rPr>
      </w:pPr>
    </w:p>
    <w:p w:rsidR="00814B82" w:rsidRPr="00AD2193" w:rsidDel="00044636" w:rsidRDefault="00814B82" w:rsidP="00814B82">
      <w:pPr>
        <w:spacing w:after="0" w:line="240" w:lineRule="auto"/>
        <w:ind w:firstLine="720"/>
        <w:jc w:val="both"/>
        <w:rPr>
          <w:rFonts w:ascii="Cambria" w:hAnsi="Cambria" w:cs="Calibri"/>
          <w:szCs w:val="20"/>
          <w:lang w:val="es-ES"/>
        </w:rPr>
      </w:pPr>
      <w:r w:rsidRPr="00F605F2">
        <w:rPr>
          <w:rFonts w:ascii="Cambria" w:hAnsi="Cambria"/>
          <w:lang w:val="es-ES"/>
        </w:rPr>
        <w:t xml:space="preserve">El caso se relaciona con </w:t>
      </w:r>
      <w:r w:rsidRPr="00AD2193">
        <w:rPr>
          <w:rFonts w:ascii="Cambria" w:hAnsi="Cambria"/>
          <w:szCs w:val="20"/>
          <w:lang w:val="es-ES"/>
        </w:rPr>
        <w:t xml:space="preserve">un procedimiento administrativo que dio lugar al despido de la señora Olga Yolanda Maldonado Ordóñez, quien se desempeñaba como funcionaria de la Oficina del Procurador de los Derechos Humanos en Guatemala. La Comisión entendió que al tratarse de un proceso sancionatorio, no sólo resultaban aplicables las garantías mínimas establecidas en el artículo 8.1 de la Convención Americana, sino también el principio de estricta legalidad, la presunción de inocencia y las garantías necesarias para el ejercicio de su derecho de defensa. La Comisión concluyó que si bien el marco normativo aplicable otorgaba competencia al Procurador de los Derechos Humanos para llevar a cabo el procedimiento, la manera en que se notificaron las supuestas causales en las cuales habría incurrido la señora Maldonado, le </w:t>
      </w:r>
      <w:r w:rsidRPr="00AD2193" w:rsidDel="00044636">
        <w:rPr>
          <w:rFonts w:ascii="Cambria" w:hAnsi="Cambria" w:cs="Calibri"/>
          <w:szCs w:val="20"/>
          <w:lang w:val="es-ES"/>
        </w:rPr>
        <w:t xml:space="preserve">dificultó a ésta entender cuál era el objetivo del procedimiento que se abrió en su contra. En ese sentido, la señora Maldonado ejerció su defensa sin contar con la información mínima necesaria para tal efecto. </w:t>
      </w:r>
    </w:p>
    <w:p w:rsidR="00814B82" w:rsidRPr="00AD2193" w:rsidDel="00044636" w:rsidRDefault="00814B82" w:rsidP="00814B82">
      <w:pPr>
        <w:spacing w:after="0" w:line="240" w:lineRule="auto"/>
        <w:jc w:val="both"/>
        <w:rPr>
          <w:rFonts w:ascii="Cambria" w:hAnsi="Cambria" w:cs="Calibri"/>
          <w:szCs w:val="20"/>
          <w:lang w:val="es-ES"/>
        </w:rPr>
      </w:pPr>
    </w:p>
    <w:p w:rsidR="00814B82" w:rsidRPr="00AD2193" w:rsidRDefault="00814B82" w:rsidP="00814B82">
      <w:pPr>
        <w:spacing w:after="0" w:line="240" w:lineRule="auto"/>
        <w:ind w:firstLine="720"/>
        <w:jc w:val="both"/>
        <w:rPr>
          <w:rFonts w:ascii="Cambria" w:hAnsi="Cambria" w:cs="Calibri"/>
          <w:szCs w:val="20"/>
          <w:lang w:val="es-ES"/>
        </w:rPr>
      </w:pPr>
      <w:r w:rsidRPr="00AD2193" w:rsidDel="00044636">
        <w:rPr>
          <w:rFonts w:ascii="Cambria" w:hAnsi="Cambria" w:cs="Calibri"/>
          <w:szCs w:val="20"/>
          <w:lang w:val="es-ES"/>
        </w:rPr>
        <w:t xml:space="preserve">Asimismo, la Comisión concluyó que el </w:t>
      </w:r>
      <w:r w:rsidRPr="00AD2193">
        <w:rPr>
          <w:rFonts w:ascii="Cambria" w:hAnsi="Cambria" w:cs="Calibri"/>
          <w:szCs w:val="20"/>
          <w:lang w:val="es-ES"/>
        </w:rPr>
        <w:t xml:space="preserve">Acuerdo No. 81-2000 del Procurador de los Derechos Humanos, acto mediante el cual fue despedida, fue emitido en violación del deber de motivación, del principio de legalidad y del principio de presunción de inocencia. En dicha motivación quedó evidenciado que la señora Maldonado fue separada del cargo por una “situación denunciada”, sin que se hubiera efectuado investigación alguna sobre si efectivamente la víctima incurrió o no en las causales respectivas. Este hecho fue reconocido por el Estado de Guatemala ante la Comisión. Finalmente, la Comisión concluyó que ninguno de los recursos intentados por la señora Maldonado </w:t>
      </w:r>
      <w:r w:rsidRPr="00AD2193">
        <w:rPr>
          <w:rFonts w:ascii="Cambria" w:hAnsi="Cambria"/>
          <w:szCs w:val="20"/>
          <w:lang w:val="es-ES_tradnl"/>
        </w:rPr>
        <w:t xml:space="preserve">permitieron una revisión de la sanción ni constituyeron un recurso efectivo frente a las violaciones al debido proceso. </w:t>
      </w:r>
    </w:p>
    <w:p w:rsidR="00814B82" w:rsidRPr="00AD2193" w:rsidRDefault="00814B82" w:rsidP="00814B82">
      <w:pPr>
        <w:widowControl w:val="0"/>
        <w:autoSpaceDE w:val="0"/>
        <w:autoSpaceDN w:val="0"/>
        <w:adjustRightInd w:val="0"/>
        <w:spacing w:after="0" w:line="240" w:lineRule="auto"/>
        <w:jc w:val="both"/>
        <w:rPr>
          <w:rFonts w:ascii="Cambria" w:hAnsi="Cambria"/>
          <w:lang w:val="es-ES"/>
        </w:rPr>
      </w:pPr>
    </w:p>
    <w:p w:rsidR="00814B82" w:rsidRPr="00F605F2" w:rsidRDefault="00814B82" w:rsidP="00425667">
      <w:pPr>
        <w:widowControl w:val="0"/>
        <w:autoSpaceDE w:val="0"/>
        <w:autoSpaceDN w:val="0"/>
        <w:adjustRightInd w:val="0"/>
        <w:spacing w:after="0" w:line="240" w:lineRule="auto"/>
        <w:jc w:val="both"/>
        <w:rPr>
          <w:rFonts w:ascii="Cambria" w:hAnsi="Cambria"/>
          <w:lang w:val="es-ES"/>
        </w:rPr>
      </w:pPr>
    </w:p>
    <w:p w:rsidR="00814B82" w:rsidRPr="00F605F2" w:rsidRDefault="00814B82" w:rsidP="00814B82">
      <w:pPr>
        <w:widowControl w:val="0"/>
        <w:autoSpaceDE w:val="0"/>
        <w:autoSpaceDN w:val="0"/>
        <w:adjustRightInd w:val="0"/>
        <w:spacing w:after="0" w:line="240" w:lineRule="auto"/>
        <w:jc w:val="both"/>
        <w:rPr>
          <w:rFonts w:ascii="Cambria" w:hAnsi="Cambria" w:cs="Arial"/>
          <w:snapToGrid w:val="0"/>
          <w:lang w:val="es-CO"/>
        </w:rPr>
      </w:pPr>
      <w:r w:rsidRPr="00F605F2">
        <w:rPr>
          <w:rFonts w:ascii="Cambria" w:hAnsi="Cambria" w:cs="Arial"/>
          <w:snapToGrid w:val="0"/>
          <w:lang w:val="es-ES_tradnl"/>
        </w:rPr>
        <w:t>Señor</w:t>
      </w:r>
    </w:p>
    <w:p w:rsidR="00814B82" w:rsidRPr="00F605F2" w:rsidRDefault="00814B82" w:rsidP="00814B82">
      <w:pPr>
        <w:widowControl w:val="0"/>
        <w:autoSpaceDE w:val="0"/>
        <w:autoSpaceDN w:val="0"/>
        <w:adjustRightInd w:val="0"/>
        <w:spacing w:after="0" w:line="240" w:lineRule="auto"/>
        <w:jc w:val="both"/>
        <w:rPr>
          <w:rFonts w:ascii="Cambria" w:hAnsi="Cambria" w:cs="Arial"/>
          <w:snapToGrid w:val="0"/>
          <w:lang w:val="es-CO"/>
        </w:rPr>
      </w:pPr>
      <w:r w:rsidRPr="00F605F2">
        <w:rPr>
          <w:rFonts w:ascii="Cambria" w:hAnsi="Cambria" w:cs="Arial"/>
          <w:snapToGrid w:val="0"/>
          <w:lang w:val="es-CO"/>
        </w:rPr>
        <w:t xml:space="preserve">Pablo </w:t>
      </w:r>
      <w:r w:rsidRPr="00F605F2">
        <w:rPr>
          <w:rFonts w:ascii="Cambria" w:hAnsi="Cambria"/>
          <w:lang w:val="es-ES"/>
        </w:rPr>
        <w:t>Saavedra</w:t>
      </w:r>
      <w:r w:rsidRPr="00F605F2">
        <w:rPr>
          <w:rFonts w:ascii="Cambria" w:hAnsi="Cambria" w:cs="Arial"/>
          <w:snapToGrid w:val="0"/>
          <w:lang w:val="es-CO"/>
        </w:rPr>
        <w:t xml:space="preserve"> Alessandri, Secretario</w:t>
      </w:r>
    </w:p>
    <w:p w:rsidR="00814B82" w:rsidRPr="00F605F2" w:rsidRDefault="00814B82" w:rsidP="00814B82">
      <w:pPr>
        <w:widowControl w:val="0"/>
        <w:autoSpaceDE w:val="0"/>
        <w:autoSpaceDN w:val="0"/>
        <w:adjustRightInd w:val="0"/>
        <w:spacing w:after="0" w:line="240" w:lineRule="auto"/>
        <w:jc w:val="both"/>
        <w:rPr>
          <w:rFonts w:ascii="Cambria" w:hAnsi="Cambria" w:cs="Arial"/>
          <w:snapToGrid w:val="0"/>
          <w:lang w:val="es-ES_tradnl"/>
        </w:rPr>
      </w:pPr>
      <w:r w:rsidRPr="00F605F2">
        <w:rPr>
          <w:rFonts w:ascii="Cambria" w:hAnsi="Cambria" w:cs="Arial"/>
          <w:snapToGrid w:val="0"/>
          <w:lang w:val="es-ES_tradnl"/>
        </w:rPr>
        <w:t>Corte Interamericana de Derechos Humanos</w:t>
      </w:r>
    </w:p>
    <w:p w:rsidR="00814B82" w:rsidRPr="00F605F2" w:rsidRDefault="00814B82" w:rsidP="00814B82">
      <w:pPr>
        <w:widowControl w:val="0"/>
        <w:autoSpaceDE w:val="0"/>
        <w:autoSpaceDN w:val="0"/>
        <w:adjustRightInd w:val="0"/>
        <w:spacing w:after="0" w:line="240" w:lineRule="auto"/>
        <w:jc w:val="both"/>
        <w:rPr>
          <w:rFonts w:ascii="Cambria" w:hAnsi="Cambria" w:cs="Arial"/>
          <w:snapToGrid w:val="0"/>
          <w:lang w:val="es-ES_tradnl"/>
        </w:rPr>
      </w:pPr>
      <w:r w:rsidRPr="00F605F2">
        <w:rPr>
          <w:rFonts w:ascii="Cambria" w:hAnsi="Cambria" w:cs="Arial"/>
          <w:snapToGrid w:val="0"/>
          <w:lang w:val="es-ES_tradnl"/>
        </w:rPr>
        <w:t>Apartado 6906-1000</w:t>
      </w:r>
    </w:p>
    <w:p w:rsidR="00814B82" w:rsidRPr="00F605F2" w:rsidRDefault="00814B82" w:rsidP="00814B82">
      <w:pPr>
        <w:widowControl w:val="0"/>
        <w:autoSpaceDE w:val="0"/>
        <w:autoSpaceDN w:val="0"/>
        <w:adjustRightInd w:val="0"/>
        <w:spacing w:after="0" w:line="240" w:lineRule="auto"/>
        <w:jc w:val="both"/>
        <w:rPr>
          <w:rFonts w:ascii="Cambria" w:hAnsi="Cambria" w:cs="Arial"/>
          <w:snapToGrid w:val="0"/>
          <w:lang w:val="es-ES_tradnl"/>
        </w:rPr>
      </w:pPr>
      <w:r w:rsidRPr="00F605F2">
        <w:rPr>
          <w:rFonts w:ascii="Cambria" w:hAnsi="Cambria" w:cs="Arial"/>
          <w:snapToGrid w:val="0"/>
          <w:lang w:val="es-ES_tradnl"/>
        </w:rPr>
        <w:t>San José, Costa Rica</w:t>
      </w:r>
    </w:p>
    <w:p w:rsidR="00814B82" w:rsidRDefault="00814B82" w:rsidP="00814B82">
      <w:pPr>
        <w:widowControl w:val="0"/>
        <w:autoSpaceDE w:val="0"/>
        <w:autoSpaceDN w:val="0"/>
        <w:adjustRightInd w:val="0"/>
        <w:spacing w:after="0" w:line="240" w:lineRule="auto"/>
        <w:ind w:firstLine="720"/>
        <w:jc w:val="both"/>
        <w:rPr>
          <w:rFonts w:ascii="Cambria" w:hAnsi="Cambria"/>
          <w:lang w:val="es-ES"/>
        </w:rPr>
      </w:pPr>
    </w:p>
    <w:p w:rsidR="00425667" w:rsidRDefault="00425667" w:rsidP="00814B82">
      <w:pPr>
        <w:widowControl w:val="0"/>
        <w:autoSpaceDE w:val="0"/>
        <w:autoSpaceDN w:val="0"/>
        <w:adjustRightInd w:val="0"/>
        <w:spacing w:after="0" w:line="240" w:lineRule="auto"/>
        <w:ind w:firstLine="720"/>
        <w:jc w:val="both"/>
        <w:rPr>
          <w:rFonts w:ascii="Cambria" w:hAnsi="Cambria"/>
          <w:lang w:val="es-ES"/>
        </w:rPr>
      </w:pPr>
    </w:p>
    <w:p w:rsidR="00425667" w:rsidRPr="00F605F2" w:rsidRDefault="00425667" w:rsidP="00814B82">
      <w:pPr>
        <w:widowControl w:val="0"/>
        <w:autoSpaceDE w:val="0"/>
        <w:autoSpaceDN w:val="0"/>
        <w:adjustRightInd w:val="0"/>
        <w:spacing w:after="0" w:line="240" w:lineRule="auto"/>
        <w:ind w:firstLine="720"/>
        <w:jc w:val="both"/>
        <w:rPr>
          <w:rFonts w:ascii="Cambria" w:hAnsi="Cambria"/>
          <w:lang w:val="es-ES"/>
        </w:rPr>
      </w:pPr>
    </w:p>
    <w:p w:rsidR="00425667" w:rsidRDefault="00425667" w:rsidP="00814B82">
      <w:pPr>
        <w:widowControl w:val="0"/>
        <w:autoSpaceDE w:val="0"/>
        <w:autoSpaceDN w:val="0"/>
        <w:adjustRightInd w:val="0"/>
        <w:spacing w:after="0" w:line="240" w:lineRule="auto"/>
        <w:ind w:firstLine="720"/>
        <w:jc w:val="both"/>
        <w:rPr>
          <w:rFonts w:ascii="Cambria" w:hAnsi="Cambria" w:cs="Arial"/>
          <w:lang w:val="es-CO"/>
        </w:rPr>
      </w:pPr>
    </w:p>
    <w:p w:rsidR="00CD413C" w:rsidRDefault="00CD413C" w:rsidP="00814B82">
      <w:pPr>
        <w:widowControl w:val="0"/>
        <w:autoSpaceDE w:val="0"/>
        <w:autoSpaceDN w:val="0"/>
        <w:adjustRightInd w:val="0"/>
        <w:spacing w:after="0" w:line="240" w:lineRule="auto"/>
        <w:ind w:firstLine="720"/>
        <w:jc w:val="both"/>
        <w:rPr>
          <w:rFonts w:ascii="Cambria" w:hAnsi="Cambria" w:cs="Arial"/>
          <w:lang w:val="es-CO"/>
        </w:rPr>
      </w:pPr>
    </w:p>
    <w:p w:rsidR="00814B82" w:rsidRPr="00F605F2" w:rsidRDefault="00814B82" w:rsidP="00814B82">
      <w:pPr>
        <w:widowControl w:val="0"/>
        <w:autoSpaceDE w:val="0"/>
        <w:autoSpaceDN w:val="0"/>
        <w:adjustRightInd w:val="0"/>
        <w:spacing w:after="0" w:line="240" w:lineRule="auto"/>
        <w:ind w:firstLine="720"/>
        <w:jc w:val="both"/>
        <w:rPr>
          <w:rFonts w:ascii="Cambria" w:hAnsi="Cambria" w:cs="Arial"/>
          <w:lang w:val="es-CO"/>
        </w:rPr>
      </w:pPr>
      <w:r w:rsidRPr="003A2084">
        <w:rPr>
          <w:rFonts w:ascii="Cambria" w:hAnsi="Cambria" w:cs="Arial"/>
          <w:lang w:val="es-CO"/>
        </w:rPr>
        <w:t>El Estado ratificó la Convención Americana sobre Derechos Humanos el 25 de mayo de 1978 y aceptó la competencia contenciosa de la Corte el 9 de marzo de 1987.</w:t>
      </w:r>
      <w:r w:rsidRPr="00425667">
        <w:rPr>
          <w:rFonts w:ascii="Cambria" w:hAnsi="Cambria" w:cs="Arial"/>
          <w:lang w:val="es-ES"/>
        </w:rPr>
        <w:t xml:space="preserve"> </w:t>
      </w:r>
    </w:p>
    <w:p w:rsidR="00814B82" w:rsidRPr="00F605F2" w:rsidRDefault="00814B82" w:rsidP="00814B82">
      <w:pPr>
        <w:spacing w:after="0"/>
        <w:jc w:val="both"/>
        <w:rPr>
          <w:rFonts w:ascii="Cambria" w:hAnsi="Cambria" w:cs="Arial"/>
          <w:snapToGrid w:val="0"/>
          <w:lang w:val="es-CO"/>
        </w:rPr>
      </w:pPr>
    </w:p>
    <w:p w:rsidR="00814B82" w:rsidRPr="00F605F2" w:rsidRDefault="00814B82" w:rsidP="00814B82">
      <w:pPr>
        <w:spacing w:after="0"/>
        <w:ind w:firstLine="720"/>
        <w:jc w:val="both"/>
        <w:rPr>
          <w:rFonts w:ascii="Cambria" w:hAnsi="Cambria" w:cs="Arial"/>
          <w:lang w:val="es-CO"/>
        </w:rPr>
      </w:pPr>
      <w:r w:rsidRPr="00F605F2">
        <w:rPr>
          <w:rFonts w:ascii="Cambria" w:hAnsi="Cambria"/>
          <w:lang w:val="es-CO"/>
        </w:rPr>
        <w:t>La Comisión ha designado al Comisionado James Cavallaro y al Secretario Ejecutivo Emilio Álvarez Icaza L. como sus delegados. Asimismo, Elizabeth Abi-Mershed, Secretaria Ejecutiva Adjunta y Silvia Serrano Guzmán y Erick Acuña Pereda abogada y abogado de la Secretaría Ejecutiva de la CIDH, actuarán como asesora y asesor legales.</w:t>
      </w:r>
    </w:p>
    <w:p w:rsidR="00814B82" w:rsidRPr="00F605F2" w:rsidRDefault="00814B82" w:rsidP="00814B82">
      <w:pPr>
        <w:autoSpaceDE w:val="0"/>
        <w:autoSpaceDN w:val="0"/>
        <w:adjustRightInd w:val="0"/>
        <w:spacing w:after="0"/>
        <w:ind w:right="480"/>
        <w:jc w:val="both"/>
        <w:rPr>
          <w:rFonts w:ascii="Cambria" w:hAnsi="Cambria"/>
          <w:b/>
          <w:lang w:val="es-CR"/>
        </w:rPr>
      </w:pPr>
    </w:p>
    <w:p w:rsidR="00814B82" w:rsidRPr="00F605F2" w:rsidRDefault="00814B82" w:rsidP="00814B82">
      <w:pPr>
        <w:spacing w:after="0"/>
        <w:ind w:firstLine="720"/>
        <w:jc w:val="both"/>
        <w:rPr>
          <w:rFonts w:ascii="Cambria" w:hAnsi="Cambria"/>
          <w:lang w:val="es-AR"/>
        </w:rPr>
      </w:pPr>
      <w:r w:rsidRPr="00F605F2">
        <w:rPr>
          <w:rFonts w:ascii="Cambria" w:hAnsi="Cambria" w:cs="Arial"/>
          <w:lang w:val="es-CO"/>
        </w:rPr>
        <w:t xml:space="preserve">De conformidad con el artículo 35 del Reglamento de la Corte Interamericana, la Comisión adjunta </w:t>
      </w:r>
      <w:r w:rsidRPr="00F605F2">
        <w:rPr>
          <w:rFonts w:ascii="Cambria" w:hAnsi="Cambria"/>
          <w:lang w:val="es-CO"/>
        </w:rPr>
        <w:t xml:space="preserve">copia del informe de fondo </w:t>
      </w:r>
      <w:r w:rsidRPr="00EA7488">
        <w:rPr>
          <w:rFonts w:ascii="Cambria" w:hAnsi="Cambria"/>
          <w:lang w:val="es-CO"/>
        </w:rPr>
        <w:t>42</w:t>
      </w:r>
      <w:r w:rsidRPr="00F605F2">
        <w:rPr>
          <w:rFonts w:ascii="Cambria" w:hAnsi="Cambria"/>
          <w:lang w:val="es-CO"/>
        </w:rPr>
        <w:t xml:space="preserve">/14 elaborado en observancia del artículo 50 de la Convención, así como copia de la totalidad del expediente ante la Comisión Interamericana (Apéndice I) y los anexos utilizados en la elaboración del informe </w:t>
      </w:r>
      <w:r w:rsidRPr="00EA7488">
        <w:rPr>
          <w:rFonts w:ascii="Cambria" w:hAnsi="Cambria"/>
          <w:lang w:val="es-CO"/>
        </w:rPr>
        <w:t>42</w:t>
      </w:r>
      <w:r w:rsidRPr="00F605F2">
        <w:rPr>
          <w:rFonts w:ascii="Cambria" w:hAnsi="Cambria"/>
          <w:lang w:val="es-CO"/>
        </w:rPr>
        <w:t xml:space="preserve">/14 (Anexos). Dicho informe de fondo </w:t>
      </w:r>
      <w:r w:rsidRPr="00F605F2">
        <w:rPr>
          <w:rFonts w:ascii="Cambria" w:hAnsi="Cambria"/>
          <w:lang w:val="es-AR"/>
        </w:rPr>
        <w:t xml:space="preserve">fue notificado al Estado de Guatemala mediante comunicación de 3 de septiembre de 2014, remitida al día siguiente, otorgándole un plazo de dos meses para informar sobre el cumplimiento de las recomendaciones. El Estado de Guatemala remitió un escrito mediante el cual rechazó las conclusiones del informe de fondo e indicó que no procedía otorgar ningún tipo de reparación a la señora Maldonado. </w:t>
      </w:r>
    </w:p>
    <w:p w:rsidR="00814B82" w:rsidRPr="00EA7488" w:rsidRDefault="00814B82" w:rsidP="00814B82">
      <w:pPr>
        <w:spacing w:after="0"/>
        <w:ind w:firstLine="720"/>
        <w:jc w:val="both"/>
        <w:rPr>
          <w:rFonts w:ascii="Cambria" w:hAnsi="Cambria"/>
          <w:lang w:val="es-AR"/>
        </w:rPr>
      </w:pPr>
    </w:p>
    <w:p w:rsidR="00814B82" w:rsidRPr="00EA7488" w:rsidRDefault="00814B82" w:rsidP="00814B82">
      <w:pPr>
        <w:spacing w:after="0"/>
        <w:ind w:firstLine="720"/>
        <w:jc w:val="both"/>
        <w:rPr>
          <w:rFonts w:ascii="Cambria" w:hAnsi="Cambria"/>
          <w:lang w:val="es-AR"/>
        </w:rPr>
      </w:pPr>
      <w:r w:rsidRPr="00EA7488">
        <w:rPr>
          <w:rFonts w:ascii="Cambria" w:hAnsi="Cambria"/>
          <w:lang w:val="es-AR"/>
        </w:rPr>
        <w:t>En virtud de lo anterior, l</w:t>
      </w:r>
      <w:r w:rsidRPr="00EA7488">
        <w:rPr>
          <w:rFonts w:ascii="Cambria" w:hAnsi="Cambria"/>
          <w:lang w:val="es-CO"/>
        </w:rPr>
        <w:t xml:space="preserve">a Comisión Interamericana somete a la jurisdicción de la Corte la totalidad de los hechos y violaciones de derechos humanos descritos en el informe de fondo 42/14, por la necesidad de obtención de justicia para la víctima del caso. </w:t>
      </w:r>
    </w:p>
    <w:p w:rsidR="00814B82" w:rsidRPr="00EA7488" w:rsidRDefault="00814B82" w:rsidP="00814B82">
      <w:pPr>
        <w:tabs>
          <w:tab w:val="left" w:pos="0"/>
        </w:tabs>
        <w:spacing w:after="0"/>
        <w:jc w:val="both"/>
        <w:rPr>
          <w:rFonts w:ascii="Cambria" w:hAnsi="Cambria"/>
          <w:lang w:val="es-CO"/>
        </w:rPr>
      </w:pPr>
    </w:p>
    <w:p w:rsidR="00814B82" w:rsidRPr="00EA7488" w:rsidRDefault="00814B82" w:rsidP="00814B82">
      <w:pPr>
        <w:suppressAutoHyphens/>
        <w:spacing w:after="0" w:line="240" w:lineRule="auto"/>
        <w:ind w:firstLine="720"/>
        <w:jc w:val="both"/>
        <w:rPr>
          <w:rFonts w:ascii="Cambria" w:hAnsi="Cambria"/>
          <w:lang w:val="es-ES"/>
        </w:rPr>
      </w:pPr>
      <w:r w:rsidRPr="00EA7488">
        <w:rPr>
          <w:rFonts w:ascii="Cambria" w:hAnsi="Cambria"/>
          <w:lang w:val="es-CO"/>
        </w:rPr>
        <w:t>En ese sentido, la Comisión solicita a la Corte que concluya y declare la responsabilidad internacional del</w:t>
      </w:r>
      <w:r w:rsidRPr="00EA7488">
        <w:rPr>
          <w:rFonts w:ascii="Cambria" w:hAnsi="Cambria" w:cs="Arial"/>
          <w:lang w:val="es-CL"/>
        </w:rPr>
        <w:t xml:space="preserve"> Estado de Guatemala </w:t>
      </w:r>
      <w:r w:rsidRPr="00EA7488">
        <w:rPr>
          <w:rFonts w:ascii="Cambria" w:hAnsi="Cambria"/>
          <w:lang w:val="es-ES"/>
        </w:rPr>
        <w:t xml:space="preserve">por la violación </w:t>
      </w:r>
      <w:r w:rsidRPr="00EA7488">
        <w:rPr>
          <w:rFonts w:ascii="Cambria" w:hAnsi="Cambria"/>
          <w:szCs w:val="20"/>
          <w:lang w:val="es-ES_tradnl"/>
        </w:rPr>
        <w:t>del derecho a las garantías judiciales, principio de legalidad y protección judicial establecidos en los artículos 8.1, 8.2, 9 y 25 de la Convención Americana sobre Derechos Humanos,</w:t>
      </w:r>
      <w:r w:rsidRPr="00EA7488" w:rsidDel="00B33EFA">
        <w:rPr>
          <w:rFonts w:ascii="Cambria" w:hAnsi="Cambria"/>
          <w:szCs w:val="20"/>
          <w:lang w:val="es-ES_tradnl"/>
        </w:rPr>
        <w:t xml:space="preserve"> </w:t>
      </w:r>
      <w:r w:rsidRPr="00EA7488">
        <w:rPr>
          <w:rFonts w:ascii="Cambria" w:hAnsi="Cambria"/>
          <w:szCs w:val="20"/>
          <w:lang w:val="es-ES_tradnl"/>
        </w:rPr>
        <w:t xml:space="preserve">en relación con el artículo 1.1 del mismo instrumento, en perjuicio de Olga Yolanda Maldonado Ordóñez. </w:t>
      </w:r>
    </w:p>
    <w:p w:rsidR="00814B82" w:rsidRPr="00F605F2" w:rsidRDefault="00814B82" w:rsidP="00814B82">
      <w:pPr>
        <w:autoSpaceDE w:val="0"/>
        <w:autoSpaceDN w:val="0"/>
        <w:adjustRightInd w:val="0"/>
        <w:spacing w:after="0"/>
        <w:ind w:left="720"/>
        <w:jc w:val="both"/>
        <w:rPr>
          <w:rFonts w:ascii="Cambria" w:hAnsi="Cambria"/>
          <w:lang w:val="es-CO"/>
        </w:rPr>
      </w:pPr>
    </w:p>
    <w:p w:rsidR="00814B82" w:rsidRPr="00F605F2" w:rsidRDefault="00814B82" w:rsidP="00814B82">
      <w:pPr>
        <w:autoSpaceDE w:val="0"/>
        <w:autoSpaceDN w:val="0"/>
        <w:adjustRightInd w:val="0"/>
        <w:spacing w:after="0"/>
        <w:ind w:firstLine="720"/>
        <w:jc w:val="both"/>
        <w:rPr>
          <w:rFonts w:ascii="Cambria" w:hAnsi="Cambria"/>
          <w:lang w:val="es-CO"/>
        </w:rPr>
      </w:pPr>
      <w:r w:rsidRPr="00F605F2">
        <w:rPr>
          <w:rFonts w:ascii="Cambria" w:hAnsi="Cambria"/>
          <w:lang w:val="es-CO"/>
        </w:rPr>
        <w:t>En consecuencia, la Comisión solicita a la Corte que establezca las siguientes medidas de reparación:</w:t>
      </w:r>
    </w:p>
    <w:p w:rsidR="00814B82" w:rsidRPr="00F605F2" w:rsidRDefault="00814B82" w:rsidP="00814B82">
      <w:pPr>
        <w:tabs>
          <w:tab w:val="left" w:pos="720"/>
        </w:tabs>
        <w:autoSpaceDE w:val="0"/>
        <w:autoSpaceDN w:val="0"/>
        <w:adjustRightInd w:val="0"/>
        <w:spacing w:after="0"/>
        <w:ind w:left="720" w:right="720"/>
        <w:jc w:val="both"/>
        <w:rPr>
          <w:rFonts w:ascii="Cambria" w:hAnsi="Cambria"/>
          <w:lang w:val="es-CO"/>
        </w:rPr>
      </w:pPr>
    </w:p>
    <w:p w:rsidR="00814B82" w:rsidRPr="00EA7488" w:rsidRDefault="00814B82" w:rsidP="00814B82">
      <w:pPr>
        <w:numPr>
          <w:ilvl w:val="0"/>
          <w:numId w:val="3"/>
        </w:numPr>
        <w:tabs>
          <w:tab w:val="left" w:pos="-720"/>
        </w:tabs>
        <w:spacing w:after="0" w:line="240" w:lineRule="auto"/>
        <w:ind w:left="0" w:firstLine="720"/>
        <w:jc w:val="both"/>
        <w:rPr>
          <w:rFonts w:ascii="Cambria" w:hAnsi="Cambria" w:cs="Arial"/>
          <w:szCs w:val="20"/>
          <w:lang w:val="es-ES"/>
        </w:rPr>
      </w:pPr>
      <w:r w:rsidRPr="00EA7488">
        <w:rPr>
          <w:rFonts w:ascii="Cambria" w:hAnsi="Cambria" w:cs="Arial"/>
          <w:szCs w:val="20"/>
          <w:lang w:val="es-ES"/>
        </w:rPr>
        <w:t>Reparar integralmente a la señora Olga Maldonado por las violaciones declaradas en el informe. Esta reparación debe incorporar tanto el aspecto material como moral.</w:t>
      </w:r>
    </w:p>
    <w:p w:rsidR="00814B82" w:rsidRPr="00EA7488" w:rsidRDefault="00814B82" w:rsidP="00814B82">
      <w:pPr>
        <w:tabs>
          <w:tab w:val="left" w:pos="-720"/>
        </w:tabs>
        <w:spacing w:after="0" w:line="240" w:lineRule="auto"/>
        <w:jc w:val="both"/>
        <w:rPr>
          <w:rFonts w:ascii="Cambria" w:hAnsi="Cambria" w:cs="Arial"/>
          <w:szCs w:val="20"/>
          <w:lang w:val="es-ES"/>
        </w:rPr>
      </w:pPr>
    </w:p>
    <w:p w:rsidR="00814B82" w:rsidRPr="00EA7488" w:rsidRDefault="00814B82" w:rsidP="00814B82">
      <w:pPr>
        <w:numPr>
          <w:ilvl w:val="0"/>
          <w:numId w:val="3"/>
        </w:numPr>
        <w:tabs>
          <w:tab w:val="left" w:pos="-720"/>
        </w:tabs>
        <w:spacing w:after="0" w:line="240" w:lineRule="auto"/>
        <w:ind w:left="0" w:firstLine="720"/>
        <w:jc w:val="both"/>
        <w:rPr>
          <w:rFonts w:ascii="Cambria" w:hAnsi="Cambria" w:cs="Arial"/>
          <w:szCs w:val="20"/>
          <w:lang w:val="es-ES"/>
        </w:rPr>
      </w:pPr>
      <w:r w:rsidRPr="00EA7488">
        <w:rPr>
          <w:rFonts w:ascii="Cambria" w:hAnsi="Cambria" w:cs="Arial"/>
          <w:szCs w:val="20"/>
          <w:lang w:val="es-ES"/>
        </w:rPr>
        <w:t xml:space="preserve">Eliminar todos los efectos de la sanción impuesta a la señora Maldonado, incluyendo los antecedentes disciplinarios que hubieren en su perjuicio. </w:t>
      </w:r>
    </w:p>
    <w:p w:rsidR="00814B82" w:rsidRPr="00EA7488" w:rsidRDefault="00814B82" w:rsidP="00814B82">
      <w:pPr>
        <w:tabs>
          <w:tab w:val="left" w:pos="-720"/>
        </w:tabs>
        <w:spacing w:after="0" w:line="240" w:lineRule="auto"/>
        <w:jc w:val="both"/>
        <w:rPr>
          <w:rFonts w:ascii="Cambria" w:hAnsi="Cambria" w:cs="Arial"/>
          <w:szCs w:val="20"/>
          <w:lang w:val="es-ES"/>
        </w:rPr>
      </w:pPr>
    </w:p>
    <w:p w:rsidR="00814B82" w:rsidRPr="00EA7488" w:rsidRDefault="00814B82" w:rsidP="00814B82">
      <w:pPr>
        <w:numPr>
          <w:ilvl w:val="0"/>
          <w:numId w:val="3"/>
        </w:numPr>
        <w:tabs>
          <w:tab w:val="left" w:pos="-720"/>
        </w:tabs>
        <w:spacing w:after="0" w:line="240" w:lineRule="auto"/>
        <w:ind w:left="0" w:firstLine="720"/>
        <w:jc w:val="both"/>
        <w:rPr>
          <w:rFonts w:ascii="Cambria" w:hAnsi="Cambria" w:cs="Arial"/>
          <w:szCs w:val="20"/>
          <w:lang w:val="es-ES"/>
        </w:rPr>
      </w:pPr>
      <w:r w:rsidRPr="00EA7488">
        <w:rPr>
          <w:rFonts w:ascii="Cambria" w:hAnsi="Cambria" w:cs="Arial"/>
          <w:szCs w:val="20"/>
          <w:lang w:val="es-ES"/>
        </w:rPr>
        <w:t xml:space="preserve">Adoptar medidas de no repetición a fin de asegurar que los funcionarios públicos de cargos similares al de la víctima del presente caso, tengan claridad y cuenten con recursos efectivos frente a procedimientos y sanciones disciplinarias en su contra. </w:t>
      </w:r>
    </w:p>
    <w:p w:rsidR="00814B82" w:rsidRPr="00F605F2" w:rsidRDefault="00814B82" w:rsidP="00814B82">
      <w:pPr>
        <w:tabs>
          <w:tab w:val="left" w:pos="720"/>
        </w:tabs>
        <w:autoSpaceDE w:val="0"/>
        <w:autoSpaceDN w:val="0"/>
        <w:adjustRightInd w:val="0"/>
        <w:spacing w:after="0"/>
        <w:ind w:left="720" w:right="720"/>
        <w:jc w:val="both"/>
        <w:rPr>
          <w:rFonts w:ascii="Cambria" w:hAnsi="Cambria"/>
          <w:lang w:val="es-CO"/>
        </w:rPr>
      </w:pPr>
    </w:p>
    <w:p w:rsidR="00814B82" w:rsidRPr="00AD2193" w:rsidRDefault="00814B82" w:rsidP="00814B82">
      <w:pPr>
        <w:autoSpaceDE w:val="0"/>
        <w:autoSpaceDN w:val="0"/>
        <w:adjustRightInd w:val="0"/>
        <w:spacing w:after="0"/>
        <w:ind w:firstLine="720"/>
        <w:jc w:val="both"/>
        <w:rPr>
          <w:rFonts w:ascii="Cambria" w:hAnsi="Cambria" w:cs="Arial"/>
          <w:lang w:val="es-AR"/>
        </w:rPr>
      </w:pPr>
      <w:r w:rsidRPr="00F605F2">
        <w:rPr>
          <w:rFonts w:ascii="Cambria" w:hAnsi="Cambria" w:cs="Arial"/>
          <w:lang w:val="es-CL"/>
        </w:rPr>
        <w:t xml:space="preserve">Además de la necesidad de obtención de justicia, la Comisión destaca que el presente caso involucra cuestiones de orden público interamericano. Específicamente, </w:t>
      </w:r>
      <w:r w:rsidRPr="00CB122F">
        <w:rPr>
          <w:rFonts w:ascii="Cambria" w:hAnsi="Cambria" w:cs="Arial"/>
          <w:lang w:val="es-AR"/>
        </w:rPr>
        <w:t xml:space="preserve">la resolución del caso </w:t>
      </w:r>
      <w:r w:rsidRPr="00AD2193">
        <w:rPr>
          <w:rFonts w:ascii="Cambria" w:hAnsi="Cambria" w:cs="Arial"/>
          <w:lang w:val="es-AR"/>
        </w:rPr>
        <w:t xml:space="preserve">podría contribuir a profundizar y aclarar la jurisprudencia de la Corte Interamericana sobre el tema de las garantías tanto de legalidad como de debido proceso que resultan aplicables en el marco de diversos </w:t>
      </w:r>
      <w:r w:rsidRPr="00AD2193">
        <w:rPr>
          <w:rFonts w:ascii="Cambria" w:hAnsi="Cambria" w:cs="Arial"/>
          <w:lang w:val="es-AR"/>
        </w:rPr>
        <w:lastRenderedPageBreak/>
        <w:t xml:space="preserve">tipos de procedimientos administrativos, incluidos los sancionatorios. Asimismo, el caso podría contribuir a fortalecer la jurisprudencia sobre el alcance del derecho a la tutela judicial efectiva en estas materias. </w:t>
      </w:r>
    </w:p>
    <w:p w:rsidR="00814B82" w:rsidRPr="00F605F2" w:rsidRDefault="00814B82" w:rsidP="00814B82">
      <w:pPr>
        <w:autoSpaceDE w:val="0"/>
        <w:autoSpaceDN w:val="0"/>
        <w:adjustRightInd w:val="0"/>
        <w:spacing w:after="0"/>
        <w:jc w:val="both"/>
        <w:rPr>
          <w:rFonts w:ascii="Cambria" w:hAnsi="Cambria" w:cs="Arial"/>
          <w:lang w:val="es-CL"/>
        </w:rPr>
      </w:pPr>
    </w:p>
    <w:p w:rsidR="00814B82" w:rsidRPr="00F605F2" w:rsidRDefault="00814B82" w:rsidP="00814B82">
      <w:pPr>
        <w:autoSpaceDE w:val="0"/>
        <w:autoSpaceDN w:val="0"/>
        <w:adjustRightInd w:val="0"/>
        <w:spacing w:after="0"/>
        <w:ind w:firstLine="720"/>
        <w:jc w:val="both"/>
        <w:rPr>
          <w:rFonts w:ascii="Cambria" w:hAnsi="Cambria" w:cs="Arial"/>
          <w:lang w:val="es-CL"/>
        </w:rPr>
      </w:pPr>
      <w:r w:rsidRPr="00F605F2">
        <w:rPr>
          <w:rFonts w:ascii="Cambria" w:hAnsi="Cambria" w:cs="Arial"/>
          <w:lang w:val="es-CL"/>
        </w:rPr>
        <w:t>En virtud de que estas cuestiones afectan de manera relevante el orden público interamericano, de conformidad con el artículo 35.1 f) del Reglamento de la Corte Interamericana, la Comisión se permite ofrecer la siguiente declaración pericial:</w:t>
      </w:r>
    </w:p>
    <w:p w:rsidR="00814B82" w:rsidRPr="00F605F2" w:rsidRDefault="00814B82" w:rsidP="00814B82">
      <w:pPr>
        <w:autoSpaceDE w:val="0"/>
        <w:autoSpaceDN w:val="0"/>
        <w:adjustRightInd w:val="0"/>
        <w:spacing w:after="0"/>
        <w:ind w:right="480"/>
        <w:jc w:val="both"/>
        <w:rPr>
          <w:rFonts w:ascii="Cambria" w:hAnsi="Cambria" w:cs="Arial"/>
          <w:lang w:val="es-CL"/>
        </w:rPr>
      </w:pPr>
    </w:p>
    <w:p w:rsidR="00814B82" w:rsidRPr="00CB122F" w:rsidRDefault="00814B82" w:rsidP="00814B82">
      <w:pPr>
        <w:spacing w:after="0"/>
        <w:ind w:firstLine="720"/>
        <w:jc w:val="both"/>
        <w:rPr>
          <w:rFonts w:ascii="Cambria" w:hAnsi="Cambria"/>
          <w:iCs/>
          <w:lang w:val="es-ES_tradnl"/>
        </w:rPr>
      </w:pPr>
      <w:r w:rsidRPr="00F605F2">
        <w:rPr>
          <w:rFonts w:ascii="Cambria" w:hAnsi="Cambria" w:cs="Courier New"/>
          <w:b/>
          <w:lang w:val="es-ES_tradnl"/>
        </w:rPr>
        <w:t>Perito/a cuyo nombre será informado a la brevedad</w:t>
      </w:r>
      <w:r w:rsidRPr="00CB122F">
        <w:rPr>
          <w:rFonts w:ascii="Cambria" w:hAnsi="Cambria"/>
          <w:iCs/>
          <w:lang w:val="es-ES_tradnl"/>
        </w:rPr>
        <w:t xml:space="preserve">, quien declarará sobre las garantías de debido proceso, tutela judicial efectiva y principio de legalidad, en el marco de procesos administrativos y sancionatorios. El/la perito/a analizará, de ser pertinente, la jurisprudencia de otros sistemas de protección y hará referencia al derecho constitucional comparado. Finalmente, el/la perito/a podrá referirse a los hechos del presente caso. </w:t>
      </w:r>
    </w:p>
    <w:p w:rsidR="00814B82" w:rsidRPr="00F605F2" w:rsidRDefault="00814B82" w:rsidP="00814B82">
      <w:pPr>
        <w:tabs>
          <w:tab w:val="left" w:pos="0"/>
        </w:tabs>
        <w:spacing w:after="0"/>
        <w:ind w:firstLine="720"/>
        <w:jc w:val="both"/>
        <w:rPr>
          <w:rFonts w:ascii="Cambria" w:hAnsi="Cambria" w:cs="Courier New"/>
          <w:b/>
          <w:lang w:val="es-ES_tradnl"/>
        </w:rPr>
      </w:pPr>
    </w:p>
    <w:p w:rsidR="00814B82" w:rsidRPr="00814B82" w:rsidRDefault="00814B82" w:rsidP="00814B82">
      <w:pPr>
        <w:tabs>
          <w:tab w:val="left" w:pos="0"/>
        </w:tabs>
        <w:spacing w:after="0"/>
        <w:ind w:firstLine="720"/>
        <w:jc w:val="both"/>
        <w:rPr>
          <w:rFonts w:ascii="Cambria" w:hAnsi="Cambria"/>
          <w:lang w:val="es-CO"/>
        </w:rPr>
      </w:pPr>
      <w:r w:rsidRPr="00EA7488">
        <w:rPr>
          <w:rFonts w:ascii="Cambria" w:hAnsi="Cambria" w:cs="Courier New"/>
          <w:lang w:val="es-ES_tradnl"/>
        </w:rPr>
        <w:t xml:space="preserve">El CV </w:t>
      </w:r>
      <w:r w:rsidRPr="00814B82">
        <w:rPr>
          <w:rFonts w:ascii="Cambria" w:hAnsi="Cambria"/>
          <w:lang w:val="es-AR"/>
        </w:rPr>
        <w:t xml:space="preserve">del/la perito/a ofrecido/a </w:t>
      </w:r>
      <w:r w:rsidRPr="00814B82">
        <w:rPr>
          <w:rFonts w:ascii="Cambria" w:hAnsi="Cambria"/>
          <w:lang w:val="es-CO"/>
        </w:rPr>
        <w:t xml:space="preserve">será incluido en los anexos al informe de fondo 42/14. </w:t>
      </w:r>
    </w:p>
    <w:p w:rsidR="00814B82" w:rsidRPr="00814B82" w:rsidRDefault="00814B82" w:rsidP="00814B82">
      <w:pPr>
        <w:tabs>
          <w:tab w:val="left" w:pos="0"/>
        </w:tabs>
        <w:spacing w:after="0"/>
        <w:ind w:firstLine="720"/>
        <w:jc w:val="both"/>
        <w:rPr>
          <w:rFonts w:ascii="Cambria" w:hAnsi="Cambria"/>
          <w:lang w:val="es-CO"/>
        </w:rPr>
      </w:pPr>
    </w:p>
    <w:p w:rsidR="00814B82" w:rsidRPr="00814B82" w:rsidRDefault="00814B82" w:rsidP="00814B82">
      <w:pPr>
        <w:tabs>
          <w:tab w:val="left" w:pos="0"/>
        </w:tabs>
        <w:spacing w:after="0"/>
        <w:ind w:firstLine="720"/>
        <w:jc w:val="both"/>
        <w:rPr>
          <w:rFonts w:ascii="Cambria" w:hAnsi="Cambria"/>
          <w:lang w:val="es-CO"/>
        </w:rPr>
      </w:pPr>
      <w:r w:rsidRPr="00814B82">
        <w:rPr>
          <w:rFonts w:ascii="Cambria" w:hAnsi="Cambria"/>
          <w:lang w:val="es-ES_tradnl"/>
        </w:rPr>
        <w:t xml:space="preserve">La Comisión pone en conocimiento de la Corte la siguiente información sobre quienes actuaron como peticionarios a lo largo del trámite del caso: </w:t>
      </w:r>
    </w:p>
    <w:p w:rsidR="00814B82" w:rsidRPr="00814B82" w:rsidRDefault="00814B82" w:rsidP="00814B82">
      <w:pPr>
        <w:autoSpaceDE w:val="0"/>
        <w:autoSpaceDN w:val="0"/>
        <w:adjustRightInd w:val="0"/>
        <w:spacing w:after="0"/>
        <w:jc w:val="center"/>
        <w:rPr>
          <w:rFonts w:ascii="Cambria" w:hAnsi="Cambria" w:cs="Arial"/>
          <w:lang w:val="es-ES_tradnl"/>
        </w:rPr>
      </w:pPr>
    </w:p>
    <w:p w:rsidR="00814B82" w:rsidRPr="00380C53" w:rsidRDefault="00CD413C" w:rsidP="00814B82">
      <w:pPr>
        <w:autoSpaceDE w:val="0"/>
        <w:autoSpaceDN w:val="0"/>
        <w:adjustRightInd w:val="0"/>
        <w:spacing w:after="0"/>
        <w:jc w:val="center"/>
        <w:rPr>
          <w:rFonts w:ascii="Cambria" w:eastAsia="Times New Roman" w:hAnsi="Cambria" w:cs="Helvetica"/>
          <w:szCs w:val="32"/>
          <w:highlight w:val="black"/>
          <w:lang w:val="es-ES_tradnl" w:bidi="en-US"/>
        </w:rPr>
      </w:pPr>
      <w:r w:rsidRPr="00380C53">
        <w:rPr>
          <w:rFonts w:ascii="Cambria" w:eastAsia="Times New Roman" w:hAnsi="Cambria" w:cs="Helvetica"/>
          <w:szCs w:val="32"/>
          <w:highlight w:val="black"/>
          <w:lang w:val="es-ES_tradnl" w:bidi="en-US"/>
        </w:rPr>
        <w:t>XXXXXXXXXXXXXXX</w:t>
      </w:r>
    </w:p>
    <w:p w:rsidR="00AB3A1C" w:rsidRPr="00380C53" w:rsidRDefault="00CD413C" w:rsidP="00814B82">
      <w:pPr>
        <w:autoSpaceDE w:val="0"/>
        <w:autoSpaceDN w:val="0"/>
        <w:adjustRightInd w:val="0"/>
        <w:spacing w:after="0"/>
        <w:jc w:val="center"/>
        <w:rPr>
          <w:rFonts w:ascii="Cambria" w:eastAsia="Times New Roman" w:hAnsi="Cambria" w:cs="Helvetica"/>
          <w:szCs w:val="32"/>
          <w:highlight w:val="black"/>
          <w:lang w:val="es-ES_tradnl" w:bidi="en-US"/>
        </w:rPr>
      </w:pPr>
      <w:r w:rsidRPr="00380C53">
        <w:rPr>
          <w:rFonts w:ascii="Cambria" w:eastAsia="Times New Roman" w:hAnsi="Cambria" w:cs="Helvetica"/>
          <w:szCs w:val="32"/>
          <w:highlight w:val="black"/>
          <w:lang w:val="es-ES_tradnl" w:bidi="en-US"/>
        </w:rPr>
        <w:t>XXXXXXXXXXXXXXXXXXXXXXXXX</w:t>
      </w:r>
    </w:p>
    <w:p w:rsidR="00AB3A1C" w:rsidRPr="00380C53" w:rsidRDefault="00AB3A1C" w:rsidP="00814B82">
      <w:pPr>
        <w:autoSpaceDE w:val="0"/>
        <w:autoSpaceDN w:val="0"/>
        <w:adjustRightInd w:val="0"/>
        <w:spacing w:after="0"/>
        <w:jc w:val="center"/>
        <w:rPr>
          <w:rFonts w:ascii="Cambria" w:eastAsia="Times New Roman" w:hAnsi="Cambria" w:cs="Helvetica"/>
          <w:szCs w:val="32"/>
          <w:highlight w:val="black"/>
          <w:lang w:val="es-ES_tradnl" w:bidi="en-US"/>
        </w:rPr>
      </w:pPr>
    </w:p>
    <w:p w:rsidR="00AB3A1C" w:rsidRPr="00380C53" w:rsidRDefault="00CD413C" w:rsidP="00814B82">
      <w:pPr>
        <w:autoSpaceDE w:val="0"/>
        <w:autoSpaceDN w:val="0"/>
        <w:adjustRightInd w:val="0"/>
        <w:spacing w:after="0"/>
        <w:jc w:val="center"/>
        <w:rPr>
          <w:rFonts w:ascii="Cambria" w:eastAsia="Times New Roman" w:hAnsi="Cambria" w:cs="Helvetica"/>
          <w:szCs w:val="32"/>
          <w:highlight w:val="black"/>
          <w:lang w:val="es-ES" w:bidi="en-US"/>
        </w:rPr>
      </w:pPr>
      <w:r w:rsidRPr="00380C53">
        <w:rPr>
          <w:rFonts w:ascii="Cambria" w:eastAsia="Times New Roman" w:hAnsi="Cambria" w:cs="Helvetica"/>
          <w:szCs w:val="32"/>
          <w:highlight w:val="black"/>
          <w:lang w:val="es-ES" w:bidi="en-US"/>
        </w:rPr>
        <w:t>XXXXXXXXXXXXXXXXXXXXX</w:t>
      </w:r>
    </w:p>
    <w:p w:rsidR="00AB3A1C" w:rsidRPr="00380C53" w:rsidRDefault="00CD413C" w:rsidP="00814B82">
      <w:pPr>
        <w:autoSpaceDE w:val="0"/>
        <w:autoSpaceDN w:val="0"/>
        <w:adjustRightInd w:val="0"/>
        <w:spacing w:after="0"/>
        <w:jc w:val="center"/>
        <w:rPr>
          <w:rFonts w:ascii="Cambria" w:eastAsia="Times New Roman" w:hAnsi="Cambria" w:cs="Helvetica"/>
          <w:szCs w:val="32"/>
          <w:highlight w:val="black"/>
          <w:lang w:val="es-ES" w:bidi="en-US"/>
        </w:rPr>
      </w:pPr>
      <w:r w:rsidRPr="00380C53">
        <w:rPr>
          <w:rFonts w:ascii="Cambria" w:eastAsia="Times New Roman" w:hAnsi="Cambria" w:cs="Helvetica"/>
          <w:szCs w:val="32"/>
          <w:highlight w:val="black"/>
          <w:lang w:val="es-ES" w:bidi="en-US"/>
        </w:rPr>
        <w:t>XXXXXXXXXXXXXXXXXXXXXXXXXXX</w:t>
      </w:r>
    </w:p>
    <w:p w:rsidR="00AB3A1C" w:rsidRPr="00380C53" w:rsidRDefault="00CD413C" w:rsidP="00814B82">
      <w:pPr>
        <w:autoSpaceDE w:val="0"/>
        <w:autoSpaceDN w:val="0"/>
        <w:adjustRightInd w:val="0"/>
        <w:spacing w:after="0"/>
        <w:jc w:val="center"/>
        <w:rPr>
          <w:rFonts w:ascii="Cambria" w:eastAsia="Times New Roman" w:hAnsi="Cambria" w:cs="Helvetica"/>
          <w:szCs w:val="32"/>
          <w:highlight w:val="black"/>
          <w:lang w:val="es-ES" w:bidi="en-US"/>
        </w:rPr>
      </w:pPr>
      <w:r w:rsidRPr="00380C53">
        <w:rPr>
          <w:rFonts w:ascii="Cambria" w:eastAsia="Times New Roman" w:hAnsi="Cambria" w:cs="Helvetica"/>
          <w:szCs w:val="32"/>
          <w:highlight w:val="black"/>
          <w:lang w:val="es-ES" w:bidi="en-US"/>
        </w:rPr>
        <w:t>XXXXXXXXXXXXXX</w:t>
      </w:r>
    </w:p>
    <w:p w:rsidR="00AB3A1C" w:rsidRPr="00814B82" w:rsidRDefault="00CD413C" w:rsidP="00814B82">
      <w:pPr>
        <w:autoSpaceDE w:val="0"/>
        <w:autoSpaceDN w:val="0"/>
        <w:adjustRightInd w:val="0"/>
        <w:spacing w:after="0"/>
        <w:jc w:val="center"/>
        <w:rPr>
          <w:rFonts w:ascii="Cambria" w:hAnsi="Cambria"/>
          <w:lang w:val="es-ES" w:eastAsia="ko-KR"/>
        </w:rPr>
      </w:pPr>
      <w:r w:rsidRPr="00380C53">
        <w:rPr>
          <w:rFonts w:ascii="Cambria" w:eastAsia="Times New Roman" w:hAnsi="Cambria" w:cs="Helvetica"/>
          <w:szCs w:val="32"/>
          <w:highlight w:val="black"/>
          <w:lang w:val="es-ES" w:bidi="en-US"/>
        </w:rPr>
        <w:t>XXXXXXXXXXXXXXXXXXXX</w:t>
      </w:r>
    </w:p>
    <w:p w:rsidR="00814B82" w:rsidRPr="00814B82" w:rsidRDefault="00814B82" w:rsidP="00814B82">
      <w:pPr>
        <w:autoSpaceDE w:val="0"/>
        <w:autoSpaceDN w:val="0"/>
        <w:adjustRightInd w:val="0"/>
        <w:spacing w:after="0"/>
        <w:jc w:val="center"/>
        <w:rPr>
          <w:rFonts w:ascii="Cambria" w:hAnsi="Cambria" w:cs="Arial"/>
          <w:lang w:val="es-ES"/>
        </w:rPr>
      </w:pPr>
    </w:p>
    <w:p w:rsidR="00814B82" w:rsidRPr="00814B82" w:rsidRDefault="00814B82" w:rsidP="00814B82">
      <w:pPr>
        <w:tabs>
          <w:tab w:val="left" w:pos="0"/>
        </w:tabs>
        <w:spacing w:after="0"/>
        <w:ind w:firstLine="720"/>
        <w:jc w:val="both"/>
        <w:rPr>
          <w:rFonts w:ascii="Cambria" w:hAnsi="Cambria" w:cs="Arial"/>
          <w:lang w:val="es-CO"/>
        </w:rPr>
      </w:pPr>
      <w:r w:rsidRPr="00814B82">
        <w:rPr>
          <w:rFonts w:ascii="Cambria" w:hAnsi="Cambria" w:cs="Arial"/>
          <w:lang w:val="es-CO"/>
        </w:rPr>
        <w:t>Aprovecho la oportunidad para saludar a usted muy atentamente,</w:t>
      </w:r>
    </w:p>
    <w:p w:rsidR="00814B82" w:rsidRPr="00814B82" w:rsidRDefault="00814B82" w:rsidP="00814B82">
      <w:pPr>
        <w:suppressAutoHyphens/>
        <w:spacing w:after="0"/>
        <w:rPr>
          <w:rFonts w:ascii="Cambria" w:hAnsi="Cambria" w:cs="Arial"/>
          <w:snapToGrid w:val="0"/>
          <w:lang w:val="es-CO"/>
        </w:rPr>
      </w:pPr>
    </w:p>
    <w:p w:rsidR="00814B82" w:rsidRPr="00F605F2" w:rsidRDefault="00814B82" w:rsidP="00814B82">
      <w:pPr>
        <w:suppressAutoHyphens/>
        <w:spacing w:after="0"/>
        <w:jc w:val="center"/>
        <w:rPr>
          <w:rFonts w:ascii="Cambria" w:hAnsi="Cambria" w:cs="Arial"/>
          <w:snapToGrid w:val="0"/>
          <w:lang w:val="es-CO"/>
        </w:rPr>
      </w:pPr>
      <w:r w:rsidRPr="00F605F2">
        <w:rPr>
          <w:rFonts w:ascii="Cambria" w:hAnsi="Cambria" w:cs="Arial"/>
          <w:snapToGrid w:val="0"/>
          <w:lang w:val="es-CO"/>
        </w:rPr>
        <w:t xml:space="preserve">                                                                                                           </w:t>
      </w:r>
    </w:p>
    <w:p w:rsidR="00814B82" w:rsidRPr="00F605F2" w:rsidRDefault="00814B82" w:rsidP="00814B82">
      <w:pPr>
        <w:suppressAutoHyphens/>
        <w:spacing w:after="0"/>
        <w:rPr>
          <w:rFonts w:ascii="Cambria" w:hAnsi="Cambria" w:cs="Arial"/>
          <w:snapToGrid w:val="0"/>
          <w:lang w:val="es-CO"/>
        </w:rPr>
      </w:pPr>
    </w:p>
    <w:p w:rsidR="005F43B4" w:rsidRDefault="005F43B4" w:rsidP="00814B82">
      <w:pPr>
        <w:suppressAutoHyphens/>
        <w:spacing w:after="0"/>
        <w:ind w:left="5040"/>
        <w:rPr>
          <w:rFonts w:ascii="Cambria" w:hAnsi="Cambria" w:cs="Arial"/>
          <w:snapToGrid w:val="0"/>
          <w:lang w:val="es-CO"/>
        </w:rPr>
      </w:pPr>
      <w:r>
        <w:rPr>
          <w:i/>
          <w:snapToGrid w:val="0"/>
          <w:color w:val="A6A6A6"/>
          <w:sz w:val="24"/>
          <w:szCs w:val="24"/>
          <w:lang w:val="es-CO"/>
        </w:rPr>
        <w:t xml:space="preserve">              </w:t>
      </w:r>
      <w:r>
        <w:rPr>
          <w:i/>
          <w:snapToGrid w:val="0"/>
          <w:color w:val="A6A6A6"/>
          <w:sz w:val="24"/>
          <w:szCs w:val="24"/>
          <w:lang w:val="es-ES"/>
        </w:rPr>
        <w:t xml:space="preserve">Firmado en el </w:t>
      </w:r>
      <w:r w:rsidRPr="00995FF1">
        <w:rPr>
          <w:i/>
          <w:snapToGrid w:val="0"/>
          <w:color w:val="A6A6A6"/>
          <w:sz w:val="24"/>
          <w:szCs w:val="24"/>
          <w:lang w:val="es-ES"/>
        </w:rPr>
        <w:t>original</w:t>
      </w:r>
      <w:r w:rsidR="00814B82" w:rsidRPr="00F605F2">
        <w:rPr>
          <w:rFonts w:ascii="Cambria" w:hAnsi="Cambria" w:cs="Arial"/>
          <w:snapToGrid w:val="0"/>
          <w:lang w:val="es-CO"/>
        </w:rPr>
        <w:t xml:space="preserve">        </w:t>
      </w:r>
      <w:r w:rsidR="00AB3A1C">
        <w:rPr>
          <w:rFonts w:ascii="Cambria" w:hAnsi="Cambria" w:cs="Arial"/>
          <w:snapToGrid w:val="0"/>
          <w:lang w:val="es-CO"/>
        </w:rPr>
        <w:t xml:space="preserve">          </w:t>
      </w:r>
    </w:p>
    <w:p w:rsidR="00814B82" w:rsidRPr="00F605F2" w:rsidRDefault="005F43B4" w:rsidP="00814B82">
      <w:pPr>
        <w:suppressAutoHyphens/>
        <w:spacing w:after="0"/>
        <w:ind w:left="5040"/>
        <w:rPr>
          <w:rFonts w:ascii="Cambria" w:hAnsi="Cambria" w:cs="Arial"/>
          <w:snapToGrid w:val="0"/>
          <w:lang w:val="es-CO"/>
        </w:rPr>
      </w:pPr>
      <w:r>
        <w:rPr>
          <w:rFonts w:ascii="Cambria" w:hAnsi="Cambria" w:cs="Arial"/>
          <w:snapToGrid w:val="0"/>
          <w:lang w:val="es-CO"/>
        </w:rPr>
        <w:t xml:space="preserve">                  </w:t>
      </w:r>
      <w:r w:rsidR="00AB3A1C">
        <w:rPr>
          <w:rFonts w:ascii="Cambria" w:hAnsi="Cambria" w:cs="Arial"/>
          <w:snapToGrid w:val="0"/>
          <w:lang w:val="es-CO"/>
        </w:rPr>
        <w:t>María Claudia Pulido</w:t>
      </w:r>
    </w:p>
    <w:p w:rsidR="00814B82" w:rsidRPr="00F605F2" w:rsidRDefault="00814B82" w:rsidP="00814B82">
      <w:pPr>
        <w:suppressAutoHyphens/>
        <w:spacing w:after="0"/>
        <w:ind w:left="4320"/>
        <w:rPr>
          <w:rFonts w:ascii="Cambria" w:hAnsi="Cambria"/>
          <w:lang w:val="es-CO"/>
        </w:rPr>
      </w:pPr>
      <w:r w:rsidRPr="00F605F2">
        <w:rPr>
          <w:rFonts w:ascii="Cambria" w:hAnsi="Cambria" w:cs="Arial"/>
          <w:snapToGrid w:val="0"/>
          <w:lang w:val="es-CO"/>
        </w:rPr>
        <w:t xml:space="preserve">            </w:t>
      </w:r>
      <w:r w:rsidR="00AB3A1C">
        <w:rPr>
          <w:rFonts w:ascii="Cambria" w:hAnsi="Cambria" w:cs="Arial"/>
          <w:snapToGrid w:val="0"/>
          <w:lang w:val="es-CO"/>
        </w:rPr>
        <w:t>Por autorización del Secretario Ejecutivo</w:t>
      </w:r>
      <w:r w:rsidRPr="00F605F2">
        <w:rPr>
          <w:rFonts w:ascii="Cambria" w:hAnsi="Cambria" w:cs="Arial"/>
          <w:snapToGrid w:val="0"/>
          <w:lang w:val="es-CO"/>
        </w:rPr>
        <w:t xml:space="preserve"> </w:t>
      </w:r>
    </w:p>
    <w:p w:rsidR="00814B82" w:rsidRPr="00AB3A1C" w:rsidRDefault="00814B82">
      <w:pPr>
        <w:rPr>
          <w:rFonts w:ascii="Cambria" w:hAnsi="Cambria"/>
          <w:lang w:val="es-ES"/>
        </w:rPr>
      </w:pPr>
    </w:p>
    <w:p w:rsidR="00814B82" w:rsidRPr="00AB3A1C" w:rsidRDefault="00AB3A1C">
      <w:pPr>
        <w:rPr>
          <w:rFonts w:ascii="Cambria" w:hAnsi="Cambria"/>
          <w:lang w:val="es-ES"/>
        </w:rPr>
      </w:pPr>
      <w:r w:rsidRPr="00AB3A1C">
        <w:rPr>
          <w:rFonts w:ascii="Cambria" w:hAnsi="Cambria"/>
          <w:lang w:val="es-ES"/>
        </w:rPr>
        <w:t>Anexos</w:t>
      </w:r>
    </w:p>
    <w:sectPr w:rsidR="00814B82" w:rsidRPr="00AB3A1C" w:rsidSect="00814B82">
      <w:headerReference w:type="default" r:id="rId7"/>
      <w:footerReference w:type="default" r:id="rId8"/>
      <w:headerReference w:type="first" r:id="rId9"/>
      <w:footerReference w:type="first" r:id="rId10"/>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F55" w:rsidRDefault="00316F55">
      <w:pPr>
        <w:spacing w:after="0" w:line="240" w:lineRule="auto"/>
      </w:pPr>
      <w:r>
        <w:separator/>
      </w:r>
    </w:p>
  </w:endnote>
  <w:endnote w:type="continuationSeparator" w:id="0">
    <w:p w:rsidR="00316F55" w:rsidRDefault="0031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B82" w:rsidRPr="00A72869" w:rsidRDefault="00814B82">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405DB5">
      <w:rPr>
        <w:noProof/>
        <w:color w:val="7F7F7F"/>
        <w:sz w:val="16"/>
      </w:rPr>
      <w:t>3</w:t>
    </w:r>
    <w:r w:rsidRPr="00A72869">
      <w:rPr>
        <w:noProof/>
        <w:color w:val="7F7F7F"/>
        <w:sz w:val="16"/>
      </w:rPr>
      <w:fldChar w:fldCharType="end"/>
    </w:r>
  </w:p>
  <w:p w:rsidR="00814B82" w:rsidRDefault="00814B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B82" w:rsidRDefault="00814B82" w:rsidP="00814B82">
    <w:pPr>
      <w:pStyle w:val="Piedepgina"/>
      <w:spacing w:line="360" w:lineRule="auto"/>
    </w:pPr>
    <w:r>
      <w:pict>
        <v:rect id="_x0000_i1026" style="width:0;height:1.5pt" o:hralign="center" o:hrstd="t" o:hr="t" fillcolor="#a0a0a0" stroked="f"/>
      </w:pict>
    </w:r>
  </w:p>
  <w:p w:rsidR="00814B82" w:rsidRDefault="00814B82" w:rsidP="00814B82">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3.2pt;height:25.0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F55" w:rsidRDefault="00316F55">
      <w:pPr>
        <w:spacing w:after="0" w:line="240" w:lineRule="auto"/>
      </w:pPr>
      <w:r>
        <w:separator/>
      </w:r>
    </w:p>
  </w:footnote>
  <w:footnote w:type="continuationSeparator" w:id="0">
    <w:p w:rsidR="00316F55" w:rsidRDefault="00316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B82" w:rsidRPr="0058688A" w:rsidRDefault="00814B82" w:rsidP="00814B82">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0.3pt;height:9.4pt">
          <v:imagedata r:id="rId1" o:title="cidh-peq"/>
        </v:shape>
      </w:pict>
    </w:r>
  </w:p>
  <w:p w:rsidR="00814B82" w:rsidRDefault="00814B82">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B82" w:rsidRDefault="00814B82" w:rsidP="00814B82">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85.3pt;height:35.7pt;visibility:visible">
          <v:imagedata r:id="rId1" o:title="cidh-es"/>
        </v:shape>
      </w:pict>
    </w:r>
    <w:r>
      <w:tab/>
    </w:r>
    <w:r>
      <w:tab/>
    </w:r>
    <w:r w:rsidRPr="008A5CB5">
      <w:rPr>
        <w:noProof/>
      </w:rPr>
      <w:pict>
        <v:shape id="Picture 2" o:spid="_x0000_i1029" type="#_x0000_t75" style="width:129.6pt;height:37.55pt;visibility:visible">
          <v:imagedata r:id="rId2" o:title="oea-es"/>
        </v:shape>
      </w:pict>
    </w:r>
  </w:p>
  <w:p w:rsidR="00814B82" w:rsidRDefault="00814B82" w:rsidP="00814B82">
    <w:pPr>
      <w:pStyle w:val="Encabezado"/>
    </w:pPr>
  </w:p>
  <w:p w:rsidR="00814B82" w:rsidRDefault="00814B82" w:rsidP="00814B82">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70ECC"/>
    <w:multiLevelType w:val="hybridMultilevel"/>
    <w:tmpl w:val="EEC6EB42"/>
    <w:lvl w:ilvl="0" w:tplc="4C023D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0561B8E"/>
    <w:multiLevelType w:val="hybridMultilevel"/>
    <w:tmpl w:val="7C44C386"/>
    <w:lvl w:ilvl="0" w:tplc="71B23924">
      <w:start w:val="1"/>
      <w:numFmt w:val="decimal"/>
      <w:lvlText w:val="%1."/>
      <w:lvlJc w:val="left"/>
      <w:pPr>
        <w:tabs>
          <w:tab w:val="num" w:pos="1429"/>
        </w:tabs>
        <w:ind w:left="1429" w:hanging="720"/>
      </w:pPr>
      <w:rPr>
        <w:rFonts w:ascii="Cambria" w:hAnsi="Cambria" w:hint="default"/>
        <w:b w:val="0"/>
        <w:color w:val="auto"/>
        <w:sz w:val="20"/>
        <w:szCs w:val="20"/>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B4460CA"/>
    <w:multiLevelType w:val="hybridMultilevel"/>
    <w:tmpl w:val="07B85AD8"/>
    <w:lvl w:ilvl="0" w:tplc="67D6E770">
      <w:start w:val="1"/>
      <w:numFmt w:val="decimal"/>
      <w:lvlText w:val="%1."/>
      <w:lvlJc w:val="left"/>
      <w:pPr>
        <w:tabs>
          <w:tab w:val="num" w:pos="927"/>
        </w:tabs>
        <w:ind w:left="927" w:hanging="360"/>
      </w:pPr>
      <w:rPr>
        <w:rFonts w:cs="Univers"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316F55"/>
    <w:rsid w:val="00380C53"/>
    <w:rsid w:val="003E11E2"/>
    <w:rsid w:val="00405DB5"/>
    <w:rsid w:val="00425667"/>
    <w:rsid w:val="00510466"/>
    <w:rsid w:val="005F43B4"/>
    <w:rsid w:val="006C3AE3"/>
    <w:rsid w:val="00814B82"/>
    <w:rsid w:val="009D4934"/>
    <w:rsid w:val="00AB3A1C"/>
    <w:rsid w:val="00CD413C"/>
    <w:rsid w:val="00EB28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5F2"/>
    <w:pPr>
      <w:spacing w:after="200" w:line="276" w:lineRule="auto"/>
    </w:pPr>
    <w:rPr>
      <w:rFonts w:ascii="Calibri" w:eastAsia="MS Mincho" w:hAnsi="Calibri"/>
      <w:sz w:val="22"/>
      <w:szCs w:val="22"/>
      <w:lang w:val="en-U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unhideWhenUsed/>
    <w:rsid w:val="00F605F2"/>
    <w:pPr>
      <w:tabs>
        <w:tab w:val="center" w:pos="4680"/>
        <w:tab w:val="right" w:pos="9360"/>
      </w:tabs>
      <w:spacing w:after="0" w:line="240" w:lineRule="auto"/>
    </w:pPr>
  </w:style>
  <w:style w:type="paragraph" w:styleId="Piedepgina">
    <w:name w:val="footer"/>
    <w:basedOn w:val="Normal"/>
    <w:unhideWhenUsed/>
    <w:rsid w:val="00F605F2"/>
    <w:pPr>
      <w:tabs>
        <w:tab w:val="center" w:pos="4680"/>
        <w:tab w:val="right" w:pos="9360"/>
      </w:tabs>
      <w:spacing w:after="0" w:line="240" w:lineRule="auto"/>
    </w:pPr>
  </w:style>
  <w:style w:type="paragraph" w:styleId="Textoindependiente3">
    <w:name w:val="Body Text 3"/>
    <w:basedOn w:val="Normal"/>
    <w:rsid w:val="00F605F2"/>
    <w:pPr>
      <w:spacing w:after="120" w:line="240" w:lineRule="auto"/>
    </w:pPr>
    <w:rPr>
      <w:rFonts w:ascii="Univers" w:hAnsi="Univers"/>
      <w:sz w:val="16"/>
      <w:szCs w:val="16"/>
      <w:lang w:val="es-ES_tradnl"/>
    </w:rPr>
  </w:style>
  <w:style w:type="character" w:styleId="Hipervnculo">
    <w:name w:val="Hyperlink"/>
    <w:uiPriority w:val="99"/>
    <w:unhideWhenUsed/>
    <w:rsid w:val="00AB3A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5960</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21 de noviembre de 2014</vt:lpstr>
      <vt:lpstr>21 de noviembre de 2014</vt:lpstr>
    </vt:vector>
  </TitlesOfParts>
  <Company>Cejil Autorizado</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de noviembre de 2014</dc:title>
  <dc:creator>Usuario Autorizado</dc:creator>
  <cp:lastModifiedBy>Usuario Autorizado</cp:lastModifiedBy>
  <cp:revision>2</cp:revision>
  <dcterms:created xsi:type="dcterms:W3CDTF">2018-02-08T18:29:00Z</dcterms:created>
  <dcterms:modified xsi:type="dcterms:W3CDTF">2018-02-08T18:29:00Z</dcterms:modified>
</cp:coreProperties>
</file>