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C20" w:rsidRDefault="002B2C20" w:rsidP="002B2C20">
      <w:pPr>
        <w:suppressAutoHyphens/>
        <w:spacing w:after="0" w:line="240" w:lineRule="auto"/>
        <w:ind w:left="5760" w:firstLine="720"/>
        <w:rPr>
          <w:rFonts w:ascii="Univers" w:hAnsi="Univers" w:cs="Arial"/>
          <w:sz w:val="20"/>
          <w:szCs w:val="20"/>
          <w:lang w:val="pt-BR"/>
        </w:rPr>
      </w:pPr>
      <w:bookmarkStart w:id="0" w:name="_GoBack"/>
      <w:bookmarkEnd w:id="0"/>
    </w:p>
    <w:p w:rsidR="002B2C20" w:rsidRPr="002B2C20" w:rsidRDefault="002B2C20" w:rsidP="002B2C20">
      <w:pPr>
        <w:suppressAutoHyphens/>
        <w:spacing w:after="0" w:line="240" w:lineRule="auto"/>
        <w:ind w:left="5760" w:firstLine="720"/>
        <w:rPr>
          <w:rFonts w:ascii="Univers" w:hAnsi="Univers" w:cs="Arial"/>
          <w:sz w:val="20"/>
          <w:szCs w:val="20"/>
          <w:lang w:val="pt-BR"/>
        </w:rPr>
      </w:pPr>
    </w:p>
    <w:p w:rsidR="00EE7192" w:rsidRPr="002B2C20" w:rsidRDefault="00EE7192" w:rsidP="002B2C20">
      <w:pPr>
        <w:suppressAutoHyphens/>
        <w:spacing w:after="0" w:line="240" w:lineRule="auto"/>
        <w:ind w:left="5760" w:firstLine="720"/>
        <w:rPr>
          <w:rFonts w:ascii="Univers" w:hAnsi="Univers" w:cs="Arial"/>
          <w:b/>
          <w:sz w:val="20"/>
          <w:szCs w:val="20"/>
          <w:lang w:val="es-ES"/>
        </w:rPr>
      </w:pPr>
      <w:r w:rsidRPr="00734606">
        <w:rPr>
          <w:rFonts w:ascii="Univers" w:hAnsi="Univers" w:cs="Arial"/>
          <w:sz w:val="20"/>
          <w:szCs w:val="20"/>
          <w:lang w:val="es-ES"/>
        </w:rPr>
        <w:t xml:space="preserve">   </w:t>
      </w:r>
      <w:r w:rsidRPr="002B2C20">
        <w:rPr>
          <w:rFonts w:ascii="Univers" w:hAnsi="Univers" w:cs="Arial"/>
          <w:sz w:val="20"/>
          <w:szCs w:val="20"/>
          <w:lang w:val="es-ES"/>
        </w:rPr>
        <w:t>21 de noviembre de 2014</w:t>
      </w:r>
    </w:p>
    <w:p w:rsidR="002B2C20" w:rsidRPr="002B2C20" w:rsidRDefault="002B2C20" w:rsidP="002B2C20">
      <w:pPr>
        <w:widowControl w:val="0"/>
        <w:autoSpaceDE w:val="0"/>
        <w:autoSpaceDN w:val="0"/>
        <w:adjustRightInd w:val="0"/>
        <w:spacing w:after="0" w:line="240" w:lineRule="auto"/>
        <w:jc w:val="both"/>
        <w:rPr>
          <w:rFonts w:ascii="Univers" w:hAnsi="Univers" w:cs="Arial"/>
          <w:b/>
          <w:sz w:val="20"/>
          <w:szCs w:val="20"/>
          <w:lang w:val="es-ES"/>
        </w:rPr>
      </w:pPr>
    </w:p>
    <w:p w:rsidR="00EE7192" w:rsidRPr="002B2C20" w:rsidRDefault="002B2C20" w:rsidP="002B2C20">
      <w:pPr>
        <w:widowControl w:val="0"/>
        <w:autoSpaceDE w:val="0"/>
        <w:autoSpaceDN w:val="0"/>
        <w:adjustRightInd w:val="0"/>
        <w:spacing w:after="0" w:line="240" w:lineRule="auto"/>
        <w:jc w:val="both"/>
        <w:rPr>
          <w:rFonts w:ascii="Univers" w:hAnsi="Univers" w:cs="Arial"/>
          <w:b/>
          <w:sz w:val="20"/>
          <w:szCs w:val="20"/>
          <w:lang w:val="es-ES"/>
        </w:rPr>
      </w:pPr>
      <w:r w:rsidRPr="002B2C20">
        <w:rPr>
          <w:rFonts w:ascii="Univers" w:hAnsi="Univers" w:cs="Arial"/>
          <w:b/>
          <w:sz w:val="20"/>
          <w:szCs w:val="20"/>
          <w:lang w:val="es-ES"/>
        </w:rPr>
        <w:t>REF</w:t>
      </w:r>
      <w:r w:rsidR="00EE7192" w:rsidRPr="002B2C20">
        <w:rPr>
          <w:rFonts w:ascii="Univers" w:hAnsi="Univers" w:cs="Arial"/>
          <w:b/>
          <w:sz w:val="20"/>
          <w:szCs w:val="20"/>
          <w:lang w:val="es-ES"/>
        </w:rPr>
        <w:t>.:</w:t>
      </w:r>
      <w:bookmarkStart w:id="1" w:name="Peticion_n"/>
      <w:bookmarkEnd w:id="1"/>
      <w:r w:rsidR="00EE7192" w:rsidRPr="002B2C20">
        <w:rPr>
          <w:rFonts w:ascii="Univers" w:hAnsi="Univers" w:cs="Arial"/>
          <w:b/>
          <w:sz w:val="20"/>
          <w:szCs w:val="20"/>
          <w:lang w:val="es-ES"/>
        </w:rPr>
        <w:tab/>
        <w:t xml:space="preserve">Caso No. </w:t>
      </w:r>
      <w:r w:rsidR="00EE7192" w:rsidRPr="002B2C20">
        <w:rPr>
          <w:rFonts w:ascii="Univers" w:hAnsi="Univers"/>
          <w:b/>
          <w:sz w:val="20"/>
          <w:szCs w:val="20"/>
          <w:lang w:val="es-ES"/>
        </w:rPr>
        <w:t>11.438</w:t>
      </w:r>
    </w:p>
    <w:p w:rsidR="00EE7192" w:rsidRPr="002B2C20" w:rsidRDefault="00EE7192" w:rsidP="002B2C20">
      <w:pPr>
        <w:widowControl w:val="0"/>
        <w:autoSpaceDE w:val="0"/>
        <w:autoSpaceDN w:val="0"/>
        <w:adjustRightInd w:val="0"/>
        <w:spacing w:after="0" w:line="240" w:lineRule="auto"/>
        <w:ind w:firstLine="720"/>
        <w:jc w:val="both"/>
        <w:rPr>
          <w:rFonts w:ascii="Univers" w:hAnsi="Univers" w:cs="Arial"/>
          <w:b/>
          <w:sz w:val="20"/>
          <w:szCs w:val="20"/>
          <w:lang w:val="es-CR"/>
        </w:rPr>
      </w:pPr>
      <w:r w:rsidRPr="002B2C20">
        <w:rPr>
          <w:rFonts w:ascii="Univers" w:hAnsi="Univers" w:cs="Arial"/>
          <w:b/>
          <w:sz w:val="20"/>
          <w:szCs w:val="20"/>
          <w:lang w:val="es-ES"/>
        </w:rPr>
        <w:t>Herrera</w:t>
      </w:r>
      <w:r w:rsidRPr="002B2C20">
        <w:rPr>
          <w:rFonts w:ascii="Univers" w:hAnsi="Univers" w:cs="Arial"/>
          <w:b/>
          <w:sz w:val="20"/>
          <w:szCs w:val="20"/>
          <w:lang w:val="es-CR"/>
        </w:rPr>
        <w:t xml:space="preserve"> Espinoza y </w:t>
      </w:r>
      <w:r w:rsidR="00BD1FEF">
        <w:rPr>
          <w:rFonts w:ascii="Univers" w:hAnsi="Univers" w:cs="Arial"/>
          <w:b/>
          <w:sz w:val="20"/>
          <w:szCs w:val="20"/>
          <w:lang w:val="es-CR"/>
        </w:rPr>
        <w:t>o</w:t>
      </w:r>
      <w:r w:rsidRPr="002B2C20">
        <w:rPr>
          <w:rFonts w:ascii="Univers" w:hAnsi="Univers" w:cs="Arial"/>
          <w:b/>
          <w:sz w:val="20"/>
          <w:szCs w:val="20"/>
          <w:lang w:val="es-CR"/>
        </w:rPr>
        <w:t>tros</w:t>
      </w:r>
    </w:p>
    <w:p w:rsidR="00EE7192" w:rsidRPr="002B2C20" w:rsidRDefault="00EE7192" w:rsidP="002B2C20">
      <w:pPr>
        <w:tabs>
          <w:tab w:val="left" w:pos="720"/>
          <w:tab w:val="center" w:pos="6480"/>
        </w:tabs>
        <w:spacing w:after="0" w:line="240" w:lineRule="auto"/>
        <w:ind w:left="720"/>
        <w:jc w:val="both"/>
        <w:rPr>
          <w:rFonts w:ascii="Univers" w:hAnsi="Univers" w:cs="Arial"/>
          <w:b/>
          <w:sz w:val="20"/>
          <w:szCs w:val="20"/>
          <w:lang w:val="es-ES_tradnl"/>
        </w:rPr>
      </w:pPr>
      <w:r w:rsidRPr="002B2C20">
        <w:rPr>
          <w:rFonts w:ascii="Univers" w:hAnsi="Univers" w:cs="Arial"/>
          <w:b/>
          <w:sz w:val="20"/>
          <w:szCs w:val="20"/>
          <w:lang w:val="es-CR"/>
        </w:rPr>
        <w:t>Ecuador</w:t>
      </w:r>
      <w:r w:rsidRPr="002B2C20">
        <w:rPr>
          <w:rFonts w:ascii="Univers" w:hAnsi="Univers" w:cs="Arial"/>
          <w:b/>
          <w:sz w:val="20"/>
          <w:szCs w:val="20"/>
          <w:lang w:val="es-ES_tradnl"/>
        </w:rPr>
        <w:t xml:space="preserve"> </w:t>
      </w:r>
    </w:p>
    <w:p w:rsidR="002B2C20" w:rsidRDefault="002B2C20" w:rsidP="002B2C20">
      <w:pPr>
        <w:tabs>
          <w:tab w:val="left" w:pos="720"/>
          <w:tab w:val="center" w:pos="6480"/>
        </w:tabs>
        <w:spacing w:after="0" w:line="240" w:lineRule="auto"/>
        <w:jc w:val="both"/>
        <w:rPr>
          <w:rFonts w:ascii="Univers" w:hAnsi="Univers" w:cs="Arial"/>
          <w:sz w:val="20"/>
          <w:szCs w:val="20"/>
          <w:lang w:val="es-PE"/>
        </w:rPr>
      </w:pPr>
    </w:p>
    <w:p w:rsidR="002B2C20" w:rsidRPr="002B2C20" w:rsidRDefault="002B2C20" w:rsidP="002B2C20">
      <w:pPr>
        <w:tabs>
          <w:tab w:val="left" w:pos="720"/>
          <w:tab w:val="center" w:pos="6480"/>
        </w:tabs>
        <w:spacing w:after="0" w:line="240" w:lineRule="auto"/>
        <w:jc w:val="both"/>
        <w:rPr>
          <w:rFonts w:ascii="Univers" w:hAnsi="Univers" w:cs="Arial"/>
          <w:sz w:val="20"/>
          <w:szCs w:val="20"/>
          <w:lang w:val="es-PE"/>
        </w:rPr>
      </w:pPr>
    </w:p>
    <w:p w:rsidR="00EE7192" w:rsidRPr="002B2C20" w:rsidRDefault="00EE7192" w:rsidP="002B2C20">
      <w:pPr>
        <w:tabs>
          <w:tab w:val="left" w:pos="720"/>
          <w:tab w:val="center" w:pos="6480"/>
        </w:tabs>
        <w:spacing w:after="0" w:line="240" w:lineRule="auto"/>
        <w:jc w:val="both"/>
        <w:rPr>
          <w:rFonts w:ascii="Univers" w:hAnsi="Univers" w:cs="Arial"/>
          <w:sz w:val="20"/>
          <w:szCs w:val="20"/>
          <w:lang w:val="es-PE"/>
        </w:rPr>
      </w:pPr>
      <w:r w:rsidRPr="002B2C20">
        <w:rPr>
          <w:rFonts w:ascii="Univers" w:hAnsi="Univers" w:cs="Arial"/>
          <w:sz w:val="20"/>
          <w:szCs w:val="20"/>
          <w:lang w:val="es-PE"/>
        </w:rPr>
        <w:t>Señor Secretario:</w:t>
      </w:r>
    </w:p>
    <w:p w:rsidR="00EE7192" w:rsidRPr="002B2C20" w:rsidRDefault="00EE7192" w:rsidP="002B2C20">
      <w:pPr>
        <w:spacing w:after="0" w:line="240" w:lineRule="auto"/>
        <w:rPr>
          <w:rFonts w:ascii="Univers" w:hAnsi="Univers" w:cs="Arial"/>
          <w:sz w:val="20"/>
          <w:szCs w:val="20"/>
          <w:lang w:val="es-CO"/>
        </w:rPr>
      </w:pPr>
    </w:p>
    <w:p w:rsidR="00EE7192" w:rsidRPr="002B2C20" w:rsidRDefault="00EE7192" w:rsidP="002B2C20">
      <w:pPr>
        <w:widowControl w:val="0"/>
        <w:autoSpaceDE w:val="0"/>
        <w:autoSpaceDN w:val="0"/>
        <w:adjustRightInd w:val="0"/>
        <w:spacing w:after="0" w:line="240" w:lineRule="auto"/>
        <w:ind w:firstLine="720"/>
        <w:jc w:val="both"/>
        <w:rPr>
          <w:rFonts w:ascii="Univers" w:hAnsi="Univers" w:cs="Arial"/>
          <w:sz w:val="20"/>
          <w:szCs w:val="20"/>
          <w:lang w:val="es-CO"/>
        </w:rPr>
      </w:pPr>
      <w:r w:rsidRPr="002B2C20">
        <w:rPr>
          <w:rFonts w:ascii="Univers" w:hAnsi="Univers"/>
          <w:sz w:val="20"/>
          <w:szCs w:val="20"/>
          <w:lang w:val="es-CO"/>
        </w:rPr>
        <w:t>Tengo el agrado de dirigirme a usted en nombre de la Comisión Interamericana de Derechos Humanos con el objeto</w:t>
      </w:r>
      <w:r w:rsidRPr="002B2C20">
        <w:rPr>
          <w:rFonts w:ascii="Univers" w:hAnsi="Univers" w:cs="Arial"/>
          <w:sz w:val="20"/>
          <w:szCs w:val="20"/>
          <w:lang w:val="es-CO"/>
        </w:rPr>
        <w:t xml:space="preserve"> de someter a la jurisdicción de la Honorable Corte Interamericana de Derechos </w:t>
      </w:r>
      <w:r w:rsidR="00823B00">
        <w:rPr>
          <w:rFonts w:ascii="Univers" w:hAnsi="Univers" w:cs="Arial"/>
          <w:sz w:val="20"/>
          <w:szCs w:val="20"/>
          <w:lang w:val="es-CO"/>
        </w:rPr>
        <w:t>Humanos, el caso 11.438 – Herrer</w:t>
      </w:r>
      <w:r w:rsidRPr="002B2C20">
        <w:rPr>
          <w:rFonts w:ascii="Univers" w:hAnsi="Univers" w:cs="Arial"/>
          <w:sz w:val="20"/>
          <w:szCs w:val="20"/>
          <w:lang w:val="es-CO"/>
        </w:rPr>
        <w:t xml:space="preserve">a Espinoza y otros respecto de la República de Ecuador (en adelante “el Estado”, “el Estado ecuatoriano” o “Ecuador”). </w:t>
      </w:r>
    </w:p>
    <w:p w:rsidR="00EE7192" w:rsidRPr="002B2C20" w:rsidRDefault="00EE7192" w:rsidP="002B2C20">
      <w:pPr>
        <w:spacing w:after="0" w:line="240" w:lineRule="auto"/>
        <w:jc w:val="both"/>
        <w:rPr>
          <w:rFonts w:ascii="Univers" w:hAnsi="Univers" w:cs="Arial"/>
          <w:sz w:val="20"/>
          <w:szCs w:val="20"/>
          <w:lang w:val="es-CO"/>
        </w:rPr>
      </w:pPr>
    </w:p>
    <w:p w:rsidR="00EE7192" w:rsidRPr="002B2C20" w:rsidRDefault="00EE7192" w:rsidP="002B2C20">
      <w:pPr>
        <w:widowControl w:val="0"/>
        <w:autoSpaceDE w:val="0"/>
        <w:autoSpaceDN w:val="0"/>
        <w:adjustRightInd w:val="0"/>
        <w:spacing w:after="0" w:line="240" w:lineRule="auto"/>
        <w:ind w:firstLine="720"/>
        <w:jc w:val="both"/>
        <w:rPr>
          <w:rFonts w:ascii="Univers" w:hAnsi="Univers"/>
          <w:sz w:val="20"/>
          <w:szCs w:val="20"/>
          <w:lang w:val="es-ES"/>
        </w:rPr>
      </w:pPr>
      <w:r w:rsidRPr="002B2C20">
        <w:rPr>
          <w:rFonts w:ascii="Univers" w:hAnsi="Univers"/>
          <w:sz w:val="20"/>
          <w:szCs w:val="20"/>
          <w:lang w:val="es-ES"/>
        </w:rPr>
        <w:t xml:space="preserve">El caso se relaciona con la privación arbitraria de la libertad y torturas sufridas en perjuicio de los señores Jorge Eliécer Herrera Espinoza, Luis Alfonso Jaramillo González, Eusebio Domingo Revelles y Emmanuel Cano durante una investigación por el delito de tráfico internacional de drogas; así como las violaciones al debido proceso y protección judicial en perjuicio del señor Eusebio Domingo Revelles en el marco del proceso penal al que fue sometido y condenado con base en dicha investigación. La Comisión consideró que las detenciones y prisiones preventivas a las que fueron sometidas las víctimas se realizaron con base en un marco jurídico violatorio de la Convención Americana. Asimismo, estableció que el recurso de </w:t>
      </w:r>
      <w:r w:rsidRPr="002B2C20">
        <w:rPr>
          <w:rFonts w:ascii="Univers" w:hAnsi="Univers"/>
          <w:i/>
          <w:sz w:val="20"/>
          <w:szCs w:val="20"/>
          <w:lang w:val="es-ES"/>
        </w:rPr>
        <w:t>habeas corpus</w:t>
      </w:r>
      <w:r w:rsidRPr="002B2C20">
        <w:rPr>
          <w:rFonts w:ascii="Univers" w:hAnsi="Univers"/>
          <w:sz w:val="20"/>
          <w:szCs w:val="20"/>
          <w:lang w:val="es-ES"/>
        </w:rPr>
        <w:t xml:space="preserve"> interpuesto por Eusebio Domingo Revelles no constituyó un recurso judicial efectivo, entre otras razones, por haber sido conocido por una autoridad administrativa y no judicial. </w:t>
      </w:r>
    </w:p>
    <w:p w:rsidR="00EE7192" w:rsidRPr="002B2C20" w:rsidRDefault="00EE7192" w:rsidP="002B2C20">
      <w:pPr>
        <w:widowControl w:val="0"/>
        <w:autoSpaceDE w:val="0"/>
        <w:autoSpaceDN w:val="0"/>
        <w:adjustRightInd w:val="0"/>
        <w:spacing w:after="0" w:line="240" w:lineRule="auto"/>
        <w:ind w:firstLine="720"/>
        <w:jc w:val="both"/>
        <w:rPr>
          <w:rFonts w:ascii="Univers" w:hAnsi="Univers"/>
          <w:sz w:val="20"/>
          <w:szCs w:val="20"/>
          <w:lang w:val="es-ES"/>
        </w:rPr>
      </w:pPr>
    </w:p>
    <w:p w:rsidR="00EE7192" w:rsidRPr="002B2C20" w:rsidRDefault="00EE7192" w:rsidP="002B2C20">
      <w:pPr>
        <w:widowControl w:val="0"/>
        <w:autoSpaceDE w:val="0"/>
        <w:autoSpaceDN w:val="0"/>
        <w:adjustRightInd w:val="0"/>
        <w:spacing w:after="0" w:line="240" w:lineRule="auto"/>
        <w:ind w:firstLine="720"/>
        <w:jc w:val="both"/>
        <w:rPr>
          <w:rFonts w:ascii="Univers" w:hAnsi="Univers"/>
          <w:sz w:val="20"/>
          <w:szCs w:val="20"/>
          <w:lang w:val="es-ES"/>
        </w:rPr>
      </w:pPr>
      <w:r w:rsidRPr="002B2C20">
        <w:rPr>
          <w:rFonts w:ascii="Univers" w:hAnsi="Univers"/>
          <w:sz w:val="20"/>
          <w:szCs w:val="20"/>
          <w:lang w:val="es-ES"/>
        </w:rPr>
        <w:t>La Comisión estableció que las víctimas fueron torturadas mientras se encontraban en las instalaciones de la Policía Nacional de Pichincha con el objeto de que rindieran declaraciones autoinculpatorias, las cuales fueron el fundamento para vincular al señor Eusebio Domingo Revelles a un proceso penal en el cual no se le garantizó el derecho de defensa e información sobre asistencia consular, al ser nacional español.</w:t>
      </w:r>
    </w:p>
    <w:p w:rsidR="00EE7192" w:rsidRPr="002B2C20" w:rsidRDefault="00EE7192" w:rsidP="002B2C20">
      <w:pPr>
        <w:widowControl w:val="0"/>
        <w:autoSpaceDE w:val="0"/>
        <w:autoSpaceDN w:val="0"/>
        <w:adjustRightInd w:val="0"/>
        <w:spacing w:after="0" w:line="240" w:lineRule="auto"/>
        <w:ind w:firstLine="720"/>
        <w:jc w:val="both"/>
        <w:rPr>
          <w:rFonts w:ascii="Univers" w:hAnsi="Univers"/>
          <w:sz w:val="20"/>
          <w:szCs w:val="20"/>
          <w:lang w:val="es-ES"/>
        </w:rPr>
      </w:pPr>
    </w:p>
    <w:p w:rsidR="00EE7192" w:rsidRPr="002B2C20" w:rsidRDefault="00EE7192" w:rsidP="002B2C20">
      <w:pPr>
        <w:widowControl w:val="0"/>
        <w:autoSpaceDE w:val="0"/>
        <w:autoSpaceDN w:val="0"/>
        <w:adjustRightInd w:val="0"/>
        <w:spacing w:after="0" w:line="240" w:lineRule="auto"/>
        <w:ind w:firstLine="720"/>
        <w:jc w:val="both"/>
        <w:rPr>
          <w:rFonts w:ascii="Univers" w:hAnsi="Univers"/>
          <w:sz w:val="20"/>
          <w:szCs w:val="20"/>
          <w:lang w:val="es-ES"/>
        </w:rPr>
      </w:pPr>
      <w:r w:rsidRPr="002B2C20">
        <w:rPr>
          <w:rFonts w:ascii="Univers" w:hAnsi="Univers"/>
          <w:sz w:val="20"/>
          <w:szCs w:val="20"/>
          <w:lang w:val="es-ES"/>
        </w:rPr>
        <w:t>La Comisión advirtió que las autoridades judiciales además violaron el principio de presunción de inocencia al validar las declaraciones inculpatorias del señor Eusebio Domingo Revelles obtenidas bajo tortura, sin valorar o desvirtuar a través de una motivación adecuada las pruebas que le resultaban favorables a su inocencia. Lo anterior, entre otras razones, como resultado de la aplicación del artículo 116 de la Ley sobre Sustancias Estupefacientes y Psicotrópicas que establecía una “presunción de culpabilidad, siempre que se hallare justificado el cuerpo del delito”. Finalmente, la Comisión estableció que el Estado violó sus obligaciones internacionales al no haber excluido del proceso penal las pruebas obtenidas bajo tortura ni haber investigado hasta la fecha las torturas sufridas por la totalidad de las víctimas.</w:t>
      </w:r>
    </w:p>
    <w:p w:rsidR="002B2C20" w:rsidRDefault="002B2C20" w:rsidP="002B2C20">
      <w:pPr>
        <w:widowControl w:val="0"/>
        <w:autoSpaceDE w:val="0"/>
        <w:autoSpaceDN w:val="0"/>
        <w:adjustRightInd w:val="0"/>
        <w:spacing w:after="0" w:line="240" w:lineRule="auto"/>
        <w:jc w:val="both"/>
        <w:rPr>
          <w:rFonts w:ascii="Univers" w:hAnsi="Univers" w:cs="Arial"/>
          <w:snapToGrid w:val="0"/>
          <w:sz w:val="20"/>
          <w:szCs w:val="20"/>
          <w:lang w:val="es-ES_tradnl"/>
        </w:rPr>
      </w:pPr>
    </w:p>
    <w:p w:rsidR="002B2C20" w:rsidRDefault="002B2C20" w:rsidP="002B2C20">
      <w:pPr>
        <w:widowControl w:val="0"/>
        <w:autoSpaceDE w:val="0"/>
        <w:autoSpaceDN w:val="0"/>
        <w:adjustRightInd w:val="0"/>
        <w:spacing w:after="0" w:line="240" w:lineRule="auto"/>
        <w:jc w:val="both"/>
        <w:rPr>
          <w:rFonts w:ascii="Univers" w:hAnsi="Univers" w:cs="Arial"/>
          <w:snapToGrid w:val="0"/>
          <w:sz w:val="20"/>
          <w:szCs w:val="20"/>
          <w:lang w:val="es-ES_tradnl"/>
        </w:rPr>
      </w:pPr>
    </w:p>
    <w:p w:rsidR="002B2C20" w:rsidRPr="002B2C20" w:rsidRDefault="002B2C20" w:rsidP="002B2C20">
      <w:pPr>
        <w:widowControl w:val="0"/>
        <w:autoSpaceDE w:val="0"/>
        <w:autoSpaceDN w:val="0"/>
        <w:adjustRightInd w:val="0"/>
        <w:spacing w:after="0" w:line="240" w:lineRule="auto"/>
        <w:jc w:val="both"/>
        <w:rPr>
          <w:rFonts w:ascii="Univers" w:hAnsi="Univers" w:cs="Arial"/>
          <w:snapToGrid w:val="0"/>
          <w:sz w:val="20"/>
          <w:szCs w:val="20"/>
          <w:lang w:val="es-CO"/>
        </w:rPr>
      </w:pPr>
      <w:r w:rsidRPr="002B2C20">
        <w:rPr>
          <w:rFonts w:ascii="Univers" w:hAnsi="Univers" w:cs="Arial"/>
          <w:snapToGrid w:val="0"/>
          <w:sz w:val="20"/>
          <w:szCs w:val="20"/>
          <w:lang w:val="es-ES_tradnl"/>
        </w:rPr>
        <w:t>Señor</w:t>
      </w:r>
    </w:p>
    <w:p w:rsidR="002B2C20" w:rsidRPr="002B2C20" w:rsidRDefault="002B2C20" w:rsidP="002B2C20">
      <w:pPr>
        <w:widowControl w:val="0"/>
        <w:autoSpaceDE w:val="0"/>
        <w:autoSpaceDN w:val="0"/>
        <w:adjustRightInd w:val="0"/>
        <w:spacing w:after="0" w:line="240" w:lineRule="auto"/>
        <w:jc w:val="both"/>
        <w:rPr>
          <w:rFonts w:ascii="Univers" w:hAnsi="Univers" w:cs="Arial"/>
          <w:snapToGrid w:val="0"/>
          <w:sz w:val="20"/>
          <w:szCs w:val="20"/>
          <w:lang w:val="es-CO"/>
        </w:rPr>
      </w:pPr>
      <w:r w:rsidRPr="002B2C20">
        <w:rPr>
          <w:rFonts w:ascii="Univers" w:hAnsi="Univers" w:cs="Arial"/>
          <w:snapToGrid w:val="0"/>
          <w:sz w:val="20"/>
          <w:szCs w:val="20"/>
          <w:lang w:val="es-CO"/>
        </w:rPr>
        <w:t xml:space="preserve">Pablo </w:t>
      </w:r>
      <w:r w:rsidRPr="002B2C20">
        <w:rPr>
          <w:rFonts w:ascii="Univers" w:hAnsi="Univers"/>
          <w:sz w:val="20"/>
          <w:szCs w:val="20"/>
          <w:lang w:val="es-ES"/>
        </w:rPr>
        <w:t>Saavedra</w:t>
      </w:r>
      <w:r w:rsidRPr="002B2C20">
        <w:rPr>
          <w:rFonts w:ascii="Univers" w:hAnsi="Univers" w:cs="Arial"/>
          <w:snapToGrid w:val="0"/>
          <w:sz w:val="20"/>
          <w:szCs w:val="20"/>
          <w:lang w:val="es-CO"/>
        </w:rPr>
        <w:t xml:space="preserve"> Alessandri, Secretario</w:t>
      </w:r>
    </w:p>
    <w:p w:rsidR="002B2C20" w:rsidRPr="002B2C20" w:rsidRDefault="002B2C20" w:rsidP="002B2C20">
      <w:pPr>
        <w:widowControl w:val="0"/>
        <w:autoSpaceDE w:val="0"/>
        <w:autoSpaceDN w:val="0"/>
        <w:adjustRightInd w:val="0"/>
        <w:spacing w:after="0" w:line="240" w:lineRule="auto"/>
        <w:jc w:val="both"/>
        <w:rPr>
          <w:rFonts w:ascii="Univers" w:hAnsi="Univers" w:cs="Arial"/>
          <w:snapToGrid w:val="0"/>
          <w:sz w:val="20"/>
          <w:szCs w:val="20"/>
          <w:lang w:val="es-ES_tradnl"/>
        </w:rPr>
      </w:pPr>
      <w:r w:rsidRPr="002B2C20">
        <w:rPr>
          <w:rFonts w:ascii="Univers" w:hAnsi="Univers" w:cs="Arial"/>
          <w:snapToGrid w:val="0"/>
          <w:sz w:val="20"/>
          <w:szCs w:val="20"/>
          <w:lang w:val="es-ES_tradnl"/>
        </w:rPr>
        <w:t>Corte Interamericana de Derechos Humanos</w:t>
      </w:r>
    </w:p>
    <w:p w:rsidR="002B2C20" w:rsidRPr="002B2C20" w:rsidRDefault="002B2C20" w:rsidP="002B2C20">
      <w:pPr>
        <w:widowControl w:val="0"/>
        <w:autoSpaceDE w:val="0"/>
        <w:autoSpaceDN w:val="0"/>
        <w:adjustRightInd w:val="0"/>
        <w:spacing w:after="0" w:line="240" w:lineRule="auto"/>
        <w:jc w:val="both"/>
        <w:rPr>
          <w:rFonts w:ascii="Univers" w:hAnsi="Univers" w:cs="Arial"/>
          <w:snapToGrid w:val="0"/>
          <w:sz w:val="20"/>
          <w:szCs w:val="20"/>
          <w:lang w:val="es-ES_tradnl"/>
        </w:rPr>
      </w:pPr>
      <w:r w:rsidRPr="002B2C20">
        <w:rPr>
          <w:rFonts w:ascii="Univers" w:hAnsi="Univers" w:cs="Arial"/>
          <w:snapToGrid w:val="0"/>
          <w:sz w:val="20"/>
          <w:szCs w:val="20"/>
          <w:lang w:val="es-ES_tradnl"/>
        </w:rPr>
        <w:t>Apartado 6906-1000</w:t>
      </w:r>
    </w:p>
    <w:p w:rsidR="002B2C20" w:rsidRPr="002B2C20" w:rsidRDefault="002B2C20" w:rsidP="002B2C20">
      <w:pPr>
        <w:widowControl w:val="0"/>
        <w:autoSpaceDE w:val="0"/>
        <w:autoSpaceDN w:val="0"/>
        <w:adjustRightInd w:val="0"/>
        <w:spacing w:after="0" w:line="240" w:lineRule="auto"/>
        <w:jc w:val="both"/>
        <w:rPr>
          <w:rFonts w:ascii="Univers" w:hAnsi="Univers" w:cs="Arial"/>
          <w:snapToGrid w:val="0"/>
          <w:sz w:val="20"/>
          <w:szCs w:val="20"/>
          <w:lang w:val="es-ES_tradnl"/>
        </w:rPr>
      </w:pPr>
      <w:r w:rsidRPr="002B2C20">
        <w:rPr>
          <w:rFonts w:ascii="Univers" w:hAnsi="Univers" w:cs="Arial"/>
          <w:snapToGrid w:val="0"/>
          <w:sz w:val="20"/>
          <w:szCs w:val="20"/>
          <w:lang w:val="es-ES_tradnl"/>
        </w:rPr>
        <w:t>San José, Costa Rica</w:t>
      </w:r>
    </w:p>
    <w:p w:rsidR="00EE7192" w:rsidRDefault="00EE7192" w:rsidP="002B2C20">
      <w:pPr>
        <w:spacing w:after="0" w:line="240" w:lineRule="auto"/>
        <w:jc w:val="both"/>
        <w:rPr>
          <w:rFonts w:ascii="Univers" w:hAnsi="Univers"/>
          <w:sz w:val="20"/>
          <w:szCs w:val="20"/>
          <w:lang w:val="es-ES"/>
        </w:rPr>
      </w:pPr>
    </w:p>
    <w:p w:rsidR="002B2C20" w:rsidRPr="002B2C20" w:rsidRDefault="002B2C20" w:rsidP="002B2C20">
      <w:pPr>
        <w:spacing w:after="0" w:line="240" w:lineRule="auto"/>
        <w:jc w:val="both"/>
        <w:rPr>
          <w:rFonts w:ascii="Univers" w:hAnsi="Univers"/>
          <w:sz w:val="20"/>
          <w:szCs w:val="20"/>
          <w:lang w:val="es-ES"/>
        </w:rPr>
      </w:pPr>
    </w:p>
    <w:p w:rsidR="00EE7192" w:rsidRPr="002B2C20" w:rsidRDefault="00EE7192" w:rsidP="002B2C20">
      <w:pPr>
        <w:widowControl w:val="0"/>
        <w:autoSpaceDE w:val="0"/>
        <w:autoSpaceDN w:val="0"/>
        <w:adjustRightInd w:val="0"/>
        <w:spacing w:after="0" w:line="240" w:lineRule="auto"/>
        <w:ind w:firstLine="720"/>
        <w:jc w:val="both"/>
        <w:rPr>
          <w:rFonts w:ascii="Univers" w:hAnsi="Univers" w:cs="Arial"/>
          <w:sz w:val="20"/>
          <w:szCs w:val="20"/>
          <w:lang w:val="es-CO"/>
        </w:rPr>
      </w:pPr>
      <w:r w:rsidRPr="002B2C20">
        <w:rPr>
          <w:rFonts w:ascii="Univers" w:hAnsi="Univers" w:cs="Arial"/>
          <w:sz w:val="20"/>
          <w:szCs w:val="20"/>
          <w:lang w:val="es-ES"/>
        </w:rPr>
        <w:t xml:space="preserve">El Estado de Ecuador ratificó la Convención Americana sobre Derechos Humanos el 28 de diciembre de 1977 y aceptó la competencia contenciosa de la Corte el 24 de julio de 1984. </w:t>
      </w:r>
    </w:p>
    <w:p w:rsidR="00EE7192" w:rsidRPr="002B2C20" w:rsidRDefault="00EE7192" w:rsidP="002B2C20">
      <w:pPr>
        <w:spacing w:after="0" w:line="240" w:lineRule="auto"/>
        <w:jc w:val="both"/>
        <w:rPr>
          <w:rFonts w:ascii="Univers" w:hAnsi="Univers" w:cs="Arial"/>
          <w:snapToGrid w:val="0"/>
          <w:sz w:val="20"/>
          <w:szCs w:val="20"/>
          <w:lang w:val="es-CO"/>
        </w:rPr>
      </w:pPr>
    </w:p>
    <w:p w:rsidR="00EE7192" w:rsidRPr="002B2C20" w:rsidRDefault="00EE7192" w:rsidP="002B2C20">
      <w:pPr>
        <w:spacing w:after="0" w:line="240" w:lineRule="auto"/>
        <w:ind w:firstLine="720"/>
        <w:jc w:val="both"/>
        <w:rPr>
          <w:rFonts w:ascii="Univers" w:hAnsi="Univers" w:cs="Arial"/>
          <w:sz w:val="20"/>
          <w:szCs w:val="20"/>
          <w:lang w:val="es-CO"/>
        </w:rPr>
      </w:pPr>
      <w:r w:rsidRPr="002B2C20">
        <w:rPr>
          <w:rFonts w:ascii="Univers" w:hAnsi="Univers"/>
          <w:sz w:val="20"/>
          <w:szCs w:val="20"/>
          <w:lang w:val="es-CO"/>
        </w:rPr>
        <w:lastRenderedPageBreak/>
        <w:t>La Comisión ha designado a la Comisionada Rose Marie B. Antoine y al Secretario Ejecutivo Emilio Álvarez Icaza L. como su delegada y delegado. Asimismo, Elizabeth Abi-Mershed, Secretaria Ejecutiva Adjunta y Silvia Serrano Guzmán y Jorge H. Meza Flores abogada y abogado de la Secretaría Ejecutiva de la CIDH, actuarán como asesora y asesor legales.</w:t>
      </w:r>
    </w:p>
    <w:p w:rsidR="00EE7192" w:rsidRPr="002B2C20" w:rsidRDefault="00EE7192" w:rsidP="002B2C20">
      <w:pPr>
        <w:autoSpaceDE w:val="0"/>
        <w:autoSpaceDN w:val="0"/>
        <w:adjustRightInd w:val="0"/>
        <w:spacing w:after="0" w:line="240" w:lineRule="auto"/>
        <w:ind w:right="480"/>
        <w:jc w:val="both"/>
        <w:rPr>
          <w:rFonts w:ascii="Univers" w:hAnsi="Univers"/>
          <w:b/>
          <w:sz w:val="20"/>
          <w:szCs w:val="20"/>
          <w:lang w:val="es-CR"/>
        </w:rPr>
      </w:pPr>
    </w:p>
    <w:p w:rsidR="00EE7192" w:rsidRPr="002B2C20" w:rsidRDefault="00EE7192" w:rsidP="002B2C20">
      <w:pPr>
        <w:spacing w:after="0" w:line="240" w:lineRule="auto"/>
        <w:ind w:firstLine="720"/>
        <w:jc w:val="both"/>
        <w:rPr>
          <w:rFonts w:ascii="Univers" w:hAnsi="Univers"/>
          <w:sz w:val="20"/>
          <w:szCs w:val="20"/>
          <w:lang w:val="es-AR"/>
        </w:rPr>
      </w:pPr>
      <w:r w:rsidRPr="002B2C20">
        <w:rPr>
          <w:rFonts w:ascii="Univers" w:hAnsi="Univers" w:cs="Arial"/>
          <w:sz w:val="20"/>
          <w:szCs w:val="20"/>
          <w:lang w:val="es-CO"/>
        </w:rPr>
        <w:t xml:space="preserve">De conformidad con el artículo 35 del Reglamento de la Corte Interamericana, la Comisión adjunta </w:t>
      </w:r>
      <w:r w:rsidRPr="002B2C20">
        <w:rPr>
          <w:rFonts w:ascii="Univers" w:hAnsi="Univers"/>
          <w:sz w:val="20"/>
          <w:szCs w:val="20"/>
          <w:lang w:val="es-CO"/>
        </w:rPr>
        <w:t xml:space="preserve">copia del informe de admisibilidad y fondo </w:t>
      </w:r>
      <w:r w:rsidR="00734606">
        <w:rPr>
          <w:rFonts w:ascii="Univers" w:hAnsi="Univers"/>
          <w:sz w:val="20"/>
          <w:szCs w:val="20"/>
          <w:lang w:val="es-CO"/>
        </w:rPr>
        <w:t>40</w:t>
      </w:r>
      <w:r w:rsidRPr="002B2C20">
        <w:rPr>
          <w:rFonts w:ascii="Univers" w:hAnsi="Univers"/>
          <w:sz w:val="20"/>
          <w:szCs w:val="20"/>
          <w:lang w:val="es-CO"/>
        </w:rPr>
        <w:t xml:space="preserve">/14 elaborado en observancia del artículo 50 de la Convención, así como copia de la totalidad del expediente ante la Comisión Interamericana (Apéndice I) y los anexos utilizados en la elaboración del informe </w:t>
      </w:r>
      <w:r w:rsidR="004C1243">
        <w:rPr>
          <w:rFonts w:ascii="Univers" w:hAnsi="Univers"/>
          <w:sz w:val="20"/>
          <w:szCs w:val="20"/>
          <w:lang w:val="es-CO"/>
        </w:rPr>
        <w:t>40</w:t>
      </w:r>
      <w:r w:rsidRPr="002B2C20">
        <w:rPr>
          <w:rFonts w:ascii="Univers" w:hAnsi="Univers"/>
          <w:sz w:val="20"/>
          <w:szCs w:val="20"/>
          <w:lang w:val="es-CO"/>
        </w:rPr>
        <w:t xml:space="preserve">/14 (Anexos). Dicho informe de fondo </w:t>
      </w:r>
      <w:r w:rsidRPr="002B2C20">
        <w:rPr>
          <w:rFonts w:ascii="Univers" w:hAnsi="Univers"/>
          <w:sz w:val="20"/>
          <w:szCs w:val="20"/>
          <w:lang w:val="es-AR"/>
        </w:rPr>
        <w:t xml:space="preserve">fue notificado al Estado de Ecuador mediante comunicación de 21 de agosto de 2014, otorgándole un plazo de dos meses para informar sobre el cumplimiento de las recomendaciones. El Estado de Ecuador no dio respuesta al requerimiento de la Comisión. </w:t>
      </w:r>
    </w:p>
    <w:p w:rsidR="00EE7192" w:rsidRPr="002B2C20" w:rsidRDefault="00EE7192" w:rsidP="002B2C20">
      <w:pPr>
        <w:spacing w:after="0" w:line="240" w:lineRule="auto"/>
        <w:ind w:firstLine="720"/>
        <w:jc w:val="both"/>
        <w:rPr>
          <w:rFonts w:ascii="Univers" w:hAnsi="Univers"/>
          <w:sz w:val="20"/>
          <w:szCs w:val="20"/>
          <w:lang w:val="es-AR"/>
        </w:rPr>
      </w:pPr>
    </w:p>
    <w:p w:rsidR="00EE7192" w:rsidRPr="002B2C20" w:rsidRDefault="00EE7192" w:rsidP="002B2C20">
      <w:pPr>
        <w:spacing w:after="0" w:line="240" w:lineRule="auto"/>
        <w:ind w:firstLine="720"/>
        <w:jc w:val="both"/>
        <w:rPr>
          <w:rFonts w:ascii="Univers" w:hAnsi="Univers"/>
          <w:sz w:val="20"/>
          <w:szCs w:val="20"/>
          <w:lang w:val="es-AR"/>
        </w:rPr>
      </w:pPr>
      <w:r w:rsidRPr="002B2C20">
        <w:rPr>
          <w:rFonts w:ascii="Univers" w:hAnsi="Univers"/>
          <w:sz w:val="20"/>
          <w:szCs w:val="20"/>
          <w:lang w:val="es-AR"/>
        </w:rPr>
        <w:t>En virtud de lo anterior, l</w:t>
      </w:r>
      <w:r w:rsidRPr="002B2C20">
        <w:rPr>
          <w:rFonts w:ascii="Univers" w:hAnsi="Univers"/>
          <w:sz w:val="20"/>
          <w:szCs w:val="20"/>
          <w:lang w:val="es-CO"/>
        </w:rPr>
        <w:t xml:space="preserve">a Comisión Interamericana somete a la jurisdicción de la Corte la totalidad de los hechos y violaciones de derechos humanos descritos en el informe de fondo </w:t>
      </w:r>
      <w:r w:rsidR="004C1243">
        <w:rPr>
          <w:rFonts w:ascii="Univers" w:hAnsi="Univers"/>
          <w:sz w:val="20"/>
          <w:szCs w:val="20"/>
          <w:lang w:val="es-CO"/>
        </w:rPr>
        <w:t>40</w:t>
      </w:r>
      <w:r w:rsidRPr="002B2C20">
        <w:rPr>
          <w:rFonts w:ascii="Univers" w:hAnsi="Univers"/>
          <w:sz w:val="20"/>
          <w:szCs w:val="20"/>
          <w:lang w:val="es-CO"/>
        </w:rPr>
        <w:t xml:space="preserve">/14, por la necesidad de obtención de justicia para las víctimas del caso. </w:t>
      </w:r>
    </w:p>
    <w:p w:rsidR="00EE7192" w:rsidRPr="002B2C20" w:rsidRDefault="00EE7192" w:rsidP="002B2C20">
      <w:pPr>
        <w:tabs>
          <w:tab w:val="left" w:pos="0"/>
        </w:tabs>
        <w:spacing w:after="0" w:line="240" w:lineRule="auto"/>
        <w:jc w:val="both"/>
        <w:rPr>
          <w:rFonts w:ascii="Univers" w:hAnsi="Univers"/>
          <w:sz w:val="20"/>
          <w:szCs w:val="20"/>
          <w:lang w:val="es-CO"/>
        </w:rPr>
      </w:pPr>
    </w:p>
    <w:p w:rsidR="00EE7192" w:rsidRPr="002B2C20" w:rsidRDefault="00EE7192" w:rsidP="002B2C20">
      <w:pPr>
        <w:suppressAutoHyphens/>
        <w:spacing w:after="0" w:line="240" w:lineRule="auto"/>
        <w:ind w:firstLine="720"/>
        <w:jc w:val="both"/>
        <w:rPr>
          <w:rFonts w:ascii="Univers" w:hAnsi="Univers"/>
          <w:sz w:val="20"/>
          <w:szCs w:val="20"/>
          <w:lang w:val="es-ES"/>
        </w:rPr>
      </w:pPr>
      <w:r w:rsidRPr="002B2C20">
        <w:rPr>
          <w:rFonts w:ascii="Univers" w:hAnsi="Univers"/>
          <w:sz w:val="20"/>
          <w:szCs w:val="20"/>
          <w:lang w:val="es-CO"/>
        </w:rPr>
        <w:t>En ese sentido, la Comisión solicita a la Corte que concluya y declare la responsabilidad internacional del</w:t>
      </w:r>
      <w:r w:rsidRPr="002B2C20">
        <w:rPr>
          <w:rFonts w:ascii="Univers" w:hAnsi="Univers" w:cs="Arial"/>
          <w:sz w:val="20"/>
          <w:szCs w:val="20"/>
          <w:lang w:val="es-CL"/>
        </w:rPr>
        <w:t xml:space="preserve"> Estado de Ecuador </w:t>
      </w:r>
      <w:r w:rsidRPr="002B2C20">
        <w:rPr>
          <w:rFonts w:ascii="Univers" w:hAnsi="Univers"/>
          <w:sz w:val="20"/>
          <w:szCs w:val="20"/>
          <w:lang w:val="es-ES"/>
        </w:rPr>
        <w:t xml:space="preserve">por la violación de los artículos 5 y 7 de la Convención Americana en relación con los artículos 1.1 y 2 del mismo instrumento, así como de los artículos </w:t>
      </w:r>
      <w:r w:rsidRPr="002B2C20">
        <w:rPr>
          <w:rFonts w:ascii="Univers" w:hAnsi="Univers" w:cs="Arial"/>
          <w:sz w:val="20"/>
          <w:szCs w:val="20"/>
          <w:lang w:val="es-PE"/>
        </w:rPr>
        <w:t>1, 6 y 8 de la Convención  Interamericana para Prevenir y Sancionar la Tortura</w:t>
      </w:r>
      <w:r w:rsidRPr="002B2C20">
        <w:rPr>
          <w:rFonts w:ascii="Univers" w:hAnsi="Univers"/>
          <w:sz w:val="20"/>
          <w:szCs w:val="20"/>
          <w:lang w:val="es-ES"/>
        </w:rPr>
        <w:t xml:space="preserve"> en perjuicio de </w:t>
      </w:r>
      <w:r w:rsidRPr="002B2C20">
        <w:rPr>
          <w:rFonts w:ascii="Univers" w:hAnsi="Univers"/>
          <w:spacing w:val="-2"/>
          <w:sz w:val="20"/>
          <w:szCs w:val="20"/>
          <w:lang w:val="es-ES"/>
        </w:rPr>
        <w:t>Jorge Eliécer Herrera Espinoza, Luis Alfonso Jaramillo González, Eusebio Revelles y Emmanuel Cano.</w:t>
      </w:r>
      <w:r w:rsidRPr="002B2C20">
        <w:rPr>
          <w:rFonts w:ascii="Univers" w:hAnsi="Univers"/>
          <w:sz w:val="20"/>
          <w:szCs w:val="20"/>
          <w:lang w:val="es-MX"/>
        </w:rPr>
        <w:t xml:space="preserve"> </w:t>
      </w:r>
      <w:r w:rsidRPr="002B2C20">
        <w:rPr>
          <w:rFonts w:ascii="Univers" w:hAnsi="Univers"/>
          <w:sz w:val="20"/>
          <w:szCs w:val="20"/>
          <w:lang w:val="es-ES"/>
        </w:rPr>
        <w:t>Asimismo, la Comisión solicita a la Corte que concluya y declare la responsabilidad internacional del Estado de Ecuador por la violación de los artículos 8 y 25 de la Convención Americana sobre Derechos Humanos en perjuicio del señor Eusebio Domingo Revelles en relación con los artículos 1.1 y 2 de dicho instrumento.</w:t>
      </w:r>
    </w:p>
    <w:p w:rsidR="00EE7192" w:rsidRPr="002B2C20" w:rsidRDefault="00EE7192" w:rsidP="002B2C20">
      <w:pPr>
        <w:autoSpaceDE w:val="0"/>
        <w:autoSpaceDN w:val="0"/>
        <w:adjustRightInd w:val="0"/>
        <w:spacing w:after="0" w:line="240" w:lineRule="auto"/>
        <w:ind w:left="720"/>
        <w:jc w:val="both"/>
        <w:rPr>
          <w:rFonts w:ascii="Univers" w:hAnsi="Univers"/>
          <w:sz w:val="20"/>
          <w:szCs w:val="20"/>
          <w:lang w:val="es-CO"/>
        </w:rPr>
      </w:pPr>
    </w:p>
    <w:p w:rsidR="00EE7192" w:rsidRPr="002B2C20" w:rsidRDefault="00EE7192" w:rsidP="002B2C20">
      <w:pPr>
        <w:autoSpaceDE w:val="0"/>
        <w:autoSpaceDN w:val="0"/>
        <w:adjustRightInd w:val="0"/>
        <w:spacing w:after="0" w:line="240" w:lineRule="auto"/>
        <w:ind w:firstLine="720"/>
        <w:jc w:val="both"/>
        <w:rPr>
          <w:rFonts w:ascii="Univers" w:hAnsi="Univers"/>
          <w:sz w:val="20"/>
          <w:szCs w:val="20"/>
          <w:lang w:val="es-CO"/>
        </w:rPr>
      </w:pPr>
      <w:r w:rsidRPr="002B2C20">
        <w:rPr>
          <w:rFonts w:ascii="Univers" w:hAnsi="Univers"/>
          <w:sz w:val="20"/>
          <w:szCs w:val="20"/>
          <w:lang w:val="es-CO"/>
        </w:rPr>
        <w:t>La Comisión solicita a la Corte que establezca las siguientes medidas de reparación:</w:t>
      </w:r>
    </w:p>
    <w:p w:rsidR="00EE7192" w:rsidRPr="002B2C20" w:rsidRDefault="00EE7192" w:rsidP="002B2C20">
      <w:pPr>
        <w:tabs>
          <w:tab w:val="left" w:pos="720"/>
        </w:tabs>
        <w:autoSpaceDE w:val="0"/>
        <w:autoSpaceDN w:val="0"/>
        <w:adjustRightInd w:val="0"/>
        <w:spacing w:after="0" w:line="240" w:lineRule="auto"/>
        <w:ind w:left="720" w:right="720"/>
        <w:jc w:val="both"/>
        <w:rPr>
          <w:rFonts w:ascii="Univers" w:hAnsi="Univers"/>
          <w:sz w:val="20"/>
          <w:szCs w:val="20"/>
          <w:lang w:val="es-CO"/>
        </w:rPr>
      </w:pPr>
    </w:p>
    <w:p w:rsidR="00EE7192" w:rsidRPr="002B2C20" w:rsidRDefault="00EE7192" w:rsidP="002B2C20">
      <w:pPr>
        <w:pStyle w:val="Textoindependiente3"/>
        <w:spacing w:after="0"/>
        <w:ind w:firstLine="720"/>
        <w:jc w:val="both"/>
        <w:rPr>
          <w:sz w:val="20"/>
          <w:szCs w:val="20"/>
          <w:lang w:val="es-ES"/>
        </w:rPr>
      </w:pPr>
      <w:r w:rsidRPr="002B2C20">
        <w:rPr>
          <w:sz w:val="20"/>
          <w:szCs w:val="20"/>
          <w:lang w:val="es-ES"/>
        </w:rPr>
        <w:t>1.</w:t>
      </w:r>
      <w:r w:rsidRPr="002B2C20">
        <w:rPr>
          <w:sz w:val="20"/>
          <w:szCs w:val="20"/>
          <w:lang w:val="es-ES"/>
        </w:rPr>
        <w:tab/>
        <w:t>Reparar integralmente a las víctimas del presente caso de forma que se incluya el aspecto tanto material como inmaterial.</w:t>
      </w:r>
    </w:p>
    <w:p w:rsidR="00EE7192" w:rsidRPr="002B2C20" w:rsidRDefault="00EE7192" w:rsidP="002B2C20">
      <w:pPr>
        <w:pStyle w:val="Textoindependiente3"/>
        <w:spacing w:after="0"/>
        <w:jc w:val="both"/>
        <w:rPr>
          <w:sz w:val="20"/>
          <w:szCs w:val="20"/>
          <w:lang w:val="es-ES"/>
        </w:rPr>
      </w:pPr>
    </w:p>
    <w:p w:rsidR="00EE7192" w:rsidRPr="002B2C20" w:rsidRDefault="00EE7192" w:rsidP="002B2C20">
      <w:pPr>
        <w:pStyle w:val="Textoindependiente3"/>
        <w:spacing w:after="0"/>
        <w:ind w:firstLine="720"/>
        <w:jc w:val="both"/>
        <w:rPr>
          <w:sz w:val="20"/>
          <w:szCs w:val="20"/>
          <w:lang w:val="es-ES"/>
        </w:rPr>
      </w:pPr>
      <w:r w:rsidRPr="002B2C20">
        <w:rPr>
          <w:sz w:val="20"/>
          <w:szCs w:val="20"/>
          <w:lang w:val="es-ES"/>
        </w:rPr>
        <w:t xml:space="preserve">2. </w:t>
      </w:r>
      <w:r w:rsidRPr="002B2C20">
        <w:rPr>
          <w:sz w:val="20"/>
          <w:szCs w:val="20"/>
          <w:lang w:val="es-ES"/>
        </w:rPr>
        <w:tab/>
        <w:t xml:space="preserve">Llevar a cabo una investigación seria, diligente y efectiva, en un plazo razonable, para esclarecer los hechos de tortura descritos en el informe, individualizar a los responsables e imponer las sanciones que correspondan. </w:t>
      </w:r>
    </w:p>
    <w:p w:rsidR="00EE7192" w:rsidRPr="002B2C20" w:rsidRDefault="00EE7192" w:rsidP="002B2C20">
      <w:pPr>
        <w:pStyle w:val="Textoindependiente3"/>
        <w:spacing w:after="0"/>
        <w:ind w:firstLine="720"/>
        <w:jc w:val="both"/>
        <w:rPr>
          <w:sz w:val="20"/>
          <w:szCs w:val="20"/>
          <w:lang w:val="es-ES"/>
        </w:rPr>
      </w:pPr>
    </w:p>
    <w:p w:rsidR="00EE7192" w:rsidRPr="002B2C20" w:rsidRDefault="00EE7192" w:rsidP="002B2C20">
      <w:pPr>
        <w:pStyle w:val="Textoindependiente3"/>
        <w:spacing w:after="0"/>
        <w:ind w:firstLine="720"/>
        <w:jc w:val="both"/>
        <w:rPr>
          <w:sz w:val="20"/>
          <w:szCs w:val="20"/>
          <w:lang w:val="es-ES"/>
        </w:rPr>
      </w:pPr>
      <w:r w:rsidRPr="002B2C20">
        <w:rPr>
          <w:sz w:val="20"/>
          <w:szCs w:val="20"/>
          <w:lang w:val="es-ES"/>
        </w:rPr>
        <w:t xml:space="preserve">3. </w:t>
      </w:r>
      <w:r w:rsidRPr="002B2C20">
        <w:rPr>
          <w:sz w:val="20"/>
          <w:szCs w:val="20"/>
          <w:lang w:val="es-ES"/>
        </w:rPr>
        <w:tab/>
        <w:t>Disponer las medidas administrativas, disciplinarias y penales correspondientes por las acciones u omisiones de los funcionarios estatales (agentes policiales, fiscales, defensa pública y jueces de las diversas instancias) que contribuyeron con su actuación a la violación de los derechos en perjuicio de las víctimas del caso.</w:t>
      </w:r>
    </w:p>
    <w:p w:rsidR="00EE7192" w:rsidRPr="002B2C20" w:rsidRDefault="00EE7192" w:rsidP="002B2C20">
      <w:pPr>
        <w:pStyle w:val="Textoindependiente3"/>
        <w:spacing w:after="0"/>
        <w:ind w:firstLine="720"/>
        <w:jc w:val="both"/>
        <w:rPr>
          <w:sz w:val="20"/>
          <w:szCs w:val="20"/>
          <w:lang w:val="es-ES"/>
        </w:rPr>
      </w:pPr>
    </w:p>
    <w:p w:rsidR="00EE7192" w:rsidRPr="002B2C20" w:rsidRDefault="00EE7192" w:rsidP="002B2C20">
      <w:pPr>
        <w:pStyle w:val="Textoindependiente3"/>
        <w:spacing w:after="0"/>
        <w:ind w:firstLine="720"/>
        <w:jc w:val="both"/>
        <w:rPr>
          <w:sz w:val="20"/>
          <w:szCs w:val="20"/>
          <w:lang w:val="es-ES"/>
        </w:rPr>
      </w:pPr>
      <w:r w:rsidRPr="002B2C20">
        <w:rPr>
          <w:sz w:val="20"/>
          <w:szCs w:val="20"/>
          <w:lang w:val="es-ES"/>
        </w:rPr>
        <w:t xml:space="preserve">4. </w:t>
      </w:r>
      <w:r w:rsidRPr="002B2C20">
        <w:rPr>
          <w:sz w:val="20"/>
          <w:szCs w:val="20"/>
          <w:lang w:val="es-ES"/>
        </w:rPr>
        <w:tab/>
        <w:t>Adoptar las medidas necesarias para evitar que en el futuro se produzcan hechos similares Específicamente, desarrollar programas de formación para cuerpos de seguridad, jueces y fiscales, sobre la prohibición absoluta de actos de tortura y tratos crueles, inhumanos o degradantes, así como las obligaciones derivadas de la regla de la exclusión. Asimismo, fortalecer los mecanismos de rendición de cuentas de los funcionarios a cargo del tratamiento de las personas privadas de libertad.</w:t>
      </w:r>
    </w:p>
    <w:p w:rsidR="00EE7192" w:rsidRDefault="00EE7192" w:rsidP="002B2C20">
      <w:pPr>
        <w:tabs>
          <w:tab w:val="left" w:pos="720"/>
        </w:tabs>
        <w:spacing w:after="0" w:line="240" w:lineRule="auto"/>
        <w:ind w:right="720"/>
        <w:jc w:val="both"/>
        <w:rPr>
          <w:rFonts w:ascii="Univers" w:hAnsi="Univers" w:cs="Arial"/>
          <w:sz w:val="20"/>
          <w:szCs w:val="20"/>
          <w:lang w:val="es-CL"/>
        </w:rPr>
      </w:pPr>
    </w:p>
    <w:p w:rsidR="002B2C20" w:rsidRDefault="002B2C20" w:rsidP="002B2C20">
      <w:pPr>
        <w:tabs>
          <w:tab w:val="left" w:pos="720"/>
        </w:tabs>
        <w:spacing w:after="0" w:line="240" w:lineRule="auto"/>
        <w:ind w:right="720"/>
        <w:jc w:val="both"/>
        <w:rPr>
          <w:rFonts w:ascii="Univers" w:hAnsi="Univers" w:cs="Arial"/>
          <w:sz w:val="20"/>
          <w:szCs w:val="20"/>
          <w:lang w:val="es-CL"/>
        </w:rPr>
      </w:pPr>
    </w:p>
    <w:p w:rsidR="002B2C20" w:rsidRDefault="002B2C20" w:rsidP="002B2C20">
      <w:pPr>
        <w:tabs>
          <w:tab w:val="left" w:pos="720"/>
        </w:tabs>
        <w:spacing w:after="0" w:line="240" w:lineRule="auto"/>
        <w:ind w:right="720"/>
        <w:jc w:val="both"/>
        <w:rPr>
          <w:rFonts w:ascii="Univers" w:hAnsi="Univers" w:cs="Arial"/>
          <w:sz w:val="20"/>
          <w:szCs w:val="20"/>
          <w:lang w:val="es-CL"/>
        </w:rPr>
      </w:pPr>
    </w:p>
    <w:p w:rsidR="002B2C20" w:rsidRDefault="002B2C20" w:rsidP="002B2C20">
      <w:pPr>
        <w:tabs>
          <w:tab w:val="left" w:pos="720"/>
        </w:tabs>
        <w:spacing w:after="0" w:line="240" w:lineRule="auto"/>
        <w:ind w:right="720"/>
        <w:jc w:val="both"/>
        <w:rPr>
          <w:rFonts w:ascii="Univers" w:hAnsi="Univers" w:cs="Arial"/>
          <w:sz w:val="20"/>
          <w:szCs w:val="20"/>
          <w:lang w:val="es-CL"/>
        </w:rPr>
      </w:pPr>
    </w:p>
    <w:p w:rsidR="002B2C20" w:rsidRPr="002B2C20" w:rsidRDefault="002B2C20" w:rsidP="002B2C20">
      <w:pPr>
        <w:tabs>
          <w:tab w:val="left" w:pos="720"/>
        </w:tabs>
        <w:spacing w:after="0" w:line="240" w:lineRule="auto"/>
        <w:ind w:right="720"/>
        <w:jc w:val="both"/>
        <w:rPr>
          <w:rFonts w:ascii="Univers" w:hAnsi="Univers" w:cs="Arial"/>
          <w:sz w:val="20"/>
          <w:szCs w:val="20"/>
          <w:lang w:val="es-CL"/>
        </w:rPr>
      </w:pPr>
    </w:p>
    <w:p w:rsidR="00EE7192" w:rsidRPr="002B2C20" w:rsidRDefault="00EE7192" w:rsidP="002B2C20">
      <w:pPr>
        <w:autoSpaceDE w:val="0"/>
        <w:autoSpaceDN w:val="0"/>
        <w:adjustRightInd w:val="0"/>
        <w:spacing w:after="0" w:line="240" w:lineRule="auto"/>
        <w:ind w:firstLine="720"/>
        <w:jc w:val="both"/>
        <w:rPr>
          <w:rFonts w:ascii="Univers" w:hAnsi="Univers" w:cs="Arial"/>
          <w:sz w:val="20"/>
          <w:szCs w:val="20"/>
          <w:lang w:val="es-AR"/>
        </w:rPr>
      </w:pPr>
      <w:r w:rsidRPr="002B2C20">
        <w:rPr>
          <w:rFonts w:ascii="Univers" w:hAnsi="Univers" w:cs="Arial"/>
          <w:sz w:val="20"/>
          <w:szCs w:val="20"/>
          <w:lang w:val="es-CL"/>
        </w:rPr>
        <w:t xml:space="preserve">Además de la necesidad de obtención de justicia, la Comisión destaca que el presente caso involucra cuestiones de orden público interamericano. Específicamente, </w:t>
      </w:r>
      <w:r w:rsidRPr="002B2C20">
        <w:rPr>
          <w:rFonts w:ascii="Univers" w:hAnsi="Univers" w:cs="Arial"/>
          <w:sz w:val="20"/>
          <w:szCs w:val="20"/>
          <w:lang w:val="es-AR"/>
        </w:rPr>
        <w:t xml:space="preserve">los hechos del caso constituyen un reflejo de la aplicación de un marco jurídico dirigido a la investigación y persecución penal de delitos relacionados con el tráfico de drogas, incompatible con la Convención Americana. Así, el caso permitirá a la Corte profundizar en su jurisprudencia sobre las obligaciones que imponen los derechos a la libertad personal, a las garantías del debido proceso y a la protección judicial, como limitaciones en la lucha estatal contra ciertos crímenes como el tráfico y consumo de drogas. Además, el caso permitirá a la Corte </w:t>
      </w:r>
      <w:r w:rsidRPr="002B2C20">
        <w:rPr>
          <w:rFonts w:ascii="Univers" w:hAnsi="Univers" w:cs="Arial"/>
          <w:sz w:val="20"/>
          <w:szCs w:val="20"/>
          <w:lang w:val="es-AR"/>
        </w:rPr>
        <w:lastRenderedPageBreak/>
        <w:t xml:space="preserve">pronunciarse sobre la prohibición de los Estados de acudir al empleo de tortura con la finalidad de obtener declaraciones autoinculpatorias de los procesados y el alcance del deber que tienen las autoridades de excluir tales pruebas del proceso. </w:t>
      </w:r>
      <w:r w:rsidRPr="002B2C20">
        <w:rPr>
          <w:rFonts w:ascii="Univers" w:eastAsia="Times New Roman" w:hAnsi="Univers" w:cs="Cambria"/>
          <w:sz w:val="20"/>
          <w:szCs w:val="20"/>
          <w:lang w:val="es-CO"/>
        </w:rPr>
        <w:t xml:space="preserve">La Comisión considera que el caso también constituye una oportunidad a fin de que la Corte establezca los parámetros a utilizar para, sin realizar un análisis de naturaleza penal, </w:t>
      </w:r>
      <w:proofErr w:type="gramStart"/>
      <w:r w:rsidRPr="002B2C20">
        <w:rPr>
          <w:rFonts w:ascii="Univers" w:eastAsia="Times New Roman" w:hAnsi="Univers" w:cs="Cambria"/>
          <w:sz w:val="20"/>
          <w:szCs w:val="20"/>
          <w:lang w:val="es-CO"/>
        </w:rPr>
        <w:t>determinar</w:t>
      </w:r>
      <w:proofErr w:type="gramEnd"/>
      <w:r w:rsidRPr="002B2C20">
        <w:rPr>
          <w:rFonts w:ascii="Univers" w:eastAsia="Times New Roman" w:hAnsi="Univers" w:cs="Cambria"/>
          <w:sz w:val="20"/>
          <w:szCs w:val="20"/>
          <w:lang w:val="es-CO"/>
        </w:rPr>
        <w:t xml:space="preserve"> una violación al principio de presunción de inocencia frente a las elecciones que realiza el juzgador entre declaraciones contradictorias</w:t>
      </w:r>
      <w:r w:rsidRPr="002B2C20">
        <w:rPr>
          <w:rFonts w:ascii="Univers" w:hAnsi="Univers" w:cs="Arial"/>
          <w:sz w:val="20"/>
          <w:szCs w:val="20"/>
          <w:lang w:val="es-AR"/>
        </w:rPr>
        <w:t>.</w:t>
      </w:r>
    </w:p>
    <w:p w:rsidR="00EE7192" w:rsidRPr="002B2C20" w:rsidRDefault="00EE7192" w:rsidP="002B2C20">
      <w:pPr>
        <w:autoSpaceDE w:val="0"/>
        <w:autoSpaceDN w:val="0"/>
        <w:adjustRightInd w:val="0"/>
        <w:spacing w:after="0" w:line="240" w:lineRule="auto"/>
        <w:jc w:val="both"/>
        <w:rPr>
          <w:rFonts w:ascii="Univers" w:hAnsi="Univers" w:cs="Arial"/>
          <w:sz w:val="20"/>
          <w:szCs w:val="20"/>
          <w:lang w:val="es-CL"/>
        </w:rPr>
      </w:pPr>
    </w:p>
    <w:p w:rsidR="00EE7192" w:rsidRPr="002B2C20" w:rsidRDefault="00EE7192" w:rsidP="002B2C20">
      <w:pPr>
        <w:autoSpaceDE w:val="0"/>
        <w:autoSpaceDN w:val="0"/>
        <w:adjustRightInd w:val="0"/>
        <w:spacing w:after="0" w:line="240" w:lineRule="auto"/>
        <w:ind w:firstLine="720"/>
        <w:jc w:val="both"/>
        <w:rPr>
          <w:rFonts w:ascii="Univers" w:hAnsi="Univers" w:cs="Arial"/>
          <w:sz w:val="20"/>
          <w:szCs w:val="20"/>
          <w:lang w:val="es-CL"/>
        </w:rPr>
      </w:pPr>
      <w:r w:rsidRPr="002B2C20">
        <w:rPr>
          <w:rFonts w:ascii="Univers" w:hAnsi="Univers" w:cs="Arial"/>
          <w:sz w:val="20"/>
          <w:szCs w:val="20"/>
          <w:lang w:val="es-CL"/>
        </w:rPr>
        <w:t>En virtud de que estas cuestiones afectan de manera relevante el orden público interamericano, de conformidad con el artículo 35.1 f) del Reglamento de la Corte Interamericana, la Comisión se permite ofrecer las siguientes declaraciones periciales:</w:t>
      </w:r>
    </w:p>
    <w:p w:rsidR="00EE7192" w:rsidRPr="002B2C20" w:rsidRDefault="00EE7192" w:rsidP="002B2C20">
      <w:pPr>
        <w:autoSpaceDE w:val="0"/>
        <w:autoSpaceDN w:val="0"/>
        <w:adjustRightInd w:val="0"/>
        <w:spacing w:after="0" w:line="240" w:lineRule="auto"/>
        <w:ind w:right="480"/>
        <w:jc w:val="both"/>
        <w:rPr>
          <w:rFonts w:ascii="Univers" w:hAnsi="Univers" w:cs="Arial"/>
          <w:sz w:val="20"/>
          <w:szCs w:val="20"/>
          <w:lang w:val="es-CL"/>
        </w:rPr>
      </w:pPr>
    </w:p>
    <w:p w:rsidR="00EE7192" w:rsidRPr="002B2C20" w:rsidRDefault="00EE7192" w:rsidP="002B2C20">
      <w:pPr>
        <w:spacing w:after="0" w:line="240" w:lineRule="auto"/>
        <w:ind w:firstLine="720"/>
        <w:jc w:val="both"/>
        <w:rPr>
          <w:rFonts w:ascii="Univers" w:hAnsi="Univers"/>
          <w:iCs/>
          <w:sz w:val="20"/>
          <w:szCs w:val="20"/>
          <w:lang w:val="es-ES_tradnl"/>
        </w:rPr>
      </w:pPr>
      <w:r w:rsidRPr="002B2C20">
        <w:rPr>
          <w:rFonts w:ascii="Univers" w:hAnsi="Univers" w:cs="Courier New"/>
          <w:b/>
          <w:sz w:val="20"/>
          <w:szCs w:val="20"/>
          <w:lang w:val="es-ES_tradnl"/>
        </w:rPr>
        <w:t>Perito/a cuyo nombre será informado a la brevedad</w:t>
      </w:r>
      <w:r w:rsidRPr="002B2C20">
        <w:rPr>
          <w:rFonts w:ascii="Univers" w:hAnsi="Univers"/>
          <w:iCs/>
          <w:sz w:val="20"/>
          <w:szCs w:val="20"/>
          <w:lang w:val="es-ES_tradnl"/>
        </w:rPr>
        <w:t xml:space="preserve">, quien a la luz del derecho internacional de los derechos humanos y el derecho comparado, declarará sobre la regla de la exclusión como corolario de la prohibición absoluta de la tortura, así como sus implicaciones concretas en las diferentes etapas de un proceso penal. </w:t>
      </w:r>
    </w:p>
    <w:p w:rsidR="00EE7192" w:rsidRPr="002B2C20" w:rsidRDefault="00EE7192" w:rsidP="002B2C20">
      <w:pPr>
        <w:spacing w:after="0" w:line="240" w:lineRule="auto"/>
        <w:ind w:firstLine="720"/>
        <w:jc w:val="both"/>
        <w:rPr>
          <w:rFonts w:ascii="Univers" w:hAnsi="Univers"/>
          <w:iCs/>
          <w:sz w:val="20"/>
          <w:szCs w:val="20"/>
          <w:lang w:val="es-ES_tradnl"/>
        </w:rPr>
      </w:pPr>
    </w:p>
    <w:p w:rsidR="00EE7192" w:rsidRPr="002B2C20" w:rsidRDefault="00EE7192" w:rsidP="002B2C20">
      <w:pPr>
        <w:spacing w:after="0" w:line="240" w:lineRule="auto"/>
        <w:ind w:firstLine="720"/>
        <w:jc w:val="both"/>
        <w:rPr>
          <w:rFonts w:ascii="Univers" w:hAnsi="Univers"/>
          <w:iCs/>
          <w:sz w:val="20"/>
          <w:szCs w:val="20"/>
          <w:lang w:val="es-ES_tradnl"/>
        </w:rPr>
      </w:pPr>
      <w:r w:rsidRPr="002B2C20">
        <w:rPr>
          <w:rFonts w:ascii="Univers" w:hAnsi="Univers" w:cs="Courier New"/>
          <w:b/>
          <w:sz w:val="20"/>
          <w:szCs w:val="20"/>
          <w:lang w:val="es-ES_tradnl"/>
        </w:rPr>
        <w:t>Perito/a cuyo nombre será informado a la brevedad</w:t>
      </w:r>
      <w:r w:rsidRPr="002B2C20">
        <w:rPr>
          <w:rFonts w:ascii="Univers" w:hAnsi="Univers"/>
          <w:iCs/>
          <w:sz w:val="20"/>
          <w:szCs w:val="20"/>
          <w:lang w:val="es-ES_tradnl"/>
        </w:rPr>
        <w:t xml:space="preserve">, quien declarará sobre las obligaciones específicas que derivan para los jueces del principio de presunción de inocencia y el deber de motivación, para establecer la responsabilidad penal de los procesados cuando existen declaraciones contradictorias sobre su participación en el delito. </w:t>
      </w:r>
    </w:p>
    <w:p w:rsidR="00EE7192" w:rsidRPr="002B2C20" w:rsidRDefault="00EE7192" w:rsidP="002B2C20">
      <w:pPr>
        <w:tabs>
          <w:tab w:val="left" w:pos="0"/>
        </w:tabs>
        <w:spacing w:after="0" w:line="240" w:lineRule="auto"/>
        <w:jc w:val="both"/>
        <w:rPr>
          <w:rFonts w:ascii="Univers" w:hAnsi="Univers"/>
          <w:sz w:val="20"/>
          <w:szCs w:val="20"/>
          <w:lang w:val="es-AR"/>
        </w:rPr>
      </w:pPr>
    </w:p>
    <w:p w:rsidR="00EE7192" w:rsidRPr="002B2C20" w:rsidRDefault="00EE7192" w:rsidP="002B2C20">
      <w:pPr>
        <w:tabs>
          <w:tab w:val="left" w:pos="0"/>
        </w:tabs>
        <w:spacing w:after="0" w:line="240" w:lineRule="auto"/>
        <w:ind w:firstLine="720"/>
        <w:jc w:val="both"/>
        <w:rPr>
          <w:rFonts w:ascii="Univers" w:hAnsi="Univers"/>
          <w:sz w:val="20"/>
          <w:szCs w:val="20"/>
          <w:lang w:val="es-CO"/>
        </w:rPr>
      </w:pPr>
      <w:r w:rsidRPr="002B2C20">
        <w:rPr>
          <w:rFonts w:ascii="Univers" w:hAnsi="Univers"/>
          <w:sz w:val="20"/>
          <w:szCs w:val="20"/>
          <w:lang w:val="es-AR"/>
        </w:rPr>
        <w:t xml:space="preserve">Los CVs de los/as peritos/as ofrecidos/as </w:t>
      </w:r>
      <w:r w:rsidRPr="002B2C20">
        <w:rPr>
          <w:rFonts w:ascii="Univers" w:hAnsi="Univers"/>
          <w:sz w:val="20"/>
          <w:szCs w:val="20"/>
          <w:lang w:val="es-CO"/>
        </w:rPr>
        <w:t xml:space="preserve">serán incluidos en los anexos al informe de fondo </w:t>
      </w:r>
      <w:r w:rsidR="004C1243">
        <w:rPr>
          <w:rFonts w:ascii="Univers" w:hAnsi="Univers"/>
          <w:sz w:val="20"/>
          <w:szCs w:val="20"/>
          <w:lang w:val="es-CO"/>
        </w:rPr>
        <w:t>40</w:t>
      </w:r>
      <w:r w:rsidRPr="002B2C20">
        <w:rPr>
          <w:rFonts w:ascii="Univers" w:hAnsi="Univers"/>
          <w:sz w:val="20"/>
          <w:szCs w:val="20"/>
          <w:lang w:val="es-CO"/>
        </w:rPr>
        <w:t xml:space="preserve">/14. </w:t>
      </w:r>
    </w:p>
    <w:p w:rsidR="00EE7192" w:rsidRPr="00D678E9" w:rsidRDefault="00EE7192" w:rsidP="00D678E9">
      <w:pPr>
        <w:tabs>
          <w:tab w:val="left" w:pos="0"/>
        </w:tabs>
        <w:spacing w:after="0" w:line="240" w:lineRule="auto"/>
        <w:jc w:val="both"/>
        <w:rPr>
          <w:rFonts w:ascii="Univers" w:hAnsi="Univers"/>
          <w:sz w:val="16"/>
          <w:szCs w:val="16"/>
          <w:lang w:val="es-CO"/>
        </w:rPr>
      </w:pPr>
    </w:p>
    <w:p w:rsidR="00EE7192" w:rsidRPr="002B2C20" w:rsidRDefault="00EE7192" w:rsidP="002B2C20">
      <w:pPr>
        <w:tabs>
          <w:tab w:val="left" w:pos="0"/>
        </w:tabs>
        <w:spacing w:after="0" w:line="240" w:lineRule="auto"/>
        <w:ind w:firstLine="720"/>
        <w:jc w:val="both"/>
        <w:rPr>
          <w:rFonts w:ascii="Univers" w:hAnsi="Univers"/>
          <w:sz w:val="20"/>
          <w:szCs w:val="20"/>
          <w:lang w:val="es-CO"/>
        </w:rPr>
      </w:pPr>
      <w:r w:rsidRPr="002B2C20">
        <w:rPr>
          <w:rFonts w:ascii="Univers" w:hAnsi="Univers"/>
          <w:sz w:val="20"/>
          <w:szCs w:val="20"/>
          <w:lang w:val="es-ES_tradnl"/>
        </w:rPr>
        <w:t xml:space="preserve">La Comisión pone en conocimiento de la Corte la siguiente información sobre quienes actuaron como peticionarios a lo largo del trámite del caso: </w:t>
      </w:r>
    </w:p>
    <w:p w:rsidR="00EE7192" w:rsidRPr="00D678E9" w:rsidRDefault="00EE7192" w:rsidP="002B2C20">
      <w:pPr>
        <w:autoSpaceDE w:val="0"/>
        <w:autoSpaceDN w:val="0"/>
        <w:adjustRightInd w:val="0"/>
        <w:spacing w:after="0" w:line="240" w:lineRule="auto"/>
        <w:jc w:val="center"/>
        <w:rPr>
          <w:rFonts w:ascii="Univers" w:hAnsi="Univers" w:cs="Arial"/>
          <w:sz w:val="16"/>
          <w:szCs w:val="16"/>
          <w:lang w:val="es-ES_tradnl"/>
        </w:rPr>
      </w:pPr>
    </w:p>
    <w:p w:rsidR="00EE7192" w:rsidRPr="002B2C20" w:rsidRDefault="00EE7192" w:rsidP="00D678E9">
      <w:pPr>
        <w:widowControl w:val="0"/>
        <w:autoSpaceDE w:val="0"/>
        <w:autoSpaceDN w:val="0"/>
        <w:adjustRightInd w:val="0"/>
        <w:spacing w:after="0" w:line="240" w:lineRule="auto"/>
        <w:jc w:val="center"/>
        <w:rPr>
          <w:rFonts w:ascii="Univers" w:eastAsia="Times New Roman" w:hAnsi="Univers" w:cs="Tahoma"/>
          <w:sz w:val="20"/>
          <w:szCs w:val="20"/>
          <w:lang w:val="es-ES" w:bidi="en-US"/>
        </w:rPr>
      </w:pPr>
      <w:r w:rsidRPr="002B2C20">
        <w:rPr>
          <w:rFonts w:ascii="Univers" w:eastAsia="Times New Roman" w:hAnsi="Univers" w:cs="Tahoma"/>
          <w:sz w:val="20"/>
          <w:szCs w:val="20"/>
          <w:lang w:val="es-ES" w:bidi="en-US"/>
        </w:rPr>
        <w:t>Comisión Ecuménica de Derechos Humanos</w:t>
      </w:r>
    </w:p>
    <w:p w:rsidR="00EE7192" w:rsidRPr="009D19A7" w:rsidRDefault="009D19A7" w:rsidP="00D678E9">
      <w:pPr>
        <w:widowControl w:val="0"/>
        <w:autoSpaceDE w:val="0"/>
        <w:autoSpaceDN w:val="0"/>
        <w:adjustRightInd w:val="0"/>
        <w:spacing w:after="0" w:line="240" w:lineRule="auto"/>
        <w:jc w:val="center"/>
        <w:rPr>
          <w:rFonts w:ascii="Univers" w:eastAsia="Times New Roman" w:hAnsi="Univers" w:cs="Helvetica"/>
          <w:sz w:val="20"/>
          <w:szCs w:val="20"/>
          <w:highlight w:val="black"/>
          <w:lang w:val="es-ES" w:bidi="en-US"/>
        </w:rPr>
      </w:pPr>
      <w:proofErr w:type="gramStart"/>
      <w:r w:rsidRPr="009D19A7">
        <w:rPr>
          <w:rFonts w:ascii="Univers" w:eastAsia="Times New Roman" w:hAnsi="Univers" w:cs="Tahoma"/>
          <w:sz w:val="20"/>
          <w:szCs w:val="20"/>
          <w:highlight w:val="black"/>
          <w:lang w:val="es-ES" w:bidi="en-US"/>
        </w:rPr>
        <w:t>xxxxxxxxxxxx</w:t>
      </w:r>
      <w:proofErr w:type="gramEnd"/>
    </w:p>
    <w:p w:rsidR="00D678E9" w:rsidRPr="009D19A7" w:rsidRDefault="009D19A7" w:rsidP="00D678E9">
      <w:pPr>
        <w:autoSpaceDE w:val="0"/>
        <w:autoSpaceDN w:val="0"/>
        <w:adjustRightInd w:val="0"/>
        <w:spacing w:after="0" w:line="240" w:lineRule="auto"/>
        <w:jc w:val="center"/>
        <w:rPr>
          <w:rFonts w:ascii="Univers" w:hAnsi="Univers"/>
          <w:sz w:val="20"/>
          <w:szCs w:val="20"/>
          <w:highlight w:val="black"/>
          <w:lang w:val="es-ES_tradnl" w:eastAsia="ko-KR"/>
        </w:rPr>
      </w:pPr>
      <w:proofErr w:type="gramStart"/>
      <w:r w:rsidRPr="009D19A7">
        <w:rPr>
          <w:rFonts w:ascii="Univers" w:hAnsi="Univers"/>
          <w:sz w:val="20"/>
          <w:szCs w:val="20"/>
          <w:highlight w:val="black"/>
          <w:lang w:val="es-ES_tradnl" w:eastAsia="ko-KR"/>
        </w:rPr>
        <w:t>xxxxxxxxxxxxxxxxxxxxxxxxx</w:t>
      </w:r>
      <w:proofErr w:type="gramEnd"/>
    </w:p>
    <w:p w:rsidR="00D678E9" w:rsidRPr="009D19A7" w:rsidRDefault="009D19A7" w:rsidP="00D678E9">
      <w:pPr>
        <w:autoSpaceDE w:val="0"/>
        <w:autoSpaceDN w:val="0"/>
        <w:adjustRightInd w:val="0"/>
        <w:spacing w:after="0" w:line="240" w:lineRule="auto"/>
        <w:jc w:val="center"/>
        <w:rPr>
          <w:rFonts w:ascii="Univers" w:hAnsi="Univers"/>
          <w:sz w:val="20"/>
          <w:szCs w:val="20"/>
          <w:highlight w:val="black"/>
          <w:lang w:val="es-ES_tradnl" w:eastAsia="ko-KR"/>
        </w:rPr>
      </w:pPr>
      <w:proofErr w:type="gramStart"/>
      <w:r w:rsidRPr="009D19A7">
        <w:rPr>
          <w:rFonts w:ascii="Univers" w:hAnsi="Univers"/>
          <w:sz w:val="20"/>
          <w:szCs w:val="20"/>
          <w:highlight w:val="black"/>
          <w:lang w:val="es-ES_tradnl" w:eastAsia="ko-KR"/>
        </w:rPr>
        <w:t>xxxxxxxxxxxxxxxxx</w:t>
      </w:r>
      <w:proofErr w:type="gramEnd"/>
    </w:p>
    <w:p w:rsidR="00D678E9" w:rsidRPr="009D19A7" w:rsidRDefault="009D19A7" w:rsidP="00D678E9">
      <w:pPr>
        <w:autoSpaceDE w:val="0"/>
        <w:autoSpaceDN w:val="0"/>
        <w:adjustRightInd w:val="0"/>
        <w:spacing w:after="0" w:line="240" w:lineRule="auto"/>
        <w:jc w:val="center"/>
        <w:rPr>
          <w:rFonts w:ascii="Univers" w:hAnsi="Univers"/>
          <w:sz w:val="20"/>
          <w:szCs w:val="20"/>
          <w:highlight w:val="black"/>
          <w:lang w:val="es-ES_tradnl" w:eastAsia="ko-KR"/>
        </w:rPr>
      </w:pPr>
      <w:proofErr w:type="gramStart"/>
      <w:r w:rsidRPr="009D19A7">
        <w:rPr>
          <w:rFonts w:ascii="Univers" w:hAnsi="Univers"/>
          <w:sz w:val="20"/>
          <w:szCs w:val="20"/>
          <w:highlight w:val="black"/>
          <w:lang w:val="es-ES_tradnl" w:eastAsia="ko-KR"/>
        </w:rPr>
        <w:t>xxxxxxxxxxxxxxxxx</w:t>
      </w:r>
      <w:proofErr w:type="gramEnd"/>
    </w:p>
    <w:p w:rsidR="00D678E9" w:rsidRPr="009D19A7" w:rsidRDefault="009D19A7" w:rsidP="00D678E9">
      <w:pPr>
        <w:autoSpaceDE w:val="0"/>
        <w:autoSpaceDN w:val="0"/>
        <w:adjustRightInd w:val="0"/>
        <w:spacing w:after="0" w:line="240" w:lineRule="auto"/>
        <w:jc w:val="center"/>
        <w:rPr>
          <w:rFonts w:ascii="Univers" w:hAnsi="Univers"/>
          <w:sz w:val="20"/>
          <w:szCs w:val="20"/>
          <w:highlight w:val="black"/>
          <w:lang w:val="es-ES_tradnl" w:eastAsia="ko-KR"/>
        </w:rPr>
      </w:pPr>
      <w:proofErr w:type="gramStart"/>
      <w:r w:rsidRPr="009D19A7">
        <w:rPr>
          <w:rFonts w:ascii="Univers" w:hAnsi="Univers"/>
          <w:sz w:val="20"/>
          <w:szCs w:val="20"/>
          <w:highlight w:val="black"/>
          <w:lang w:val="es-ES_tradnl" w:eastAsia="ko-KR"/>
        </w:rPr>
        <w:t>xxxxxxxxxxxxxxxxxxxx</w:t>
      </w:r>
      <w:proofErr w:type="gramEnd"/>
    </w:p>
    <w:p w:rsidR="00D678E9" w:rsidRPr="009D19A7" w:rsidRDefault="009D19A7" w:rsidP="00D678E9">
      <w:pPr>
        <w:autoSpaceDE w:val="0"/>
        <w:autoSpaceDN w:val="0"/>
        <w:adjustRightInd w:val="0"/>
        <w:spacing w:after="0" w:line="240" w:lineRule="auto"/>
        <w:jc w:val="center"/>
        <w:rPr>
          <w:rFonts w:ascii="Univers" w:hAnsi="Univers"/>
          <w:sz w:val="20"/>
          <w:szCs w:val="20"/>
          <w:highlight w:val="black"/>
          <w:lang w:val="es-ES_tradnl" w:eastAsia="ko-KR"/>
        </w:rPr>
      </w:pPr>
      <w:proofErr w:type="gramStart"/>
      <w:r w:rsidRPr="009D19A7">
        <w:rPr>
          <w:rFonts w:ascii="Univers" w:hAnsi="Univers"/>
          <w:sz w:val="20"/>
          <w:szCs w:val="20"/>
          <w:highlight w:val="black"/>
          <w:lang w:val="es-ES_tradnl" w:eastAsia="ko-KR"/>
        </w:rPr>
        <w:t>xxxxxxxxxxxxxxxxxxxxxxxxxxxxxxxxxxxxxxxxxxxxxxxxxxx</w:t>
      </w:r>
      <w:proofErr w:type="gramEnd"/>
    </w:p>
    <w:p w:rsidR="00D678E9" w:rsidRPr="009D19A7" w:rsidRDefault="009D19A7" w:rsidP="00D678E9">
      <w:pPr>
        <w:autoSpaceDE w:val="0"/>
        <w:autoSpaceDN w:val="0"/>
        <w:adjustRightInd w:val="0"/>
        <w:spacing w:after="0" w:line="240" w:lineRule="auto"/>
        <w:jc w:val="center"/>
        <w:rPr>
          <w:rFonts w:ascii="Univers" w:hAnsi="Univers"/>
          <w:sz w:val="20"/>
          <w:szCs w:val="20"/>
          <w:highlight w:val="black"/>
          <w:lang w:val="es-ES_tradnl" w:eastAsia="ko-KR"/>
        </w:rPr>
      </w:pPr>
      <w:proofErr w:type="gramStart"/>
      <w:r w:rsidRPr="009D19A7">
        <w:rPr>
          <w:rFonts w:ascii="Univers" w:hAnsi="Univers"/>
          <w:sz w:val="20"/>
          <w:szCs w:val="20"/>
          <w:highlight w:val="black"/>
          <w:lang w:val="es-ES_tradnl" w:eastAsia="ko-KR"/>
        </w:rPr>
        <w:t>xxxxxxxxxxx</w:t>
      </w:r>
      <w:proofErr w:type="gramEnd"/>
    </w:p>
    <w:p w:rsidR="00D678E9" w:rsidRPr="009D19A7" w:rsidRDefault="009D19A7" w:rsidP="00D678E9">
      <w:pPr>
        <w:autoSpaceDE w:val="0"/>
        <w:autoSpaceDN w:val="0"/>
        <w:adjustRightInd w:val="0"/>
        <w:spacing w:after="0" w:line="240" w:lineRule="auto"/>
        <w:jc w:val="center"/>
        <w:rPr>
          <w:rFonts w:ascii="Univers" w:hAnsi="Univers"/>
          <w:sz w:val="20"/>
          <w:szCs w:val="20"/>
          <w:highlight w:val="black"/>
          <w:lang w:val="es-ES_tradnl" w:eastAsia="ko-KR"/>
        </w:rPr>
      </w:pPr>
      <w:proofErr w:type="gramStart"/>
      <w:r w:rsidRPr="009D19A7">
        <w:rPr>
          <w:rFonts w:ascii="Univers" w:hAnsi="Univers"/>
          <w:sz w:val="20"/>
          <w:szCs w:val="20"/>
          <w:highlight w:val="black"/>
          <w:lang w:val="es-ES_tradnl" w:eastAsia="ko-KR"/>
        </w:rPr>
        <w:t>xxxxxxxxxxxxxxxxxxx</w:t>
      </w:r>
      <w:proofErr w:type="gramEnd"/>
    </w:p>
    <w:p w:rsidR="00D678E9" w:rsidRPr="009D19A7" w:rsidRDefault="009D19A7" w:rsidP="00D678E9">
      <w:pPr>
        <w:autoSpaceDE w:val="0"/>
        <w:autoSpaceDN w:val="0"/>
        <w:adjustRightInd w:val="0"/>
        <w:spacing w:after="0" w:line="240" w:lineRule="auto"/>
        <w:jc w:val="center"/>
        <w:rPr>
          <w:rFonts w:ascii="Univers" w:hAnsi="Univers"/>
          <w:sz w:val="20"/>
          <w:szCs w:val="20"/>
          <w:lang w:val="es-ES_tradnl" w:eastAsia="ko-KR"/>
        </w:rPr>
      </w:pPr>
      <w:proofErr w:type="gramStart"/>
      <w:r w:rsidRPr="009D19A7">
        <w:rPr>
          <w:rFonts w:ascii="Univers" w:hAnsi="Univers"/>
          <w:sz w:val="20"/>
          <w:szCs w:val="20"/>
          <w:highlight w:val="black"/>
          <w:lang w:val="es-ES_tradnl" w:eastAsia="ko-KR"/>
        </w:rPr>
        <w:t>xxxxxx</w:t>
      </w:r>
      <w:proofErr w:type="gramEnd"/>
    </w:p>
    <w:p w:rsidR="00EE7192" w:rsidRPr="00D678E9" w:rsidRDefault="00EE7192" w:rsidP="00D678E9">
      <w:pPr>
        <w:autoSpaceDE w:val="0"/>
        <w:autoSpaceDN w:val="0"/>
        <w:adjustRightInd w:val="0"/>
        <w:spacing w:after="0" w:line="240" w:lineRule="auto"/>
        <w:jc w:val="center"/>
        <w:rPr>
          <w:rFonts w:ascii="Univers" w:hAnsi="Univers" w:cs="Arial"/>
          <w:sz w:val="16"/>
          <w:szCs w:val="16"/>
          <w:lang w:val="es-ES_tradnl"/>
        </w:rPr>
      </w:pPr>
    </w:p>
    <w:p w:rsidR="00EE7192" w:rsidRPr="002B2C20" w:rsidRDefault="00EE7192" w:rsidP="002B2C20">
      <w:pPr>
        <w:tabs>
          <w:tab w:val="left" w:pos="0"/>
        </w:tabs>
        <w:spacing w:after="0" w:line="240" w:lineRule="auto"/>
        <w:ind w:firstLine="720"/>
        <w:jc w:val="both"/>
        <w:rPr>
          <w:rFonts w:ascii="Univers" w:hAnsi="Univers" w:cs="Arial"/>
          <w:sz w:val="20"/>
          <w:szCs w:val="20"/>
          <w:lang w:val="es-CO"/>
        </w:rPr>
      </w:pPr>
      <w:r w:rsidRPr="002B2C20">
        <w:rPr>
          <w:rFonts w:ascii="Univers" w:hAnsi="Univers" w:cs="Arial"/>
          <w:sz w:val="20"/>
          <w:szCs w:val="20"/>
          <w:lang w:val="es-CO"/>
        </w:rPr>
        <w:t>Aprovecho la oportunidad para saludar a usted muy atentamente,</w:t>
      </w:r>
    </w:p>
    <w:p w:rsidR="00EE7192" w:rsidRPr="002B2C20" w:rsidRDefault="00EE7192" w:rsidP="002B2C20">
      <w:pPr>
        <w:suppressAutoHyphens/>
        <w:spacing w:after="0" w:line="240" w:lineRule="auto"/>
        <w:rPr>
          <w:rFonts w:ascii="Univers" w:hAnsi="Univers" w:cs="Arial"/>
          <w:snapToGrid w:val="0"/>
          <w:sz w:val="20"/>
          <w:szCs w:val="20"/>
          <w:lang w:val="es-CO"/>
        </w:rPr>
      </w:pPr>
    </w:p>
    <w:p w:rsidR="002B2C20" w:rsidRDefault="002B2C20" w:rsidP="002B2C20">
      <w:pPr>
        <w:suppressAutoHyphens/>
        <w:spacing w:after="0" w:line="240" w:lineRule="auto"/>
        <w:rPr>
          <w:rFonts w:ascii="Univers" w:hAnsi="Univers" w:cs="Arial"/>
          <w:snapToGrid w:val="0"/>
          <w:sz w:val="20"/>
          <w:szCs w:val="20"/>
          <w:lang w:val="es-CO"/>
        </w:rPr>
      </w:pPr>
    </w:p>
    <w:p w:rsidR="002B2C20" w:rsidRPr="002B2C20" w:rsidRDefault="002B2C20" w:rsidP="002B2C20">
      <w:pPr>
        <w:suppressAutoHyphens/>
        <w:spacing w:after="0" w:line="240" w:lineRule="auto"/>
        <w:rPr>
          <w:rFonts w:ascii="Univers" w:hAnsi="Univers" w:cs="Arial"/>
          <w:snapToGrid w:val="0"/>
          <w:sz w:val="20"/>
          <w:szCs w:val="20"/>
          <w:lang w:val="es-CO"/>
        </w:rPr>
      </w:pPr>
    </w:p>
    <w:p w:rsidR="002F0DB4" w:rsidRDefault="002F0DB4" w:rsidP="002B2C20">
      <w:pPr>
        <w:suppressAutoHyphens/>
        <w:spacing w:after="0" w:line="240" w:lineRule="auto"/>
        <w:ind w:left="2880" w:firstLine="720"/>
        <w:rPr>
          <w:rFonts w:ascii="Univers" w:hAnsi="Univers" w:cs="Arial"/>
          <w:snapToGrid w:val="0"/>
          <w:sz w:val="20"/>
          <w:szCs w:val="20"/>
          <w:lang w:val="es-CO"/>
        </w:rPr>
      </w:pPr>
      <w:r>
        <w:rPr>
          <w:i/>
          <w:snapToGrid w:val="0"/>
          <w:color w:val="A6A6A6"/>
          <w:sz w:val="24"/>
          <w:szCs w:val="24"/>
          <w:lang w:val="es-ES"/>
        </w:rPr>
        <w:t xml:space="preserve">Firmado en el </w:t>
      </w:r>
      <w:r w:rsidRPr="00995FF1">
        <w:rPr>
          <w:i/>
          <w:snapToGrid w:val="0"/>
          <w:color w:val="A6A6A6"/>
          <w:sz w:val="24"/>
          <w:szCs w:val="24"/>
          <w:lang w:val="es-ES"/>
        </w:rPr>
        <w:t>original</w:t>
      </w:r>
    </w:p>
    <w:p w:rsidR="00EE7192" w:rsidRPr="002B2C20" w:rsidRDefault="00EE7192" w:rsidP="002B2C20">
      <w:pPr>
        <w:suppressAutoHyphens/>
        <w:spacing w:after="0" w:line="240" w:lineRule="auto"/>
        <w:ind w:left="2880" w:firstLine="720"/>
        <w:rPr>
          <w:rFonts w:ascii="Univers" w:hAnsi="Univers" w:cs="Arial"/>
          <w:snapToGrid w:val="0"/>
          <w:sz w:val="20"/>
          <w:szCs w:val="20"/>
          <w:lang w:val="es-CO"/>
        </w:rPr>
      </w:pPr>
      <w:r w:rsidRPr="002B2C20">
        <w:rPr>
          <w:rFonts w:ascii="Univers" w:hAnsi="Univers" w:cs="Arial"/>
          <w:snapToGrid w:val="0"/>
          <w:sz w:val="20"/>
          <w:szCs w:val="20"/>
          <w:lang w:val="es-CO"/>
        </w:rPr>
        <w:t xml:space="preserve">Elizabeth Abi-Mershed </w:t>
      </w:r>
    </w:p>
    <w:p w:rsidR="00EE7192" w:rsidRPr="002B2C20" w:rsidRDefault="002B2C20" w:rsidP="002B2C20">
      <w:pPr>
        <w:suppressAutoHyphens/>
        <w:spacing w:after="0" w:line="240" w:lineRule="auto"/>
        <w:ind w:left="2880"/>
        <w:rPr>
          <w:rFonts w:ascii="Univers" w:hAnsi="Univers"/>
          <w:sz w:val="20"/>
          <w:szCs w:val="20"/>
          <w:lang w:val="es-CO"/>
        </w:rPr>
      </w:pPr>
      <w:r>
        <w:rPr>
          <w:rFonts w:ascii="Univers" w:hAnsi="Univers" w:cs="Arial"/>
          <w:snapToGrid w:val="0"/>
          <w:sz w:val="20"/>
          <w:szCs w:val="20"/>
          <w:lang w:val="es-CO"/>
        </w:rPr>
        <w:t xml:space="preserve">       </w:t>
      </w:r>
      <w:r w:rsidR="00EE7192" w:rsidRPr="002B2C20">
        <w:rPr>
          <w:rFonts w:ascii="Univers" w:hAnsi="Univers" w:cs="Arial"/>
          <w:snapToGrid w:val="0"/>
          <w:sz w:val="20"/>
          <w:szCs w:val="20"/>
          <w:lang w:val="es-CO"/>
        </w:rPr>
        <w:t xml:space="preserve">Secretaria Ejecutiva Adjunta </w:t>
      </w:r>
    </w:p>
    <w:p w:rsidR="002B2C20" w:rsidRDefault="002B2C20" w:rsidP="002B2C20">
      <w:pPr>
        <w:widowControl w:val="0"/>
        <w:autoSpaceDE w:val="0"/>
        <w:autoSpaceDN w:val="0"/>
        <w:adjustRightInd w:val="0"/>
        <w:spacing w:after="0" w:line="240" w:lineRule="auto"/>
        <w:jc w:val="both"/>
        <w:rPr>
          <w:rFonts w:ascii="Univers" w:hAnsi="Univers" w:cs="Arial"/>
          <w:sz w:val="20"/>
          <w:szCs w:val="20"/>
          <w:lang w:val="es-AR"/>
        </w:rPr>
      </w:pPr>
    </w:p>
    <w:p w:rsidR="002B2C20" w:rsidRPr="002B2C20" w:rsidRDefault="002B2C20" w:rsidP="002B2C20">
      <w:pPr>
        <w:widowControl w:val="0"/>
        <w:autoSpaceDE w:val="0"/>
        <w:autoSpaceDN w:val="0"/>
        <w:adjustRightInd w:val="0"/>
        <w:spacing w:after="0" w:line="240" w:lineRule="auto"/>
        <w:jc w:val="both"/>
        <w:rPr>
          <w:rFonts w:ascii="Univers" w:hAnsi="Univers"/>
          <w:sz w:val="20"/>
          <w:szCs w:val="20"/>
          <w:lang w:val="es-ES"/>
        </w:rPr>
      </w:pPr>
      <w:r w:rsidRPr="002B2C20">
        <w:rPr>
          <w:rFonts w:ascii="Univers" w:hAnsi="Univers" w:cs="Arial"/>
          <w:sz w:val="20"/>
          <w:szCs w:val="20"/>
          <w:lang w:val="es-AR"/>
        </w:rPr>
        <w:t>Anexos</w:t>
      </w:r>
    </w:p>
    <w:sectPr w:rsidR="002B2C20" w:rsidRPr="002B2C20" w:rsidSect="00EE7192">
      <w:headerReference w:type="default" r:id="rId7"/>
      <w:footerReference w:type="default" r:id="rId8"/>
      <w:headerReference w:type="first" r:id="rId9"/>
      <w:footerReference w:type="first" r:id="rId10"/>
      <w:pgSz w:w="12240" w:h="15840"/>
      <w:pgMar w:top="1440" w:right="1440" w:bottom="810" w:left="126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250" w:rsidRDefault="00426250">
      <w:pPr>
        <w:spacing w:after="0" w:line="240" w:lineRule="auto"/>
      </w:pPr>
      <w:r>
        <w:separator/>
      </w:r>
    </w:p>
  </w:endnote>
  <w:endnote w:type="continuationSeparator" w:id="0">
    <w:p w:rsidR="00426250" w:rsidRDefault="00426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92" w:rsidRPr="00A72869" w:rsidRDefault="00EE7192">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0D12C0">
      <w:rPr>
        <w:noProof/>
        <w:color w:val="7F7F7F"/>
        <w:sz w:val="16"/>
      </w:rPr>
      <w:t>3</w:t>
    </w:r>
    <w:r w:rsidRPr="00A72869">
      <w:rPr>
        <w:noProof/>
        <w:color w:val="7F7F7F"/>
        <w:sz w:val="16"/>
      </w:rPr>
      <w:fldChar w:fldCharType="end"/>
    </w:r>
  </w:p>
  <w:p w:rsidR="00EE7192" w:rsidRDefault="00EE719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92" w:rsidRDefault="00EE7192" w:rsidP="00EE7192">
    <w:pPr>
      <w:pStyle w:val="Piedepgina"/>
      <w:spacing w:line="360" w:lineRule="auto"/>
    </w:pPr>
    <w:r>
      <w:pict>
        <v:rect id="_x0000_i1026" style="width:0;height:1.5pt" o:hralign="center" o:hrstd="t" o:hr="t" fillcolor="#a0a0a0" stroked="f"/>
      </w:pict>
    </w:r>
  </w:p>
  <w:p w:rsidR="00EE7192" w:rsidRDefault="00EE7192" w:rsidP="00EE7192">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31" type="#_x0000_t75" style="width:403.2pt;height:24.95pt;visibility:visible">
          <v:imagedata r:id="rId1" o:title="footer-es"/>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250" w:rsidRDefault="00426250">
      <w:pPr>
        <w:spacing w:after="0" w:line="240" w:lineRule="auto"/>
      </w:pPr>
      <w:r>
        <w:separator/>
      </w:r>
    </w:p>
  </w:footnote>
  <w:footnote w:type="continuationSeparator" w:id="0">
    <w:p w:rsidR="00426250" w:rsidRDefault="004262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92" w:rsidRPr="0058688A" w:rsidRDefault="00EE7192" w:rsidP="00EE7192">
    <w:pPr>
      <w:pStyle w:val="Encabezado"/>
      <w:jc w:val="center"/>
      <w:rPr>
        <w:lang w:val="es-ES_tradnl"/>
      </w:rPr>
    </w:pPr>
    <w:r>
      <w:rPr>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0.5pt;height:9.6pt">
          <v:imagedata r:id="rId1" o:title="cidh-peq"/>
        </v:shape>
      </w:pict>
    </w:r>
  </w:p>
  <w:p w:rsidR="00EE7192" w:rsidRDefault="00EE7192">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92" w:rsidRDefault="00EE7192" w:rsidP="00EE7192">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9" type="#_x0000_t75" style="width:185.3pt;height:35.5pt;visibility:visible">
          <v:imagedata r:id="rId1" o:title="cidh-es"/>
        </v:shape>
      </w:pict>
    </w:r>
    <w:r>
      <w:tab/>
    </w:r>
    <w:r>
      <w:tab/>
    </w:r>
    <w:r w:rsidRPr="008A5CB5">
      <w:rPr>
        <w:noProof/>
      </w:rPr>
      <w:pict>
        <v:shape id="Picture 2" o:spid="_x0000_i1030" type="#_x0000_t75" style="width:129.6pt;height:37.45pt;visibility:visible">
          <v:imagedata r:id="rId2" o:title="oea-es"/>
        </v:shape>
      </w:pict>
    </w:r>
  </w:p>
  <w:p w:rsidR="00EE7192" w:rsidRDefault="00EE7192" w:rsidP="00EE7192">
    <w:pPr>
      <w:pStyle w:val="Encabezado"/>
    </w:pPr>
  </w:p>
  <w:p w:rsidR="00EE7192" w:rsidRDefault="00EE7192" w:rsidP="00EE7192">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561B8E"/>
    <w:multiLevelType w:val="hybridMultilevel"/>
    <w:tmpl w:val="7C44C386"/>
    <w:lvl w:ilvl="0" w:tplc="71B23924">
      <w:start w:val="1"/>
      <w:numFmt w:val="decimal"/>
      <w:lvlText w:val="%1."/>
      <w:lvlJc w:val="left"/>
      <w:pPr>
        <w:tabs>
          <w:tab w:val="num" w:pos="1429"/>
        </w:tabs>
        <w:ind w:left="1429" w:hanging="720"/>
      </w:pPr>
      <w:rPr>
        <w:rFonts w:ascii="Cambria" w:hAnsi="Cambria" w:hint="default"/>
        <w:b w:val="0"/>
        <w:color w:val="auto"/>
        <w:sz w:val="20"/>
        <w:szCs w:val="20"/>
      </w:rPr>
    </w:lvl>
    <w:lvl w:ilvl="1" w:tplc="04090019">
      <w:start w:val="1"/>
      <w:numFmt w:val="lowerLetter"/>
      <w:lvlText w:val="%2."/>
      <w:lvlJc w:val="left"/>
      <w:pPr>
        <w:tabs>
          <w:tab w:val="num" w:pos="1800"/>
        </w:tabs>
        <w:ind w:left="1800" w:hanging="360"/>
      </w:pPr>
    </w:lvl>
    <w:lvl w:ilvl="2" w:tplc="3CA6FEDA">
      <w:start w:val="5"/>
      <w:numFmt w:val="upperRoman"/>
      <w:lvlText w:val="%3."/>
      <w:lvlJc w:val="left"/>
      <w:pPr>
        <w:tabs>
          <w:tab w:val="num" w:pos="3060"/>
        </w:tabs>
        <w:ind w:left="3060" w:hanging="720"/>
      </w:pPr>
      <w:rPr>
        <w:rFonts w:hint="default"/>
      </w:rPr>
    </w:lvl>
    <w:lvl w:ilvl="3" w:tplc="71681AC0">
      <w:start w:val="1"/>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B4460CA"/>
    <w:multiLevelType w:val="hybridMultilevel"/>
    <w:tmpl w:val="07B85AD8"/>
    <w:lvl w:ilvl="0" w:tplc="67D6E770">
      <w:start w:val="1"/>
      <w:numFmt w:val="decimal"/>
      <w:lvlText w:val="%1."/>
      <w:lvlJc w:val="left"/>
      <w:pPr>
        <w:tabs>
          <w:tab w:val="num" w:pos="927"/>
        </w:tabs>
        <w:ind w:left="927" w:hanging="360"/>
      </w:pPr>
      <w:rPr>
        <w:rFonts w:cs="Univers" w:hint="default"/>
        <w:sz w:val="20"/>
        <w:szCs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806"/>
    <w:rsid w:val="000D12C0"/>
    <w:rsid w:val="00196CB1"/>
    <w:rsid w:val="002426BE"/>
    <w:rsid w:val="002B2C20"/>
    <w:rsid w:val="002D7D1A"/>
    <w:rsid w:val="002F0DB4"/>
    <w:rsid w:val="002F7ACE"/>
    <w:rsid w:val="003A167F"/>
    <w:rsid w:val="003A5BF3"/>
    <w:rsid w:val="00426250"/>
    <w:rsid w:val="004C1243"/>
    <w:rsid w:val="00706A87"/>
    <w:rsid w:val="00734606"/>
    <w:rsid w:val="00823B00"/>
    <w:rsid w:val="009221FB"/>
    <w:rsid w:val="009D19A7"/>
    <w:rsid w:val="00BA4642"/>
    <w:rsid w:val="00BA4738"/>
    <w:rsid w:val="00BD1FEF"/>
    <w:rsid w:val="00C8136C"/>
    <w:rsid w:val="00D678E9"/>
    <w:rsid w:val="00D75BB1"/>
    <w:rsid w:val="00E86E34"/>
    <w:rsid w:val="00EE71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5F2"/>
    <w:pPr>
      <w:spacing w:after="200" w:line="276" w:lineRule="auto"/>
    </w:pPr>
    <w:rPr>
      <w:rFonts w:ascii="Calibri" w:eastAsia="MS Mincho" w:hAnsi="Calibri"/>
      <w:sz w:val="22"/>
      <w:szCs w:val="22"/>
      <w:lang w:val="en-US"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unhideWhenUsed/>
    <w:rsid w:val="00F605F2"/>
    <w:pPr>
      <w:tabs>
        <w:tab w:val="center" w:pos="4680"/>
        <w:tab w:val="right" w:pos="9360"/>
      </w:tabs>
      <w:spacing w:after="0" w:line="240" w:lineRule="auto"/>
    </w:pPr>
  </w:style>
  <w:style w:type="paragraph" w:styleId="Piedepgina">
    <w:name w:val="footer"/>
    <w:basedOn w:val="Normal"/>
    <w:unhideWhenUsed/>
    <w:rsid w:val="00F605F2"/>
    <w:pPr>
      <w:tabs>
        <w:tab w:val="center" w:pos="4680"/>
        <w:tab w:val="right" w:pos="9360"/>
      </w:tabs>
      <w:spacing w:after="0" w:line="240" w:lineRule="auto"/>
    </w:pPr>
  </w:style>
  <w:style w:type="paragraph" w:styleId="Textoindependiente3">
    <w:name w:val="Body Text 3"/>
    <w:basedOn w:val="Normal"/>
    <w:rsid w:val="00F605F2"/>
    <w:pPr>
      <w:spacing w:after="120" w:line="240" w:lineRule="auto"/>
    </w:pPr>
    <w:rPr>
      <w:rFonts w:ascii="Univers" w:hAnsi="Univers"/>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1398</Words>
  <Characters>7692</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21 de noviembre de 2014</vt:lpstr>
      <vt:lpstr>21 de noviembre de 2014</vt:lpstr>
    </vt:vector>
  </TitlesOfParts>
  <Company>Cejil Autorizado</Company>
  <LinksUpToDate>false</LinksUpToDate>
  <CharactersWithSpaces>9072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de noviembre de 2014</dc:title>
  <dc:creator>cla</dc:creator>
  <cp:lastModifiedBy>Usuario Autorizado</cp:lastModifiedBy>
  <cp:revision>3</cp:revision>
  <cp:lastPrinted>2018-02-08T18:58:00Z</cp:lastPrinted>
  <dcterms:created xsi:type="dcterms:W3CDTF">2018-02-08T18:58:00Z</dcterms:created>
  <dcterms:modified xsi:type="dcterms:W3CDTF">2018-02-08T18:58:00Z</dcterms:modified>
</cp:coreProperties>
</file>