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D7F" w:rsidRDefault="00B52D7F" w:rsidP="00131B61">
      <w:pPr>
        <w:suppressAutoHyphens/>
        <w:spacing w:after="0"/>
        <w:jc w:val="right"/>
        <w:rPr>
          <w:rFonts w:ascii="Cambria" w:hAnsi="Cambria" w:cs="Arial"/>
          <w:lang w:val="pt-BR"/>
        </w:rPr>
      </w:pPr>
      <w:bookmarkStart w:id="0" w:name="_GoBack"/>
      <w:bookmarkEnd w:id="0"/>
    </w:p>
    <w:p w:rsidR="00093949" w:rsidRPr="00B52D7F" w:rsidRDefault="00093949" w:rsidP="00131B61">
      <w:pPr>
        <w:suppressAutoHyphens/>
        <w:spacing w:after="0"/>
        <w:jc w:val="right"/>
        <w:rPr>
          <w:rFonts w:ascii="Cambria" w:hAnsi="Cambria" w:cs="Arial"/>
          <w:b/>
          <w:lang w:val="es-ES"/>
        </w:rPr>
      </w:pPr>
      <w:r w:rsidRPr="00B52D7F">
        <w:rPr>
          <w:rFonts w:ascii="Cambria" w:hAnsi="Cambria" w:cs="Arial"/>
          <w:lang w:val="es-ES"/>
        </w:rPr>
        <w:t>2</w:t>
      </w:r>
      <w:r w:rsidR="006D669B" w:rsidRPr="00B52D7F">
        <w:rPr>
          <w:rFonts w:ascii="Cambria" w:hAnsi="Cambria" w:cs="Arial"/>
          <w:lang w:val="es-ES"/>
        </w:rPr>
        <w:t>1</w:t>
      </w:r>
      <w:r w:rsidRPr="00B52D7F">
        <w:rPr>
          <w:rFonts w:ascii="Cambria" w:hAnsi="Cambria" w:cs="Arial"/>
          <w:lang w:val="es-ES"/>
        </w:rPr>
        <w:t xml:space="preserve"> de </w:t>
      </w:r>
      <w:r w:rsidR="006D669B" w:rsidRPr="00B52D7F">
        <w:rPr>
          <w:rFonts w:ascii="Cambria" w:hAnsi="Cambria" w:cs="Arial"/>
          <w:lang w:val="es-ES"/>
        </w:rPr>
        <w:t>octubre</w:t>
      </w:r>
      <w:r w:rsidRPr="00B52D7F">
        <w:rPr>
          <w:rFonts w:ascii="Cambria" w:hAnsi="Cambria" w:cs="Arial"/>
          <w:lang w:val="es-ES"/>
        </w:rPr>
        <w:t xml:space="preserve"> de 2014</w:t>
      </w:r>
    </w:p>
    <w:p w:rsidR="00093949" w:rsidRPr="00B52D7F" w:rsidRDefault="00093949" w:rsidP="00131B61">
      <w:pPr>
        <w:tabs>
          <w:tab w:val="left" w:pos="720"/>
          <w:tab w:val="center" w:pos="6480"/>
        </w:tabs>
        <w:spacing w:after="0"/>
        <w:jc w:val="both"/>
        <w:rPr>
          <w:rFonts w:ascii="Cambria" w:hAnsi="Cambria" w:cs="Arial"/>
          <w:b/>
          <w:lang w:val="es-ES"/>
        </w:rPr>
      </w:pPr>
    </w:p>
    <w:p w:rsidR="00093949" w:rsidRPr="00B52D7F" w:rsidRDefault="00B52D7F" w:rsidP="00131B61">
      <w:pPr>
        <w:tabs>
          <w:tab w:val="left" w:pos="720"/>
          <w:tab w:val="center" w:pos="6480"/>
        </w:tabs>
        <w:spacing w:after="0"/>
        <w:jc w:val="both"/>
        <w:rPr>
          <w:rFonts w:ascii="Cambria" w:hAnsi="Cambria" w:cs="Arial"/>
          <w:b/>
          <w:lang w:val="es-ES"/>
        </w:rPr>
      </w:pPr>
      <w:r>
        <w:rPr>
          <w:rFonts w:ascii="Cambria" w:hAnsi="Cambria" w:cs="Arial"/>
          <w:b/>
          <w:lang w:val="es-ES"/>
        </w:rPr>
        <w:t>REF</w:t>
      </w:r>
      <w:r w:rsidR="00093949" w:rsidRPr="00B52D7F">
        <w:rPr>
          <w:rFonts w:ascii="Cambria" w:hAnsi="Cambria" w:cs="Arial"/>
          <w:b/>
          <w:lang w:val="es-ES"/>
        </w:rPr>
        <w:t>.:</w:t>
      </w:r>
      <w:bookmarkStart w:id="1" w:name="Peticion_n"/>
      <w:bookmarkEnd w:id="1"/>
      <w:r w:rsidR="00093949" w:rsidRPr="00B52D7F">
        <w:rPr>
          <w:rFonts w:ascii="Cambria" w:hAnsi="Cambria" w:cs="Arial"/>
          <w:b/>
          <w:lang w:val="es-ES"/>
        </w:rPr>
        <w:tab/>
        <w:t xml:space="preserve">Caso No. </w:t>
      </w:r>
      <w:r w:rsidR="00093949" w:rsidRPr="00B52D7F">
        <w:rPr>
          <w:rFonts w:ascii="Cambria" w:hAnsi="Cambria"/>
          <w:b/>
          <w:lang w:val="es-ES"/>
        </w:rPr>
        <w:t>12.</w:t>
      </w:r>
      <w:r w:rsidR="000C14EF" w:rsidRPr="00B52D7F">
        <w:rPr>
          <w:rFonts w:ascii="Cambria" w:hAnsi="Cambria"/>
          <w:b/>
          <w:lang w:val="es-ES"/>
        </w:rPr>
        <w:t>841</w:t>
      </w:r>
    </w:p>
    <w:p w:rsidR="00093949" w:rsidRPr="00CD05AF" w:rsidRDefault="000C14EF" w:rsidP="00131B61">
      <w:pPr>
        <w:tabs>
          <w:tab w:val="left" w:pos="720"/>
          <w:tab w:val="center" w:pos="6480"/>
        </w:tabs>
        <w:spacing w:after="0"/>
        <w:ind w:left="720"/>
        <w:jc w:val="both"/>
        <w:rPr>
          <w:rFonts w:ascii="Cambria" w:hAnsi="Cambria" w:cs="Arial"/>
          <w:b/>
          <w:lang w:val="es-CR"/>
        </w:rPr>
      </w:pPr>
      <w:r w:rsidRPr="00CD05AF">
        <w:rPr>
          <w:rFonts w:ascii="Cambria" w:hAnsi="Cambria" w:cs="Arial"/>
          <w:b/>
          <w:lang w:val="es-CR"/>
        </w:rPr>
        <w:t>Ángel Alberto Duque</w:t>
      </w:r>
    </w:p>
    <w:p w:rsidR="00093949" w:rsidRPr="00CD05AF" w:rsidRDefault="000C14EF" w:rsidP="00131B61">
      <w:pPr>
        <w:tabs>
          <w:tab w:val="left" w:pos="720"/>
          <w:tab w:val="center" w:pos="6480"/>
        </w:tabs>
        <w:spacing w:after="0"/>
        <w:ind w:left="720"/>
        <w:jc w:val="both"/>
        <w:rPr>
          <w:rFonts w:ascii="Cambria" w:hAnsi="Cambria" w:cs="Arial"/>
          <w:b/>
          <w:lang w:val="es-ES_tradnl"/>
        </w:rPr>
      </w:pPr>
      <w:r w:rsidRPr="00CD05AF">
        <w:rPr>
          <w:rFonts w:ascii="Cambria" w:hAnsi="Cambria" w:cs="Arial"/>
          <w:b/>
          <w:lang w:val="es-ES_tradnl"/>
        </w:rPr>
        <w:t>Colombia</w:t>
      </w:r>
      <w:r w:rsidR="00093949" w:rsidRPr="00CD05AF">
        <w:rPr>
          <w:rFonts w:ascii="Cambria" w:hAnsi="Cambria" w:cs="Arial"/>
          <w:b/>
          <w:lang w:val="es-ES_tradnl"/>
        </w:rPr>
        <w:t xml:space="preserve"> </w:t>
      </w:r>
    </w:p>
    <w:p w:rsidR="00093949" w:rsidRDefault="00093949" w:rsidP="00131B61">
      <w:pPr>
        <w:tabs>
          <w:tab w:val="left" w:pos="720"/>
          <w:tab w:val="center" w:pos="6480"/>
        </w:tabs>
        <w:spacing w:after="0"/>
        <w:jc w:val="both"/>
        <w:rPr>
          <w:rFonts w:ascii="Cambria" w:hAnsi="Cambria" w:cs="Arial"/>
          <w:lang w:val="es-PE"/>
        </w:rPr>
      </w:pPr>
    </w:p>
    <w:p w:rsidR="00B52D7F" w:rsidRPr="00CD05AF" w:rsidRDefault="00B52D7F" w:rsidP="00131B61">
      <w:pPr>
        <w:tabs>
          <w:tab w:val="left" w:pos="720"/>
          <w:tab w:val="center" w:pos="6480"/>
        </w:tabs>
        <w:spacing w:after="0"/>
        <w:jc w:val="both"/>
        <w:rPr>
          <w:rFonts w:ascii="Cambria" w:hAnsi="Cambria" w:cs="Arial"/>
          <w:lang w:val="es-PE"/>
        </w:rPr>
      </w:pPr>
    </w:p>
    <w:p w:rsidR="00093949" w:rsidRPr="00CD05AF" w:rsidRDefault="00093949" w:rsidP="00131B61">
      <w:pPr>
        <w:tabs>
          <w:tab w:val="left" w:pos="720"/>
          <w:tab w:val="center" w:pos="6480"/>
        </w:tabs>
        <w:spacing w:after="0"/>
        <w:jc w:val="both"/>
        <w:rPr>
          <w:rFonts w:ascii="Cambria" w:hAnsi="Cambria" w:cs="Arial"/>
          <w:lang w:val="es-PE"/>
        </w:rPr>
      </w:pPr>
      <w:r w:rsidRPr="00CD05AF">
        <w:rPr>
          <w:rFonts w:ascii="Cambria" w:hAnsi="Cambria" w:cs="Arial"/>
          <w:lang w:val="es-PE"/>
        </w:rPr>
        <w:t>Señor Secretario:</w:t>
      </w:r>
    </w:p>
    <w:p w:rsidR="00093949" w:rsidRPr="00CD05AF" w:rsidRDefault="00093949" w:rsidP="00131B61">
      <w:pPr>
        <w:spacing w:after="0"/>
        <w:rPr>
          <w:rFonts w:ascii="Cambria" w:hAnsi="Cambria" w:cs="Arial"/>
          <w:lang w:val="es-CO"/>
        </w:rPr>
      </w:pPr>
    </w:p>
    <w:p w:rsidR="00093949" w:rsidRPr="00CD05AF" w:rsidRDefault="00093949" w:rsidP="00F84185">
      <w:pPr>
        <w:tabs>
          <w:tab w:val="left" w:pos="709"/>
          <w:tab w:val="left" w:pos="1134"/>
        </w:tabs>
        <w:spacing w:after="0" w:line="240" w:lineRule="auto"/>
        <w:jc w:val="both"/>
        <w:rPr>
          <w:rFonts w:ascii="Cambria" w:hAnsi="Cambria" w:cs="Arial"/>
          <w:lang w:val="es-CO"/>
        </w:rPr>
      </w:pPr>
      <w:r w:rsidRPr="00CD05AF">
        <w:rPr>
          <w:rFonts w:ascii="Cambria" w:hAnsi="Cambria"/>
          <w:lang w:val="es-CO"/>
        </w:rPr>
        <w:tab/>
        <w:t>Tengo el agrado de dirigirme a usted en nombre de la Comisión Interamericana de Derechos Humanos con el objeto</w:t>
      </w:r>
      <w:r w:rsidRPr="00CD05AF">
        <w:rPr>
          <w:rFonts w:ascii="Cambria" w:hAnsi="Cambria" w:cs="Arial"/>
          <w:lang w:val="es-CO"/>
        </w:rPr>
        <w:t xml:space="preserve"> de someter a la jurisdicción de la Honorable Corte Interamericana de Derechos Humanos, el caso 12.</w:t>
      </w:r>
      <w:r w:rsidR="009D786E" w:rsidRPr="00CD05AF">
        <w:rPr>
          <w:rFonts w:ascii="Cambria" w:hAnsi="Cambria" w:cs="Arial"/>
          <w:lang w:val="es-CO"/>
        </w:rPr>
        <w:t>841</w:t>
      </w:r>
      <w:r w:rsidRPr="00CD05AF">
        <w:rPr>
          <w:rFonts w:ascii="Cambria" w:hAnsi="Cambria" w:cs="Arial"/>
          <w:lang w:val="es-CO"/>
        </w:rPr>
        <w:t xml:space="preserve"> – </w:t>
      </w:r>
      <w:r w:rsidR="009D786E" w:rsidRPr="00CD05AF">
        <w:rPr>
          <w:rFonts w:ascii="Cambria" w:hAnsi="Cambria" w:cs="Arial"/>
          <w:lang w:val="es-CO"/>
        </w:rPr>
        <w:t xml:space="preserve">Ángel Alberto Duque </w:t>
      </w:r>
      <w:r w:rsidRPr="00CD05AF">
        <w:rPr>
          <w:rFonts w:ascii="Cambria" w:hAnsi="Cambria" w:cs="Arial"/>
          <w:lang w:val="es-CO"/>
        </w:rPr>
        <w:t>respecto de la República de</w:t>
      </w:r>
      <w:r w:rsidR="009D786E" w:rsidRPr="00CD05AF">
        <w:rPr>
          <w:rFonts w:ascii="Cambria" w:hAnsi="Cambria" w:cs="Arial"/>
          <w:lang w:val="es-CO"/>
        </w:rPr>
        <w:t xml:space="preserve"> Colombia</w:t>
      </w:r>
      <w:r w:rsidRPr="00CD05AF">
        <w:rPr>
          <w:rFonts w:ascii="Cambria" w:hAnsi="Cambria" w:cs="Arial"/>
          <w:lang w:val="es-CO"/>
        </w:rPr>
        <w:t xml:space="preserve"> (en adelante “el Estado”, “el Estado </w:t>
      </w:r>
      <w:r w:rsidR="009D786E" w:rsidRPr="00CD05AF">
        <w:rPr>
          <w:rFonts w:ascii="Cambria" w:hAnsi="Cambria" w:cs="Arial"/>
          <w:lang w:val="es-CO"/>
        </w:rPr>
        <w:t>colombiano</w:t>
      </w:r>
      <w:r w:rsidRPr="00CD05AF">
        <w:rPr>
          <w:rFonts w:ascii="Cambria" w:hAnsi="Cambria" w:cs="Arial"/>
          <w:lang w:val="es-CO"/>
        </w:rPr>
        <w:t>” o “</w:t>
      </w:r>
      <w:r w:rsidR="009D786E" w:rsidRPr="00CD05AF">
        <w:rPr>
          <w:rFonts w:ascii="Cambria" w:hAnsi="Cambria" w:cs="Arial"/>
          <w:lang w:val="es-CO"/>
        </w:rPr>
        <w:t>Colombia</w:t>
      </w:r>
      <w:r w:rsidRPr="00CD05AF">
        <w:rPr>
          <w:rFonts w:ascii="Cambria" w:hAnsi="Cambria" w:cs="Arial"/>
          <w:lang w:val="es-CO"/>
        </w:rPr>
        <w:t xml:space="preserve">”). </w:t>
      </w:r>
    </w:p>
    <w:p w:rsidR="00093949" w:rsidRPr="00CD05AF" w:rsidRDefault="00093949" w:rsidP="00F84185">
      <w:pPr>
        <w:tabs>
          <w:tab w:val="left" w:pos="709"/>
        </w:tabs>
        <w:spacing w:after="0"/>
        <w:jc w:val="both"/>
        <w:rPr>
          <w:rFonts w:ascii="Cambria" w:hAnsi="Cambria" w:cs="Arial"/>
          <w:lang w:val="es-CO"/>
        </w:rPr>
      </w:pPr>
    </w:p>
    <w:p w:rsidR="000143EA" w:rsidRPr="00CD05AF" w:rsidRDefault="00F84185" w:rsidP="00F84185">
      <w:pPr>
        <w:tabs>
          <w:tab w:val="left" w:pos="709"/>
          <w:tab w:val="left" w:pos="1134"/>
        </w:tabs>
        <w:spacing w:after="0" w:line="240" w:lineRule="auto"/>
        <w:jc w:val="both"/>
        <w:rPr>
          <w:rFonts w:ascii="Cambria" w:hAnsi="Cambria"/>
          <w:lang w:val="es-CO"/>
        </w:rPr>
      </w:pPr>
      <w:r w:rsidRPr="00CD05AF">
        <w:rPr>
          <w:rFonts w:ascii="Cambria" w:hAnsi="Cambria"/>
          <w:lang w:val="es-CO"/>
        </w:rPr>
        <w:tab/>
      </w:r>
      <w:r w:rsidR="000143EA" w:rsidRPr="00CD05AF">
        <w:rPr>
          <w:rFonts w:ascii="Cambria" w:hAnsi="Cambria"/>
          <w:lang w:val="es-CO"/>
        </w:rPr>
        <w:t xml:space="preserve">El presente caso se relaciona con la exclusión del señor </w:t>
      </w:r>
      <w:r w:rsidR="009A1BCC" w:rsidRPr="00CD05AF">
        <w:rPr>
          <w:rFonts w:ascii="Cambria" w:hAnsi="Cambria"/>
          <w:lang w:val="es-CO"/>
        </w:rPr>
        <w:t>Ángel</w:t>
      </w:r>
      <w:r w:rsidR="000143EA" w:rsidRPr="00CD05AF">
        <w:rPr>
          <w:rFonts w:ascii="Cambria" w:hAnsi="Cambria"/>
          <w:lang w:val="es-CO"/>
        </w:rPr>
        <w:t xml:space="preserve"> Alberto Duque de la posibilidad de obtener una pensión de sobrevivencia tras la muerte de su pareja, con base en que se trataba de una pareja del mismo sexo. La Comisión consideró que si bien el fin invocado consistente en la protección de la familia era legítimo en abstracto, la diferencia de trato no podía considerarse idónea pues el concepto de familia citad</w:t>
      </w:r>
      <w:r w:rsidR="00B52D7F">
        <w:rPr>
          <w:rFonts w:ascii="Cambria" w:hAnsi="Cambria"/>
          <w:lang w:val="es-CO"/>
        </w:rPr>
        <w:t>o por las autoridades estatales</w:t>
      </w:r>
      <w:r w:rsidR="000143EA" w:rsidRPr="00CD05AF">
        <w:rPr>
          <w:rFonts w:ascii="Cambria" w:hAnsi="Cambria"/>
          <w:lang w:val="es-CO"/>
        </w:rPr>
        <w:t xml:space="preserve"> es limitado y estereotipado, excluyendo arbitrariamente formas diversas de familia como las formadas por parejas del mismo sexo. </w:t>
      </w:r>
      <w:r w:rsidR="002F0351" w:rsidRPr="00CD05AF">
        <w:rPr>
          <w:rFonts w:ascii="Cambria" w:hAnsi="Cambria"/>
          <w:lang w:val="es-CO"/>
        </w:rPr>
        <w:t xml:space="preserve">En atención a </w:t>
      </w:r>
      <w:r w:rsidR="000143EA" w:rsidRPr="00CD05AF">
        <w:rPr>
          <w:rFonts w:ascii="Cambria" w:hAnsi="Cambria"/>
          <w:lang w:val="es-CO"/>
        </w:rPr>
        <w:t xml:space="preserve">lo anterior, la Comisión concluyó que el señor Duque fue víctima de discriminación con base en su orientación sexual. Asimismo, la Comisión consideró que el Estado no proveyó a la víctima de un recurso efectivo frente a tal violación sino que, por el contrario, las autoridades judiciales que conocieron el caso </w:t>
      </w:r>
      <w:r w:rsidR="009A1BCC" w:rsidRPr="00CD05AF">
        <w:rPr>
          <w:rFonts w:ascii="Cambria" w:hAnsi="Cambria"/>
          <w:lang w:val="es-CO"/>
        </w:rPr>
        <w:t>perpetuaron</w:t>
      </w:r>
      <w:r w:rsidR="000143EA" w:rsidRPr="00CD05AF">
        <w:rPr>
          <w:rFonts w:ascii="Cambria" w:hAnsi="Cambria"/>
          <w:lang w:val="es-CO"/>
        </w:rPr>
        <w:t xml:space="preserve"> con sus decisiones los perjuicios y la estigmatización de las personas</w:t>
      </w:r>
      <w:r w:rsidR="002F0351" w:rsidRPr="00CD05AF">
        <w:rPr>
          <w:rFonts w:ascii="Cambria" w:hAnsi="Cambria"/>
          <w:lang w:val="es-CO"/>
        </w:rPr>
        <w:t xml:space="preserve"> y parejas</w:t>
      </w:r>
      <w:r w:rsidR="000143EA" w:rsidRPr="00CD05AF">
        <w:rPr>
          <w:rFonts w:ascii="Cambria" w:hAnsi="Cambria"/>
          <w:lang w:val="es-CO"/>
        </w:rPr>
        <w:t xml:space="preserve"> del mismo sexo. La Comisión también concluyó que debido a los múltiples factores de vulnerabil</w:t>
      </w:r>
      <w:r w:rsidR="00B52D7F">
        <w:rPr>
          <w:rFonts w:ascii="Cambria" w:hAnsi="Cambria"/>
          <w:lang w:val="es-CO"/>
        </w:rPr>
        <w:t>idad en que se encontraba el</w:t>
      </w:r>
      <w:r w:rsidR="000143EA" w:rsidRPr="00CD05AF">
        <w:rPr>
          <w:rFonts w:ascii="Cambria" w:hAnsi="Cambria"/>
          <w:lang w:val="es-CO"/>
        </w:rPr>
        <w:t xml:space="preserve"> señor Duque, incluyendo su orientación sexual, ser portador de VIH y su condición económica, la víctima también se vio afectada en su derecho a la integridad personal.</w:t>
      </w:r>
    </w:p>
    <w:p w:rsidR="00C56F13" w:rsidRPr="00CD05AF" w:rsidRDefault="00C56F13" w:rsidP="00F84185">
      <w:pPr>
        <w:tabs>
          <w:tab w:val="left" w:pos="709"/>
        </w:tabs>
        <w:spacing w:after="0"/>
        <w:ind w:firstLine="720"/>
        <w:jc w:val="both"/>
        <w:rPr>
          <w:rFonts w:ascii="Cambria" w:hAnsi="Cambria"/>
          <w:lang w:val="es-CO"/>
        </w:rPr>
      </w:pPr>
    </w:p>
    <w:p w:rsidR="000143EA" w:rsidRPr="00CD05AF" w:rsidRDefault="00F84185" w:rsidP="00F84185">
      <w:pPr>
        <w:tabs>
          <w:tab w:val="left" w:pos="709"/>
          <w:tab w:val="left" w:pos="1134"/>
        </w:tabs>
        <w:spacing w:after="0" w:line="240" w:lineRule="auto"/>
        <w:jc w:val="both"/>
        <w:rPr>
          <w:rFonts w:ascii="Cambria" w:hAnsi="Cambria" w:cs="Arial"/>
          <w:lang w:val="es-CO"/>
        </w:rPr>
      </w:pPr>
      <w:r w:rsidRPr="00CD05AF">
        <w:rPr>
          <w:rFonts w:ascii="Cambria" w:hAnsi="Cambria" w:cs="Arial"/>
          <w:lang w:val="es-CO"/>
        </w:rPr>
        <w:tab/>
      </w:r>
      <w:r w:rsidR="000143EA" w:rsidRPr="00CD05AF">
        <w:rPr>
          <w:rFonts w:ascii="Cambria" w:hAnsi="Cambria" w:cs="Arial"/>
          <w:lang w:val="es-CO"/>
        </w:rPr>
        <w:t xml:space="preserve">El Estado </w:t>
      </w:r>
      <w:r w:rsidR="000143EA" w:rsidRPr="00CD05AF">
        <w:rPr>
          <w:rFonts w:ascii="Cambria" w:hAnsi="Cambria"/>
          <w:lang w:val="es-CO"/>
        </w:rPr>
        <w:t>colombiano</w:t>
      </w:r>
      <w:r w:rsidR="000143EA" w:rsidRPr="00CD05AF">
        <w:rPr>
          <w:rFonts w:ascii="Cambria" w:hAnsi="Cambria" w:cs="Arial"/>
          <w:lang w:val="es-CO"/>
        </w:rPr>
        <w:t xml:space="preserve"> ratificó la Convención Americana sobre Derechos Humanos el 31 de julio de 1973 y aceptó la competencia contenciosa de la Corte el 21 de junio de 1985. </w:t>
      </w:r>
    </w:p>
    <w:p w:rsidR="000143EA" w:rsidRPr="00CD05AF" w:rsidRDefault="000143EA" w:rsidP="00131B61">
      <w:pPr>
        <w:spacing w:after="0"/>
        <w:jc w:val="both"/>
        <w:rPr>
          <w:rFonts w:ascii="Cambria" w:hAnsi="Cambria"/>
          <w:b/>
          <w:lang w:val="es-CO"/>
        </w:rPr>
      </w:pPr>
    </w:p>
    <w:p w:rsidR="00F84185" w:rsidRDefault="00F84185" w:rsidP="00131B61">
      <w:pPr>
        <w:spacing w:after="0"/>
        <w:jc w:val="both"/>
        <w:rPr>
          <w:rFonts w:ascii="Cambria" w:hAnsi="Cambria"/>
          <w:b/>
          <w:lang w:val="es-CO"/>
        </w:rPr>
      </w:pPr>
    </w:p>
    <w:p w:rsidR="00B52D7F" w:rsidRPr="00CD05AF" w:rsidRDefault="00B52D7F" w:rsidP="00131B61">
      <w:pPr>
        <w:spacing w:after="0"/>
        <w:jc w:val="both"/>
        <w:rPr>
          <w:rFonts w:ascii="Cambria" w:hAnsi="Cambria"/>
          <w:b/>
          <w:lang w:val="es-CO"/>
        </w:rPr>
      </w:pPr>
    </w:p>
    <w:p w:rsidR="00093949" w:rsidRPr="00CD05AF" w:rsidRDefault="00093949" w:rsidP="00B52D7F">
      <w:pPr>
        <w:spacing w:after="0" w:line="240" w:lineRule="auto"/>
        <w:jc w:val="both"/>
        <w:rPr>
          <w:rFonts w:ascii="Cambria" w:hAnsi="Cambria" w:cs="Arial"/>
          <w:snapToGrid w:val="0"/>
          <w:lang w:val="es-CO"/>
        </w:rPr>
      </w:pPr>
      <w:r w:rsidRPr="00CD05AF">
        <w:rPr>
          <w:rFonts w:ascii="Cambria" w:hAnsi="Cambria" w:cs="Arial"/>
          <w:snapToGrid w:val="0"/>
          <w:lang w:val="es-CO"/>
        </w:rPr>
        <w:t>Señor</w:t>
      </w:r>
    </w:p>
    <w:p w:rsidR="00093949" w:rsidRPr="00CD05AF" w:rsidRDefault="00093949" w:rsidP="00B52D7F">
      <w:pPr>
        <w:suppressAutoHyphens/>
        <w:spacing w:after="0" w:line="240" w:lineRule="auto"/>
        <w:rPr>
          <w:rFonts w:ascii="Cambria" w:hAnsi="Cambria" w:cs="Arial"/>
          <w:snapToGrid w:val="0"/>
          <w:lang w:val="es-CO"/>
        </w:rPr>
      </w:pPr>
      <w:r w:rsidRPr="00CD05AF">
        <w:rPr>
          <w:rFonts w:ascii="Cambria" w:hAnsi="Cambria" w:cs="Arial"/>
          <w:snapToGrid w:val="0"/>
          <w:lang w:val="es-CO"/>
        </w:rPr>
        <w:t>Pablo Saavedra Alessandri, Secretario</w:t>
      </w:r>
    </w:p>
    <w:p w:rsidR="00093949" w:rsidRPr="00CD05AF" w:rsidRDefault="00093949" w:rsidP="00B52D7F">
      <w:pPr>
        <w:suppressAutoHyphens/>
        <w:spacing w:after="0" w:line="240" w:lineRule="auto"/>
        <w:rPr>
          <w:rFonts w:ascii="Cambria" w:hAnsi="Cambria" w:cs="Arial"/>
          <w:snapToGrid w:val="0"/>
          <w:lang w:val="es-ES_tradnl"/>
        </w:rPr>
      </w:pPr>
      <w:r w:rsidRPr="00CD05AF">
        <w:rPr>
          <w:rFonts w:ascii="Cambria" w:hAnsi="Cambria" w:cs="Arial"/>
          <w:snapToGrid w:val="0"/>
          <w:lang w:val="es-ES_tradnl"/>
        </w:rPr>
        <w:t>Corte Interamericana de Derechos Humanos</w:t>
      </w:r>
    </w:p>
    <w:p w:rsidR="00093949" w:rsidRPr="00CD05AF" w:rsidRDefault="00093949" w:rsidP="00B52D7F">
      <w:pPr>
        <w:suppressAutoHyphens/>
        <w:spacing w:after="0" w:line="240" w:lineRule="auto"/>
        <w:rPr>
          <w:rFonts w:ascii="Cambria" w:hAnsi="Cambria" w:cs="Arial"/>
          <w:snapToGrid w:val="0"/>
          <w:lang w:val="es-ES_tradnl"/>
        </w:rPr>
      </w:pPr>
      <w:r w:rsidRPr="00CD05AF">
        <w:rPr>
          <w:rFonts w:ascii="Cambria" w:hAnsi="Cambria" w:cs="Arial"/>
          <w:snapToGrid w:val="0"/>
          <w:lang w:val="es-ES_tradnl"/>
        </w:rPr>
        <w:t>Apartado 6906-1000</w:t>
      </w:r>
    </w:p>
    <w:p w:rsidR="00093949" w:rsidRPr="00CD05AF" w:rsidRDefault="00093949" w:rsidP="00B52D7F">
      <w:pPr>
        <w:suppressAutoHyphens/>
        <w:spacing w:after="0" w:line="240" w:lineRule="auto"/>
        <w:rPr>
          <w:rFonts w:ascii="Cambria" w:hAnsi="Cambria" w:cs="Arial"/>
          <w:snapToGrid w:val="0"/>
          <w:lang w:val="es-ES_tradnl"/>
        </w:rPr>
      </w:pPr>
      <w:r w:rsidRPr="00CD05AF">
        <w:rPr>
          <w:rFonts w:ascii="Cambria" w:hAnsi="Cambria" w:cs="Arial"/>
          <w:snapToGrid w:val="0"/>
          <w:lang w:val="es-ES_tradnl"/>
        </w:rPr>
        <w:t>San José, Costa Rica</w:t>
      </w:r>
    </w:p>
    <w:p w:rsidR="00093949" w:rsidRPr="00CD05AF" w:rsidRDefault="00093949" w:rsidP="00131B61">
      <w:pPr>
        <w:suppressAutoHyphens/>
        <w:spacing w:after="0"/>
        <w:rPr>
          <w:rFonts w:ascii="Cambria" w:hAnsi="Cambria" w:cs="Arial"/>
          <w:snapToGrid w:val="0"/>
          <w:lang w:val="es-ES_tradnl"/>
        </w:rPr>
      </w:pPr>
    </w:p>
    <w:p w:rsidR="00093949" w:rsidRPr="00CD05AF" w:rsidRDefault="00093949" w:rsidP="00131B61">
      <w:pPr>
        <w:tabs>
          <w:tab w:val="num" w:pos="1710"/>
        </w:tabs>
        <w:autoSpaceDE w:val="0"/>
        <w:autoSpaceDN w:val="0"/>
        <w:adjustRightInd w:val="0"/>
        <w:spacing w:after="0"/>
        <w:rPr>
          <w:rFonts w:ascii="Cambria" w:hAnsi="Cambria" w:cs="Arial"/>
          <w:lang w:val="es-AR"/>
        </w:rPr>
      </w:pPr>
      <w:r w:rsidRPr="00CD05AF">
        <w:rPr>
          <w:rFonts w:ascii="Cambria" w:hAnsi="Cambria" w:cs="Arial"/>
          <w:lang w:val="es-AR"/>
        </w:rPr>
        <w:t>Anexos</w:t>
      </w:r>
    </w:p>
    <w:p w:rsidR="00093949" w:rsidRPr="00CD05AF" w:rsidRDefault="00093949" w:rsidP="00131B61">
      <w:pPr>
        <w:spacing w:after="0"/>
        <w:ind w:firstLine="720"/>
        <w:jc w:val="both"/>
        <w:rPr>
          <w:rFonts w:ascii="Cambria" w:hAnsi="Cambria" w:cs="Arial"/>
          <w:lang w:val="es-CO"/>
        </w:rPr>
      </w:pPr>
    </w:p>
    <w:p w:rsidR="00C56F13" w:rsidRPr="00CD05AF" w:rsidRDefault="00F84185" w:rsidP="00F84185">
      <w:pPr>
        <w:tabs>
          <w:tab w:val="left" w:pos="709"/>
          <w:tab w:val="left" w:pos="1134"/>
        </w:tabs>
        <w:spacing w:after="0" w:line="240" w:lineRule="auto"/>
        <w:jc w:val="both"/>
        <w:rPr>
          <w:rFonts w:ascii="Cambria" w:hAnsi="Cambria" w:cs="Arial"/>
          <w:lang w:val="es-CO"/>
        </w:rPr>
      </w:pPr>
      <w:r w:rsidRPr="00CD05AF">
        <w:rPr>
          <w:rFonts w:ascii="Cambria" w:hAnsi="Cambria"/>
          <w:lang w:val="es-CO"/>
        </w:rPr>
        <w:tab/>
      </w:r>
      <w:r w:rsidR="00093949" w:rsidRPr="00CD05AF">
        <w:rPr>
          <w:rFonts w:ascii="Cambria" w:hAnsi="Cambria"/>
          <w:lang w:val="es-CO"/>
        </w:rPr>
        <w:t xml:space="preserve">La Comisión ha designado al Comisionado </w:t>
      </w:r>
      <w:r w:rsidR="004203BC" w:rsidRPr="00CD05AF">
        <w:rPr>
          <w:rFonts w:ascii="Cambria" w:hAnsi="Cambria"/>
          <w:lang w:val="es-CO"/>
        </w:rPr>
        <w:t>José de Jesús Orozco Henríquez</w:t>
      </w:r>
      <w:r w:rsidR="00093949" w:rsidRPr="00CD05AF">
        <w:rPr>
          <w:rFonts w:ascii="Cambria" w:hAnsi="Cambria"/>
          <w:lang w:val="es-CO"/>
        </w:rPr>
        <w:t xml:space="preserve"> y al Secretario Ejecutivo Emilio Álvarez Icaza L. como sus delegados. Asimismo, Elizabeth Abi-Mershed, Secretaria Ejecutiva </w:t>
      </w:r>
      <w:r w:rsidR="00B36072" w:rsidRPr="00CD05AF">
        <w:rPr>
          <w:rFonts w:ascii="Cambria" w:hAnsi="Cambria"/>
          <w:lang w:val="es-CO"/>
        </w:rPr>
        <w:t>Adjunta y Fanny Gómez Lugo y Silvia Serrano Guzmán,</w:t>
      </w:r>
      <w:r w:rsidR="00093949" w:rsidRPr="00CD05AF">
        <w:rPr>
          <w:rFonts w:ascii="Cambria" w:hAnsi="Cambria"/>
          <w:lang w:val="es-CO"/>
        </w:rPr>
        <w:t xml:space="preserve"> abogada</w:t>
      </w:r>
      <w:r w:rsidR="00B36072" w:rsidRPr="00CD05AF">
        <w:rPr>
          <w:rFonts w:ascii="Cambria" w:hAnsi="Cambria"/>
          <w:lang w:val="es-CO"/>
        </w:rPr>
        <w:t>s</w:t>
      </w:r>
      <w:r w:rsidR="00093949" w:rsidRPr="00CD05AF">
        <w:rPr>
          <w:rFonts w:ascii="Cambria" w:hAnsi="Cambria"/>
          <w:lang w:val="es-CO"/>
        </w:rPr>
        <w:t xml:space="preserve"> de la Secretaría Ejecutiva de la CIDH, actuarán como asesoras legales.</w:t>
      </w:r>
    </w:p>
    <w:p w:rsidR="00C56F13" w:rsidRPr="00CD05AF" w:rsidRDefault="00C56F13" w:rsidP="00F84185">
      <w:pPr>
        <w:tabs>
          <w:tab w:val="left" w:pos="709"/>
        </w:tabs>
        <w:spacing w:after="0"/>
        <w:ind w:firstLine="720"/>
        <w:jc w:val="both"/>
        <w:rPr>
          <w:rFonts w:ascii="Cambria" w:hAnsi="Cambria" w:cs="Arial"/>
          <w:lang w:val="es-CO"/>
        </w:rPr>
      </w:pPr>
    </w:p>
    <w:p w:rsidR="00C56F13" w:rsidRPr="00CD05AF" w:rsidRDefault="00F84185" w:rsidP="00F84185">
      <w:pPr>
        <w:tabs>
          <w:tab w:val="left" w:pos="709"/>
          <w:tab w:val="left" w:pos="1134"/>
        </w:tabs>
        <w:spacing w:after="0" w:line="240" w:lineRule="auto"/>
        <w:jc w:val="both"/>
        <w:rPr>
          <w:rFonts w:ascii="Cambria" w:hAnsi="Cambria" w:cs="Arial"/>
          <w:lang w:val="es-CO"/>
        </w:rPr>
      </w:pPr>
      <w:r w:rsidRPr="00CD05AF">
        <w:rPr>
          <w:rFonts w:ascii="Cambria" w:hAnsi="Cambria" w:cs="Arial"/>
          <w:lang w:val="es-CO"/>
        </w:rPr>
        <w:tab/>
      </w:r>
      <w:r w:rsidR="00093949" w:rsidRPr="00CD05AF">
        <w:rPr>
          <w:rFonts w:ascii="Cambria" w:hAnsi="Cambria" w:cs="Arial"/>
          <w:lang w:val="es-CO"/>
        </w:rPr>
        <w:t xml:space="preserve">De conformidad con el artículo 35 del Reglamento de la Corte Interamericana, la Comisión adjunta </w:t>
      </w:r>
      <w:r w:rsidR="00093949" w:rsidRPr="00CD05AF">
        <w:rPr>
          <w:rFonts w:ascii="Cambria" w:hAnsi="Cambria"/>
          <w:lang w:val="es-CO"/>
        </w:rPr>
        <w:t xml:space="preserve">copia del informe </w:t>
      </w:r>
      <w:r w:rsidR="007B13F3" w:rsidRPr="00CD05AF">
        <w:rPr>
          <w:rFonts w:ascii="Cambria" w:hAnsi="Cambria"/>
          <w:lang w:val="es-CO"/>
        </w:rPr>
        <w:t>5</w:t>
      </w:r>
      <w:r w:rsidR="00093949" w:rsidRPr="00CD05AF">
        <w:rPr>
          <w:rFonts w:ascii="Cambria" w:hAnsi="Cambria"/>
          <w:lang w:val="es-CO"/>
        </w:rPr>
        <w:t xml:space="preserve">/14 elaborado en observancia del artículo 50 de la Convención, así como copia de la totalidad del expediente ante la Comisión Interamericana (Apéndice I) y los anexos utilizados en la elaboración del informe </w:t>
      </w:r>
      <w:r w:rsidR="007B13F3" w:rsidRPr="00CD05AF">
        <w:rPr>
          <w:rFonts w:ascii="Cambria" w:hAnsi="Cambria"/>
          <w:lang w:val="es-CO"/>
        </w:rPr>
        <w:t>5</w:t>
      </w:r>
      <w:r w:rsidR="00093949" w:rsidRPr="00CD05AF">
        <w:rPr>
          <w:rFonts w:ascii="Cambria" w:hAnsi="Cambria"/>
          <w:lang w:val="es-CO"/>
        </w:rPr>
        <w:t xml:space="preserve">/14 (Anexos). Dicho informe de fondo </w:t>
      </w:r>
      <w:r w:rsidR="00093949" w:rsidRPr="00CD05AF">
        <w:rPr>
          <w:rFonts w:ascii="Cambria" w:hAnsi="Cambria"/>
          <w:lang w:val="es-AR"/>
        </w:rPr>
        <w:t xml:space="preserve">fue notificado al Estado de </w:t>
      </w:r>
      <w:r w:rsidR="007B13F3" w:rsidRPr="00CD05AF">
        <w:rPr>
          <w:rFonts w:ascii="Cambria" w:hAnsi="Cambria"/>
          <w:lang w:val="es-AR"/>
        </w:rPr>
        <w:t>Colombia</w:t>
      </w:r>
      <w:r w:rsidR="00093949" w:rsidRPr="00CD05AF">
        <w:rPr>
          <w:rFonts w:ascii="Cambria" w:hAnsi="Cambria"/>
          <w:lang w:val="es-AR"/>
        </w:rPr>
        <w:t xml:space="preserve"> mediante comunicación de </w:t>
      </w:r>
      <w:r w:rsidR="00FD5AFE" w:rsidRPr="00CD05AF">
        <w:rPr>
          <w:rFonts w:ascii="Cambria" w:hAnsi="Cambria"/>
          <w:lang w:val="es-AR"/>
        </w:rPr>
        <w:t>21</w:t>
      </w:r>
      <w:r w:rsidR="00093949" w:rsidRPr="00CD05AF">
        <w:rPr>
          <w:rFonts w:ascii="Cambria" w:hAnsi="Cambria"/>
          <w:lang w:val="es-AR"/>
        </w:rPr>
        <w:t xml:space="preserve"> de</w:t>
      </w:r>
      <w:r w:rsidR="00FD5AFE" w:rsidRPr="00CD05AF">
        <w:rPr>
          <w:rFonts w:ascii="Cambria" w:hAnsi="Cambria"/>
          <w:lang w:val="es-AR"/>
        </w:rPr>
        <w:t xml:space="preserve"> abril</w:t>
      </w:r>
      <w:r w:rsidR="00093949" w:rsidRPr="00CD05AF">
        <w:rPr>
          <w:rFonts w:ascii="Cambria" w:hAnsi="Cambria"/>
          <w:lang w:val="es-AR"/>
        </w:rPr>
        <w:t xml:space="preserve"> de 2014, otorgándole un plazo de dos meses para informar sobre el cumplimiento de las recomendaciones.  El Estado de </w:t>
      </w:r>
      <w:r w:rsidR="00D769F3" w:rsidRPr="00CD05AF">
        <w:rPr>
          <w:rFonts w:ascii="Cambria" w:hAnsi="Cambria"/>
          <w:lang w:val="es-AR"/>
        </w:rPr>
        <w:t xml:space="preserve">Colombia solicitó una prórroga de tres meses, la cual fue otorgada por la Comisión, solicitándole presentar un nuevo informe </w:t>
      </w:r>
      <w:r w:rsidR="00AB6ED1" w:rsidRPr="00CD05AF">
        <w:rPr>
          <w:rFonts w:ascii="Cambria" w:hAnsi="Cambria"/>
          <w:lang w:val="es-AR"/>
        </w:rPr>
        <w:t>al respecto.</w:t>
      </w:r>
      <w:r w:rsidR="00D769F3" w:rsidRPr="00CD05AF">
        <w:rPr>
          <w:rFonts w:ascii="Cambria" w:hAnsi="Cambria"/>
          <w:lang w:val="es-AR"/>
        </w:rPr>
        <w:t xml:space="preserve"> En su segundo informe, el Estado reiteró los avances jurisprudenciales y otras políticas en materia de orientación sexual, pero se abstuvo de efectuar una propuesta concreta de reparación integral para la víctima. Específicamente, el Estado indicó que la víctima debía iniciar un</w:t>
      </w:r>
      <w:r w:rsidR="00FF0848" w:rsidRPr="00CD05AF">
        <w:rPr>
          <w:rFonts w:ascii="Cambria" w:hAnsi="Cambria"/>
          <w:lang w:val="es-AR"/>
        </w:rPr>
        <w:t xml:space="preserve"> segundo</w:t>
      </w:r>
      <w:r w:rsidR="00D769F3" w:rsidRPr="00CD05AF">
        <w:rPr>
          <w:rFonts w:ascii="Cambria" w:hAnsi="Cambria"/>
          <w:lang w:val="es-AR"/>
        </w:rPr>
        <w:t xml:space="preserve"> trámite</w:t>
      </w:r>
      <w:r w:rsidR="00FF0848" w:rsidRPr="00CD05AF">
        <w:rPr>
          <w:rFonts w:ascii="Cambria" w:hAnsi="Cambria"/>
          <w:lang w:val="es-AR"/>
        </w:rPr>
        <w:t xml:space="preserve"> – adicional al ya denegado y que constituyó la base del informe de fondo –</w:t>
      </w:r>
      <w:r w:rsidR="00D769F3" w:rsidRPr="00CD05AF">
        <w:rPr>
          <w:rFonts w:ascii="Cambria" w:hAnsi="Cambria"/>
          <w:lang w:val="es-AR"/>
        </w:rPr>
        <w:t xml:space="preserve"> para obtener su pensión de </w:t>
      </w:r>
      <w:r w:rsidR="00D769F3" w:rsidRPr="00CD05AF">
        <w:rPr>
          <w:rFonts w:ascii="Cambria" w:hAnsi="Cambria" w:cs="Calibri"/>
          <w:lang w:val="es-CO"/>
        </w:rPr>
        <w:t>sobreviviente</w:t>
      </w:r>
      <w:r w:rsidR="00D769F3" w:rsidRPr="00CD05AF">
        <w:rPr>
          <w:rFonts w:ascii="Cambria" w:hAnsi="Cambria"/>
          <w:lang w:val="es-AR"/>
        </w:rPr>
        <w:t xml:space="preserve"> y no presentó una propuesta de reparación por el daño causado debido </w:t>
      </w:r>
      <w:r w:rsidR="001B006F" w:rsidRPr="00CD05AF">
        <w:rPr>
          <w:rFonts w:ascii="Cambria" w:hAnsi="Cambria"/>
          <w:lang w:val="es-AR"/>
        </w:rPr>
        <w:t xml:space="preserve">a </w:t>
      </w:r>
      <w:r w:rsidR="00D769F3" w:rsidRPr="00CD05AF">
        <w:rPr>
          <w:rFonts w:ascii="Cambria" w:hAnsi="Cambria"/>
          <w:lang w:val="es-AR"/>
        </w:rPr>
        <w:t>las acciones y omisiones consumadas, incluyendo la negativa de obtener la pensión</w:t>
      </w:r>
      <w:r w:rsidR="00C875BC" w:rsidRPr="00CD05AF">
        <w:rPr>
          <w:rFonts w:ascii="Cambria" w:hAnsi="Cambria"/>
          <w:lang w:val="es-AR"/>
        </w:rPr>
        <w:t>, los efectos de dicha negativa en su derecho a la salud</w:t>
      </w:r>
      <w:r w:rsidR="00844522" w:rsidRPr="00CD05AF">
        <w:rPr>
          <w:rFonts w:ascii="Cambria" w:hAnsi="Cambria"/>
          <w:lang w:val="es-AR"/>
        </w:rPr>
        <w:t xml:space="preserve"> y la</w:t>
      </w:r>
      <w:r w:rsidR="00D769F3" w:rsidRPr="00CD05AF">
        <w:rPr>
          <w:rFonts w:ascii="Cambria" w:hAnsi="Cambria"/>
          <w:lang w:val="es-AR"/>
        </w:rPr>
        <w:t xml:space="preserve"> denegación de justicia. </w:t>
      </w:r>
      <w:r w:rsidR="00C875BC" w:rsidRPr="00CD05AF">
        <w:rPr>
          <w:rFonts w:ascii="Cambria" w:hAnsi="Cambria"/>
          <w:lang w:val="es-AR"/>
        </w:rPr>
        <w:t xml:space="preserve">Asimismo, el Estado indicó que no reconoce que de los hechos del caso resulte un “ilícito internacional” y no solicitó una nueva prórroga. </w:t>
      </w:r>
    </w:p>
    <w:p w:rsidR="00C56F13" w:rsidRPr="00CD05AF" w:rsidRDefault="00C56F13" w:rsidP="00F84185">
      <w:pPr>
        <w:tabs>
          <w:tab w:val="left" w:pos="709"/>
        </w:tabs>
        <w:spacing w:after="0"/>
        <w:ind w:firstLine="720"/>
        <w:jc w:val="both"/>
        <w:rPr>
          <w:rFonts w:ascii="Cambria" w:hAnsi="Cambria" w:cs="Arial"/>
          <w:lang w:val="es-CO"/>
        </w:rPr>
      </w:pPr>
    </w:p>
    <w:p w:rsidR="00C56F13" w:rsidRPr="00CD05AF" w:rsidRDefault="00F84185" w:rsidP="00F84185">
      <w:pPr>
        <w:tabs>
          <w:tab w:val="left" w:pos="709"/>
          <w:tab w:val="left" w:pos="1134"/>
        </w:tabs>
        <w:spacing w:after="0" w:line="240" w:lineRule="auto"/>
        <w:jc w:val="both"/>
        <w:rPr>
          <w:rFonts w:ascii="Cambria" w:hAnsi="Cambria" w:cs="Arial"/>
          <w:lang w:val="es-CO"/>
        </w:rPr>
      </w:pPr>
      <w:r w:rsidRPr="00CD05AF">
        <w:rPr>
          <w:rFonts w:ascii="Cambria" w:hAnsi="Cambria"/>
          <w:lang w:val="es-AR"/>
        </w:rPr>
        <w:tab/>
      </w:r>
      <w:r w:rsidR="00093949" w:rsidRPr="00CD05AF">
        <w:rPr>
          <w:rFonts w:ascii="Cambria" w:hAnsi="Cambria"/>
          <w:lang w:val="es-AR"/>
        </w:rPr>
        <w:t xml:space="preserve">En consecuencia, la Comisión decidió someter el presente caso a la jurisdicción de la Corte Interamericana por la necesidad de obtención de justicia para la víctima. </w:t>
      </w:r>
      <w:r w:rsidR="00093949" w:rsidRPr="00CD05AF">
        <w:rPr>
          <w:rFonts w:ascii="Cambria" w:hAnsi="Cambria"/>
          <w:lang w:val="es-CO"/>
        </w:rPr>
        <w:t xml:space="preserve">La Comisión Interamericana somete a la jurisdicción </w:t>
      </w:r>
      <w:r w:rsidR="00093949" w:rsidRPr="00CD05AF">
        <w:rPr>
          <w:rFonts w:ascii="Cambria" w:hAnsi="Cambria" w:cs="Calibri"/>
          <w:lang w:val="es-CO"/>
        </w:rPr>
        <w:t>d</w:t>
      </w:r>
      <w:r w:rsidR="00093949" w:rsidRPr="00CD05AF">
        <w:rPr>
          <w:rFonts w:ascii="Cambria" w:hAnsi="Cambria" w:cs="Arial"/>
          <w:lang w:val="es-CL"/>
        </w:rPr>
        <w:t>e</w:t>
      </w:r>
      <w:r w:rsidR="00093949" w:rsidRPr="00CD05AF">
        <w:rPr>
          <w:rFonts w:ascii="Cambria" w:hAnsi="Cambria"/>
          <w:lang w:val="es-CO"/>
        </w:rPr>
        <w:t xml:space="preserve"> la Corte la totalidad de los hechos y violaciones de derechos humanos descritos en el informe de fondo </w:t>
      </w:r>
      <w:r w:rsidR="00340848" w:rsidRPr="00CD05AF">
        <w:rPr>
          <w:rFonts w:ascii="Cambria" w:hAnsi="Cambria"/>
          <w:lang w:val="es-CO"/>
        </w:rPr>
        <w:t>5</w:t>
      </w:r>
      <w:r w:rsidR="00093949" w:rsidRPr="00CD05AF">
        <w:rPr>
          <w:rFonts w:ascii="Cambria" w:hAnsi="Cambria"/>
          <w:lang w:val="es-CO"/>
        </w:rPr>
        <w:t xml:space="preserve">/14. </w:t>
      </w:r>
    </w:p>
    <w:p w:rsidR="00C56F13" w:rsidRPr="00CD05AF" w:rsidRDefault="00C56F13" w:rsidP="00F84185">
      <w:pPr>
        <w:tabs>
          <w:tab w:val="left" w:pos="709"/>
        </w:tabs>
        <w:spacing w:after="0"/>
        <w:ind w:firstLine="720"/>
        <w:jc w:val="both"/>
        <w:rPr>
          <w:rFonts w:ascii="Cambria" w:hAnsi="Cambria" w:cs="Arial"/>
          <w:lang w:val="es-CO"/>
        </w:rPr>
      </w:pPr>
    </w:p>
    <w:p w:rsidR="00AE4B66" w:rsidRPr="00CD05AF" w:rsidRDefault="00C56F13" w:rsidP="00F84185">
      <w:pPr>
        <w:tabs>
          <w:tab w:val="left" w:pos="709"/>
          <w:tab w:val="left" w:pos="1134"/>
        </w:tabs>
        <w:spacing w:after="0" w:line="240" w:lineRule="auto"/>
        <w:jc w:val="both"/>
        <w:rPr>
          <w:rFonts w:ascii="Cambria" w:hAnsi="Cambria" w:cs="Arial"/>
          <w:lang w:val="es-CO"/>
        </w:rPr>
      </w:pPr>
      <w:r w:rsidRPr="00CD05AF">
        <w:rPr>
          <w:rFonts w:ascii="Cambria" w:hAnsi="Cambria"/>
          <w:lang w:val="es-CO"/>
        </w:rPr>
        <w:tab/>
      </w:r>
      <w:r w:rsidR="00093949" w:rsidRPr="00CD05AF">
        <w:rPr>
          <w:rFonts w:ascii="Cambria" w:hAnsi="Cambria"/>
          <w:lang w:val="es-CO"/>
        </w:rPr>
        <w:t>En ese sentido, la Comisión solicita a la Corte que concluya y declare la responsabilidad internacional del</w:t>
      </w:r>
      <w:r w:rsidR="00093949" w:rsidRPr="00CD05AF">
        <w:rPr>
          <w:rFonts w:ascii="Cambria" w:hAnsi="Cambria" w:cs="Arial"/>
          <w:lang w:val="es-CL"/>
        </w:rPr>
        <w:t xml:space="preserve"> Estado de </w:t>
      </w:r>
      <w:r w:rsidR="00340848" w:rsidRPr="00CD05AF">
        <w:rPr>
          <w:rFonts w:ascii="Cambria" w:hAnsi="Cambria" w:cs="Arial"/>
          <w:lang w:val="es-CL"/>
        </w:rPr>
        <w:t xml:space="preserve">Colombia </w:t>
      </w:r>
      <w:r w:rsidR="00AE4B66" w:rsidRPr="00CD05AF">
        <w:rPr>
          <w:rFonts w:ascii="Cambria" w:hAnsi="Cambria" w:cs="Calibri"/>
          <w:lang w:val="es-CO"/>
        </w:rPr>
        <w:t>por la violación de los derechos a la integridad persona</w:t>
      </w:r>
      <w:r w:rsidR="001776FA" w:rsidRPr="00CD05AF">
        <w:rPr>
          <w:rFonts w:ascii="Cambria" w:hAnsi="Cambria" w:cs="Calibri"/>
          <w:lang w:val="es-CO"/>
        </w:rPr>
        <w:t>l, a las garantías judiciales, a</w:t>
      </w:r>
      <w:r w:rsidR="00AE4B66" w:rsidRPr="00CD05AF">
        <w:rPr>
          <w:rFonts w:ascii="Cambria" w:hAnsi="Cambria" w:cs="Calibri"/>
          <w:lang w:val="es-CO"/>
        </w:rPr>
        <w:t xml:space="preserve">l principio de igualdad y no discriminación y la protección judicial consagrados en los artículos 5.1, 8.1, 24 y 25 de la Convención Americana en relación con los artículos 1.1 y 2 del mismo instrumento, en perjuicio de Ángel Alberto Duque. </w:t>
      </w:r>
    </w:p>
    <w:p w:rsidR="00093949" w:rsidRPr="00CD05AF" w:rsidRDefault="00093949" w:rsidP="00131B61">
      <w:pPr>
        <w:autoSpaceDE w:val="0"/>
        <w:autoSpaceDN w:val="0"/>
        <w:adjustRightInd w:val="0"/>
        <w:spacing w:after="0"/>
        <w:ind w:left="720" w:right="480"/>
        <w:jc w:val="both"/>
        <w:rPr>
          <w:rFonts w:ascii="Cambria" w:hAnsi="Cambria"/>
          <w:lang w:val="es-CO"/>
        </w:rPr>
      </w:pPr>
    </w:p>
    <w:p w:rsidR="00093949" w:rsidRPr="00CD05AF" w:rsidRDefault="00093949" w:rsidP="00131B61">
      <w:pPr>
        <w:autoSpaceDE w:val="0"/>
        <w:autoSpaceDN w:val="0"/>
        <w:adjustRightInd w:val="0"/>
        <w:spacing w:after="0"/>
        <w:ind w:left="720" w:right="480"/>
        <w:jc w:val="both"/>
        <w:rPr>
          <w:rFonts w:ascii="Cambria" w:hAnsi="Cambria"/>
          <w:lang w:val="es-CO"/>
        </w:rPr>
      </w:pPr>
      <w:r w:rsidRPr="00CD05AF">
        <w:rPr>
          <w:rFonts w:ascii="Cambria" w:hAnsi="Cambria"/>
          <w:lang w:val="es-CO"/>
        </w:rPr>
        <w:t>Asimismo, la Comisión solicita a la Corte que establezca las siguientes medidas de reparación:</w:t>
      </w:r>
    </w:p>
    <w:p w:rsidR="00093949" w:rsidRPr="00CD05AF" w:rsidRDefault="00093949" w:rsidP="00131B61">
      <w:pPr>
        <w:tabs>
          <w:tab w:val="left" w:pos="1134"/>
        </w:tabs>
        <w:autoSpaceDE w:val="0"/>
        <w:autoSpaceDN w:val="0"/>
        <w:adjustRightInd w:val="0"/>
        <w:spacing w:after="0"/>
        <w:ind w:left="720" w:right="480"/>
        <w:jc w:val="both"/>
        <w:rPr>
          <w:rFonts w:ascii="Cambria" w:hAnsi="Cambria"/>
          <w:lang w:val="es-CO"/>
        </w:rPr>
      </w:pPr>
    </w:p>
    <w:p w:rsidR="00AE4B66" w:rsidRPr="00CD05AF" w:rsidRDefault="00AE4B66" w:rsidP="00131B61">
      <w:pPr>
        <w:numPr>
          <w:ilvl w:val="0"/>
          <w:numId w:val="3"/>
        </w:numPr>
        <w:tabs>
          <w:tab w:val="left" w:pos="1134"/>
        </w:tabs>
        <w:spacing w:after="0" w:line="240" w:lineRule="auto"/>
        <w:jc w:val="both"/>
        <w:rPr>
          <w:rFonts w:ascii="Cambria" w:hAnsi="Cambria" w:cs="Calibri"/>
          <w:lang w:val="es-CO"/>
        </w:rPr>
      </w:pPr>
      <w:r w:rsidRPr="00CD05AF">
        <w:rPr>
          <w:rFonts w:ascii="Cambria" w:hAnsi="Cambria" w:cs="Calibri"/>
          <w:lang w:val="es-CO"/>
        </w:rPr>
        <w:t xml:space="preserve">Reparar adecuadamente al señor Ángel Alberto Duque por las violaciones de derechos humanos declaradas en el informe contemplando los daños materiales e inmateriales. Dicha reparación debería, como mínimo, incluir la concesión de la pensión de sobrevivencia y una justa compensación. Asimismo, el Estado debería proveer el acceso ininterrumpido a los servicios de salud y tratamiento requeridos en virtud de ser una persona que vive con VIH. </w:t>
      </w:r>
    </w:p>
    <w:p w:rsidR="00AE4B66" w:rsidRPr="00CD05AF" w:rsidRDefault="00AE4B66" w:rsidP="00131B61">
      <w:pPr>
        <w:tabs>
          <w:tab w:val="left" w:pos="1134"/>
        </w:tabs>
        <w:spacing w:after="0" w:line="240" w:lineRule="auto"/>
        <w:ind w:left="720"/>
        <w:jc w:val="both"/>
        <w:rPr>
          <w:rFonts w:ascii="Cambria" w:hAnsi="Cambria" w:cs="Calibri"/>
          <w:lang w:val="es-CO"/>
        </w:rPr>
      </w:pPr>
    </w:p>
    <w:p w:rsidR="00AE4B66" w:rsidRPr="00CD05AF" w:rsidRDefault="00AE4B66" w:rsidP="00131B61">
      <w:pPr>
        <w:numPr>
          <w:ilvl w:val="0"/>
          <w:numId w:val="3"/>
        </w:numPr>
        <w:tabs>
          <w:tab w:val="left" w:pos="1134"/>
        </w:tabs>
        <w:spacing w:after="0" w:line="240" w:lineRule="auto"/>
        <w:jc w:val="both"/>
        <w:rPr>
          <w:rFonts w:ascii="Cambria" w:hAnsi="Cambria" w:cs="Calibri"/>
          <w:lang w:val="es-CO"/>
        </w:rPr>
      </w:pPr>
      <w:r w:rsidRPr="00CD05AF">
        <w:rPr>
          <w:rFonts w:ascii="Cambria" w:hAnsi="Cambria" w:cs="Calibri"/>
          <w:lang w:val="es-CO"/>
        </w:rPr>
        <w:t xml:space="preserve">Adoptar todas las medidas que aún fueran necesarias para garantizar la no repetición de los hechos como los del presente caso. En particular, adoptar las medidas necesarias para que todas las </w:t>
      </w:r>
      <w:r w:rsidRPr="00CD05AF">
        <w:rPr>
          <w:rFonts w:ascii="Cambria" w:hAnsi="Cambria" w:cs="Calibri"/>
          <w:lang w:val="es-CO"/>
        </w:rPr>
        <w:lastRenderedPageBreak/>
        <w:t xml:space="preserve">decisiones jurisprudenciales que tuvieron lugar en Colombia con posterioridad a los hechos del presente caso, que reconocieron el derecho de pensión de sobrevivencia a las parejas formadas por personas del mismo sexo —y que determinaron que los casos previos a dichos pronunciamientos también se encontraban alcanzados por ellos—, sean debidamente acatadas y cumplidas. </w:t>
      </w:r>
    </w:p>
    <w:p w:rsidR="00AE4B66" w:rsidRPr="00CD05AF" w:rsidRDefault="00AE4B66" w:rsidP="00131B61">
      <w:pPr>
        <w:tabs>
          <w:tab w:val="left" w:pos="1134"/>
        </w:tabs>
        <w:spacing w:after="0" w:line="240" w:lineRule="auto"/>
        <w:ind w:left="720"/>
        <w:jc w:val="both"/>
        <w:rPr>
          <w:rFonts w:ascii="Cambria" w:hAnsi="Cambria" w:cs="Calibri"/>
          <w:lang w:val="es-CO"/>
        </w:rPr>
      </w:pPr>
    </w:p>
    <w:p w:rsidR="00AE4B66" w:rsidRPr="00CD05AF" w:rsidRDefault="00AE4B66" w:rsidP="00131B61">
      <w:pPr>
        <w:numPr>
          <w:ilvl w:val="0"/>
          <w:numId w:val="3"/>
        </w:numPr>
        <w:tabs>
          <w:tab w:val="left" w:pos="1134"/>
        </w:tabs>
        <w:spacing w:after="0" w:line="240" w:lineRule="auto"/>
        <w:jc w:val="both"/>
        <w:rPr>
          <w:rFonts w:ascii="Cambria" w:hAnsi="Cambria" w:cs="Calibri"/>
          <w:lang w:val="es-CO"/>
        </w:rPr>
      </w:pPr>
      <w:r w:rsidRPr="00CD05AF">
        <w:rPr>
          <w:rFonts w:ascii="Cambria" w:hAnsi="Cambria" w:cs="Calibri"/>
          <w:lang w:val="es-CO"/>
        </w:rPr>
        <w:t xml:space="preserve">Adoptar todas las medidas necesarias para que quienes se desempeñan en la provisión de servicios de seguridad social, sea en el ámbito público o en el privado, reciban la debida capacitación para dar trámite a las solicitudes de personas que integraron o integran parejas del mismo sexo, de conformidad con el ordenamiento jurídico interno. </w:t>
      </w:r>
    </w:p>
    <w:p w:rsidR="00AE4B66" w:rsidRPr="00CD05AF" w:rsidRDefault="00AE4B66" w:rsidP="00131B61">
      <w:pPr>
        <w:tabs>
          <w:tab w:val="left" w:pos="1134"/>
        </w:tabs>
        <w:spacing w:after="0" w:line="240" w:lineRule="auto"/>
        <w:ind w:left="720"/>
        <w:jc w:val="both"/>
        <w:rPr>
          <w:rFonts w:ascii="Cambria" w:hAnsi="Cambria" w:cs="Calibri"/>
          <w:lang w:val="es-CO"/>
        </w:rPr>
      </w:pPr>
    </w:p>
    <w:p w:rsidR="00AE4B66" w:rsidRPr="00CD05AF" w:rsidRDefault="00AE4B66" w:rsidP="00131B61">
      <w:pPr>
        <w:numPr>
          <w:ilvl w:val="0"/>
          <w:numId w:val="3"/>
        </w:numPr>
        <w:tabs>
          <w:tab w:val="left" w:pos="1134"/>
        </w:tabs>
        <w:spacing w:after="0" w:line="240" w:lineRule="auto"/>
        <w:jc w:val="both"/>
        <w:rPr>
          <w:rFonts w:ascii="Cambria" w:hAnsi="Cambria" w:cs="Calibri"/>
          <w:lang w:val="es-CO"/>
        </w:rPr>
      </w:pPr>
      <w:r w:rsidRPr="00CD05AF">
        <w:rPr>
          <w:rFonts w:ascii="Cambria" w:hAnsi="Cambria" w:cs="Calibri"/>
          <w:lang w:val="es-CO"/>
        </w:rPr>
        <w:t>Adoptar las medidas estatales que sean necesarias para garantizar que las parejas del mismo sexo no sean discriminadas en cuanto al acceso a servicios de seguridad social, y en particular, que se les permitan presentar los mismos medios de prueba que a las parejas de distinto sexo, de conformidad con lo establecido en el ordenamiento jurídico interno.</w:t>
      </w:r>
    </w:p>
    <w:p w:rsidR="00093949" w:rsidRPr="00CD05AF" w:rsidRDefault="00093949" w:rsidP="00131B61">
      <w:pPr>
        <w:autoSpaceDE w:val="0"/>
        <w:autoSpaceDN w:val="0"/>
        <w:adjustRightInd w:val="0"/>
        <w:spacing w:after="0"/>
        <w:ind w:left="720" w:right="480"/>
        <w:jc w:val="both"/>
        <w:rPr>
          <w:rFonts w:ascii="Cambria" w:hAnsi="Cambria"/>
          <w:b/>
          <w:lang w:val="es-AR"/>
        </w:rPr>
      </w:pPr>
    </w:p>
    <w:p w:rsidR="00131B61" w:rsidRDefault="00C56F13" w:rsidP="00C56F13">
      <w:pPr>
        <w:tabs>
          <w:tab w:val="left" w:pos="709"/>
        </w:tabs>
        <w:spacing w:after="0" w:line="240" w:lineRule="auto"/>
        <w:jc w:val="both"/>
        <w:rPr>
          <w:rFonts w:ascii="Cambria" w:hAnsi="Cambria"/>
          <w:lang w:val="es-CO"/>
        </w:rPr>
      </w:pPr>
      <w:r w:rsidRPr="00CD05AF">
        <w:rPr>
          <w:rFonts w:ascii="Cambria" w:hAnsi="Cambria" w:cs="Arial"/>
          <w:lang w:val="es-AR"/>
        </w:rPr>
        <w:tab/>
      </w:r>
      <w:r w:rsidR="00093949" w:rsidRPr="00CD05AF">
        <w:rPr>
          <w:rFonts w:ascii="Cambria" w:hAnsi="Cambria" w:cs="Arial"/>
          <w:lang w:val="es-CL"/>
        </w:rPr>
        <w:t xml:space="preserve">Además de la necesidad de obtención de justicia por la falta de cumplimiento de las recomendaciones del informe de fondo, la Comisión considera que el caso presenta cuestiones de orden público interamericano. Específicamente, </w:t>
      </w:r>
      <w:r w:rsidR="00CA30A6" w:rsidRPr="00CD05AF">
        <w:rPr>
          <w:rFonts w:ascii="Cambria" w:hAnsi="Cambria" w:cs="Arial"/>
          <w:lang w:val="es-CL"/>
        </w:rPr>
        <w:t xml:space="preserve">el </w:t>
      </w:r>
      <w:r w:rsidR="00131B61" w:rsidRPr="00AD4EB6">
        <w:rPr>
          <w:rFonts w:ascii="Cambria" w:hAnsi="Cambria"/>
          <w:lang w:val="es-CO"/>
        </w:rPr>
        <w:t xml:space="preserve">caso podría contribuir al desarrollo de la jurisprudencia en materia de discriminación con base en la orientación sexual. Si bien en el caso </w:t>
      </w:r>
      <w:r w:rsidR="00131B61" w:rsidRPr="00AD4EB6">
        <w:rPr>
          <w:rFonts w:ascii="Cambria" w:hAnsi="Cambria"/>
          <w:i/>
          <w:lang w:val="es-CO"/>
        </w:rPr>
        <w:t>Atala</w:t>
      </w:r>
      <w:r w:rsidR="00496AD9">
        <w:rPr>
          <w:rFonts w:ascii="Cambria" w:hAnsi="Cambria"/>
          <w:i/>
          <w:lang w:val="es-CO"/>
        </w:rPr>
        <w:t xml:space="preserve"> Riffo e</w:t>
      </w:r>
      <w:r w:rsidR="00131B61" w:rsidRPr="00AD4EB6">
        <w:rPr>
          <w:rFonts w:ascii="Cambria" w:hAnsi="Cambria"/>
          <w:i/>
          <w:lang w:val="es-CO"/>
        </w:rPr>
        <w:t xml:space="preserve"> hijas vs. Chile </w:t>
      </w:r>
      <w:r w:rsidR="00131B61" w:rsidRPr="00AD4EB6">
        <w:rPr>
          <w:rFonts w:ascii="Cambria" w:hAnsi="Cambria"/>
          <w:lang w:val="es-CO"/>
        </w:rPr>
        <w:t>la Corte Interamericana se pronunció por primera vez sobre esta materia, el presente caso plantea una situación fáctica distinta relacionada</w:t>
      </w:r>
      <w:r w:rsidR="00BC7B47">
        <w:rPr>
          <w:rFonts w:ascii="Cambria" w:hAnsi="Cambria"/>
          <w:lang w:val="es-CO"/>
        </w:rPr>
        <w:t xml:space="preserve"> con</w:t>
      </w:r>
      <w:r w:rsidR="00131B61" w:rsidRPr="00AD4EB6">
        <w:rPr>
          <w:rFonts w:ascii="Cambria" w:hAnsi="Cambria"/>
          <w:lang w:val="es-CO"/>
        </w:rPr>
        <w:t xml:space="preserve"> la discriminación</w:t>
      </w:r>
      <w:r w:rsidR="00BC7B47">
        <w:rPr>
          <w:rFonts w:ascii="Cambria" w:hAnsi="Cambria"/>
          <w:lang w:val="es-CO"/>
        </w:rPr>
        <w:t xml:space="preserve"> en materia de acceso a los derechos sociales, en el ámbito familiar y de pareja. Particularmente, la Corte está llamada a pronunciarse sobre el análisis que corresponde al momento de determinar la permisibilidad de exclusiones de los núcleos familiares o parejas del mismo sexo en el acceso a tales derechos, como la seguridad social y la salud. </w:t>
      </w:r>
      <w:r w:rsidR="00773E24">
        <w:rPr>
          <w:rFonts w:ascii="Cambria" w:hAnsi="Cambria"/>
          <w:lang w:val="es-CO"/>
        </w:rPr>
        <w:t xml:space="preserve">En virtud de lo anterior, la Comisión considera que este desarrollo jurisprudencial podría contribuir favorablemente </w:t>
      </w:r>
      <w:r w:rsidR="00131B61">
        <w:rPr>
          <w:rFonts w:ascii="Cambria" w:hAnsi="Cambria"/>
          <w:lang w:val="es-CO"/>
        </w:rPr>
        <w:t>al des</w:t>
      </w:r>
      <w:r w:rsidR="00131B61" w:rsidRPr="00AD4EB6">
        <w:rPr>
          <w:rFonts w:ascii="Cambria" w:hAnsi="Cambria"/>
          <w:lang w:val="es-CO"/>
        </w:rPr>
        <w:t xml:space="preserve">arrollo </w:t>
      </w:r>
      <w:r w:rsidR="00131B61" w:rsidRPr="00CD05AF">
        <w:rPr>
          <w:rFonts w:ascii="Cambria" w:hAnsi="Cambria" w:cs="Calibri"/>
          <w:lang w:val="es-CO"/>
        </w:rPr>
        <w:t>legislativo</w:t>
      </w:r>
      <w:r w:rsidR="00131B61">
        <w:rPr>
          <w:rFonts w:ascii="Cambria" w:hAnsi="Cambria"/>
          <w:lang w:val="es-CO"/>
        </w:rPr>
        <w:t xml:space="preserve"> </w:t>
      </w:r>
      <w:r w:rsidR="00773E24">
        <w:rPr>
          <w:rFonts w:ascii="Cambria" w:hAnsi="Cambria"/>
          <w:lang w:val="es-CO"/>
        </w:rPr>
        <w:t xml:space="preserve">de los Estados en </w:t>
      </w:r>
      <w:r w:rsidR="00131B61">
        <w:rPr>
          <w:rFonts w:ascii="Cambria" w:hAnsi="Cambria"/>
          <w:lang w:val="es-CO"/>
        </w:rPr>
        <w:t>esta materia.</w:t>
      </w:r>
    </w:p>
    <w:p w:rsidR="00131B61" w:rsidRPr="00CD05AF" w:rsidRDefault="00131B61" w:rsidP="00C56F13">
      <w:pPr>
        <w:spacing w:after="0"/>
        <w:ind w:firstLine="720"/>
        <w:jc w:val="both"/>
        <w:rPr>
          <w:rFonts w:ascii="Cambria" w:hAnsi="Cambria" w:cs="Arial"/>
          <w:lang w:val="es-CO"/>
        </w:rPr>
      </w:pPr>
    </w:p>
    <w:p w:rsidR="00093949" w:rsidRPr="00131B61" w:rsidRDefault="00093949" w:rsidP="00C56F13">
      <w:pPr>
        <w:tabs>
          <w:tab w:val="left" w:pos="1134"/>
        </w:tabs>
        <w:spacing w:after="0" w:line="240" w:lineRule="auto"/>
        <w:ind w:firstLine="720"/>
        <w:jc w:val="both"/>
        <w:rPr>
          <w:rFonts w:ascii="Cambria" w:hAnsi="Cambria"/>
          <w:lang w:val="es-CO"/>
        </w:rPr>
      </w:pPr>
      <w:r w:rsidRPr="00CD05AF">
        <w:rPr>
          <w:rFonts w:ascii="Cambria" w:hAnsi="Cambria" w:cs="Arial"/>
          <w:lang w:val="es-CL"/>
        </w:rPr>
        <w:t>En virtud de que estas cuestiones afectan de manera relevante el orden público interamericano, de conformidad con el artículo 35.1 f) del Reglamento de la Corte Interamericana, la Comisión se permite ofrecer la</w:t>
      </w:r>
      <w:r w:rsidR="000466EA" w:rsidRPr="00CD05AF">
        <w:rPr>
          <w:rFonts w:ascii="Cambria" w:hAnsi="Cambria" w:cs="Arial"/>
          <w:lang w:val="es-CL"/>
        </w:rPr>
        <w:t>s</w:t>
      </w:r>
      <w:r w:rsidRPr="00CD05AF">
        <w:rPr>
          <w:rFonts w:ascii="Cambria" w:hAnsi="Cambria" w:cs="Arial"/>
          <w:lang w:val="es-CL"/>
        </w:rPr>
        <w:t xml:space="preserve"> siguiente</w:t>
      </w:r>
      <w:r w:rsidR="000466EA" w:rsidRPr="00CD05AF">
        <w:rPr>
          <w:rFonts w:ascii="Cambria" w:hAnsi="Cambria" w:cs="Arial"/>
          <w:lang w:val="es-CL"/>
        </w:rPr>
        <w:t>s declaracio</w:t>
      </w:r>
      <w:r w:rsidRPr="00CD05AF">
        <w:rPr>
          <w:rFonts w:ascii="Cambria" w:hAnsi="Cambria" w:cs="Arial"/>
          <w:lang w:val="es-CL"/>
        </w:rPr>
        <w:t>n</w:t>
      </w:r>
      <w:r w:rsidR="000466EA" w:rsidRPr="00CD05AF">
        <w:rPr>
          <w:rFonts w:ascii="Cambria" w:hAnsi="Cambria" w:cs="Arial"/>
          <w:lang w:val="es-CL"/>
        </w:rPr>
        <w:t>es</w:t>
      </w:r>
      <w:r w:rsidRPr="00CD05AF">
        <w:rPr>
          <w:rFonts w:ascii="Cambria" w:hAnsi="Cambria" w:cs="Arial"/>
          <w:lang w:val="es-CL"/>
        </w:rPr>
        <w:t xml:space="preserve"> pericial</w:t>
      </w:r>
      <w:r w:rsidR="000466EA" w:rsidRPr="00CD05AF">
        <w:rPr>
          <w:rFonts w:ascii="Cambria" w:hAnsi="Cambria" w:cs="Arial"/>
          <w:lang w:val="es-CL"/>
        </w:rPr>
        <w:t>es</w:t>
      </w:r>
      <w:r w:rsidRPr="00CD05AF">
        <w:rPr>
          <w:rFonts w:ascii="Cambria" w:hAnsi="Cambria" w:cs="Arial"/>
          <w:lang w:val="es-CL"/>
        </w:rPr>
        <w:t>:</w:t>
      </w:r>
    </w:p>
    <w:p w:rsidR="00093949" w:rsidRPr="00CD05AF" w:rsidRDefault="00093949" w:rsidP="00C56F13">
      <w:pPr>
        <w:autoSpaceDE w:val="0"/>
        <w:autoSpaceDN w:val="0"/>
        <w:adjustRightInd w:val="0"/>
        <w:spacing w:after="0"/>
        <w:ind w:right="480" w:firstLine="720"/>
        <w:jc w:val="both"/>
        <w:rPr>
          <w:rFonts w:ascii="Cambria" w:hAnsi="Cambria" w:cs="Arial"/>
          <w:lang w:val="es-CL"/>
        </w:rPr>
      </w:pPr>
    </w:p>
    <w:p w:rsidR="00131B61" w:rsidRDefault="00093949" w:rsidP="00C56F13">
      <w:pPr>
        <w:tabs>
          <w:tab w:val="left" w:pos="1134"/>
        </w:tabs>
        <w:spacing w:after="0" w:line="240" w:lineRule="auto"/>
        <w:ind w:firstLine="720"/>
        <w:jc w:val="both"/>
        <w:rPr>
          <w:rFonts w:ascii="Cambria" w:hAnsi="Cambria"/>
          <w:lang w:val="es-CO"/>
        </w:rPr>
      </w:pPr>
      <w:r w:rsidRPr="00CD05AF">
        <w:rPr>
          <w:rFonts w:ascii="Cambria" w:hAnsi="Cambria" w:cs="Courier New"/>
          <w:b/>
          <w:lang w:val="es-ES_tradnl"/>
        </w:rPr>
        <w:t>Perito/a cuyo nombre será informado a la brevedad</w:t>
      </w:r>
      <w:r w:rsidRPr="00CD05AF">
        <w:rPr>
          <w:rFonts w:ascii="Cambria" w:hAnsi="Cambria" w:cs="Courier New"/>
          <w:lang w:val="es-ES_tradnl"/>
        </w:rPr>
        <w:t xml:space="preserve">, </w:t>
      </w:r>
      <w:r w:rsidR="00131B61" w:rsidRPr="00CD05AF">
        <w:rPr>
          <w:rFonts w:ascii="Cambria" w:hAnsi="Cambria" w:cs="Courier New"/>
          <w:lang w:val="es-ES_tradnl"/>
        </w:rPr>
        <w:t xml:space="preserve">quien declarará </w:t>
      </w:r>
      <w:r w:rsidR="00131B61" w:rsidRPr="00AD4EB6">
        <w:rPr>
          <w:rFonts w:ascii="Cambria" w:hAnsi="Cambria"/>
          <w:lang w:val="es-CO"/>
        </w:rPr>
        <w:t>sobre los estándares internacionales en materia de discriminación por orientación sexual en lo relativ</w:t>
      </w:r>
      <w:r w:rsidR="00131B61">
        <w:rPr>
          <w:rFonts w:ascii="Cambria" w:hAnsi="Cambria"/>
          <w:lang w:val="es-CO"/>
        </w:rPr>
        <w:t>o al reconocimiento de derechos establecidos en el ordenamiento interno, con especial énfasis en derechos relativos a la s</w:t>
      </w:r>
      <w:r w:rsidR="00131B61" w:rsidRPr="00AD4EB6">
        <w:rPr>
          <w:rFonts w:ascii="Cambria" w:hAnsi="Cambria"/>
          <w:lang w:val="es-CO"/>
        </w:rPr>
        <w:t>eguridad social</w:t>
      </w:r>
      <w:r w:rsidR="00131B61">
        <w:rPr>
          <w:rFonts w:ascii="Cambria" w:hAnsi="Cambria"/>
          <w:lang w:val="es-CO"/>
        </w:rPr>
        <w:t>, incluyendo el derecho a la pensión y el derecho a la salud.</w:t>
      </w:r>
      <w:r w:rsidR="00131B61" w:rsidRPr="00AD4EB6">
        <w:rPr>
          <w:rFonts w:ascii="Cambria" w:hAnsi="Cambria"/>
          <w:lang w:val="es-CO"/>
        </w:rPr>
        <w:t xml:space="preserve"> </w:t>
      </w:r>
      <w:r w:rsidR="007315B6">
        <w:rPr>
          <w:rFonts w:ascii="Cambria" w:hAnsi="Cambria"/>
          <w:lang w:val="es-CO"/>
        </w:rPr>
        <w:t>Asimismo, el/la perito/a podrá referirse a las referencias relevantes de derecho constitucional comparado.</w:t>
      </w:r>
    </w:p>
    <w:p w:rsidR="00C56F13" w:rsidRDefault="00C56F13" w:rsidP="00C56F13">
      <w:pPr>
        <w:tabs>
          <w:tab w:val="left" w:pos="1134"/>
        </w:tabs>
        <w:spacing w:after="0" w:line="240" w:lineRule="auto"/>
        <w:ind w:firstLine="720"/>
        <w:jc w:val="both"/>
        <w:rPr>
          <w:rFonts w:ascii="Cambria" w:hAnsi="Cambria"/>
          <w:lang w:val="es-CO"/>
        </w:rPr>
      </w:pPr>
    </w:p>
    <w:p w:rsidR="00131B61" w:rsidRPr="00AD4EB6" w:rsidRDefault="005873B3" w:rsidP="00C56F13">
      <w:pPr>
        <w:tabs>
          <w:tab w:val="left" w:pos="1134"/>
        </w:tabs>
        <w:spacing w:after="0" w:line="240" w:lineRule="auto"/>
        <w:ind w:firstLine="720"/>
        <w:jc w:val="both"/>
        <w:rPr>
          <w:rFonts w:ascii="Cambria" w:hAnsi="Cambria"/>
          <w:lang w:val="es-CO"/>
        </w:rPr>
      </w:pPr>
      <w:r w:rsidRPr="005873B3">
        <w:rPr>
          <w:rFonts w:ascii="Cambria" w:hAnsi="Cambria" w:cs="Courier New"/>
          <w:b/>
          <w:lang w:val="es-ES_tradnl"/>
        </w:rPr>
        <w:t>Perito/a cuyo nombre será informado a la brevedad</w:t>
      </w:r>
      <w:r>
        <w:rPr>
          <w:rFonts w:ascii="Cambria" w:hAnsi="Cambria"/>
          <w:lang w:val="es-CO"/>
        </w:rPr>
        <w:t xml:space="preserve">, </w:t>
      </w:r>
      <w:r w:rsidR="009521BA">
        <w:rPr>
          <w:rFonts w:ascii="Cambria" w:hAnsi="Cambria"/>
          <w:lang w:val="es-CO"/>
        </w:rPr>
        <w:t xml:space="preserve">quien declarará </w:t>
      </w:r>
      <w:r w:rsidR="00131B61" w:rsidRPr="00AD4EB6">
        <w:rPr>
          <w:rFonts w:ascii="Cambria" w:hAnsi="Cambria"/>
          <w:lang w:val="es-CO"/>
        </w:rPr>
        <w:t xml:space="preserve">sobre los estándares internacionales </w:t>
      </w:r>
      <w:r w:rsidR="009521BA">
        <w:rPr>
          <w:rFonts w:ascii="Cambria" w:hAnsi="Cambria"/>
          <w:lang w:val="es-CO"/>
        </w:rPr>
        <w:t xml:space="preserve">que determinan </w:t>
      </w:r>
      <w:r w:rsidR="00131B61" w:rsidRPr="00AD4EB6">
        <w:rPr>
          <w:rFonts w:ascii="Cambria" w:hAnsi="Cambria"/>
          <w:lang w:val="es-CO"/>
        </w:rPr>
        <w:t>las obligaciones estatales frente al derech</w:t>
      </w:r>
      <w:r w:rsidR="009521BA">
        <w:rPr>
          <w:rFonts w:ascii="Cambria" w:hAnsi="Cambria"/>
          <w:lang w:val="es-CO"/>
        </w:rPr>
        <w:t xml:space="preserve">o a la protección de la familia o de la vida familiar, </w:t>
      </w:r>
      <w:r w:rsidR="00131B61" w:rsidRPr="00AD4EB6">
        <w:rPr>
          <w:rFonts w:ascii="Cambria" w:hAnsi="Cambria"/>
          <w:lang w:val="es-CO"/>
        </w:rPr>
        <w:t xml:space="preserve">incluyendo familias diversas como las compuestas por personas del mismo sexo. </w:t>
      </w:r>
      <w:r w:rsidR="008F2680">
        <w:rPr>
          <w:rFonts w:ascii="Cambria" w:hAnsi="Cambria"/>
          <w:lang w:val="es-CO"/>
        </w:rPr>
        <w:t>Asimismo, el/la perito/a podrá referirse a las referencias relevantes de derecho constitucional comparado.</w:t>
      </w:r>
    </w:p>
    <w:p w:rsidR="00131B61" w:rsidRPr="00CD05AF" w:rsidRDefault="00131B61" w:rsidP="00131B61">
      <w:pPr>
        <w:spacing w:after="0"/>
        <w:ind w:firstLine="720"/>
        <w:jc w:val="both"/>
        <w:rPr>
          <w:rFonts w:ascii="Cambria" w:hAnsi="Cambria"/>
          <w:lang w:val="es-AR"/>
        </w:rPr>
      </w:pPr>
    </w:p>
    <w:p w:rsidR="00F84185" w:rsidRPr="00CD05AF" w:rsidRDefault="00F84185" w:rsidP="00F84185">
      <w:pPr>
        <w:tabs>
          <w:tab w:val="left" w:pos="709"/>
        </w:tabs>
        <w:spacing w:after="0" w:line="240" w:lineRule="auto"/>
        <w:jc w:val="both"/>
        <w:rPr>
          <w:rFonts w:ascii="Cambria" w:hAnsi="Cambria"/>
          <w:lang w:val="es-CO"/>
        </w:rPr>
      </w:pPr>
      <w:r w:rsidRPr="00CD05AF">
        <w:rPr>
          <w:rFonts w:ascii="Cambria" w:hAnsi="Cambria"/>
          <w:lang w:val="es-AR"/>
        </w:rPr>
        <w:lastRenderedPageBreak/>
        <w:tab/>
      </w:r>
      <w:r w:rsidR="008B0DCD" w:rsidRPr="00CD05AF">
        <w:rPr>
          <w:rFonts w:ascii="Cambria" w:hAnsi="Cambria"/>
          <w:lang w:val="es-AR"/>
        </w:rPr>
        <w:t>Los</w:t>
      </w:r>
      <w:r w:rsidR="00093949" w:rsidRPr="00CD05AF">
        <w:rPr>
          <w:rFonts w:ascii="Cambria" w:hAnsi="Cambria"/>
          <w:lang w:val="es-AR"/>
        </w:rPr>
        <w:t xml:space="preserve"> CV</w:t>
      </w:r>
      <w:r w:rsidR="008B0DCD" w:rsidRPr="00CD05AF">
        <w:rPr>
          <w:rFonts w:ascii="Cambria" w:hAnsi="Cambria"/>
          <w:lang w:val="es-AR"/>
        </w:rPr>
        <w:t xml:space="preserve">s de </w:t>
      </w:r>
      <w:r w:rsidR="008B0DCD" w:rsidRPr="00C56F13">
        <w:rPr>
          <w:rFonts w:ascii="Cambria" w:hAnsi="Cambria"/>
          <w:lang w:val="es-CO"/>
        </w:rPr>
        <w:t>los</w:t>
      </w:r>
      <w:r w:rsidR="008B0DCD" w:rsidRPr="00CD05AF">
        <w:rPr>
          <w:rFonts w:ascii="Cambria" w:hAnsi="Cambria"/>
          <w:lang w:val="es-AR"/>
        </w:rPr>
        <w:t>/as</w:t>
      </w:r>
      <w:r w:rsidR="00093949" w:rsidRPr="00CD05AF">
        <w:rPr>
          <w:rFonts w:ascii="Cambria" w:hAnsi="Cambria"/>
          <w:lang w:val="es-AR"/>
        </w:rPr>
        <w:t xml:space="preserve"> perito</w:t>
      </w:r>
      <w:r w:rsidR="008B0DCD" w:rsidRPr="00CD05AF">
        <w:rPr>
          <w:rFonts w:ascii="Cambria" w:hAnsi="Cambria"/>
          <w:lang w:val="es-AR"/>
        </w:rPr>
        <w:t>s</w:t>
      </w:r>
      <w:r w:rsidR="00093949" w:rsidRPr="00CD05AF">
        <w:rPr>
          <w:rFonts w:ascii="Cambria" w:hAnsi="Cambria"/>
          <w:lang w:val="es-AR"/>
        </w:rPr>
        <w:t>/a</w:t>
      </w:r>
      <w:r w:rsidR="008B0DCD" w:rsidRPr="00CD05AF">
        <w:rPr>
          <w:rFonts w:ascii="Cambria" w:hAnsi="Cambria"/>
          <w:lang w:val="es-AR"/>
        </w:rPr>
        <w:t>s</w:t>
      </w:r>
      <w:r w:rsidR="00093949" w:rsidRPr="00CD05AF">
        <w:rPr>
          <w:rFonts w:ascii="Cambria" w:hAnsi="Cambria"/>
          <w:lang w:val="es-AR"/>
        </w:rPr>
        <w:t xml:space="preserve"> ofrecido</w:t>
      </w:r>
      <w:r w:rsidR="008B0DCD" w:rsidRPr="00CD05AF">
        <w:rPr>
          <w:rFonts w:ascii="Cambria" w:hAnsi="Cambria"/>
          <w:lang w:val="es-AR"/>
        </w:rPr>
        <w:t>s</w:t>
      </w:r>
      <w:r w:rsidR="00093949" w:rsidRPr="00CD05AF">
        <w:rPr>
          <w:rFonts w:ascii="Cambria" w:hAnsi="Cambria"/>
          <w:lang w:val="es-AR"/>
        </w:rPr>
        <w:t>/a</w:t>
      </w:r>
      <w:r w:rsidR="008B0DCD" w:rsidRPr="00CD05AF">
        <w:rPr>
          <w:rFonts w:ascii="Cambria" w:hAnsi="Cambria"/>
          <w:lang w:val="es-AR"/>
        </w:rPr>
        <w:t>s</w:t>
      </w:r>
      <w:r w:rsidR="00093949" w:rsidRPr="00CD05AF">
        <w:rPr>
          <w:rFonts w:ascii="Cambria" w:hAnsi="Cambria"/>
          <w:lang w:val="es-AR"/>
        </w:rPr>
        <w:t xml:space="preserve"> </w:t>
      </w:r>
      <w:r w:rsidR="00093949" w:rsidRPr="00CD05AF">
        <w:rPr>
          <w:rFonts w:ascii="Cambria" w:hAnsi="Cambria"/>
          <w:lang w:val="es-CO"/>
        </w:rPr>
        <w:t>será</w:t>
      </w:r>
      <w:r w:rsidR="009E159A" w:rsidRPr="00CD05AF">
        <w:rPr>
          <w:rFonts w:ascii="Cambria" w:hAnsi="Cambria"/>
          <w:lang w:val="es-CO"/>
        </w:rPr>
        <w:t>n</w:t>
      </w:r>
      <w:r w:rsidR="00093949" w:rsidRPr="00CD05AF">
        <w:rPr>
          <w:rFonts w:ascii="Cambria" w:hAnsi="Cambria"/>
          <w:lang w:val="es-CO"/>
        </w:rPr>
        <w:t xml:space="preserve"> incluido</w:t>
      </w:r>
      <w:r w:rsidR="00C17A48" w:rsidRPr="00CD05AF">
        <w:rPr>
          <w:rFonts w:ascii="Cambria" w:hAnsi="Cambria"/>
          <w:lang w:val="es-CO"/>
        </w:rPr>
        <w:t xml:space="preserve">s conjuntamente con </w:t>
      </w:r>
      <w:r w:rsidR="00093949" w:rsidRPr="00CD05AF">
        <w:rPr>
          <w:rFonts w:ascii="Cambria" w:hAnsi="Cambria"/>
          <w:lang w:val="es-CO"/>
        </w:rPr>
        <w:t xml:space="preserve"> los anexos al informe de fondo </w:t>
      </w:r>
      <w:r w:rsidR="009E159A" w:rsidRPr="00CD05AF">
        <w:rPr>
          <w:rFonts w:ascii="Cambria" w:hAnsi="Cambria"/>
          <w:lang w:val="es-CO"/>
        </w:rPr>
        <w:t>5</w:t>
      </w:r>
      <w:r w:rsidR="00093949" w:rsidRPr="00CD05AF">
        <w:rPr>
          <w:rFonts w:ascii="Cambria" w:hAnsi="Cambria"/>
          <w:lang w:val="es-CO"/>
        </w:rPr>
        <w:t xml:space="preserve">/14. </w:t>
      </w:r>
    </w:p>
    <w:p w:rsidR="00C17A48" w:rsidRPr="00CD05AF" w:rsidRDefault="00C17A48" w:rsidP="00F84185">
      <w:pPr>
        <w:tabs>
          <w:tab w:val="left" w:pos="709"/>
        </w:tabs>
        <w:spacing w:after="0" w:line="240" w:lineRule="auto"/>
        <w:jc w:val="both"/>
        <w:rPr>
          <w:rFonts w:ascii="Cambria" w:hAnsi="Cambria"/>
          <w:lang w:val="es-CO"/>
        </w:rPr>
      </w:pPr>
    </w:p>
    <w:p w:rsidR="00093949" w:rsidRPr="00CD05AF" w:rsidRDefault="00F84185" w:rsidP="00F84185">
      <w:pPr>
        <w:tabs>
          <w:tab w:val="left" w:pos="709"/>
        </w:tabs>
        <w:spacing w:after="0" w:line="240" w:lineRule="auto"/>
        <w:jc w:val="both"/>
        <w:rPr>
          <w:rFonts w:ascii="Cambria" w:hAnsi="Cambria"/>
          <w:lang w:val="es-CO"/>
        </w:rPr>
      </w:pPr>
      <w:r w:rsidRPr="00CD05AF">
        <w:rPr>
          <w:rFonts w:ascii="Cambria" w:hAnsi="Cambria"/>
          <w:lang w:val="es-CO"/>
        </w:rPr>
        <w:tab/>
      </w:r>
      <w:r w:rsidR="008F2680" w:rsidRPr="00CD05AF">
        <w:rPr>
          <w:rFonts w:ascii="Cambria" w:hAnsi="Cambria"/>
          <w:lang w:val="es-CO"/>
        </w:rPr>
        <w:tab/>
      </w:r>
      <w:r w:rsidR="00093949" w:rsidRPr="00CD05AF">
        <w:rPr>
          <w:rFonts w:ascii="Cambria" w:hAnsi="Cambria"/>
          <w:lang w:val="es-ES_tradnl"/>
        </w:rPr>
        <w:t>La Comisión pone en conocimiento de la Corte</w:t>
      </w:r>
      <w:r w:rsidR="0090304E" w:rsidRPr="00CD05AF">
        <w:rPr>
          <w:rFonts w:ascii="Cambria" w:hAnsi="Cambria"/>
          <w:lang w:val="es-ES_tradnl"/>
        </w:rPr>
        <w:t xml:space="preserve"> la siguiente información sobre quienes han actuado como peticionarias en el </w:t>
      </w:r>
      <w:r w:rsidR="009E159A" w:rsidRPr="00CD05AF">
        <w:rPr>
          <w:rFonts w:ascii="Cambria" w:hAnsi="Cambria"/>
          <w:lang w:val="es-ES_tradnl"/>
        </w:rPr>
        <w:t>presente caso:</w:t>
      </w:r>
    </w:p>
    <w:p w:rsidR="009E159A" w:rsidRPr="00CD05AF" w:rsidRDefault="009E159A" w:rsidP="00131B61">
      <w:pPr>
        <w:tabs>
          <w:tab w:val="left" w:pos="0"/>
        </w:tabs>
        <w:spacing w:after="0"/>
        <w:ind w:firstLine="720"/>
        <w:jc w:val="both"/>
        <w:rPr>
          <w:rFonts w:ascii="Cambria" w:hAnsi="Cambria"/>
          <w:lang w:val="es-ES_tradnl"/>
        </w:rPr>
      </w:pPr>
    </w:p>
    <w:p w:rsidR="009E159A" w:rsidRPr="00CD05AF" w:rsidRDefault="00B9024B" w:rsidP="0090304E">
      <w:pPr>
        <w:tabs>
          <w:tab w:val="left" w:pos="0"/>
        </w:tabs>
        <w:spacing w:after="0"/>
        <w:ind w:firstLine="720"/>
        <w:jc w:val="center"/>
        <w:rPr>
          <w:rFonts w:ascii="Cambria" w:hAnsi="Cambria"/>
          <w:lang w:val="es-ES_tradnl"/>
        </w:rPr>
      </w:pPr>
      <w:r w:rsidRPr="00CD05AF">
        <w:rPr>
          <w:rFonts w:ascii="Cambria" w:hAnsi="Cambria"/>
          <w:lang w:val="es-ES_tradnl"/>
        </w:rPr>
        <w:t>Comisión Colombiana de Juristas</w:t>
      </w:r>
    </w:p>
    <w:p w:rsidR="00B9024B" w:rsidRPr="00124B95" w:rsidRDefault="00124B95" w:rsidP="0090304E">
      <w:pPr>
        <w:tabs>
          <w:tab w:val="left" w:pos="0"/>
        </w:tabs>
        <w:spacing w:after="0"/>
        <w:ind w:firstLine="720"/>
        <w:jc w:val="center"/>
        <w:rPr>
          <w:rFonts w:ascii="Cambria" w:hAnsi="Cambria"/>
          <w:highlight w:val="black"/>
          <w:lang w:val="es-ES_tradnl"/>
        </w:rPr>
      </w:pPr>
      <w:r>
        <w:rPr>
          <w:rFonts w:ascii="Cambria" w:hAnsi="Cambria"/>
          <w:highlight w:val="black"/>
          <w:lang w:val="es-ES_tradnl"/>
        </w:rPr>
        <w:t>xxxxxxxxxxxxxxxxx</w:t>
      </w:r>
    </w:p>
    <w:p w:rsidR="00B9024B" w:rsidRPr="00CD05AF" w:rsidRDefault="00124B95" w:rsidP="0090304E">
      <w:pPr>
        <w:tabs>
          <w:tab w:val="left" w:pos="0"/>
        </w:tabs>
        <w:spacing w:after="0"/>
        <w:ind w:firstLine="720"/>
        <w:jc w:val="center"/>
        <w:rPr>
          <w:rFonts w:ascii="Cambria" w:hAnsi="Cambria"/>
          <w:lang w:val="es-ES_tradnl"/>
        </w:rPr>
      </w:pPr>
      <w:r w:rsidRPr="00124B95">
        <w:rPr>
          <w:rFonts w:ascii="Cambria" w:hAnsi="Cambria"/>
          <w:highlight w:val="black"/>
          <w:lang w:val="es-ES_tradnl"/>
        </w:rPr>
        <w:t>xxxxxxxxxxxxxxxxxxxxxxxxxxxx</w:t>
      </w:r>
    </w:p>
    <w:p w:rsidR="00B9024B" w:rsidRPr="00CD05AF" w:rsidRDefault="00B9024B" w:rsidP="0090304E">
      <w:pPr>
        <w:tabs>
          <w:tab w:val="left" w:pos="0"/>
        </w:tabs>
        <w:spacing w:after="0"/>
        <w:ind w:firstLine="720"/>
        <w:jc w:val="center"/>
        <w:rPr>
          <w:rFonts w:ascii="Cambria" w:hAnsi="Cambria"/>
          <w:lang w:val="es-ES_tradnl"/>
        </w:rPr>
      </w:pPr>
    </w:p>
    <w:p w:rsidR="00B9024B" w:rsidRPr="00124B95" w:rsidRDefault="00124B95" w:rsidP="0090304E">
      <w:pPr>
        <w:tabs>
          <w:tab w:val="left" w:pos="0"/>
        </w:tabs>
        <w:spacing w:after="0"/>
        <w:ind w:firstLine="720"/>
        <w:jc w:val="center"/>
        <w:rPr>
          <w:rFonts w:ascii="Cambria" w:hAnsi="Cambria"/>
          <w:highlight w:val="black"/>
        </w:rPr>
      </w:pPr>
      <w:r>
        <w:rPr>
          <w:rFonts w:ascii="Cambria" w:hAnsi="Cambria"/>
          <w:highlight w:val="black"/>
        </w:rPr>
        <w:t>xxxxxxxxxxxxxxxxxxxxxxxxxx</w:t>
      </w:r>
    </w:p>
    <w:p w:rsidR="00B9024B" w:rsidRPr="00CD05AF" w:rsidRDefault="00124B95" w:rsidP="0090304E">
      <w:pPr>
        <w:tabs>
          <w:tab w:val="left" w:pos="0"/>
        </w:tabs>
        <w:spacing w:after="0"/>
        <w:ind w:firstLine="720"/>
        <w:jc w:val="center"/>
        <w:rPr>
          <w:rFonts w:ascii="Cambria" w:hAnsi="Cambria"/>
        </w:rPr>
      </w:pPr>
      <w:r w:rsidRPr="0038067C">
        <w:rPr>
          <w:rFonts w:ascii="Cambria" w:hAnsi="Cambria"/>
          <w:highlight w:val="black"/>
        </w:rPr>
        <w:t>xxxxxxxxxxxxxxxxxxxxxxxxxxxxxxxxxxxx</w:t>
      </w:r>
    </w:p>
    <w:p w:rsidR="00B9024B" w:rsidRPr="00CD05AF" w:rsidRDefault="00B9024B" w:rsidP="0090304E">
      <w:pPr>
        <w:tabs>
          <w:tab w:val="left" w:pos="0"/>
        </w:tabs>
        <w:spacing w:after="0"/>
        <w:ind w:firstLine="720"/>
        <w:jc w:val="center"/>
        <w:rPr>
          <w:rFonts w:ascii="Cambria" w:hAnsi="Cambria"/>
        </w:rPr>
      </w:pPr>
    </w:p>
    <w:p w:rsidR="00093949" w:rsidRPr="00CD05AF" w:rsidRDefault="00093949" w:rsidP="00131B61">
      <w:pPr>
        <w:autoSpaceDE w:val="0"/>
        <w:autoSpaceDN w:val="0"/>
        <w:adjustRightInd w:val="0"/>
        <w:spacing w:after="0"/>
        <w:jc w:val="center"/>
        <w:rPr>
          <w:rFonts w:ascii="Cambria" w:hAnsi="Cambria" w:cs="Arial"/>
        </w:rPr>
      </w:pPr>
    </w:p>
    <w:p w:rsidR="00093949" w:rsidRPr="00CD05AF" w:rsidRDefault="00093949" w:rsidP="00131B61">
      <w:pPr>
        <w:tabs>
          <w:tab w:val="left" w:pos="0"/>
        </w:tabs>
        <w:spacing w:after="0"/>
        <w:ind w:firstLine="720"/>
        <w:jc w:val="both"/>
        <w:rPr>
          <w:rFonts w:ascii="Cambria" w:hAnsi="Cambria" w:cs="Arial"/>
          <w:lang w:val="es-CO"/>
        </w:rPr>
      </w:pPr>
      <w:r w:rsidRPr="00CD05AF">
        <w:rPr>
          <w:rFonts w:ascii="Cambria" w:hAnsi="Cambria" w:cs="Arial"/>
          <w:lang w:val="es-CO"/>
        </w:rPr>
        <w:t>Aprovecho la oportunidad para saludar a usted muy atentamente,</w:t>
      </w:r>
    </w:p>
    <w:p w:rsidR="00093949" w:rsidRPr="00CD05AF" w:rsidRDefault="00093949" w:rsidP="00131B61">
      <w:pPr>
        <w:suppressAutoHyphens/>
        <w:spacing w:after="0"/>
        <w:rPr>
          <w:rFonts w:ascii="Cambria" w:hAnsi="Cambria" w:cs="Arial"/>
          <w:snapToGrid w:val="0"/>
          <w:lang w:val="es-CO"/>
        </w:rPr>
      </w:pPr>
    </w:p>
    <w:p w:rsidR="00093949" w:rsidRPr="00785B2C" w:rsidRDefault="00093949" w:rsidP="00131B61">
      <w:pPr>
        <w:suppressAutoHyphens/>
        <w:spacing w:after="0"/>
        <w:jc w:val="center"/>
        <w:rPr>
          <w:rFonts w:ascii="Cambria" w:hAnsi="Cambria" w:cs="Arial"/>
          <w:i/>
          <w:snapToGrid w:val="0"/>
          <w:color w:val="808080"/>
          <w:lang w:val="es-CO"/>
        </w:rPr>
      </w:pPr>
      <w:r w:rsidRPr="00CD05AF">
        <w:rPr>
          <w:rFonts w:ascii="Cambria" w:hAnsi="Cambria" w:cs="Arial"/>
          <w:snapToGrid w:val="0"/>
          <w:lang w:val="es-CO"/>
        </w:rPr>
        <w:t xml:space="preserve">                                                    </w:t>
      </w:r>
      <w:r w:rsidR="00124B95">
        <w:rPr>
          <w:rFonts w:ascii="Cambria" w:hAnsi="Cambria" w:cs="Arial"/>
          <w:snapToGrid w:val="0"/>
          <w:lang w:val="es-CO"/>
        </w:rPr>
        <w:tab/>
      </w:r>
      <w:r w:rsidR="00124B95">
        <w:rPr>
          <w:rFonts w:ascii="Cambria" w:hAnsi="Cambria" w:cs="Arial"/>
          <w:snapToGrid w:val="0"/>
          <w:lang w:val="es-CO"/>
        </w:rPr>
        <w:tab/>
      </w:r>
      <w:r w:rsidR="00124B95">
        <w:rPr>
          <w:rFonts w:ascii="Cambria" w:hAnsi="Cambria" w:cs="Arial"/>
          <w:snapToGrid w:val="0"/>
          <w:lang w:val="es-CO"/>
        </w:rPr>
        <w:tab/>
      </w:r>
      <w:r w:rsidR="00124B95" w:rsidRPr="00785B2C">
        <w:rPr>
          <w:rFonts w:ascii="Cambria" w:hAnsi="Cambria" w:cs="Arial"/>
          <w:snapToGrid w:val="0"/>
          <w:color w:val="808080"/>
          <w:lang w:val="es-CO"/>
        </w:rPr>
        <w:t xml:space="preserve">          </w:t>
      </w:r>
      <w:r w:rsidR="00124B95" w:rsidRPr="00785B2C">
        <w:rPr>
          <w:rFonts w:ascii="Cambria" w:hAnsi="Cambria" w:cs="Arial"/>
          <w:i/>
          <w:snapToGrid w:val="0"/>
          <w:color w:val="808080"/>
          <w:highlight w:val="lightGray"/>
          <w:lang w:val="es-CO"/>
        </w:rPr>
        <w:t>Firmado en el original</w:t>
      </w:r>
      <w:r w:rsidRPr="00785B2C">
        <w:rPr>
          <w:rFonts w:ascii="Cambria" w:hAnsi="Cambria" w:cs="Arial"/>
          <w:i/>
          <w:snapToGrid w:val="0"/>
          <w:color w:val="808080"/>
          <w:lang w:val="es-CO"/>
        </w:rPr>
        <w:t xml:space="preserve">                                                       </w:t>
      </w:r>
    </w:p>
    <w:p w:rsidR="00093949" w:rsidRPr="00CD05AF" w:rsidRDefault="00093949" w:rsidP="00131B61">
      <w:pPr>
        <w:suppressAutoHyphens/>
        <w:spacing w:after="0"/>
        <w:rPr>
          <w:rFonts w:ascii="Cambria" w:hAnsi="Cambria" w:cs="Arial"/>
          <w:i/>
          <w:snapToGrid w:val="0"/>
          <w:color w:val="BFBFBF"/>
          <w:lang w:val="es-CO"/>
        </w:rPr>
      </w:pP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r w:rsidRPr="00CD05AF">
        <w:rPr>
          <w:rFonts w:ascii="Cambria" w:hAnsi="Cambria" w:cs="Arial"/>
          <w:snapToGrid w:val="0"/>
          <w:lang w:val="es-CO"/>
        </w:rPr>
        <w:tab/>
      </w:r>
    </w:p>
    <w:p w:rsidR="00093949" w:rsidRPr="00CD05AF" w:rsidRDefault="00CE0AEC" w:rsidP="00131B61">
      <w:pPr>
        <w:suppressAutoHyphens/>
        <w:spacing w:after="0"/>
        <w:ind w:left="5760" w:firstLine="720"/>
        <w:rPr>
          <w:rFonts w:ascii="Cambria" w:hAnsi="Cambria" w:cs="Arial"/>
          <w:snapToGrid w:val="0"/>
          <w:lang w:val="es-CO"/>
        </w:rPr>
      </w:pPr>
      <w:r w:rsidRPr="00CD05AF">
        <w:rPr>
          <w:rFonts w:ascii="Cambria" w:hAnsi="Cambria" w:cs="Arial"/>
          <w:snapToGrid w:val="0"/>
          <w:lang w:val="es-CO"/>
        </w:rPr>
        <w:t xml:space="preserve">Emilio Álvarez Icaza L. </w:t>
      </w:r>
    </w:p>
    <w:p w:rsidR="00093949" w:rsidRPr="00CD05AF" w:rsidRDefault="00CE0AEC" w:rsidP="00131B61">
      <w:pPr>
        <w:suppressAutoHyphens/>
        <w:spacing w:after="0"/>
        <w:ind w:left="5040" w:firstLine="720"/>
        <w:rPr>
          <w:rFonts w:ascii="Cambria" w:hAnsi="Cambria"/>
          <w:lang w:val="es-CO"/>
        </w:rPr>
      </w:pPr>
      <w:r w:rsidRPr="00CD05AF">
        <w:rPr>
          <w:rFonts w:ascii="Cambria" w:hAnsi="Cambria" w:cs="Arial"/>
          <w:snapToGrid w:val="0"/>
          <w:lang w:val="es-CO"/>
        </w:rPr>
        <w:t xml:space="preserve">                 </w:t>
      </w:r>
      <w:r w:rsidR="00093949" w:rsidRPr="00CD05AF">
        <w:rPr>
          <w:rFonts w:ascii="Cambria" w:hAnsi="Cambria" w:cs="Arial"/>
          <w:snapToGrid w:val="0"/>
          <w:lang w:val="es-CO"/>
        </w:rPr>
        <w:t xml:space="preserve">Secretario Ejecutivo </w:t>
      </w:r>
    </w:p>
    <w:p w:rsidR="00093949" w:rsidRPr="00CD05AF" w:rsidRDefault="00093949" w:rsidP="00131B61">
      <w:pPr>
        <w:spacing w:after="0"/>
        <w:rPr>
          <w:rFonts w:ascii="Cambria" w:hAnsi="Cambria"/>
          <w:lang w:val="es-CO"/>
        </w:rPr>
      </w:pPr>
    </w:p>
    <w:p w:rsidR="005E4DD5" w:rsidRPr="00CD05AF" w:rsidRDefault="005E4DD5" w:rsidP="00131B61">
      <w:pPr>
        <w:spacing w:after="0"/>
        <w:rPr>
          <w:rFonts w:ascii="Cambria" w:hAnsi="Cambria"/>
          <w:lang w:val="es-CO"/>
        </w:rPr>
      </w:pPr>
    </w:p>
    <w:sectPr w:rsidR="005E4DD5" w:rsidRPr="00CD05AF" w:rsidSect="00CD05AF">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17" w:rsidRDefault="00D77D17">
      <w:pPr>
        <w:spacing w:after="0" w:line="240" w:lineRule="auto"/>
      </w:pPr>
      <w:r>
        <w:separator/>
      </w:r>
    </w:p>
  </w:endnote>
  <w:endnote w:type="continuationSeparator" w:id="0">
    <w:p w:rsidR="00D77D17" w:rsidRDefault="00D7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5AF" w:rsidRDefault="00CD05AF" w:rsidP="00CD05AF">
    <w:pPr>
      <w:pStyle w:val="Piedepgina"/>
      <w:spacing w:line="360" w:lineRule="auto"/>
    </w:pPr>
    <w:r>
      <w:pict>
        <v:rect id="_x0000_i1026" style="width:0;height:1.5pt" o:hralign="center" o:hrstd="t" o:hr="t" fillcolor="#a0a0a0" stroked="f"/>
      </w:pict>
    </w:r>
  </w:p>
  <w:p w:rsidR="00CD05AF" w:rsidRDefault="00CD05AF" w:rsidP="00CD05AF">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pt;height:25.25pt;visibility:visible">
          <v:imagedata r:id="rId1" o:title="footer-es"/>
        </v:shape>
      </w:pict>
    </w:r>
  </w:p>
  <w:p w:rsidR="00CD05AF" w:rsidRDefault="00CD05AF" w:rsidP="00CD05AF">
    <w:pPr>
      <w:pStyle w:val="Piedepgina"/>
    </w:pPr>
  </w:p>
  <w:p w:rsidR="00CD05AF" w:rsidRDefault="00CD05A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17" w:rsidRDefault="00D77D17">
      <w:pPr>
        <w:spacing w:after="0" w:line="240" w:lineRule="auto"/>
      </w:pPr>
      <w:r>
        <w:separator/>
      </w:r>
    </w:p>
  </w:footnote>
  <w:footnote w:type="continuationSeparator" w:id="0">
    <w:p w:rsidR="00D77D17" w:rsidRDefault="00D77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5AF" w:rsidRDefault="00CD05AF" w:rsidP="00CD05AF">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15pt;height:36pt;visibility:visible">
          <v:imagedata r:id="rId1" o:title="cidh-es"/>
        </v:shape>
      </w:pict>
    </w:r>
    <w:r>
      <w:tab/>
      <w:t xml:space="preserve">                                                                            </w:t>
    </w:r>
    <w:r w:rsidRPr="008A5CB5">
      <w:rPr>
        <w:noProof/>
      </w:rPr>
      <w:pict>
        <v:shape id="Picture 2" o:spid="_x0000_i1028" type="#_x0000_t75" style="width:129.5pt;height:37.4pt;visibility:visible">
          <v:imagedata r:id="rId2" o:title="oea-es"/>
        </v:shape>
      </w:pict>
    </w:r>
  </w:p>
  <w:p w:rsidR="00CD05AF" w:rsidRDefault="00CD05AF" w:rsidP="00CD05AF">
    <w:pPr>
      <w:pStyle w:val="Encabezado"/>
    </w:pPr>
  </w:p>
  <w:p w:rsidR="00CD05AF" w:rsidRDefault="00CD05AF" w:rsidP="00CD05AF">
    <w:pPr>
      <w:pStyle w:val="Encabezado"/>
    </w:pPr>
    <w:r>
      <w:pict>
        <v:rect id="_x0000_i1025" style="width:0;height:1.5pt" o:hralign="center" o:hrstd="t" o:hr="t" fillcolor="#a0a0a0" stroked="f"/>
      </w:pict>
    </w:r>
  </w:p>
  <w:p w:rsidR="00CD05AF" w:rsidRDefault="00CD05A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7ECC36F6"/>
    <w:multiLevelType w:val="hybridMultilevel"/>
    <w:tmpl w:val="B386963A"/>
    <w:lvl w:ilvl="0" w:tplc="C5A87A2E">
      <w:start w:val="1"/>
      <w:numFmt w:val="decimal"/>
      <w:lvlText w:val="%1."/>
      <w:lvlJc w:val="left"/>
      <w:pPr>
        <w:tabs>
          <w:tab w:val="num" w:pos="2008"/>
        </w:tabs>
        <w:ind w:left="1418" w:hanging="850"/>
      </w:pPr>
      <w:rPr>
        <w:rFonts w:ascii="Calibri" w:hAnsi="Calibri" w:cs="Calibri" w:hint="default"/>
        <w:b w:val="0"/>
        <w:i w:val="0"/>
        <w:color w:val="auto"/>
        <w:sz w:val="22"/>
        <w:szCs w:val="22"/>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3949"/>
    <w:rsid w:val="000143EA"/>
    <w:rsid w:val="000466EA"/>
    <w:rsid w:val="000539B8"/>
    <w:rsid w:val="00093949"/>
    <w:rsid w:val="000C14EF"/>
    <w:rsid w:val="00114C89"/>
    <w:rsid w:val="00124B95"/>
    <w:rsid w:val="00131B61"/>
    <w:rsid w:val="001776FA"/>
    <w:rsid w:val="001B006F"/>
    <w:rsid w:val="00290277"/>
    <w:rsid w:val="002F0351"/>
    <w:rsid w:val="0030750C"/>
    <w:rsid w:val="00340848"/>
    <w:rsid w:val="0038067C"/>
    <w:rsid w:val="004203BC"/>
    <w:rsid w:val="00434D97"/>
    <w:rsid w:val="00496AD9"/>
    <w:rsid w:val="0051720E"/>
    <w:rsid w:val="005873B3"/>
    <w:rsid w:val="005E4DD5"/>
    <w:rsid w:val="006D669B"/>
    <w:rsid w:val="007315B6"/>
    <w:rsid w:val="00752958"/>
    <w:rsid w:val="00773E24"/>
    <w:rsid w:val="00785B2C"/>
    <w:rsid w:val="007B13F3"/>
    <w:rsid w:val="00844522"/>
    <w:rsid w:val="008B0DCD"/>
    <w:rsid w:val="008F2680"/>
    <w:rsid w:val="0090304E"/>
    <w:rsid w:val="009521BA"/>
    <w:rsid w:val="009A1BCC"/>
    <w:rsid w:val="009D786E"/>
    <w:rsid w:val="009E159A"/>
    <w:rsid w:val="00A1576F"/>
    <w:rsid w:val="00AB6ED1"/>
    <w:rsid w:val="00AE4B66"/>
    <w:rsid w:val="00B36072"/>
    <w:rsid w:val="00B52D7F"/>
    <w:rsid w:val="00B82CB8"/>
    <w:rsid w:val="00B9024B"/>
    <w:rsid w:val="00BC7B47"/>
    <w:rsid w:val="00C106CB"/>
    <w:rsid w:val="00C17A48"/>
    <w:rsid w:val="00C56F13"/>
    <w:rsid w:val="00C875BC"/>
    <w:rsid w:val="00CA30A6"/>
    <w:rsid w:val="00CA72C2"/>
    <w:rsid w:val="00CD05AF"/>
    <w:rsid w:val="00CE0AEC"/>
    <w:rsid w:val="00D304A9"/>
    <w:rsid w:val="00D769F3"/>
    <w:rsid w:val="00D77D17"/>
    <w:rsid w:val="00D959DE"/>
    <w:rsid w:val="00E3714B"/>
    <w:rsid w:val="00E46550"/>
    <w:rsid w:val="00EC31E9"/>
    <w:rsid w:val="00EF4AF0"/>
    <w:rsid w:val="00F309E2"/>
    <w:rsid w:val="00F84185"/>
    <w:rsid w:val="00FD5AFE"/>
    <w:rsid w:val="00FF08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3949"/>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093949"/>
    <w:rPr>
      <w:rFonts w:eastAsia="Batang"/>
      <w:sz w:val="22"/>
      <w:szCs w:val="22"/>
    </w:rPr>
  </w:style>
  <w:style w:type="paragraph" w:styleId="Piedepgina">
    <w:name w:val="footer"/>
    <w:basedOn w:val="Normal"/>
    <w:link w:val="PiedepginaCar"/>
    <w:rsid w:val="00093949"/>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093949"/>
    <w:rPr>
      <w:rFonts w:ascii="Times New Roman" w:eastAsia="Times New Roman" w:hAnsi="Times New Roman"/>
      <w:sz w:val="24"/>
      <w:szCs w:val="24"/>
      <w:lang w:val="es-ES" w:eastAsia="es-ES"/>
    </w:rPr>
  </w:style>
  <w:style w:type="character" w:styleId="Hipervnculo">
    <w:name w:val="Hyperlink"/>
    <w:uiPriority w:val="99"/>
    <w:unhideWhenUsed/>
    <w:rsid w:val="00B9024B"/>
    <w:rPr>
      <w:color w:val="0000FF"/>
      <w:u w:val="single"/>
    </w:rPr>
  </w:style>
  <w:style w:type="paragraph" w:styleId="Prrafodelista">
    <w:name w:val="List Paragraph"/>
    <w:basedOn w:val="Normal"/>
    <w:uiPriority w:val="34"/>
    <w:qFormat/>
    <w:rsid w:val="00F309E2"/>
    <w:pPr>
      <w:ind w:left="720"/>
    </w:pPr>
  </w:style>
  <w:style w:type="paragraph" w:styleId="Textodeglobo">
    <w:name w:val="Balloon Text"/>
    <w:basedOn w:val="Normal"/>
    <w:link w:val="TextodegloboCar"/>
    <w:uiPriority w:val="99"/>
    <w:semiHidden/>
    <w:unhideWhenUsed/>
    <w:rsid w:val="00CA30A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A3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5705F-213C-475D-BBEB-D79FCFB2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1438</Words>
  <Characters>7913</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Autorizado</dc:creator>
  <cp:lastModifiedBy>Usuario Autorizado</cp:lastModifiedBy>
  <cp:revision>2</cp:revision>
  <cp:lastPrinted>2014-10-20T18:46:00Z</cp:lastPrinted>
  <dcterms:created xsi:type="dcterms:W3CDTF">2018-02-08T19:39:00Z</dcterms:created>
  <dcterms:modified xsi:type="dcterms:W3CDTF">2018-02-08T19:39:00Z</dcterms:modified>
</cp:coreProperties>
</file>