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1C7E" w:rsidRPr="00295DD6" w:rsidRDefault="00295DD6" w:rsidP="00295DD6">
      <w:pPr>
        <w:suppressAutoHyphens/>
        <w:spacing w:after="0"/>
        <w:jc w:val="right"/>
        <w:rPr>
          <w:rFonts w:ascii="Cambria" w:hAnsi="Cambria" w:cs="Arial"/>
          <w:b/>
          <w:sz w:val="20"/>
          <w:szCs w:val="20"/>
        </w:rPr>
      </w:pPr>
      <w:bookmarkStart w:id="0" w:name="_GoBack"/>
      <w:bookmarkEnd w:id="0"/>
      <w:r w:rsidRPr="00295DD6">
        <w:rPr>
          <w:rFonts w:ascii="Cambria" w:hAnsi="Cambria" w:cs="Arial"/>
          <w:sz w:val="20"/>
          <w:szCs w:val="20"/>
        </w:rPr>
        <w:t xml:space="preserve">August </w:t>
      </w:r>
      <w:r w:rsidR="000C1C7E" w:rsidRPr="00295DD6">
        <w:rPr>
          <w:rFonts w:ascii="Cambria" w:hAnsi="Cambria" w:cs="Arial"/>
          <w:sz w:val="20"/>
          <w:szCs w:val="20"/>
        </w:rPr>
        <w:t>5</w:t>
      </w:r>
      <w:r w:rsidRPr="00295DD6">
        <w:rPr>
          <w:rFonts w:ascii="Cambria" w:hAnsi="Cambria" w:cs="Arial"/>
          <w:sz w:val="20"/>
          <w:szCs w:val="20"/>
        </w:rPr>
        <w:t>,</w:t>
      </w:r>
      <w:r w:rsidR="000C1C7E" w:rsidRPr="00295DD6">
        <w:rPr>
          <w:rFonts w:ascii="Cambria" w:hAnsi="Cambria" w:cs="Arial"/>
          <w:sz w:val="20"/>
          <w:szCs w:val="20"/>
        </w:rPr>
        <w:t xml:space="preserve"> 2014</w:t>
      </w:r>
    </w:p>
    <w:p w:rsidR="006B2735" w:rsidRPr="00295DD6" w:rsidRDefault="006B2735" w:rsidP="000C1C7E">
      <w:pPr>
        <w:tabs>
          <w:tab w:val="left" w:pos="720"/>
          <w:tab w:val="center" w:pos="6480"/>
        </w:tabs>
        <w:spacing w:after="0"/>
        <w:jc w:val="both"/>
        <w:rPr>
          <w:rFonts w:ascii="Cambria" w:hAnsi="Cambria" w:cs="Arial"/>
          <w:b/>
          <w:sz w:val="20"/>
          <w:szCs w:val="20"/>
        </w:rPr>
      </w:pPr>
    </w:p>
    <w:p w:rsidR="000C1C7E" w:rsidRPr="00295DD6" w:rsidRDefault="00295DD6" w:rsidP="00295DD6">
      <w:pPr>
        <w:tabs>
          <w:tab w:val="left" w:pos="720"/>
          <w:tab w:val="center" w:pos="6480"/>
        </w:tabs>
        <w:spacing w:after="0"/>
        <w:jc w:val="both"/>
        <w:rPr>
          <w:rFonts w:ascii="Cambria" w:hAnsi="Cambria" w:cs="Arial"/>
          <w:b/>
          <w:sz w:val="20"/>
          <w:szCs w:val="20"/>
        </w:rPr>
      </w:pPr>
      <w:r w:rsidRPr="00295DD6">
        <w:rPr>
          <w:rFonts w:ascii="Cambria" w:hAnsi="Cambria" w:cs="Arial"/>
          <w:b/>
          <w:sz w:val="20"/>
          <w:szCs w:val="20"/>
        </w:rPr>
        <w:t>Re</w:t>
      </w:r>
      <w:r w:rsidR="000C1C7E" w:rsidRPr="00295DD6">
        <w:rPr>
          <w:rFonts w:ascii="Cambria" w:hAnsi="Cambria" w:cs="Arial"/>
          <w:b/>
          <w:sz w:val="20"/>
          <w:szCs w:val="20"/>
        </w:rPr>
        <w:t>:</w:t>
      </w:r>
      <w:bookmarkStart w:id="1" w:name="Peticion_n"/>
      <w:bookmarkEnd w:id="1"/>
      <w:r w:rsidRPr="00295DD6">
        <w:rPr>
          <w:rFonts w:ascii="Cambria" w:hAnsi="Cambria" w:cs="Arial"/>
          <w:b/>
          <w:sz w:val="20"/>
          <w:szCs w:val="20"/>
        </w:rPr>
        <w:tab/>
        <w:t>Case</w:t>
      </w:r>
      <w:r w:rsidR="000C1C7E" w:rsidRPr="00295DD6">
        <w:rPr>
          <w:rFonts w:ascii="Cambria" w:hAnsi="Cambria" w:cs="Arial"/>
          <w:b/>
          <w:sz w:val="20"/>
          <w:szCs w:val="20"/>
        </w:rPr>
        <w:t xml:space="preserve"> No. </w:t>
      </w:r>
      <w:r w:rsidR="000C1C7E" w:rsidRPr="00295DD6">
        <w:rPr>
          <w:rFonts w:ascii="Cambria" w:hAnsi="Cambria"/>
          <w:b/>
          <w:sz w:val="20"/>
          <w:szCs w:val="20"/>
        </w:rPr>
        <w:t>12</w:t>
      </w:r>
      <w:r w:rsidRPr="00295DD6">
        <w:rPr>
          <w:rFonts w:ascii="Cambria" w:hAnsi="Cambria"/>
          <w:b/>
          <w:sz w:val="20"/>
          <w:szCs w:val="20"/>
        </w:rPr>
        <w:t>,</w:t>
      </w:r>
      <w:r w:rsidR="009B4EF1" w:rsidRPr="00295DD6">
        <w:rPr>
          <w:rFonts w:ascii="Cambria" w:hAnsi="Cambria"/>
          <w:b/>
          <w:sz w:val="20"/>
          <w:szCs w:val="20"/>
        </w:rPr>
        <w:t>788</w:t>
      </w:r>
    </w:p>
    <w:p w:rsidR="000C1C7E" w:rsidRPr="00295DD6" w:rsidRDefault="009B4EF1" w:rsidP="00295DD6">
      <w:pPr>
        <w:tabs>
          <w:tab w:val="left" w:pos="720"/>
          <w:tab w:val="center" w:pos="6480"/>
        </w:tabs>
        <w:spacing w:after="0"/>
        <w:ind w:left="720"/>
        <w:jc w:val="both"/>
        <w:rPr>
          <w:rFonts w:ascii="Cambria" w:hAnsi="Cambria" w:cs="Arial"/>
          <w:b/>
          <w:sz w:val="20"/>
          <w:szCs w:val="20"/>
        </w:rPr>
      </w:pPr>
      <w:r w:rsidRPr="00295DD6">
        <w:rPr>
          <w:rFonts w:ascii="Cambria" w:hAnsi="Cambria" w:cs="Arial"/>
          <w:b/>
          <w:sz w:val="20"/>
          <w:szCs w:val="20"/>
        </w:rPr>
        <w:t>M</w:t>
      </w:r>
      <w:r w:rsidR="00295DD6" w:rsidRPr="00295DD6">
        <w:rPr>
          <w:rFonts w:ascii="Cambria" w:hAnsi="Cambria" w:cs="Arial"/>
          <w:b/>
          <w:sz w:val="20"/>
          <w:szCs w:val="20"/>
        </w:rPr>
        <w:t xml:space="preserve">embers of </w:t>
      </w:r>
      <w:r w:rsidR="00295DD6">
        <w:rPr>
          <w:rFonts w:ascii="Cambria" w:hAnsi="Cambria" w:cs="Arial"/>
          <w:b/>
          <w:sz w:val="20"/>
          <w:szCs w:val="20"/>
        </w:rPr>
        <w:t xml:space="preserve">the Village of Chichupac and Neighboring Communities of the Municipality of </w:t>
      </w:r>
      <w:r w:rsidRPr="00295DD6">
        <w:rPr>
          <w:rFonts w:ascii="Cambria" w:hAnsi="Cambria" w:cs="Arial"/>
          <w:b/>
          <w:sz w:val="20"/>
          <w:szCs w:val="20"/>
        </w:rPr>
        <w:t xml:space="preserve">Rabinal </w:t>
      </w:r>
    </w:p>
    <w:p w:rsidR="000C1C7E" w:rsidRPr="00295DD6" w:rsidRDefault="00FE6C9F" w:rsidP="000C1C7E">
      <w:pPr>
        <w:tabs>
          <w:tab w:val="left" w:pos="720"/>
          <w:tab w:val="center" w:pos="6480"/>
        </w:tabs>
        <w:spacing w:after="0"/>
        <w:ind w:left="720"/>
        <w:jc w:val="both"/>
        <w:rPr>
          <w:rFonts w:ascii="Cambria" w:hAnsi="Cambria" w:cs="Arial"/>
          <w:b/>
          <w:sz w:val="20"/>
          <w:szCs w:val="20"/>
        </w:rPr>
      </w:pPr>
      <w:r w:rsidRPr="00295DD6">
        <w:rPr>
          <w:rFonts w:ascii="Cambria" w:hAnsi="Cambria" w:cs="Arial"/>
          <w:b/>
          <w:sz w:val="20"/>
          <w:szCs w:val="20"/>
        </w:rPr>
        <w:t>Guatemala</w:t>
      </w:r>
      <w:r w:rsidR="000C1C7E" w:rsidRPr="00295DD6">
        <w:rPr>
          <w:rFonts w:ascii="Cambria" w:hAnsi="Cambria" w:cs="Arial"/>
          <w:b/>
          <w:sz w:val="20"/>
          <w:szCs w:val="20"/>
        </w:rPr>
        <w:t xml:space="preserve"> </w:t>
      </w:r>
    </w:p>
    <w:p w:rsidR="000C1C7E" w:rsidRPr="00295DD6" w:rsidRDefault="000C1C7E" w:rsidP="000C1C7E">
      <w:pPr>
        <w:tabs>
          <w:tab w:val="left" w:pos="720"/>
          <w:tab w:val="center" w:pos="6480"/>
        </w:tabs>
        <w:spacing w:after="0"/>
        <w:jc w:val="both"/>
        <w:rPr>
          <w:rFonts w:ascii="Cambria" w:hAnsi="Cambria" w:cs="Arial"/>
          <w:sz w:val="20"/>
          <w:szCs w:val="20"/>
        </w:rPr>
      </w:pPr>
    </w:p>
    <w:p w:rsidR="000C1C7E" w:rsidRPr="00295DD6" w:rsidRDefault="00671954" w:rsidP="0061549C">
      <w:pPr>
        <w:tabs>
          <w:tab w:val="left" w:pos="720"/>
          <w:tab w:val="center" w:pos="6480"/>
        </w:tabs>
        <w:spacing w:after="0"/>
        <w:jc w:val="both"/>
        <w:rPr>
          <w:rFonts w:ascii="Cambria" w:hAnsi="Cambria" w:cs="Arial"/>
          <w:sz w:val="20"/>
          <w:szCs w:val="20"/>
        </w:rPr>
      </w:pPr>
      <w:r>
        <w:rPr>
          <w:rFonts w:ascii="Cambria" w:hAnsi="Cambria" w:cs="Arial"/>
          <w:sz w:val="20"/>
          <w:szCs w:val="20"/>
        </w:rPr>
        <w:t xml:space="preserve">Mr. </w:t>
      </w:r>
      <w:r w:rsidR="00295DD6">
        <w:rPr>
          <w:rFonts w:ascii="Cambria" w:hAnsi="Cambria" w:cs="Arial"/>
          <w:sz w:val="20"/>
          <w:szCs w:val="20"/>
        </w:rPr>
        <w:t>Secretary</w:t>
      </w:r>
      <w:r w:rsidR="000C1C7E" w:rsidRPr="00295DD6">
        <w:rPr>
          <w:rFonts w:ascii="Cambria" w:hAnsi="Cambria" w:cs="Arial"/>
          <w:sz w:val="20"/>
          <w:szCs w:val="20"/>
        </w:rPr>
        <w:t>:</w:t>
      </w:r>
      <w:r>
        <w:rPr>
          <w:rFonts w:ascii="Cambria" w:hAnsi="Cambria" w:cs="Arial"/>
          <w:sz w:val="20"/>
          <w:szCs w:val="20"/>
        </w:rPr>
        <w:t xml:space="preserve"> </w:t>
      </w:r>
    </w:p>
    <w:p w:rsidR="000C1C7E" w:rsidRPr="00295DD6" w:rsidRDefault="000C1C7E" w:rsidP="000C1C7E">
      <w:pPr>
        <w:spacing w:after="0"/>
        <w:rPr>
          <w:rFonts w:ascii="Cambria" w:hAnsi="Cambria" w:cs="Arial"/>
          <w:sz w:val="20"/>
          <w:szCs w:val="20"/>
        </w:rPr>
      </w:pPr>
    </w:p>
    <w:p w:rsidR="000C1C7E" w:rsidRPr="00295DD6" w:rsidRDefault="000C1C7E" w:rsidP="001C131A">
      <w:pPr>
        <w:spacing w:after="0"/>
        <w:jc w:val="both"/>
        <w:rPr>
          <w:rFonts w:ascii="Cambria" w:hAnsi="Cambria" w:cs="Arial"/>
          <w:sz w:val="20"/>
          <w:szCs w:val="20"/>
        </w:rPr>
      </w:pPr>
      <w:r w:rsidRPr="00295DD6">
        <w:rPr>
          <w:rFonts w:ascii="Cambria" w:hAnsi="Cambria"/>
          <w:sz w:val="20"/>
          <w:szCs w:val="20"/>
        </w:rPr>
        <w:tab/>
      </w:r>
      <w:r w:rsidR="00295DD6">
        <w:rPr>
          <w:rFonts w:ascii="Cambria" w:hAnsi="Cambria"/>
          <w:sz w:val="20"/>
          <w:szCs w:val="20"/>
        </w:rPr>
        <w:t xml:space="preserve">It is my pleasure to address you on behalf of the Inter-American Commission on Human rights for the purpose of submitting Case </w:t>
      </w:r>
      <w:r w:rsidRPr="00295DD6">
        <w:rPr>
          <w:rFonts w:ascii="Cambria" w:hAnsi="Cambria" w:cs="Arial"/>
          <w:sz w:val="20"/>
          <w:szCs w:val="20"/>
        </w:rPr>
        <w:t>12</w:t>
      </w:r>
      <w:r w:rsidR="00295DD6">
        <w:rPr>
          <w:rFonts w:ascii="Cambria" w:hAnsi="Cambria" w:cs="Arial"/>
          <w:sz w:val="20"/>
          <w:szCs w:val="20"/>
        </w:rPr>
        <w:t>,</w:t>
      </w:r>
      <w:r w:rsidR="003C5006" w:rsidRPr="00295DD6">
        <w:rPr>
          <w:rFonts w:ascii="Cambria" w:hAnsi="Cambria" w:cs="Arial"/>
          <w:sz w:val="20"/>
          <w:szCs w:val="20"/>
        </w:rPr>
        <w:t>788</w:t>
      </w:r>
      <w:r w:rsidRPr="00295DD6">
        <w:rPr>
          <w:rFonts w:ascii="Cambria" w:hAnsi="Cambria" w:cs="Arial"/>
          <w:sz w:val="20"/>
          <w:szCs w:val="20"/>
        </w:rPr>
        <w:t xml:space="preserve"> – </w:t>
      </w:r>
      <w:r w:rsidR="003C5006" w:rsidRPr="00295DD6">
        <w:rPr>
          <w:rFonts w:ascii="Cambria" w:hAnsi="Cambria"/>
          <w:sz w:val="20"/>
          <w:szCs w:val="20"/>
        </w:rPr>
        <w:t>M</w:t>
      </w:r>
      <w:r w:rsidR="00295DD6">
        <w:rPr>
          <w:rFonts w:ascii="Cambria" w:hAnsi="Cambria"/>
          <w:sz w:val="20"/>
          <w:szCs w:val="20"/>
        </w:rPr>
        <w:t xml:space="preserve">embers of the Village of </w:t>
      </w:r>
      <w:r w:rsidR="003C5006" w:rsidRPr="00295DD6">
        <w:rPr>
          <w:rFonts w:ascii="Cambria" w:hAnsi="Cambria"/>
          <w:sz w:val="20"/>
          <w:szCs w:val="20"/>
        </w:rPr>
        <w:t xml:space="preserve">Chichupac </w:t>
      </w:r>
      <w:r w:rsidR="00295DD6">
        <w:rPr>
          <w:rFonts w:ascii="Cambria" w:hAnsi="Cambria"/>
          <w:sz w:val="20"/>
          <w:szCs w:val="20"/>
        </w:rPr>
        <w:t xml:space="preserve">and Neighboring Communities of the Municipality of </w:t>
      </w:r>
      <w:r w:rsidR="003C5006" w:rsidRPr="00295DD6">
        <w:rPr>
          <w:rFonts w:ascii="Cambria" w:hAnsi="Cambria"/>
          <w:sz w:val="20"/>
          <w:szCs w:val="20"/>
        </w:rPr>
        <w:t>Rabinal</w:t>
      </w:r>
      <w:r w:rsidR="003C5006" w:rsidRPr="00295DD6">
        <w:rPr>
          <w:rFonts w:ascii="Cambria" w:hAnsi="Cambria" w:cs="Arial"/>
          <w:sz w:val="20"/>
          <w:szCs w:val="20"/>
        </w:rPr>
        <w:t xml:space="preserve"> </w:t>
      </w:r>
      <w:r w:rsidR="00295DD6">
        <w:rPr>
          <w:rFonts w:ascii="Cambria" w:hAnsi="Cambria" w:cs="Arial"/>
          <w:sz w:val="20"/>
          <w:szCs w:val="20"/>
        </w:rPr>
        <w:t>with respect</w:t>
      </w:r>
      <w:r w:rsidRPr="00295DD6">
        <w:rPr>
          <w:rFonts w:ascii="Cambria" w:hAnsi="Cambria" w:cs="Arial"/>
          <w:sz w:val="20"/>
          <w:szCs w:val="20"/>
        </w:rPr>
        <w:t xml:space="preserve"> </w:t>
      </w:r>
      <w:r w:rsidR="00295DD6">
        <w:rPr>
          <w:rFonts w:ascii="Cambria" w:hAnsi="Cambria" w:cs="Arial"/>
          <w:sz w:val="20"/>
          <w:szCs w:val="20"/>
        </w:rPr>
        <w:t xml:space="preserve">to the Republic of </w:t>
      </w:r>
      <w:r w:rsidR="003C5006" w:rsidRPr="00295DD6">
        <w:rPr>
          <w:rFonts w:ascii="Cambria" w:hAnsi="Cambria" w:cs="Arial"/>
          <w:sz w:val="20"/>
          <w:szCs w:val="20"/>
        </w:rPr>
        <w:t>Guatemala</w:t>
      </w:r>
      <w:r w:rsidRPr="00295DD6">
        <w:rPr>
          <w:rFonts w:ascii="Cambria" w:hAnsi="Cambria" w:cs="Arial"/>
          <w:sz w:val="20"/>
          <w:szCs w:val="20"/>
        </w:rPr>
        <w:t xml:space="preserve"> (</w:t>
      </w:r>
      <w:r w:rsidR="00295DD6">
        <w:rPr>
          <w:rFonts w:ascii="Cambria" w:hAnsi="Cambria" w:cs="Arial"/>
          <w:sz w:val="20"/>
          <w:szCs w:val="20"/>
        </w:rPr>
        <w:t xml:space="preserve">hereinafter </w:t>
      </w:r>
      <w:r w:rsidRPr="00295DD6">
        <w:rPr>
          <w:rFonts w:ascii="Cambria" w:hAnsi="Cambria" w:cs="Arial"/>
          <w:sz w:val="20"/>
          <w:szCs w:val="20"/>
        </w:rPr>
        <w:t>“</w:t>
      </w:r>
      <w:r w:rsidR="00295DD6">
        <w:rPr>
          <w:rFonts w:ascii="Cambria" w:hAnsi="Cambria" w:cs="Arial"/>
          <w:sz w:val="20"/>
          <w:szCs w:val="20"/>
        </w:rPr>
        <w:t>the State,</w:t>
      </w:r>
      <w:r w:rsidRPr="00295DD6">
        <w:rPr>
          <w:rFonts w:ascii="Cambria" w:hAnsi="Cambria" w:cs="Arial"/>
          <w:sz w:val="20"/>
          <w:szCs w:val="20"/>
        </w:rPr>
        <w:t>” “</w:t>
      </w:r>
      <w:r w:rsidR="00295DD6">
        <w:rPr>
          <w:rFonts w:ascii="Cambria" w:hAnsi="Cambria" w:cs="Arial"/>
          <w:sz w:val="20"/>
          <w:szCs w:val="20"/>
        </w:rPr>
        <w:t xml:space="preserve">the Guatemalan State,” </w:t>
      </w:r>
      <w:r w:rsidRPr="00295DD6">
        <w:rPr>
          <w:rFonts w:ascii="Cambria" w:hAnsi="Cambria" w:cs="Arial"/>
          <w:sz w:val="20"/>
          <w:szCs w:val="20"/>
        </w:rPr>
        <w:t>o</w:t>
      </w:r>
      <w:r w:rsidR="00295DD6">
        <w:rPr>
          <w:rFonts w:ascii="Cambria" w:hAnsi="Cambria" w:cs="Arial"/>
          <w:sz w:val="20"/>
          <w:szCs w:val="20"/>
        </w:rPr>
        <w:t>r</w:t>
      </w:r>
      <w:r w:rsidRPr="00295DD6">
        <w:rPr>
          <w:rFonts w:ascii="Cambria" w:hAnsi="Cambria" w:cs="Arial"/>
          <w:sz w:val="20"/>
          <w:szCs w:val="20"/>
        </w:rPr>
        <w:t xml:space="preserve"> “</w:t>
      </w:r>
      <w:r w:rsidR="003C5006" w:rsidRPr="00295DD6">
        <w:rPr>
          <w:rFonts w:ascii="Cambria" w:hAnsi="Cambria" w:cs="Arial"/>
          <w:sz w:val="20"/>
          <w:szCs w:val="20"/>
        </w:rPr>
        <w:t>Guatemala</w:t>
      </w:r>
      <w:r w:rsidRPr="00295DD6">
        <w:rPr>
          <w:rFonts w:ascii="Cambria" w:hAnsi="Cambria" w:cs="Arial"/>
          <w:sz w:val="20"/>
          <w:szCs w:val="20"/>
        </w:rPr>
        <w:t>”)</w:t>
      </w:r>
      <w:r w:rsidR="001C131A">
        <w:rPr>
          <w:rFonts w:ascii="Cambria" w:hAnsi="Cambria" w:cs="Arial"/>
          <w:sz w:val="20"/>
          <w:szCs w:val="20"/>
        </w:rPr>
        <w:t xml:space="preserve">, </w:t>
      </w:r>
      <w:r w:rsidR="001C131A">
        <w:rPr>
          <w:rFonts w:ascii="Cambria" w:hAnsi="Cambria"/>
          <w:sz w:val="20"/>
          <w:szCs w:val="20"/>
        </w:rPr>
        <w:t>to the jurisdiction of the Honorable Inter-American Court of Human Rights</w:t>
      </w:r>
      <w:r w:rsidRPr="00295DD6">
        <w:rPr>
          <w:rFonts w:ascii="Cambria" w:hAnsi="Cambria" w:cs="Arial"/>
          <w:sz w:val="20"/>
          <w:szCs w:val="20"/>
        </w:rPr>
        <w:t xml:space="preserve">. </w:t>
      </w:r>
    </w:p>
    <w:p w:rsidR="000C1C7E" w:rsidRPr="00295DD6" w:rsidRDefault="000C1C7E" w:rsidP="000C1C7E">
      <w:pPr>
        <w:spacing w:after="0"/>
        <w:jc w:val="both"/>
        <w:rPr>
          <w:rFonts w:ascii="Cambria" w:hAnsi="Cambria" w:cs="Arial"/>
          <w:sz w:val="20"/>
          <w:szCs w:val="20"/>
        </w:rPr>
      </w:pPr>
    </w:p>
    <w:p w:rsidR="006F7BBF" w:rsidRPr="00295DD6" w:rsidRDefault="00671954" w:rsidP="00B720B4">
      <w:pPr>
        <w:widowControl w:val="0"/>
        <w:autoSpaceDE w:val="0"/>
        <w:autoSpaceDN w:val="0"/>
        <w:adjustRightInd w:val="0"/>
        <w:spacing w:after="0" w:line="240" w:lineRule="auto"/>
        <w:ind w:firstLine="720"/>
        <w:jc w:val="both"/>
        <w:rPr>
          <w:rFonts w:ascii="Cambria" w:hAnsi="Cambria" w:cs="Arial"/>
          <w:sz w:val="20"/>
          <w:szCs w:val="20"/>
        </w:rPr>
      </w:pPr>
      <w:r>
        <w:rPr>
          <w:rFonts w:ascii="Cambria" w:hAnsi="Cambria"/>
          <w:sz w:val="20"/>
          <w:szCs w:val="20"/>
        </w:rPr>
        <w:t xml:space="preserve">This case involves </w:t>
      </w:r>
      <w:r w:rsidR="00295DD6">
        <w:rPr>
          <w:rFonts w:ascii="Cambria" w:hAnsi="Cambria"/>
          <w:sz w:val="20"/>
          <w:szCs w:val="20"/>
        </w:rPr>
        <w:t xml:space="preserve">a series of massacres, extrajudicial executions, tortures, forced disappearances, and rape against the members of the village of </w:t>
      </w:r>
      <w:r w:rsidR="006F7BBF" w:rsidRPr="00295DD6">
        <w:rPr>
          <w:rFonts w:ascii="Cambria" w:hAnsi="Cambria"/>
          <w:sz w:val="20"/>
          <w:szCs w:val="20"/>
        </w:rPr>
        <w:t xml:space="preserve">Chichupac </w:t>
      </w:r>
      <w:r w:rsidR="00295DD6">
        <w:rPr>
          <w:rFonts w:ascii="Cambria" w:hAnsi="Cambria"/>
          <w:sz w:val="20"/>
          <w:szCs w:val="20"/>
        </w:rPr>
        <w:t xml:space="preserve">and neighboring communities of the municipality of </w:t>
      </w:r>
      <w:r w:rsidR="006F7BBF" w:rsidRPr="00295DD6">
        <w:rPr>
          <w:rFonts w:ascii="Cambria" w:hAnsi="Cambria"/>
          <w:sz w:val="20"/>
          <w:szCs w:val="20"/>
        </w:rPr>
        <w:t xml:space="preserve">Rabinal, </w:t>
      </w:r>
      <w:r w:rsidR="00295DD6">
        <w:rPr>
          <w:rFonts w:ascii="Cambria" w:hAnsi="Cambria"/>
          <w:sz w:val="20"/>
          <w:szCs w:val="20"/>
        </w:rPr>
        <w:t xml:space="preserve">in the context of operations by the Army and collaborators during the internal armed conflict in </w:t>
      </w:r>
      <w:r w:rsidR="006F7BBF" w:rsidRPr="00295DD6">
        <w:rPr>
          <w:rFonts w:ascii="Cambria" w:hAnsi="Cambria"/>
          <w:sz w:val="20"/>
          <w:szCs w:val="20"/>
        </w:rPr>
        <w:t xml:space="preserve">Guatemala. </w:t>
      </w:r>
      <w:r w:rsidR="00B720B4">
        <w:rPr>
          <w:rFonts w:ascii="Cambria" w:hAnsi="Cambria"/>
          <w:sz w:val="20"/>
          <w:szCs w:val="20"/>
        </w:rPr>
        <w:t>O</w:t>
      </w:r>
      <w:r w:rsidR="00295DD6">
        <w:rPr>
          <w:rFonts w:ascii="Cambria" w:hAnsi="Cambria"/>
          <w:sz w:val="20"/>
          <w:szCs w:val="20"/>
        </w:rPr>
        <w:t xml:space="preserve">n January </w:t>
      </w:r>
      <w:r w:rsidR="006F7BBF" w:rsidRPr="00295DD6">
        <w:rPr>
          <w:rFonts w:ascii="Cambria" w:hAnsi="Cambria"/>
          <w:sz w:val="20"/>
          <w:szCs w:val="20"/>
        </w:rPr>
        <w:t>8</w:t>
      </w:r>
      <w:r w:rsidR="00295DD6">
        <w:rPr>
          <w:rFonts w:ascii="Cambria" w:hAnsi="Cambria"/>
          <w:sz w:val="20"/>
          <w:szCs w:val="20"/>
        </w:rPr>
        <w:t>,</w:t>
      </w:r>
      <w:r w:rsidR="006F7BBF" w:rsidRPr="00295DD6">
        <w:rPr>
          <w:rFonts w:ascii="Cambria" w:hAnsi="Cambria"/>
          <w:sz w:val="20"/>
          <w:szCs w:val="20"/>
        </w:rPr>
        <w:t xml:space="preserve"> 1982</w:t>
      </w:r>
      <w:r w:rsidR="00295DD6">
        <w:rPr>
          <w:rFonts w:ascii="Cambria" w:hAnsi="Cambria"/>
          <w:sz w:val="20"/>
          <w:szCs w:val="20"/>
        </w:rPr>
        <w:t xml:space="preserve">, 32 persons were tortured and massacred. From </w:t>
      </w:r>
      <w:r w:rsidR="00A7550A" w:rsidRPr="00295DD6">
        <w:rPr>
          <w:rFonts w:ascii="Cambria" w:hAnsi="Cambria" w:cs="Arial"/>
          <w:sz w:val="20"/>
          <w:szCs w:val="20"/>
        </w:rPr>
        <w:t>1</w:t>
      </w:r>
      <w:r w:rsidR="006F7BBF" w:rsidRPr="00295DD6">
        <w:rPr>
          <w:rFonts w:ascii="Cambria" w:hAnsi="Cambria" w:cs="Arial"/>
          <w:sz w:val="20"/>
          <w:szCs w:val="20"/>
        </w:rPr>
        <w:t>9</w:t>
      </w:r>
      <w:r w:rsidR="00A7550A" w:rsidRPr="00295DD6">
        <w:rPr>
          <w:rFonts w:ascii="Cambria" w:hAnsi="Cambria" w:cs="Arial"/>
          <w:sz w:val="20"/>
          <w:szCs w:val="20"/>
        </w:rPr>
        <w:t>8</w:t>
      </w:r>
      <w:r w:rsidR="006F7BBF" w:rsidRPr="00295DD6">
        <w:rPr>
          <w:rFonts w:ascii="Cambria" w:hAnsi="Cambria" w:cs="Arial"/>
          <w:sz w:val="20"/>
          <w:szCs w:val="20"/>
        </w:rPr>
        <w:t xml:space="preserve">1 </w:t>
      </w:r>
      <w:r w:rsidR="00295DD6">
        <w:rPr>
          <w:rFonts w:ascii="Cambria" w:hAnsi="Cambria" w:cs="Arial"/>
          <w:sz w:val="20"/>
          <w:szCs w:val="20"/>
        </w:rPr>
        <w:t xml:space="preserve">to </w:t>
      </w:r>
      <w:r w:rsidR="006F7BBF" w:rsidRPr="00295DD6">
        <w:rPr>
          <w:rFonts w:ascii="Cambria" w:hAnsi="Cambria" w:cs="Arial"/>
          <w:sz w:val="20"/>
          <w:szCs w:val="20"/>
        </w:rPr>
        <w:t>1986</w:t>
      </w:r>
      <w:r w:rsidR="00295DD6">
        <w:rPr>
          <w:rFonts w:ascii="Cambria" w:hAnsi="Cambria" w:cs="Arial"/>
          <w:sz w:val="20"/>
          <w:szCs w:val="20"/>
        </w:rPr>
        <w:t>,</w:t>
      </w:r>
      <w:r w:rsidR="006F7BBF" w:rsidRPr="00295DD6">
        <w:rPr>
          <w:rFonts w:ascii="Cambria" w:hAnsi="Cambria" w:cs="Arial"/>
          <w:sz w:val="20"/>
          <w:szCs w:val="20"/>
        </w:rPr>
        <w:t xml:space="preserve"> </w:t>
      </w:r>
      <w:r w:rsidR="00295DD6">
        <w:rPr>
          <w:rFonts w:ascii="Cambria" w:hAnsi="Cambria" w:cs="Arial"/>
          <w:sz w:val="20"/>
          <w:szCs w:val="20"/>
        </w:rPr>
        <w:t xml:space="preserve">39 persons were tortured and extrajudicially executed in the context of several operations. All these persons were civilians and were defenseless when they were detained, tortured, and executed. Moreover, eight persons were disappeared on August </w:t>
      </w:r>
      <w:r w:rsidR="006F7BBF" w:rsidRPr="00295DD6">
        <w:rPr>
          <w:rFonts w:ascii="Cambria" w:hAnsi="Cambria" w:cs="Arial"/>
          <w:sz w:val="20"/>
          <w:szCs w:val="20"/>
        </w:rPr>
        <w:t>24</w:t>
      </w:r>
      <w:r w:rsidR="00295DD6">
        <w:rPr>
          <w:rFonts w:ascii="Cambria" w:hAnsi="Cambria" w:cs="Arial"/>
          <w:sz w:val="20"/>
          <w:szCs w:val="20"/>
        </w:rPr>
        <w:t>,</w:t>
      </w:r>
      <w:r w:rsidR="006F7BBF" w:rsidRPr="00295DD6">
        <w:rPr>
          <w:rFonts w:ascii="Cambria" w:hAnsi="Cambria" w:cs="Arial"/>
          <w:sz w:val="20"/>
          <w:szCs w:val="20"/>
        </w:rPr>
        <w:t xml:space="preserve"> 1981, </w:t>
      </w:r>
      <w:r w:rsidR="00295DD6">
        <w:rPr>
          <w:rFonts w:ascii="Cambria" w:hAnsi="Cambria" w:cs="Arial"/>
          <w:sz w:val="20"/>
          <w:szCs w:val="20"/>
        </w:rPr>
        <w:t xml:space="preserve">January </w:t>
      </w:r>
      <w:r w:rsidR="006F7BBF" w:rsidRPr="00295DD6">
        <w:rPr>
          <w:rFonts w:ascii="Cambria" w:hAnsi="Cambria" w:cs="Arial"/>
          <w:sz w:val="20"/>
          <w:szCs w:val="20"/>
        </w:rPr>
        <w:t>8, 18</w:t>
      </w:r>
      <w:r w:rsidR="00295DD6">
        <w:rPr>
          <w:rFonts w:ascii="Cambria" w:hAnsi="Cambria" w:cs="Arial"/>
          <w:sz w:val="20"/>
          <w:szCs w:val="20"/>
        </w:rPr>
        <w:t xml:space="preserve">, and </w:t>
      </w:r>
      <w:r w:rsidR="006F7BBF" w:rsidRPr="00295DD6">
        <w:rPr>
          <w:rFonts w:ascii="Cambria" w:hAnsi="Cambria" w:cs="Arial"/>
          <w:sz w:val="20"/>
          <w:szCs w:val="20"/>
        </w:rPr>
        <w:t>31</w:t>
      </w:r>
      <w:r w:rsidR="00295DD6">
        <w:rPr>
          <w:rFonts w:ascii="Cambria" w:hAnsi="Cambria" w:cs="Arial"/>
          <w:sz w:val="20"/>
          <w:szCs w:val="20"/>
        </w:rPr>
        <w:t>,</w:t>
      </w:r>
      <w:r w:rsidR="006F7BBF" w:rsidRPr="00295DD6">
        <w:rPr>
          <w:rFonts w:ascii="Cambria" w:hAnsi="Cambria" w:cs="Arial"/>
          <w:sz w:val="20"/>
          <w:szCs w:val="20"/>
        </w:rPr>
        <w:t xml:space="preserve"> </w:t>
      </w:r>
      <w:r w:rsidR="00295DD6">
        <w:rPr>
          <w:rFonts w:ascii="Cambria" w:hAnsi="Cambria" w:cs="Arial"/>
          <w:sz w:val="20"/>
          <w:szCs w:val="20"/>
        </w:rPr>
        <w:t xml:space="preserve">and February </w:t>
      </w:r>
      <w:r w:rsidR="006F7BBF" w:rsidRPr="00295DD6">
        <w:rPr>
          <w:rFonts w:ascii="Cambria" w:hAnsi="Cambria" w:cs="Arial"/>
          <w:sz w:val="20"/>
          <w:szCs w:val="20"/>
        </w:rPr>
        <w:t>12</w:t>
      </w:r>
      <w:r w:rsidR="00295DD6">
        <w:rPr>
          <w:rFonts w:ascii="Cambria" w:hAnsi="Cambria" w:cs="Arial"/>
          <w:sz w:val="20"/>
          <w:szCs w:val="20"/>
        </w:rPr>
        <w:t>,</w:t>
      </w:r>
      <w:r w:rsidR="006F7BBF" w:rsidRPr="00295DD6">
        <w:rPr>
          <w:rFonts w:ascii="Cambria" w:hAnsi="Cambria" w:cs="Arial"/>
          <w:sz w:val="20"/>
          <w:szCs w:val="20"/>
        </w:rPr>
        <w:t xml:space="preserve"> 1982</w:t>
      </w:r>
      <w:r w:rsidR="00295DD6">
        <w:rPr>
          <w:rFonts w:ascii="Cambria" w:hAnsi="Cambria" w:cs="Arial"/>
          <w:sz w:val="20"/>
          <w:szCs w:val="20"/>
        </w:rPr>
        <w:t xml:space="preserve">, and December </w:t>
      </w:r>
      <w:r w:rsidR="006F7BBF" w:rsidRPr="00295DD6">
        <w:rPr>
          <w:rFonts w:ascii="Cambria" w:hAnsi="Cambria" w:cs="Arial"/>
          <w:sz w:val="20"/>
          <w:szCs w:val="20"/>
        </w:rPr>
        <w:t>13</w:t>
      </w:r>
      <w:r w:rsidR="00295DD6">
        <w:rPr>
          <w:rFonts w:ascii="Cambria" w:hAnsi="Cambria" w:cs="Arial"/>
          <w:sz w:val="20"/>
          <w:szCs w:val="20"/>
        </w:rPr>
        <w:t>,</w:t>
      </w:r>
      <w:r w:rsidR="006F7BBF" w:rsidRPr="00295DD6">
        <w:rPr>
          <w:rFonts w:ascii="Cambria" w:hAnsi="Cambria" w:cs="Arial"/>
          <w:sz w:val="20"/>
          <w:szCs w:val="20"/>
        </w:rPr>
        <w:t xml:space="preserve"> 1984. </w:t>
      </w:r>
      <w:r w:rsidR="00295DD6">
        <w:rPr>
          <w:rFonts w:ascii="Cambria" w:hAnsi="Cambria" w:cs="Arial"/>
          <w:sz w:val="20"/>
          <w:szCs w:val="20"/>
        </w:rPr>
        <w:t xml:space="preserve">All these persons were last seen under the custody of state agents, and their whereabouts remain unknown to this day. </w:t>
      </w:r>
      <w:r w:rsidR="00C14367">
        <w:rPr>
          <w:rFonts w:ascii="Cambria" w:hAnsi="Cambria" w:cs="Arial"/>
          <w:sz w:val="20"/>
          <w:szCs w:val="20"/>
        </w:rPr>
        <w:t xml:space="preserve">In addition, on January </w:t>
      </w:r>
      <w:r w:rsidR="006F7BBF" w:rsidRPr="00295DD6">
        <w:rPr>
          <w:rFonts w:ascii="Cambria" w:hAnsi="Cambria"/>
          <w:sz w:val="20"/>
          <w:szCs w:val="20"/>
        </w:rPr>
        <w:t>8</w:t>
      </w:r>
      <w:r w:rsidR="00C14367">
        <w:rPr>
          <w:rFonts w:ascii="Cambria" w:hAnsi="Cambria"/>
          <w:sz w:val="20"/>
          <w:szCs w:val="20"/>
        </w:rPr>
        <w:t>,</w:t>
      </w:r>
      <w:r w:rsidR="006F7BBF" w:rsidRPr="00295DD6">
        <w:rPr>
          <w:rFonts w:ascii="Cambria" w:hAnsi="Cambria"/>
          <w:sz w:val="20"/>
          <w:szCs w:val="20"/>
        </w:rPr>
        <w:t xml:space="preserve"> 1982</w:t>
      </w:r>
      <w:r w:rsidR="00C14367">
        <w:rPr>
          <w:rFonts w:ascii="Cambria" w:hAnsi="Cambria"/>
          <w:sz w:val="20"/>
          <w:szCs w:val="20"/>
        </w:rPr>
        <w:t xml:space="preserve">, and November </w:t>
      </w:r>
      <w:r w:rsidR="006F7BBF" w:rsidRPr="00295DD6">
        <w:rPr>
          <w:rFonts w:ascii="Cambria" w:hAnsi="Cambria"/>
          <w:sz w:val="20"/>
          <w:szCs w:val="20"/>
        </w:rPr>
        <w:t>22</w:t>
      </w:r>
      <w:r w:rsidR="00C14367">
        <w:rPr>
          <w:rFonts w:ascii="Cambria" w:hAnsi="Cambria"/>
          <w:sz w:val="20"/>
          <w:szCs w:val="20"/>
        </w:rPr>
        <w:t>,</w:t>
      </w:r>
      <w:r w:rsidR="006F7BBF" w:rsidRPr="00295DD6">
        <w:rPr>
          <w:rFonts w:ascii="Cambria" w:hAnsi="Cambria"/>
          <w:sz w:val="20"/>
          <w:szCs w:val="20"/>
        </w:rPr>
        <w:t xml:space="preserve"> 1982, </w:t>
      </w:r>
      <w:r w:rsidR="00C14367">
        <w:rPr>
          <w:rFonts w:ascii="Cambria" w:hAnsi="Cambria"/>
          <w:sz w:val="20"/>
          <w:szCs w:val="20"/>
        </w:rPr>
        <w:t xml:space="preserve">two women were raped, and from October 1982 to June 1985 another woman was the victim of multiple rapes. This last person was also a victim of forced labor in the </w:t>
      </w:r>
      <w:r w:rsidR="006F7BBF" w:rsidRPr="00295DD6">
        <w:rPr>
          <w:rFonts w:ascii="Cambria" w:hAnsi="Cambria"/>
          <w:sz w:val="20"/>
          <w:szCs w:val="20"/>
        </w:rPr>
        <w:t>“Chichupac</w:t>
      </w:r>
      <w:r w:rsidR="00C14367">
        <w:rPr>
          <w:rFonts w:ascii="Cambria" w:hAnsi="Cambria"/>
          <w:sz w:val="20"/>
          <w:szCs w:val="20"/>
        </w:rPr>
        <w:t xml:space="preserve"> model village</w:t>
      </w:r>
      <w:r w:rsidR="006F7BBF" w:rsidRPr="00295DD6">
        <w:rPr>
          <w:rFonts w:ascii="Cambria" w:hAnsi="Cambria"/>
          <w:sz w:val="20"/>
          <w:szCs w:val="20"/>
        </w:rPr>
        <w:t xml:space="preserve">” </w:t>
      </w:r>
      <w:r w:rsidR="00C14367">
        <w:rPr>
          <w:rFonts w:ascii="Cambria" w:hAnsi="Cambria"/>
          <w:sz w:val="20"/>
          <w:szCs w:val="20"/>
        </w:rPr>
        <w:t xml:space="preserve">under orders of members of the National Army. The Commission also found that the survivors of the village of </w:t>
      </w:r>
      <w:r w:rsidR="006F7BBF" w:rsidRPr="00295DD6">
        <w:rPr>
          <w:rFonts w:ascii="Cambria" w:hAnsi="Cambria"/>
          <w:sz w:val="20"/>
          <w:szCs w:val="20"/>
        </w:rPr>
        <w:t xml:space="preserve">Chichupac </w:t>
      </w:r>
      <w:r w:rsidR="00C14367">
        <w:rPr>
          <w:rFonts w:ascii="Cambria" w:hAnsi="Cambria"/>
          <w:sz w:val="20"/>
          <w:szCs w:val="20"/>
        </w:rPr>
        <w:t xml:space="preserve">and neighboring communities were victims of forced displacement. Related to this series of violations, the Commission </w:t>
      </w:r>
      <w:r w:rsidR="00B720B4">
        <w:rPr>
          <w:rFonts w:ascii="Cambria" w:hAnsi="Cambria"/>
          <w:sz w:val="20"/>
          <w:szCs w:val="20"/>
        </w:rPr>
        <w:t xml:space="preserve">also </w:t>
      </w:r>
      <w:r w:rsidR="00C14367">
        <w:rPr>
          <w:rFonts w:ascii="Cambria" w:hAnsi="Cambria"/>
          <w:sz w:val="20"/>
          <w:szCs w:val="20"/>
        </w:rPr>
        <w:t>found</w:t>
      </w:r>
      <w:r w:rsidR="00B720B4">
        <w:rPr>
          <w:rFonts w:ascii="Cambria" w:hAnsi="Cambria"/>
          <w:sz w:val="20"/>
          <w:szCs w:val="20"/>
        </w:rPr>
        <w:t>,</w:t>
      </w:r>
      <w:r w:rsidR="00C14367">
        <w:rPr>
          <w:rFonts w:ascii="Cambria" w:hAnsi="Cambria"/>
          <w:sz w:val="20"/>
          <w:szCs w:val="20"/>
        </w:rPr>
        <w:t xml:space="preserve"> in the case</w:t>
      </w:r>
      <w:r w:rsidR="00B720B4">
        <w:rPr>
          <w:rFonts w:ascii="Cambria" w:hAnsi="Cambria"/>
          <w:sz w:val="20"/>
          <w:szCs w:val="20"/>
        </w:rPr>
        <w:t>,</w:t>
      </w:r>
      <w:r w:rsidR="00C14367">
        <w:rPr>
          <w:rFonts w:ascii="Cambria" w:hAnsi="Cambria"/>
          <w:sz w:val="20"/>
          <w:szCs w:val="20"/>
        </w:rPr>
        <w:t xml:space="preserve"> violations were committed of the right to honor and dignity, the freedom of conscience and religion, the freedom of association, the right to property, and political rights. </w:t>
      </w:r>
    </w:p>
    <w:p w:rsidR="006F7BBF" w:rsidRPr="00295DD6" w:rsidRDefault="006F7BBF" w:rsidP="006F7BBF">
      <w:pPr>
        <w:widowControl w:val="0"/>
        <w:autoSpaceDE w:val="0"/>
        <w:autoSpaceDN w:val="0"/>
        <w:adjustRightInd w:val="0"/>
        <w:spacing w:after="0" w:line="240" w:lineRule="auto"/>
        <w:jc w:val="both"/>
        <w:rPr>
          <w:rFonts w:ascii="Cambria" w:hAnsi="Cambria" w:cs="Arial"/>
          <w:sz w:val="20"/>
          <w:szCs w:val="20"/>
        </w:rPr>
      </w:pPr>
    </w:p>
    <w:p w:rsidR="000C1C7E" w:rsidRPr="00295DD6" w:rsidRDefault="00AE21DE" w:rsidP="00AE21DE">
      <w:pPr>
        <w:widowControl w:val="0"/>
        <w:autoSpaceDE w:val="0"/>
        <w:autoSpaceDN w:val="0"/>
        <w:adjustRightInd w:val="0"/>
        <w:spacing w:after="0" w:line="240" w:lineRule="auto"/>
        <w:ind w:firstLine="720"/>
        <w:jc w:val="both"/>
        <w:rPr>
          <w:rFonts w:ascii="Cambria" w:hAnsi="Cambria" w:cs="Arial"/>
          <w:sz w:val="20"/>
          <w:szCs w:val="20"/>
        </w:rPr>
      </w:pPr>
      <w:r>
        <w:rPr>
          <w:rFonts w:ascii="Cambria" w:hAnsi="Cambria" w:cs="Arial"/>
          <w:sz w:val="20"/>
          <w:szCs w:val="20"/>
        </w:rPr>
        <w:t xml:space="preserve">The facts of the instant case are part of a state strategy aimed at destroying an ethnic group through military operations that resulted in the massacre of thousands of members of the Maya indigenous people, the flight of the survivors, the destruction of their subsistence economies, and, finally, the intentional subjection of thousands of Maya indigenous persons to conditions of existence that meant they were dependent on the military structure. In summary, the Commission considered that the facts of the case </w:t>
      </w:r>
      <w:r>
        <w:rPr>
          <w:rFonts w:ascii="Cambria" w:hAnsi="Cambria"/>
          <w:sz w:val="20"/>
          <w:szCs w:val="20"/>
        </w:rPr>
        <w:t xml:space="preserve">constituted part of the genocide against the Maya indigenous people in </w:t>
      </w:r>
      <w:r w:rsidR="006F7BBF" w:rsidRPr="00295DD6">
        <w:rPr>
          <w:rFonts w:ascii="Cambria" w:hAnsi="Cambria"/>
          <w:sz w:val="20"/>
          <w:szCs w:val="20"/>
        </w:rPr>
        <w:t xml:space="preserve">Guatemala. </w:t>
      </w:r>
      <w:r>
        <w:rPr>
          <w:rFonts w:ascii="Cambria" w:hAnsi="Cambria"/>
          <w:sz w:val="20"/>
          <w:szCs w:val="20"/>
        </w:rPr>
        <w:t xml:space="preserve">More than three decades after the events, and more than two decades after the first report was received, the facts remain in the most absolute impunity. </w:t>
      </w:r>
    </w:p>
    <w:p w:rsidR="006F7BBF" w:rsidRPr="00295DD6" w:rsidRDefault="006F7BBF" w:rsidP="006F7BBF">
      <w:pPr>
        <w:spacing w:after="0"/>
        <w:jc w:val="both"/>
        <w:rPr>
          <w:rFonts w:ascii="Cambria" w:hAnsi="Cambria" w:cs="Arial"/>
          <w:snapToGrid w:val="0"/>
          <w:sz w:val="20"/>
          <w:szCs w:val="20"/>
        </w:rPr>
      </w:pPr>
    </w:p>
    <w:p w:rsidR="006F7BBF" w:rsidRPr="00295DD6" w:rsidRDefault="00AE21DE" w:rsidP="00B720B4">
      <w:pPr>
        <w:spacing w:after="0"/>
        <w:jc w:val="both"/>
        <w:rPr>
          <w:rFonts w:ascii="Cambria" w:hAnsi="Cambria" w:cs="Arial"/>
          <w:snapToGrid w:val="0"/>
          <w:sz w:val="20"/>
          <w:szCs w:val="20"/>
        </w:rPr>
      </w:pPr>
      <w:r>
        <w:rPr>
          <w:rFonts w:ascii="Cambria" w:hAnsi="Cambria" w:cs="Arial"/>
          <w:snapToGrid w:val="0"/>
          <w:sz w:val="20"/>
          <w:szCs w:val="20"/>
        </w:rPr>
        <w:t xml:space="preserve">Mr. </w:t>
      </w:r>
      <w:r w:rsidR="006F7BBF" w:rsidRPr="00295DD6">
        <w:rPr>
          <w:rFonts w:ascii="Cambria" w:hAnsi="Cambria" w:cs="Arial"/>
          <w:snapToGrid w:val="0"/>
          <w:sz w:val="20"/>
          <w:szCs w:val="20"/>
        </w:rPr>
        <w:t>Pablo</w:t>
      </w:r>
      <w:r>
        <w:rPr>
          <w:rFonts w:ascii="Cambria" w:hAnsi="Cambria" w:cs="Arial"/>
          <w:snapToGrid w:val="0"/>
          <w:sz w:val="20"/>
          <w:szCs w:val="20"/>
        </w:rPr>
        <w:t xml:space="preserve"> Saavedra Alessandri, Secretary</w:t>
      </w:r>
    </w:p>
    <w:p w:rsidR="006F7BBF" w:rsidRPr="00295DD6" w:rsidRDefault="006F7BBF" w:rsidP="00AE21DE">
      <w:pPr>
        <w:suppressAutoHyphens/>
        <w:spacing w:after="0"/>
        <w:rPr>
          <w:rFonts w:ascii="Cambria" w:hAnsi="Cambria" w:cs="Arial"/>
          <w:snapToGrid w:val="0"/>
          <w:sz w:val="20"/>
          <w:szCs w:val="20"/>
        </w:rPr>
      </w:pPr>
      <w:r w:rsidRPr="00295DD6">
        <w:rPr>
          <w:rFonts w:ascii="Cambria" w:hAnsi="Cambria" w:cs="Arial"/>
          <w:snapToGrid w:val="0"/>
          <w:sz w:val="20"/>
          <w:szCs w:val="20"/>
        </w:rPr>
        <w:t>Inter</w:t>
      </w:r>
      <w:r w:rsidR="00AE21DE">
        <w:rPr>
          <w:rFonts w:ascii="Cambria" w:hAnsi="Cambria" w:cs="Arial"/>
          <w:snapToGrid w:val="0"/>
          <w:sz w:val="20"/>
          <w:szCs w:val="20"/>
        </w:rPr>
        <w:t>-American Court of Human Rights</w:t>
      </w:r>
    </w:p>
    <w:p w:rsidR="006F7BBF" w:rsidRPr="006B2AEC" w:rsidRDefault="006F7BBF" w:rsidP="006F7BBF">
      <w:pPr>
        <w:suppressAutoHyphens/>
        <w:spacing w:after="0"/>
        <w:rPr>
          <w:rFonts w:ascii="Cambria" w:hAnsi="Cambria" w:cs="Arial"/>
          <w:snapToGrid w:val="0"/>
          <w:sz w:val="20"/>
          <w:szCs w:val="20"/>
          <w:lang w:val="es-ES"/>
        </w:rPr>
      </w:pPr>
      <w:r w:rsidRPr="006B2AEC">
        <w:rPr>
          <w:rFonts w:ascii="Cambria" w:hAnsi="Cambria" w:cs="Arial"/>
          <w:snapToGrid w:val="0"/>
          <w:sz w:val="20"/>
          <w:szCs w:val="20"/>
          <w:lang w:val="es-ES"/>
        </w:rPr>
        <w:t>Apartado 6906-1000</w:t>
      </w:r>
    </w:p>
    <w:p w:rsidR="006F7BBF" w:rsidRPr="006B2AEC" w:rsidRDefault="006F7BBF" w:rsidP="006F7BBF">
      <w:pPr>
        <w:suppressAutoHyphens/>
        <w:spacing w:after="0"/>
        <w:rPr>
          <w:rFonts w:ascii="Cambria" w:hAnsi="Cambria" w:cs="Arial"/>
          <w:snapToGrid w:val="0"/>
          <w:sz w:val="20"/>
          <w:szCs w:val="20"/>
          <w:lang w:val="es-ES"/>
        </w:rPr>
      </w:pPr>
      <w:r w:rsidRPr="006B2AEC">
        <w:rPr>
          <w:rFonts w:ascii="Cambria" w:hAnsi="Cambria" w:cs="Arial"/>
          <w:snapToGrid w:val="0"/>
          <w:sz w:val="20"/>
          <w:szCs w:val="20"/>
          <w:lang w:val="es-ES"/>
        </w:rPr>
        <w:t>San José, Costa Rica</w:t>
      </w:r>
    </w:p>
    <w:p w:rsidR="006F7BBF" w:rsidRPr="006B2AEC" w:rsidRDefault="006F7BBF" w:rsidP="006F7BBF">
      <w:pPr>
        <w:suppressAutoHyphens/>
        <w:spacing w:after="0"/>
        <w:rPr>
          <w:rFonts w:ascii="Cambria" w:hAnsi="Cambria" w:cs="Arial"/>
          <w:snapToGrid w:val="0"/>
          <w:sz w:val="20"/>
          <w:szCs w:val="20"/>
          <w:lang w:val="es-ES"/>
        </w:rPr>
      </w:pPr>
    </w:p>
    <w:p w:rsidR="006F7BBF" w:rsidRPr="006B2AEC" w:rsidRDefault="006F7BBF" w:rsidP="00AE21DE">
      <w:pPr>
        <w:tabs>
          <w:tab w:val="num" w:pos="1710"/>
        </w:tabs>
        <w:autoSpaceDE w:val="0"/>
        <w:autoSpaceDN w:val="0"/>
        <w:adjustRightInd w:val="0"/>
        <w:spacing w:after="0"/>
        <w:rPr>
          <w:rFonts w:ascii="Cambria" w:hAnsi="Cambria" w:cs="Arial"/>
          <w:sz w:val="20"/>
          <w:szCs w:val="20"/>
          <w:lang w:val="es-ES"/>
        </w:rPr>
      </w:pPr>
      <w:r w:rsidRPr="006B2AEC">
        <w:rPr>
          <w:rFonts w:ascii="Cambria" w:hAnsi="Cambria" w:cs="Arial"/>
          <w:sz w:val="20"/>
          <w:szCs w:val="20"/>
          <w:lang w:val="es-ES"/>
        </w:rPr>
        <w:t>A</w:t>
      </w:r>
      <w:r w:rsidR="00AE21DE" w:rsidRPr="006B2AEC">
        <w:rPr>
          <w:rFonts w:ascii="Cambria" w:hAnsi="Cambria" w:cs="Arial"/>
          <w:sz w:val="20"/>
          <w:szCs w:val="20"/>
          <w:lang w:val="es-ES"/>
        </w:rPr>
        <w:t>ttachments</w:t>
      </w:r>
    </w:p>
    <w:p w:rsidR="004D4444" w:rsidRDefault="00B720B4" w:rsidP="00B720B4">
      <w:pPr>
        <w:tabs>
          <w:tab w:val="num" w:pos="1710"/>
        </w:tabs>
        <w:autoSpaceDE w:val="0"/>
        <w:autoSpaceDN w:val="0"/>
        <w:adjustRightInd w:val="0"/>
        <w:spacing w:after="0"/>
        <w:ind w:firstLine="720"/>
        <w:rPr>
          <w:rFonts w:ascii="Cambria" w:hAnsi="Cambria" w:cs="Arial"/>
          <w:sz w:val="20"/>
          <w:szCs w:val="20"/>
        </w:rPr>
      </w:pPr>
      <w:r w:rsidRPr="006B2AEC">
        <w:rPr>
          <w:rFonts w:ascii="Cambria" w:hAnsi="Cambria" w:cs="Arial"/>
          <w:sz w:val="20"/>
          <w:szCs w:val="20"/>
        </w:rPr>
        <w:br w:type="page"/>
      </w:r>
      <w:r w:rsidR="00AE21DE">
        <w:rPr>
          <w:rFonts w:ascii="Cambria" w:hAnsi="Cambria" w:cs="Arial"/>
          <w:sz w:val="20"/>
          <w:szCs w:val="20"/>
        </w:rPr>
        <w:lastRenderedPageBreak/>
        <w:t xml:space="preserve">The State ratified the American Convention on Human Rights on May 25, </w:t>
      </w:r>
      <w:r w:rsidR="004D4444" w:rsidRPr="00295DD6">
        <w:rPr>
          <w:rFonts w:ascii="Cambria" w:hAnsi="Cambria" w:cs="Arial"/>
          <w:sz w:val="20"/>
          <w:szCs w:val="20"/>
        </w:rPr>
        <w:t>1978</w:t>
      </w:r>
      <w:r w:rsidR="00AE21DE">
        <w:rPr>
          <w:rFonts w:ascii="Cambria" w:hAnsi="Cambria" w:cs="Arial"/>
          <w:sz w:val="20"/>
          <w:szCs w:val="20"/>
        </w:rPr>
        <w:t xml:space="preserve">, and accepted the Court’s competition jurisdiction on May 9, </w:t>
      </w:r>
      <w:r w:rsidR="004D4444" w:rsidRPr="00295DD6">
        <w:rPr>
          <w:rFonts w:ascii="Cambria" w:hAnsi="Cambria" w:cs="Arial"/>
          <w:sz w:val="20"/>
          <w:szCs w:val="20"/>
        </w:rPr>
        <w:t xml:space="preserve">1987. </w:t>
      </w:r>
    </w:p>
    <w:p w:rsidR="00B720B4" w:rsidRPr="00295DD6" w:rsidRDefault="00B720B4" w:rsidP="00B720B4">
      <w:pPr>
        <w:tabs>
          <w:tab w:val="num" w:pos="1710"/>
        </w:tabs>
        <w:autoSpaceDE w:val="0"/>
        <w:autoSpaceDN w:val="0"/>
        <w:adjustRightInd w:val="0"/>
        <w:spacing w:after="0"/>
        <w:ind w:firstLine="720"/>
        <w:rPr>
          <w:rFonts w:ascii="Cambria" w:hAnsi="Cambria" w:cs="Arial"/>
          <w:sz w:val="20"/>
          <w:szCs w:val="20"/>
        </w:rPr>
      </w:pPr>
    </w:p>
    <w:p w:rsidR="000C1C7E" w:rsidRPr="00295DD6" w:rsidRDefault="00AE21DE" w:rsidP="001C2379">
      <w:pPr>
        <w:spacing w:after="0"/>
        <w:ind w:firstLine="720"/>
        <w:jc w:val="both"/>
        <w:rPr>
          <w:rFonts w:ascii="Cambria" w:hAnsi="Cambria" w:cs="Arial"/>
          <w:sz w:val="20"/>
          <w:szCs w:val="20"/>
        </w:rPr>
      </w:pPr>
      <w:r>
        <w:rPr>
          <w:rFonts w:ascii="Cambria" w:hAnsi="Cambria"/>
          <w:sz w:val="20"/>
          <w:szCs w:val="20"/>
        </w:rPr>
        <w:t xml:space="preserve">The Commission has designated Commissioner </w:t>
      </w:r>
      <w:r w:rsidR="004D4444" w:rsidRPr="00295DD6">
        <w:rPr>
          <w:rFonts w:ascii="Cambria" w:hAnsi="Cambria"/>
          <w:sz w:val="20"/>
          <w:szCs w:val="20"/>
        </w:rPr>
        <w:t xml:space="preserve">James Cavallaro </w:t>
      </w:r>
      <w:r>
        <w:rPr>
          <w:rFonts w:ascii="Cambria" w:hAnsi="Cambria"/>
          <w:sz w:val="20"/>
          <w:szCs w:val="20"/>
        </w:rPr>
        <w:t xml:space="preserve">and the Executive Secretary, </w:t>
      </w:r>
      <w:r w:rsidR="004D4444" w:rsidRPr="00295DD6">
        <w:rPr>
          <w:rFonts w:ascii="Cambria" w:hAnsi="Cambria"/>
          <w:sz w:val="20"/>
          <w:szCs w:val="20"/>
        </w:rPr>
        <w:t xml:space="preserve">Emilio Álvarez Icaza L., </w:t>
      </w:r>
      <w:r>
        <w:rPr>
          <w:rFonts w:ascii="Cambria" w:hAnsi="Cambria"/>
          <w:sz w:val="20"/>
          <w:szCs w:val="20"/>
        </w:rPr>
        <w:t xml:space="preserve">as its delegates. In addition, </w:t>
      </w:r>
      <w:r w:rsidR="004D4444" w:rsidRPr="00295DD6">
        <w:rPr>
          <w:rFonts w:ascii="Cambria" w:hAnsi="Cambria"/>
          <w:sz w:val="20"/>
          <w:szCs w:val="20"/>
        </w:rPr>
        <w:t xml:space="preserve">Elizabeth Abi-Mershed, </w:t>
      </w:r>
      <w:r>
        <w:rPr>
          <w:rFonts w:ascii="Cambria" w:hAnsi="Cambria"/>
          <w:sz w:val="20"/>
          <w:szCs w:val="20"/>
        </w:rPr>
        <w:t xml:space="preserve">Assistant Executive Secretary, </w:t>
      </w:r>
      <w:r w:rsidR="00AB6A9A">
        <w:rPr>
          <w:rFonts w:ascii="Cambria" w:hAnsi="Cambria"/>
          <w:sz w:val="20"/>
          <w:szCs w:val="20"/>
        </w:rPr>
        <w:t xml:space="preserve">as well as </w:t>
      </w:r>
      <w:r w:rsidR="004D4444" w:rsidRPr="00295DD6">
        <w:rPr>
          <w:rFonts w:ascii="Cambria" w:hAnsi="Cambria"/>
          <w:sz w:val="20"/>
          <w:szCs w:val="20"/>
        </w:rPr>
        <w:t>Silvia Serrano Guzmán</w:t>
      </w:r>
      <w:r>
        <w:rPr>
          <w:rFonts w:ascii="Cambria" w:hAnsi="Cambria"/>
          <w:sz w:val="20"/>
          <w:szCs w:val="20"/>
        </w:rPr>
        <w:t xml:space="preserve">, and </w:t>
      </w:r>
      <w:r w:rsidR="004D4444" w:rsidRPr="00295DD6">
        <w:rPr>
          <w:rFonts w:ascii="Cambria" w:hAnsi="Cambria"/>
          <w:sz w:val="20"/>
          <w:szCs w:val="20"/>
        </w:rPr>
        <w:t xml:space="preserve">Erick Acuña Pereda, </w:t>
      </w:r>
      <w:r>
        <w:rPr>
          <w:rFonts w:ascii="Cambria" w:hAnsi="Cambria"/>
          <w:sz w:val="20"/>
          <w:szCs w:val="20"/>
        </w:rPr>
        <w:t>both attorneys with the Executive Secretariat of the IACHR</w:t>
      </w:r>
      <w:r w:rsidR="00AB6A9A">
        <w:rPr>
          <w:rFonts w:ascii="Cambria" w:hAnsi="Cambria"/>
          <w:sz w:val="20"/>
          <w:szCs w:val="20"/>
        </w:rPr>
        <w:t>,</w:t>
      </w:r>
      <w:r>
        <w:rPr>
          <w:rFonts w:ascii="Cambria" w:hAnsi="Cambria"/>
          <w:sz w:val="20"/>
          <w:szCs w:val="20"/>
        </w:rPr>
        <w:t xml:space="preserve"> will serve as legal advisers.</w:t>
      </w:r>
    </w:p>
    <w:p w:rsidR="000C1C7E" w:rsidRPr="00295DD6" w:rsidRDefault="000C1C7E" w:rsidP="000C1C7E">
      <w:pPr>
        <w:spacing w:after="0"/>
        <w:jc w:val="both"/>
        <w:rPr>
          <w:rFonts w:ascii="Cambria" w:hAnsi="Cambria" w:cs="Arial"/>
          <w:snapToGrid w:val="0"/>
          <w:sz w:val="20"/>
          <w:szCs w:val="20"/>
        </w:rPr>
      </w:pPr>
    </w:p>
    <w:p w:rsidR="00F27D25" w:rsidRPr="00295DD6" w:rsidRDefault="00AE21DE" w:rsidP="00AE21DE">
      <w:pPr>
        <w:spacing w:after="0"/>
        <w:ind w:firstLine="720"/>
        <w:jc w:val="both"/>
        <w:rPr>
          <w:rFonts w:ascii="Cambria" w:hAnsi="Cambria"/>
          <w:sz w:val="20"/>
          <w:szCs w:val="20"/>
        </w:rPr>
      </w:pPr>
      <w:r>
        <w:rPr>
          <w:rFonts w:ascii="Cambria" w:hAnsi="Cambria" w:cs="Arial"/>
          <w:sz w:val="20"/>
          <w:szCs w:val="20"/>
        </w:rPr>
        <w:t xml:space="preserve">As per Article </w:t>
      </w:r>
      <w:r w:rsidR="000C1C7E" w:rsidRPr="00295DD6">
        <w:rPr>
          <w:rFonts w:ascii="Cambria" w:hAnsi="Cambria" w:cs="Arial"/>
          <w:sz w:val="20"/>
          <w:szCs w:val="20"/>
        </w:rPr>
        <w:t xml:space="preserve">35 </w:t>
      </w:r>
      <w:r>
        <w:rPr>
          <w:rFonts w:ascii="Cambria" w:hAnsi="Cambria" w:cs="Arial"/>
          <w:sz w:val="20"/>
          <w:szCs w:val="20"/>
        </w:rPr>
        <w:t xml:space="preserve">of the Inter-American Court’s Rules of Procedure, the Commission attaches a copy of Report </w:t>
      </w:r>
      <w:r w:rsidR="001B7ED0" w:rsidRPr="00295DD6">
        <w:rPr>
          <w:rFonts w:ascii="Cambria" w:hAnsi="Cambria"/>
          <w:sz w:val="20"/>
          <w:szCs w:val="20"/>
        </w:rPr>
        <w:t>6</w:t>
      </w:r>
      <w:r w:rsidR="000C1C7E" w:rsidRPr="00295DD6">
        <w:rPr>
          <w:rFonts w:ascii="Cambria" w:hAnsi="Cambria"/>
          <w:sz w:val="20"/>
          <w:szCs w:val="20"/>
        </w:rPr>
        <w:t>/</w:t>
      </w:r>
      <w:r w:rsidR="001B7ED0" w:rsidRPr="00295DD6">
        <w:rPr>
          <w:rFonts w:ascii="Cambria" w:hAnsi="Cambria"/>
          <w:sz w:val="20"/>
          <w:szCs w:val="20"/>
        </w:rPr>
        <w:t>14</w:t>
      </w:r>
      <w:r>
        <w:rPr>
          <w:rFonts w:ascii="Cambria" w:hAnsi="Cambria"/>
          <w:sz w:val="20"/>
          <w:szCs w:val="20"/>
        </w:rPr>
        <w:t xml:space="preserve">, prepared pursuant to Article </w:t>
      </w:r>
      <w:r w:rsidR="000C1C7E" w:rsidRPr="00295DD6">
        <w:rPr>
          <w:rFonts w:ascii="Cambria" w:hAnsi="Cambria"/>
          <w:sz w:val="20"/>
          <w:szCs w:val="20"/>
        </w:rPr>
        <w:t xml:space="preserve">50 </w:t>
      </w:r>
      <w:r>
        <w:rPr>
          <w:rFonts w:ascii="Cambria" w:hAnsi="Cambria"/>
          <w:sz w:val="20"/>
          <w:szCs w:val="20"/>
        </w:rPr>
        <w:t xml:space="preserve">of the Convention, as well as a copy of the entire record before the Inter-American Commission (Appendix I) and the attachments used in the preparation of Report </w:t>
      </w:r>
      <w:r w:rsidR="001B7ED0" w:rsidRPr="00295DD6">
        <w:rPr>
          <w:rFonts w:ascii="Cambria" w:hAnsi="Cambria"/>
          <w:sz w:val="20"/>
          <w:szCs w:val="20"/>
        </w:rPr>
        <w:t>6</w:t>
      </w:r>
      <w:r w:rsidR="000C1C7E" w:rsidRPr="00295DD6">
        <w:rPr>
          <w:rFonts w:ascii="Cambria" w:hAnsi="Cambria"/>
          <w:sz w:val="20"/>
          <w:szCs w:val="20"/>
        </w:rPr>
        <w:t>/1</w:t>
      </w:r>
      <w:r w:rsidR="001B7ED0" w:rsidRPr="00295DD6">
        <w:rPr>
          <w:rFonts w:ascii="Cambria" w:hAnsi="Cambria"/>
          <w:sz w:val="20"/>
          <w:szCs w:val="20"/>
        </w:rPr>
        <w:t>4</w:t>
      </w:r>
      <w:r w:rsidR="000C1C7E" w:rsidRPr="00295DD6">
        <w:rPr>
          <w:rFonts w:ascii="Cambria" w:hAnsi="Cambria"/>
          <w:sz w:val="20"/>
          <w:szCs w:val="20"/>
        </w:rPr>
        <w:t xml:space="preserve"> (A</w:t>
      </w:r>
      <w:r>
        <w:rPr>
          <w:rFonts w:ascii="Cambria" w:hAnsi="Cambria"/>
          <w:sz w:val="20"/>
          <w:szCs w:val="20"/>
        </w:rPr>
        <w:t>ttachments</w:t>
      </w:r>
      <w:r w:rsidR="000C1C7E" w:rsidRPr="00295DD6">
        <w:rPr>
          <w:rFonts w:ascii="Cambria" w:hAnsi="Cambria"/>
          <w:sz w:val="20"/>
          <w:szCs w:val="20"/>
        </w:rPr>
        <w:t xml:space="preserve">). </w:t>
      </w:r>
    </w:p>
    <w:p w:rsidR="00F27D25" w:rsidRPr="00295DD6" w:rsidRDefault="00F27D25" w:rsidP="00FF5F62">
      <w:pPr>
        <w:spacing w:after="0"/>
        <w:ind w:firstLine="720"/>
        <w:jc w:val="both"/>
        <w:rPr>
          <w:rFonts w:ascii="Cambria" w:hAnsi="Cambria"/>
          <w:sz w:val="20"/>
          <w:szCs w:val="20"/>
        </w:rPr>
      </w:pPr>
    </w:p>
    <w:p w:rsidR="00DE1AB2" w:rsidRPr="00295DD6" w:rsidRDefault="00AE21DE" w:rsidP="00B720B4">
      <w:pPr>
        <w:spacing w:after="0"/>
        <w:ind w:firstLine="720"/>
        <w:jc w:val="both"/>
        <w:rPr>
          <w:rFonts w:ascii="Cambria" w:hAnsi="Cambria"/>
          <w:sz w:val="20"/>
          <w:szCs w:val="20"/>
        </w:rPr>
      </w:pPr>
      <w:r>
        <w:rPr>
          <w:rFonts w:ascii="Cambria" w:hAnsi="Cambria"/>
          <w:sz w:val="20"/>
          <w:szCs w:val="20"/>
        </w:rPr>
        <w:t xml:space="preserve">On ruling on the merits, the Inter-American Commission reached the conclusion that the State of </w:t>
      </w:r>
      <w:r w:rsidR="00F27D25" w:rsidRPr="00295DD6">
        <w:rPr>
          <w:rFonts w:ascii="Cambria" w:hAnsi="Cambria"/>
          <w:sz w:val="20"/>
          <w:szCs w:val="20"/>
        </w:rPr>
        <w:t xml:space="preserve">Guatemala </w:t>
      </w:r>
      <w:r>
        <w:rPr>
          <w:rFonts w:ascii="Cambria" w:hAnsi="Cambria"/>
          <w:sz w:val="20"/>
          <w:szCs w:val="20"/>
        </w:rPr>
        <w:t xml:space="preserve">is internationally responsible for the violation of the rights established at Articles </w:t>
      </w:r>
      <w:r w:rsidR="00DE1AB2" w:rsidRPr="00295DD6">
        <w:rPr>
          <w:rFonts w:ascii="Cambria" w:hAnsi="Cambria"/>
          <w:sz w:val="20"/>
          <w:szCs w:val="20"/>
        </w:rPr>
        <w:t>3, 4, 5, 6, 7, 8, 11, 12, 16, 17, 19, 21, 22, 23, 24</w:t>
      </w:r>
      <w:r>
        <w:rPr>
          <w:rFonts w:ascii="Cambria" w:hAnsi="Cambria"/>
          <w:sz w:val="20"/>
          <w:szCs w:val="20"/>
        </w:rPr>
        <w:t xml:space="preserve">, and </w:t>
      </w:r>
      <w:r w:rsidR="00DE1AB2" w:rsidRPr="00295DD6">
        <w:rPr>
          <w:rFonts w:ascii="Cambria" w:hAnsi="Cambria"/>
          <w:sz w:val="20"/>
          <w:szCs w:val="20"/>
        </w:rPr>
        <w:t xml:space="preserve">25 </w:t>
      </w:r>
      <w:r>
        <w:rPr>
          <w:rFonts w:ascii="Cambria" w:hAnsi="Cambria"/>
          <w:sz w:val="20"/>
          <w:szCs w:val="20"/>
        </w:rPr>
        <w:t>of the American Convention in relation to the obligations established at Article 1(1)</w:t>
      </w:r>
      <w:r w:rsidR="00DE1AB2" w:rsidRPr="00295DD6">
        <w:rPr>
          <w:rFonts w:ascii="Cambria" w:hAnsi="Cambria"/>
          <w:sz w:val="20"/>
          <w:szCs w:val="20"/>
        </w:rPr>
        <w:t xml:space="preserve"> </w:t>
      </w:r>
      <w:r>
        <w:rPr>
          <w:rFonts w:ascii="Cambria" w:hAnsi="Cambria"/>
          <w:sz w:val="20"/>
          <w:szCs w:val="20"/>
        </w:rPr>
        <w:t xml:space="preserve">of the same international instrument; Article </w:t>
      </w:r>
      <w:r w:rsidR="00DE1AB2" w:rsidRPr="00295DD6">
        <w:rPr>
          <w:rFonts w:ascii="Cambria" w:hAnsi="Cambria"/>
          <w:sz w:val="20"/>
          <w:szCs w:val="20"/>
        </w:rPr>
        <w:t xml:space="preserve">I </w:t>
      </w:r>
      <w:r>
        <w:rPr>
          <w:rFonts w:ascii="Cambria" w:hAnsi="Cambria"/>
          <w:sz w:val="20"/>
          <w:szCs w:val="20"/>
        </w:rPr>
        <w:t>of the Inter-American Convention on Forced Disappearance of Persons</w:t>
      </w:r>
      <w:r w:rsidR="00DE1AB2" w:rsidRPr="00295DD6">
        <w:rPr>
          <w:rFonts w:ascii="Cambria" w:hAnsi="Cambria"/>
          <w:sz w:val="20"/>
          <w:szCs w:val="20"/>
        </w:rPr>
        <w:t xml:space="preserve">; </w:t>
      </w:r>
      <w:r>
        <w:rPr>
          <w:rFonts w:ascii="Cambria" w:hAnsi="Cambria"/>
          <w:sz w:val="20"/>
          <w:szCs w:val="20"/>
        </w:rPr>
        <w:t xml:space="preserve">and Article </w:t>
      </w:r>
      <w:r w:rsidR="00DE1AB2" w:rsidRPr="00295DD6">
        <w:rPr>
          <w:rFonts w:ascii="Cambria" w:hAnsi="Cambria"/>
          <w:sz w:val="20"/>
          <w:szCs w:val="20"/>
        </w:rPr>
        <w:t xml:space="preserve">7 </w:t>
      </w:r>
      <w:r>
        <w:rPr>
          <w:rFonts w:ascii="Cambria" w:hAnsi="Cambria"/>
          <w:sz w:val="20"/>
          <w:szCs w:val="20"/>
        </w:rPr>
        <w:t xml:space="preserve">of the </w:t>
      </w:r>
      <w:r w:rsidR="00B720B4">
        <w:rPr>
          <w:rFonts w:ascii="Cambria" w:hAnsi="Cambria"/>
          <w:sz w:val="20"/>
          <w:szCs w:val="20"/>
        </w:rPr>
        <w:t>Convention</w:t>
      </w:r>
      <w:r>
        <w:rPr>
          <w:rFonts w:ascii="Cambria" w:hAnsi="Cambria"/>
          <w:sz w:val="20"/>
          <w:szCs w:val="20"/>
        </w:rPr>
        <w:t xml:space="preserve"> of </w:t>
      </w:r>
      <w:r w:rsidR="00DE1AB2" w:rsidRPr="00295DD6">
        <w:rPr>
          <w:rFonts w:ascii="Cambria" w:hAnsi="Cambria"/>
          <w:sz w:val="20"/>
          <w:szCs w:val="20"/>
        </w:rPr>
        <w:t xml:space="preserve">Belém do Pará.  </w:t>
      </w:r>
    </w:p>
    <w:p w:rsidR="00FF5F62" w:rsidRPr="00295DD6" w:rsidRDefault="00FF5F62" w:rsidP="000C1C7E">
      <w:pPr>
        <w:spacing w:after="0"/>
        <w:ind w:firstLine="720"/>
        <w:jc w:val="both"/>
        <w:rPr>
          <w:rFonts w:ascii="Cambria" w:hAnsi="Cambria"/>
          <w:sz w:val="20"/>
          <w:szCs w:val="20"/>
        </w:rPr>
      </w:pPr>
    </w:p>
    <w:p w:rsidR="001E41D9" w:rsidRPr="00295DD6" w:rsidRDefault="002C780C" w:rsidP="002C780C">
      <w:pPr>
        <w:spacing w:after="0"/>
        <w:ind w:firstLine="720"/>
        <w:jc w:val="both"/>
        <w:rPr>
          <w:rFonts w:ascii="Cambria" w:hAnsi="Cambria"/>
          <w:sz w:val="20"/>
          <w:szCs w:val="20"/>
        </w:rPr>
      </w:pPr>
      <w:r>
        <w:rPr>
          <w:rFonts w:ascii="Cambria" w:hAnsi="Cambria"/>
          <w:sz w:val="20"/>
          <w:szCs w:val="20"/>
        </w:rPr>
        <w:t>The State of G</w:t>
      </w:r>
      <w:r w:rsidR="00B720B4">
        <w:rPr>
          <w:rFonts w:ascii="Cambria" w:hAnsi="Cambria"/>
          <w:sz w:val="20"/>
          <w:szCs w:val="20"/>
        </w:rPr>
        <w:t>uatemala</w:t>
      </w:r>
      <w:r>
        <w:rPr>
          <w:rFonts w:ascii="Cambria" w:hAnsi="Cambria"/>
          <w:sz w:val="20"/>
          <w:szCs w:val="20"/>
        </w:rPr>
        <w:t xml:space="preserve"> was given notice of that report on the merits by communication of May </w:t>
      </w:r>
      <w:r w:rsidR="0038716D" w:rsidRPr="00295DD6">
        <w:rPr>
          <w:rFonts w:ascii="Cambria" w:hAnsi="Cambria"/>
          <w:sz w:val="20"/>
          <w:szCs w:val="20"/>
        </w:rPr>
        <w:t>5</w:t>
      </w:r>
      <w:r>
        <w:rPr>
          <w:rFonts w:ascii="Cambria" w:hAnsi="Cambria"/>
          <w:sz w:val="20"/>
          <w:szCs w:val="20"/>
        </w:rPr>
        <w:t>,</w:t>
      </w:r>
      <w:r w:rsidR="000C1C7E" w:rsidRPr="00295DD6">
        <w:rPr>
          <w:rFonts w:ascii="Cambria" w:hAnsi="Cambria"/>
          <w:sz w:val="20"/>
          <w:szCs w:val="20"/>
        </w:rPr>
        <w:t xml:space="preserve"> </w:t>
      </w:r>
      <w:r w:rsidR="0038716D" w:rsidRPr="00295DD6">
        <w:rPr>
          <w:rFonts w:ascii="Cambria" w:hAnsi="Cambria"/>
          <w:sz w:val="20"/>
          <w:szCs w:val="20"/>
        </w:rPr>
        <w:t>2014</w:t>
      </w:r>
      <w:r>
        <w:rPr>
          <w:rFonts w:ascii="Cambria" w:hAnsi="Cambria"/>
          <w:sz w:val="20"/>
          <w:szCs w:val="20"/>
        </w:rPr>
        <w:t>;</w:t>
      </w:r>
      <w:r w:rsidR="000C1C7E" w:rsidRPr="00295DD6">
        <w:rPr>
          <w:rFonts w:ascii="Cambria" w:hAnsi="Cambria"/>
          <w:sz w:val="20"/>
          <w:szCs w:val="20"/>
        </w:rPr>
        <w:t xml:space="preserve"> </w:t>
      </w:r>
      <w:r>
        <w:rPr>
          <w:rFonts w:ascii="Cambria" w:hAnsi="Cambria"/>
          <w:sz w:val="20"/>
          <w:szCs w:val="20"/>
        </w:rPr>
        <w:t xml:space="preserve">it was given two months to report on compliance with the recommendations. </w:t>
      </w:r>
    </w:p>
    <w:p w:rsidR="001E41D9" w:rsidRPr="00295DD6" w:rsidRDefault="001E41D9" w:rsidP="000C1C7E">
      <w:pPr>
        <w:spacing w:after="0"/>
        <w:ind w:firstLine="720"/>
        <w:jc w:val="both"/>
        <w:rPr>
          <w:rFonts w:ascii="Cambria" w:hAnsi="Cambria"/>
          <w:sz w:val="20"/>
          <w:szCs w:val="20"/>
        </w:rPr>
      </w:pPr>
    </w:p>
    <w:p w:rsidR="000C1C7E" w:rsidRPr="00295DD6" w:rsidRDefault="002C780C" w:rsidP="0061549C">
      <w:pPr>
        <w:spacing w:after="0"/>
        <w:ind w:firstLine="720"/>
        <w:jc w:val="both"/>
        <w:rPr>
          <w:rFonts w:ascii="Cambria" w:hAnsi="Cambria"/>
          <w:sz w:val="20"/>
          <w:szCs w:val="20"/>
        </w:rPr>
      </w:pPr>
      <w:r>
        <w:rPr>
          <w:rFonts w:ascii="Cambria" w:hAnsi="Cambria"/>
          <w:sz w:val="20"/>
          <w:szCs w:val="20"/>
        </w:rPr>
        <w:t xml:space="preserve">The State of </w:t>
      </w:r>
      <w:r w:rsidR="001E41D9" w:rsidRPr="00295DD6">
        <w:rPr>
          <w:rFonts w:ascii="Cambria" w:hAnsi="Cambria"/>
          <w:sz w:val="20"/>
          <w:szCs w:val="20"/>
        </w:rPr>
        <w:t xml:space="preserve">Guatemala </w:t>
      </w:r>
      <w:r>
        <w:rPr>
          <w:rFonts w:ascii="Cambria" w:hAnsi="Cambria"/>
          <w:sz w:val="20"/>
          <w:szCs w:val="20"/>
        </w:rPr>
        <w:t xml:space="preserve">filed a report by which it referred to the recommendations made by the Commission. The State indicated in general terms the existence of the National Reparation </w:t>
      </w:r>
      <w:r w:rsidR="0061549C">
        <w:rPr>
          <w:rFonts w:ascii="Cambria" w:hAnsi="Cambria"/>
          <w:sz w:val="20"/>
          <w:szCs w:val="20"/>
        </w:rPr>
        <w:t xml:space="preserve">Program </w:t>
      </w:r>
      <w:r>
        <w:rPr>
          <w:rFonts w:ascii="Cambria" w:hAnsi="Cambria"/>
          <w:sz w:val="20"/>
          <w:szCs w:val="20"/>
        </w:rPr>
        <w:t xml:space="preserve">and </w:t>
      </w:r>
      <w:r w:rsidR="0061549C">
        <w:rPr>
          <w:rFonts w:ascii="Cambria" w:hAnsi="Cambria"/>
          <w:sz w:val="20"/>
          <w:szCs w:val="20"/>
        </w:rPr>
        <w:t xml:space="preserve">noted </w:t>
      </w:r>
      <w:r>
        <w:rPr>
          <w:rFonts w:ascii="Cambria" w:hAnsi="Cambria"/>
          <w:sz w:val="20"/>
          <w:szCs w:val="20"/>
        </w:rPr>
        <w:t xml:space="preserve">that the National Forensic Science Institute is operating, without specifying the concrete mechanisms implemented to make reparation to the victims, survivors, and next-of-kin in the instant case, </w:t>
      </w:r>
      <w:r w:rsidR="00166668">
        <w:rPr>
          <w:rFonts w:ascii="Cambria" w:hAnsi="Cambria"/>
          <w:sz w:val="20"/>
          <w:szCs w:val="20"/>
        </w:rPr>
        <w:t xml:space="preserve">and without securing the identification of the mortal remains. In addition, as regards the investigations, the State indicated that they would continue and invoked the Law on National Reconciliation, specifying that the State cannot repudiate the domestic legal framework. The State did not request an extension to comply with the recommendations. </w:t>
      </w:r>
    </w:p>
    <w:p w:rsidR="000C1C7E" w:rsidRPr="00295DD6" w:rsidRDefault="000C1C7E" w:rsidP="000C1C7E">
      <w:pPr>
        <w:tabs>
          <w:tab w:val="left" w:pos="0"/>
        </w:tabs>
        <w:autoSpaceDE w:val="0"/>
        <w:autoSpaceDN w:val="0"/>
        <w:adjustRightInd w:val="0"/>
        <w:spacing w:after="0"/>
        <w:jc w:val="both"/>
        <w:rPr>
          <w:rFonts w:ascii="Cambria" w:hAnsi="Cambria"/>
          <w:sz w:val="20"/>
          <w:szCs w:val="20"/>
        </w:rPr>
      </w:pPr>
      <w:r w:rsidRPr="00295DD6">
        <w:rPr>
          <w:rFonts w:ascii="Cambria" w:hAnsi="Cambria" w:cs="Arial"/>
          <w:sz w:val="20"/>
          <w:szCs w:val="20"/>
        </w:rPr>
        <w:t xml:space="preserve"> </w:t>
      </w:r>
      <w:r w:rsidRPr="00295DD6">
        <w:rPr>
          <w:rFonts w:ascii="Cambria" w:hAnsi="Cambria" w:cs="Arial"/>
          <w:sz w:val="20"/>
          <w:szCs w:val="20"/>
        </w:rPr>
        <w:tab/>
      </w:r>
      <w:r w:rsidRPr="00295DD6">
        <w:rPr>
          <w:rFonts w:ascii="Cambria" w:hAnsi="Cambria" w:cs="Arial"/>
          <w:sz w:val="20"/>
          <w:szCs w:val="20"/>
        </w:rPr>
        <w:tab/>
      </w:r>
    </w:p>
    <w:p w:rsidR="00885250" w:rsidRPr="00295DD6" w:rsidRDefault="00166668" w:rsidP="00B720B4">
      <w:pPr>
        <w:spacing w:after="0"/>
        <w:ind w:firstLine="720"/>
        <w:jc w:val="both"/>
        <w:rPr>
          <w:rFonts w:ascii="Cambria" w:hAnsi="Cambria"/>
          <w:sz w:val="20"/>
          <w:szCs w:val="20"/>
        </w:rPr>
      </w:pPr>
      <w:r>
        <w:rPr>
          <w:rFonts w:ascii="Cambria" w:hAnsi="Cambria"/>
          <w:sz w:val="20"/>
          <w:szCs w:val="20"/>
        </w:rPr>
        <w:t xml:space="preserve">Accordingly, the Commission decided to submit the instant case to the jurisdiction of the Inter-American </w:t>
      </w:r>
      <w:r w:rsidR="00B720B4">
        <w:rPr>
          <w:rFonts w:ascii="Cambria" w:hAnsi="Cambria"/>
          <w:sz w:val="20"/>
          <w:szCs w:val="20"/>
        </w:rPr>
        <w:t xml:space="preserve">Court in view </w:t>
      </w:r>
      <w:r>
        <w:rPr>
          <w:rFonts w:ascii="Cambria" w:hAnsi="Cambria"/>
          <w:sz w:val="20"/>
          <w:szCs w:val="20"/>
        </w:rPr>
        <w:t xml:space="preserve">of the need to obtain justice for the victims, survivors, and next-of-kin given the failure to carry out the recommendations. </w:t>
      </w:r>
    </w:p>
    <w:p w:rsidR="00885250" w:rsidRPr="00295DD6" w:rsidRDefault="00885250" w:rsidP="000C1C7E">
      <w:pPr>
        <w:spacing w:after="0"/>
        <w:ind w:firstLine="720"/>
        <w:jc w:val="both"/>
        <w:rPr>
          <w:rFonts w:ascii="Cambria" w:hAnsi="Cambria"/>
          <w:sz w:val="20"/>
          <w:szCs w:val="20"/>
        </w:rPr>
      </w:pPr>
    </w:p>
    <w:p w:rsidR="00885250" w:rsidRPr="00295DD6" w:rsidRDefault="003304C3" w:rsidP="0061549C">
      <w:pPr>
        <w:spacing w:after="0"/>
        <w:ind w:firstLine="720"/>
        <w:jc w:val="both"/>
        <w:rPr>
          <w:rFonts w:ascii="Cambria" w:hAnsi="Cambria"/>
          <w:sz w:val="20"/>
          <w:szCs w:val="20"/>
        </w:rPr>
      </w:pPr>
      <w:r>
        <w:rPr>
          <w:rFonts w:ascii="Cambria" w:hAnsi="Cambria"/>
          <w:sz w:val="20"/>
          <w:szCs w:val="20"/>
        </w:rPr>
        <w:t>The Inter-American Commission submits to the jurisdiction of the Court the acts and omission</w:t>
      </w:r>
      <w:r w:rsidR="00B720B4">
        <w:rPr>
          <w:rFonts w:ascii="Cambria" w:hAnsi="Cambria"/>
          <w:sz w:val="20"/>
          <w:szCs w:val="20"/>
        </w:rPr>
        <w:t>s</w:t>
      </w:r>
      <w:r>
        <w:rPr>
          <w:rFonts w:ascii="Cambria" w:hAnsi="Cambria"/>
          <w:sz w:val="20"/>
          <w:szCs w:val="20"/>
        </w:rPr>
        <w:t xml:space="preserve"> that occurred or that continued after March 9, 1987, the date of acceptance of the Inter-American Court’s contentious jurisdiction by the State of </w:t>
      </w:r>
      <w:r w:rsidR="00631747" w:rsidRPr="00295DD6">
        <w:rPr>
          <w:rFonts w:ascii="Cambria" w:hAnsi="Cambria"/>
          <w:sz w:val="20"/>
          <w:szCs w:val="20"/>
        </w:rPr>
        <w:t xml:space="preserve">Guatemala. </w:t>
      </w:r>
      <w:r>
        <w:rPr>
          <w:rFonts w:ascii="Cambria" w:hAnsi="Cambria"/>
          <w:sz w:val="20"/>
          <w:szCs w:val="20"/>
        </w:rPr>
        <w:t>Accordingly, the Commission notes that the forced disappearances continued and continue taking place</w:t>
      </w:r>
      <w:r w:rsidR="00BF67E6">
        <w:rPr>
          <w:rFonts w:ascii="Cambria" w:hAnsi="Cambria"/>
          <w:sz w:val="20"/>
          <w:szCs w:val="20"/>
        </w:rPr>
        <w:t xml:space="preserve"> after that date, along with the omissions in the identification of the victims’ mortal remains, forced displacement, and other related violations, as well as the failure to conduct a diligent and effective investigation or to make integral reparation to the victims, next-of-kin, and survivors for all the facts of the case. </w:t>
      </w:r>
      <w:r w:rsidR="00660E31">
        <w:rPr>
          <w:rFonts w:ascii="Cambria" w:hAnsi="Cambria"/>
          <w:sz w:val="20"/>
          <w:szCs w:val="20"/>
        </w:rPr>
        <w:t xml:space="preserve">This submission by the Commission is without prejudice to whether the State of </w:t>
      </w:r>
      <w:r w:rsidR="00F1508E" w:rsidRPr="00295DD6">
        <w:rPr>
          <w:rFonts w:ascii="Cambria" w:hAnsi="Cambria"/>
          <w:sz w:val="20"/>
          <w:szCs w:val="20"/>
        </w:rPr>
        <w:t xml:space="preserve">Guatemala </w:t>
      </w:r>
      <w:r w:rsidR="00885250" w:rsidRPr="00295DD6">
        <w:rPr>
          <w:rFonts w:ascii="Cambria" w:hAnsi="Cambria"/>
          <w:sz w:val="20"/>
          <w:szCs w:val="20"/>
        </w:rPr>
        <w:t>ac</w:t>
      </w:r>
      <w:r w:rsidR="00660E31">
        <w:rPr>
          <w:rFonts w:ascii="Cambria" w:hAnsi="Cambria"/>
          <w:sz w:val="20"/>
          <w:szCs w:val="20"/>
        </w:rPr>
        <w:t>c</w:t>
      </w:r>
      <w:r w:rsidR="00885250" w:rsidRPr="00295DD6">
        <w:rPr>
          <w:rFonts w:ascii="Cambria" w:hAnsi="Cambria"/>
          <w:sz w:val="20"/>
          <w:szCs w:val="20"/>
        </w:rPr>
        <w:t>ept</w:t>
      </w:r>
      <w:r w:rsidR="00660E31">
        <w:rPr>
          <w:rFonts w:ascii="Cambria" w:hAnsi="Cambria"/>
          <w:sz w:val="20"/>
          <w:szCs w:val="20"/>
        </w:rPr>
        <w:t>s the jurisdiction of the Court to hear the totality of the instant case, in keeping with what is stipulated at Article 62(</w:t>
      </w:r>
      <w:r w:rsidR="00885250" w:rsidRPr="00295DD6">
        <w:rPr>
          <w:rFonts w:ascii="Cambria" w:hAnsi="Cambria"/>
          <w:sz w:val="20"/>
          <w:szCs w:val="20"/>
        </w:rPr>
        <w:t>2</w:t>
      </w:r>
      <w:r w:rsidR="00660E31">
        <w:rPr>
          <w:rFonts w:ascii="Cambria" w:hAnsi="Cambria"/>
          <w:sz w:val="20"/>
          <w:szCs w:val="20"/>
        </w:rPr>
        <w:t>) of the American Convention</w:t>
      </w:r>
      <w:r w:rsidR="00885250" w:rsidRPr="00295DD6">
        <w:rPr>
          <w:rFonts w:ascii="Cambria" w:hAnsi="Cambria"/>
          <w:sz w:val="20"/>
          <w:szCs w:val="20"/>
        </w:rPr>
        <w:t>.</w:t>
      </w:r>
    </w:p>
    <w:p w:rsidR="000C1C7E" w:rsidRPr="00295DD6" w:rsidRDefault="000C1C7E" w:rsidP="000C1C7E">
      <w:pPr>
        <w:tabs>
          <w:tab w:val="left" w:pos="0"/>
        </w:tabs>
        <w:spacing w:after="0"/>
        <w:jc w:val="both"/>
        <w:rPr>
          <w:rFonts w:ascii="Cambria" w:hAnsi="Cambria"/>
          <w:sz w:val="20"/>
          <w:szCs w:val="20"/>
        </w:rPr>
      </w:pPr>
    </w:p>
    <w:p w:rsidR="000C1C7E" w:rsidRPr="00295DD6" w:rsidRDefault="000C1C7E" w:rsidP="000C1C7E">
      <w:pPr>
        <w:autoSpaceDE w:val="0"/>
        <w:autoSpaceDN w:val="0"/>
        <w:adjustRightInd w:val="0"/>
        <w:spacing w:after="0"/>
        <w:ind w:left="720" w:right="480"/>
        <w:jc w:val="both"/>
        <w:rPr>
          <w:rFonts w:ascii="Cambria" w:hAnsi="Cambria"/>
          <w:sz w:val="20"/>
          <w:szCs w:val="20"/>
        </w:rPr>
      </w:pPr>
    </w:p>
    <w:p w:rsidR="000C1C7E" w:rsidRPr="00295DD6" w:rsidRDefault="00660E31" w:rsidP="00660E31">
      <w:pPr>
        <w:autoSpaceDE w:val="0"/>
        <w:autoSpaceDN w:val="0"/>
        <w:adjustRightInd w:val="0"/>
        <w:spacing w:after="0"/>
        <w:ind w:left="720" w:right="480"/>
        <w:jc w:val="both"/>
        <w:rPr>
          <w:rFonts w:ascii="Cambria" w:hAnsi="Cambria"/>
          <w:sz w:val="20"/>
          <w:szCs w:val="20"/>
        </w:rPr>
      </w:pPr>
      <w:r>
        <w:rPr>
          <w:rFonts w:ascii="Cambria" w:hAnsi="Cambria"/>
          <w:sz w:val="20"/>
          <w:szCs w:val="20"/>
        </w:rPr>
        <w:t xml:space="preserve">The Commission also asks the Court to establish the following measures of reparation: </w:t>
      </w:r>
    </w:p>
    <w:p w:rsidR="000C1C7E" w:rsidRPr="00295DD6" w:rsidRDefault="000C1C7E" w:rsidP="000C1C7E">
      <w:pPr>
        <w:autoSpaceDE w:val="0"/>
        <w:autoSpaceDN w:val="0"/>
        <w:adjustRightInd w:val="0"/>
        <w:spacing w:after="0"/>
        <w:ind w:left="720" w:right="480"/>
        <w:jc w:val="both"/>
        <w:rPr>
          <w:rFonts w:ascii="Cambria" w:hAnsi="Cambria"/>
          <w:sz w:val="20"/>
          <w:szCs w:val="20"/>
        </w:rPr>
      </w:pPr>
    </w:p>
    <w:p w:rsidR="00346C35" w:rsidRPr="00295DD6" w:rsidRDefault="00660E31" w:rsidP="00FC2AD0">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Make adequate reparation, individually and collectively, for the violations of human rights found in the report, covering the material, moral, and cultural aspects, including fair compensation, the determination and dissemination of the historical truth of the facts, recovering the memory of the deceased and disappeared victims, </w:t>
      </w:r>
      <w:r w:rsidR="00B720B4">
        <w:rPr>
          <w:rFonts w:ascii="Cambria" w:hAnsi="Cambria"/>
          <w:sz w:val="20"/>
          <w:szCs w:val="20"/>
        </w:rPr>
        <w:t xml:space="preserve">and </w:t>
      </w:r>
      <w:r>
        <w:rPr>
          <w:rFonts w:ascii="Cambria" w:hAnsi="Cambria"/>
          <w:sz w:val="20"/>
          <w:szCs w:val="20"/>
        </w:rPr>
        <w:t xml:space="preserve">implementing a program for psychosocial care that is culturally appropriate for the survivors and family members of the victims executed and disappeared. Collective reparations should be reached by consensus with the survivors in the village of </w:t>
      </w:r>
      <w:r w:rsidR="00346C35" w:rsidRPr="00295DD6">
        <w:rPr>
          <w:rFonts w:ascii="Cambria" w:hAnsi="Cambria"/>
          <w:sz w:val="20"/>
          <w:szCs w:val="20"/>
          <w:lang w:val="en-US"/>
        </w:rPr>
        <w:t xml:space="preserve">Chichupac </w:t>
      </w:r>
      <w:r>
        <w:rPr>
          <w:rFonts w:ascii="Cambria" w:hAnsi="Cambria"/>
          <w:sz w:val="20"/>
          <w:szCs w:val="20"/>
        </w:rPr>
        <w:t xml:space="preserve">and neighboring communities with the aim of re-establishing their community life </w:t>
      </w:r>
      <w:r w:rsidR="00FC2AD0">
        <w:rPr>
          <w:rFonts w:ascii="Cambria" w:hAnsi="Cambria"/>
          <w:sz w:val="20"/>
          <w:szCs w:val="20"/>
        </w:rPr>
        <w:t>as part of the M</w:t>
      </w:r>
      <w:r w:rsidR="00346C35" w:rsidRPr="00295DD6">
        <w:rPr>
          <w:rFonts w:ascii="Cambria" w:hAnsi="Cambria"/>
          <w:sz w:val="20"/>
          <w:szCs w:val="20"/>
          <w:lang w:val="en-US"/>
        </w:rPr>
        <w:t xml:space="preserve">aya </w:t>
      </w:r>
      <w:r w:rsidR="00FC2AD0">
        <w:rPr>
          <w:rFonts w:ascii="Cambria" w:hAnsi="Cambria"/>
          <w:sz w:val="20"/>
          <w:szCs w:val="20"/>
        </w:rPr>
        <w:t>A</w:t>
      </w:r>
      <w:r w:rsidR="00346C35" w:rsidRPr="00295DD6">
        <w:rPr>
          <w:rFonts w:ascii="Cambria" w:hAnsi="Cambria"/>
          <w:sz w:val="20"/>
          <w:szCs w:val="20"/>
          <w:lang w:val="en-US"/>
        </w:rPr>
        <w:t>chi</w:t>
      </w:r>
      <w:r w:rsidR="00FC2AD0">
        <w:rPr>
          <w:rFonts w:ascii="Cambria" w:hAnsi="Cambria"/>
          <w:sz w:val="20"/>
          <w:szCs w:val="20"/>
        </w:rPr>
        <w:t xml:space="preserve"> indigenous community</w:t>
      </w:r>
      <w:r w:rsidR="00346C35" w:rsidRPr="00295DD6">
        <w:rPr>
          <w:rFonts w:ascii="Cambria" w:hAnsi="Cambria"/>
          <w:sz w:val="20"/>
          <w:szCs w:val="20"/>
          <w:lang w:val="en-US"/>
        </w:rPr>
        <w:t>,</w:t>
      </w:r>
      <w:r w:rsidR="00FC2AD0">
        <w:rPr>
          <w:rFonts w:ascii="Cambria" w:hAnsi="Cambria"/>
          <w:sz w:val="20"/>
          <w:szCs w:val="20"/>
        </w:rPr>
        <w:t xml:space="preserve"> and the special bond with their lands.</w:t>
      </w:r>
    </w:p>
    <w:p w:rsidR="00346C35" w:rsidRPr="00295DD6" w:rsidRDefault="00346C35" w:rsidP="00346C35">
      <w:pPr>
        <w:pStyle w:val="Textoindependiente3"/>
        <w:tabs>
          <w:tab w:val="left" w:pos="1134"/>
        </w:tabs>
        <w:spacing w:after="0"/>
        <w:ind w:left="709" w:right="582"/>
        <w:jc w:val="both"/>
        <w:rPr>
          <w:rFonts w:ascii="Cambria" w:hAnsi="Cambria"/>
          <w:sz w:val="20"/>
          <w:szCs w:val="20"/>
          <w:lang w:val="en-US"/>
        </w:rPr>
      </w:pPr>
    </w:p>
    <w:p w:rsidR="00346C35" w:rsidRPr="00295DD6" w:rsidRDefault="00346C35" w:rsidP="00FC2AD0">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sidRPr="00295DD6">
        <w:rPr>
          <w:rFonts w:ascii="Cambria" w:hAnsi="Cambria"/>
          <w:sz w:val="20"/>
          <w:szCs w:val="20"/>
          <w:lang w:val="en-US"/>
        </w:rPr>
        <w:t>Establ</w:t>
      </w:r>
      <w:r w:rsidR="00FC2AD0">
        <w:rPr>
          <w:rFonts w:ascii="Cambria" w:hAnsi="Cambria"/>
          <w:sz w:val="20"/>
          <w:szCs w:val="20"/>
        </w:rPr>
        <w:t xml:space="preserve">ish a mechanism that makes it possible, to the greatest extent possible, to completely identify the victims executed in the instant case and to provide as necessary to continue the process of identifying the mortal remains of those victims and returning them to their families. </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FC2AD0" w:rsidP="00FC2AD0">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Establish a mechanism that makes it possible to determine the persons disappeared in the massacres, and with respect to the survivors of the massacres. </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FC2AD0" w:rsidP="00FC2AD0">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Locate and deliver to the family the mortal remains of the disappeared victims. </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FC2AD0" w:rsidP="00FC2AD0">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Establish a mechanism to facilitate complete identification of the family members of the victims executed and disappeared so that they can be beneficiaries of reparations.</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FC2AD0" w:rsidP="00FC2AD0">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Carry out, conclude, and reopen, and as the case may be, the domestic procedures related to the violations of human rights found in the report and conduct the investigations impartially, effectively, and within a reasonable time for the purpose of clarifying the facts completely, identifying the masterminds and direct perpetrators, and impose the corresponding sanctions. </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0F6629" w:rsidP="00350F8F">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Strengthen the capacity of the judicial branch to adequately and efficiently investigate the facts and punish the persons responsible, </w:t>
      </w:r>
      <w:r w:rsidR="00350F8F">
        <w:rPr>
          <w:rFonts w:ascii="Cambria" w:hAnsi="Cambria"/>
          <w:sz w:val="20"/>
          <w:szCs w:val="20"/>
        </w:rPr>
        <w:t xml:space="preserve">even </w:t>
      </w:r>
      <w:r>
        <w:rPr>
          <w:rFonts w:ascii="Cambria" w:hAnsi="Cambria"/>
          <w:sz w:val="20"/>
          <w:szCs w:val="20"/>
        </w:rPr>
        <w:t xml:space="preserve">providing the material and technical resources needed to ensure the proper development of the procedures. </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0F6629" w:rsidP="000F6629">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Order the corresponding administrative, disciplinary, and criminal justice measures vis-à-vis the acts or omissions of the state officials that have contributed to the denial of justice and impunity in which one finds the facts of the case, or of those who participated in measures to obstruct the proceedings aimed at identifying and punishing the persons responsible. </w:t>
      </w:r>
    </w:p>
    <w:p w:rsidR="00346C35" w:rsidRPr="00295DD6" w:rsidRDefault="00346C35" w:rsidP="00346C35">
      <w:pPr>
        <w:pStyle w:val="Textoindependiente3"/>
        <w:tabs>
          <w:tab w:val="left" w:pos="1134"/>
        </w:tabs>
        <w:spacing w:after="0"/>
        <w:ind w:left="709" w:right="582"/>
        <w:rPr>
          <w:rFonts w:ascii="Cambria" w:hAnsi="Cambria"/>
          <w:sz w:val="20"/>
          <w:szCs w:val="20"/>
          <w:lang w:val="en-US"/>
        </w:rPr>
      </w:pPr>
    </w:p>
    <w:p w:rsidR="00346C35" w:rsidRPr="00295DD6" w:rsidRDefault="000F6629" w:rsidP="000F6629">
      <w:pPr>
        <w:pStyle w:val="Textoindependiente3"/>
        <w:numPr>
          <w:ilvl w:val="0"/>
          <w:numId w:val="4"/>
        </w:numPr>
        <w:tabs>
          <w:tab w:val="clear" w:pos="720"/>
          <w:tab w:val="left" w:pos="1134"/>
        </w:tabs>
        <w:spacing w:after="0"/>
        <w:ind w:left="709" w:right="582" w:firstLine="0"/>
        <w:jc w:val="both"/>
        <w:rPr>
          <w:rFonts w:ascii="Cambria" w:hAnsi="Cambria"/>
          <w:sz w:val="20"/>
          <w:szCs w:val="20"/>
          <w:lang w:val="en-US"/>
        </w:rPr>
      </w:pPr>
      <w:r>
        <w:rPr>
          <w:rFonts w:ascii="Cambria" w:hAnsi="Cambria"/>
          <w:sz w:val="20"/>
          <w:szCs w:val="20"/>
        </w:rPr>
        <w:t xml:space="preserve">Adopt the measures necessary to ensure that there is no recurrence of similar acts in the future, in keeping with the duty to prevent and to ensure the human rights recognized in the American Convention. In </w:t>
      </w:r>
      <w:r w:rsidR="00346C35" w:rsidRPr="00295DD6">
        <w:rPr>
          <w:rFonts w:ascii="Cambria" w:hAnsi="Cambria"/>
          <w:sz w:val="20"/>
          <w:szCs w:val="20"/>
          <w:lang w:val="en-US"/>
        </w:rPr>
        <w:t>particular</w:t>
      </w:r>
      <w:r>
        <w:rPr>
          <w:rFonts w:ascii="Cambria" w:hAnsi="Cambria"/>
          <w:sz w:val="20"/>
          <w:szCs w:val="20"/>
        </w:rPr>
        <w:t>, implement</w:t>
      </w:r>
      <w:r w:rsidR="00346C35" w:rsidRPr="00295DD6">
        <w:rPr>
          <w:rFonts w:ascii="Cambria" w:hAnsi="Cambria"/>
          <w:sz w:val="20"/>
          <w:szCs w:val="20"/>
          <w:lang w:val="en-US"/>
        </w:rPr>
        <w:t xml:space="preserve"> </w:t>
      </w:r>
      <w:r>
        <w:rPr>
          <w:rFonts w:ascii="Cambria" w:hAnsi="Cambria"/>
          <w:sz w:val="20"/>
          <w:szCs w:val="20"/>
        </w:rPr>
        <w:t xml:space="preserve">permanent programs on human rights and international humanitarian law in the training schools of the Armed Forces. </w:t>
      </w:r>
    </w:p>
    <w:p w:rsidR="000C1C7E" w:rsidRPr="00295DD6" w:rsidRDefault="000C1C7E" w:rsidP="000C1C7E">
      <w:pPr>
        <w:autoSpaceDE w:val="0"/>
        <w:autoSpaceDN w:val="0"/>
        <w:adjustRightInd w:val="0"/>
        <w:spacing w:after="0"/>
        <w:ind w:left="720" w:right="480"/>
        <w:jc w:val="both"/>
        <w:rPr>
          <w:rFonts w:ascii="Cambria" w:hAnsi="Cambria"/>
          <w:sz w:val="20"/>
          <w:szCs w:val="20"/>
        </w:rPr>
      </w:pPr>
    </w:p>
    <w:p w:rsidR="00F44B0B" w:rsidRPr="00295DD6" w:rsidRDefault="00A05DB0" w:rsidP="00A05DB0">
      <w:pPr>
        <w:spacing w:after="0"/>
        <w:ind w:firstLine="709"/>
        <w:jc w:val="both"/>
        <w:rPr>
          <w:rFonts w:ascii="Cambria" w:hAnsi="Cambria" w:cs="Arial"/>
          <w:sz w:val="20"/>
          <w:szCs w:val="20"/>
        </w:rPr>
      </w:pPr>
      <w:r>
        <w:rPr>
          <w:rFonts w:ascii="Cambria" w:hAnsi="Cambria" w:cs="Arial"/>
          <w:sz w:val="20"/>
          <w:szCs w:val="20"/>
        </w:rPr>
        <w:t xml:space="preserve">In addition to the need to obtain justice for the failure to carry out the recommendations in the report on the merits, the Commission considers that the case raises issues that go to inter-American public order. Specifically, although the Court has already heard several cases of massacres committed during the armed conflict in </w:t>
      </w:r>
      <w:r w:rsidR="00F44B0B" w:rsidRPr="00295DD6">
        <w:rPr>
          <w:rFonts w:ascii="Cambria" w:hAnsi="Cambria" w:cs="Arial"/>
          <w:sz w:val="20"/>
          <w:szCs w:val="20"/>
        </w:rPr>
        <w:t xml:space="preserve">Guatemala, </w:t>
      </w:r>
      <w:r>
        <w:rPr>
          <w:rFonts w:ascii="Cambria" w:hAnsi="Cambria" w:cs="Arial"/>
          <w:sz w:val="20"/>
          <w:szCs w:val="20"/>
        </w:rPr>
        <w:t xml:space="preserve">this case could contribute to developing case-law on the mechanisms of reparation domestically and their reach in the </w:t>
      </w:r>
      <w:r>
        <w:rPr>
          <w:rFonts w:ascii="Cambria" w:hAnsi="Cambria" w:cs="Arial"/>
          <w:sz w:val="20"/>
          <w:szCs w:val="20"/>
        </w:rPr>
        <w:lastRenderedPageBreak/>
        <w:t xml:space="preserve">context of proceedings that have already been submitted to and/or decided by the organs of the inter-American system. Accordingly, given the invocation that the State has been making the case would allow for a pronouncement by the Court on the Law on National Reconciliation, its non-applicability to facts such as those in the instant case, and the way in which an interpretation of that provision </w:t>
      </w:r>
      <w:r w:rsidR="009D5F25" w:rsidRPr="00295DD6">
        <w:rPr>
          <w:rFonts w:ascii="Cambria" w:hAnsi="Cambria" w:cs="Arial"/>
          <w:sz w:val="20"/>
          <w:szCs w:val="20"/>
        </w:rPr>
        <w:t xml:space="preserve">incompatible </w:t>
      </w:r>
      <w:r>
        <w:rPr>
          <w:rFonts w:ascii="Cambria" w:hAnsi="Cambria" w:cs="Arial"/>
          <w:sz w:val="20"/>
          <w:szCs w:val="20"/>
        </w:rPr>
        <w:t xml:space="preserve">with inter-American case-law would make it possible to consolidate the situation of structural impunity one finds in </w:t>
      </w:r>
      <w:r w:rsidR="00701CF5" w:rsidRPr="00295DD6">
        <w:rPr>
          <w:rFonts w:ascii="Cambria" w:hAnsi="Cambria" w:cs="Arial"/>
          <w:sz w:val="20"/>
          <w:szCs w:val="20"/>
        </w:rPr>
        <w:t>Gua</w:t>
      </w:r>
      <w:r w:rsidR="009D5F25" w:rsidRPr="00295DD6">
        <w:rPr>
          <w:rFonts w:ascii="Cambria" w:hAnsi="Cambria" w:cs="Arial"/>
          <w:sz w:val="20"/>
          <w:szCs w:val="20"/>
        </w:rPr>
        <w:t xml:space="preserve">temala </w:t>
      </w:r>
      <w:r>
        <w:rPr>
          <w:rFonts w:ascii="Cambria" w:hAnsi="Cambria" w:cs="Arial"/>
          <w:sz w:val="20"/>
          <w:szCs w:val="20"/>
        </w:rPr>
        <w:t xml:space="preserve">with respect to grave violations of human rights during the armed conflict. </w:t>
      </w:r>
    </w:p>
    <w:p w:rsidR="000C1C7E" w:rsidRPr="00295DD6" w:rsidRDefault="000C1C7E" w:rsidP="000C1C7E">
      <w:pPr>
        <w:autoSpaceDE w:val="0"/>
        <w:autoSpaceDN w:val="0"/>
        <w:adjustRightInd w:val="0"/>
        <w:spacing w:after="0"/>
        <w:jc w:val="both"/>
        <w:rPr>
          <w:rFonts w:ascii="Cambria" w:hAnsi="Cambria" w:cs="Arial"/>
          <w:sz w:val="20"/>
          <w:szCs w:val="20"/>
        </w:rPr>
      </w:pPr>
    </w:p>
    <w:p w:rsidR="000C1C7E" w:rsidRPr="00295DD6" w:rsidRDefault="00A05DB0" w:rsidP="00C15ECF">
      <w:pPr>
        <w:autoSpaceDE w:val="0"/>
        <w:autoSpaceDN w:val="0"/>
        <w:adjustRightInd w:val="0"/>
        <w:spacing w:after="0"/>
        <w:ind w:firstLine="720"/>
        <w:jc w:val="both"/>
        <w:rPr>
          <w:rFonts w:ascii="Cambria" w:hAnsi="Cambria" w:cs="Arial"/>
          <w:sz w:val="20"/>
          <w:szCs w:val="20"/>
        </w:rPr>
      </w:pPr>
      <w:r>
        <w:rPr>
          <w:rFonts w:ascii="Cambria" w:hAnsi="Cambria" w:cs="Arial"/>
          <w:sz w:val="20"/>
          <w:szCs w:val="20"/>
        </w:rPr>
        <w:t>As these issues significantly affect inter-American public order, as per Article 35(</w:t>
      </w:r>
      <w:r w:rsidR="000C1C7E" w:rsidRPr="00295DD6">
        <w:rPr>
          <w:rFonts w:ascii="Cambria" w:hAnsi="Cambria" w:cs="Arial"/>
          <w:sz w:val="20"/>
          <w:szCs w:val="20"/>
        </w:rPr>
        <w:t>1</w:t>
      </w:r>
      <w:r>
        <w:rPr>
          <w:rFonts w:ascii="Cambria" w:hAnsi="Cambria" w:cs="Arial"/>
          <w:sz w:val="20"/>
          <w:szCs w:val="20"/>
        </w:rPr>
        <w:t>)(</w:t>
      </w:r>
      <w:r w:rsidR="000C1C7E" w:rsidRPr="00295DD6">
        <w:rPr>
          <w:rFonts w:ascii="Cambria" w:hAnsi="Cambria" w:cs="Arial"/>
          <w:sz w:val="20"/>
          <w:szCs w:val="20"/>
        </w:rPr>
        <w:t xml:space="preserve">f) </w:t>
      </w:r>
      <w:r>
        <w:rPr>
          <w:rFonts w:ascii="Cambria" w:hAnsi="Cambria" w:cs="Arial"/>
          <w:sz w:val="20"/>
          <w:szCs w:val="20"/>
        </w:rPr>
        <w:t>of the Inter-American Court’s Rules of Procedure, the Commission takes this opportunity to offer the following expert witness statements</w:t>
      </w:r>
      <w:r w:rsidR="000C1C7E" w:rsidRPr="00295DD6">
        <w:rPr>
          <w:rFonts w:ascii="Cambria" w:hAnsi="Cambria" w:cs="Arial"/>
          <w:sz w:val="20"/>
          <w:szCs w:val="20"/>
        </w:rPr>
        <w:t>:</w:t>
      </w:r>
    </w:p>
    <w:p w:rsidR="000C1C7E" w:rsidRPr="00295DD6" w:rsidRDefault="000C1C7E" w:rsidP="000C1C7E">
      <w:pPr>
        <w:autoSpaceDE w:val="0"/>
        <w:autoSpaceDN w:val="0"/>
        <w:adjustRightInd w:val="0"/>
        <w:spacing w:after="0"/>
        <w:ind w:right="480"/>
        <w:jc w:val="both"/>
        <w:rPr>
          <w:rFonts w:ascii="Cambria" w:hAnsi="Cambria" w:cs="Arial"/>
          <w:sz w:val="20"/>
          <w:szCs w:val="20"/>
        </w:rPr>
      </w:pPr>
    </w:p>
    <w:p w:rsidR="00E224EC" w:rsidRPr="00295DD6" w:rsidRDefault="00A05DB0" w:rsidP="00A05DB0">
      <w:pPr>
        <w:autoSpaceDE w:val="0"/>
        <w:autoSpaceDN w:val="0"/>
        <w:adjustRightInd w:val="0"/>
        <w:spacing w:after="0"/>
        <w:ind w:firstLine="720"/>
        <w:jc w:val="both"/>
        <w:rPr>
          <w:rFonts w:ascii="Cambria" w:hAnsi="Cambria" w:cs="Arial"/>
          <w:sz w:val="20"/>
          <w:szCs w:val="20"/>
        </w:rPr>
      </w:pPr>
      <w:r>
        <w:rPr>
          <w:rFonts w:ascii="Cambria" w:hAnsi="Cambria" w:cs="Courier New"/>
          <w:b/>
          <w:sz w:val="20"/>
          <w:szCs w:val="20"/>
        </w:rPr>
        <w:t>Expert</w:t>
      </w:r>
      <w:r w:rsidR="000C1C7E" w:rsidRPr="00295DD6">
        <w:rPr>
          <w:rFonts w:ascii="Cambria" w:hAnsi="Cambria" w:cs="Courier New"/>
          <w:b/>
          <w:sz w:val="20"/>
          <w:szCs w:val="20"/>
        </w:rPr>
        <w:t>/</w:t>
      </w:r>
      <w:r>
        <w:rPr>
          <w:rFonts w:ascii="Cambria" w:hAnsi="Cambria" w:cs="Courier New"/>
          <w:b/>
          <w:sz w:val="20"/>
          <w:szCs w:val="20"/>
        </w:rPr>
        <w:t>whose name will be provided soon</w:t>
      </w:r>
      <w:r w:rsidR="000C1C7E" w:rsidRPr="00295DD6">
        <w:rPr>
          <w:rFonts w:ascii="Cambria" w:hAnsi="Cambria" w:cs="Courier New"/>
          <w:sz w:val="20"/>
          <w:szCs w:val="20"/>
        </w:rPr>
        <w:t xml:space="preserve">, </w:t>
      </w:r>
      <w:r>
        <w:rPr>
          <w:rFonts w:ascii="Cambria" w:hAnsi="Cambria" w:cs="Courier New"/>
          <w:sz w:val="20"/>
          <w:szCs w:val="20"/>
        </w:rPr>
        <w:t xml:space="preserve">who will testify on the scope and elements of integral reparation in a case such as the instant one, in which the human rights violations were especially grave and widespread, to the point of tearing apart the social and cultural cohesion of an entire community. The expert will analyze those parameters, the reparations offered by domestic systems, and their scope in cases already before the inter-American system. In addition, special emphasis will be placed on Guatemala’s situation. </w:t>
      </w:r>
    </w:p>
    <w:p w:rsidR="00E224EC" w:rsidRPr="00295DD6" w:rsidRDefault="00E224EC" w:rsidP="00E224EC">
      <w:pPr>
        <w:autoSpaceDE w:val="0"/>
        <w:autoSpaceDN w:val="0"/>
        <w:adjustRightInd w:val="0"/>
        <w:spacing w:after="0"/>
        <w:ind w:firstLine="720"/>
        <w:jc w:val="both"/>
        <w:rPr>
          <w:rFonts w:ascii="Cambria" w:hAnsi="Cambria" w:cs="Arial"/>
          <w:sz w:val="20"/>
          <w:szCs w:val="20"/>
        </w:rPr>
      </w:pPr>
    </w:p>
    <w:p w:rsidR="00E224EC" w:rsidRPr="00295DD6" w:rsidRDefault="00A05DB0" w:rsidP="00C15ECF">
      <w:pPr>
        <w:autoSpaceDE w:val="0"/>
        <w:autoSpaceDN w:val="0"/>
        <w:adjustRightInd w:val="0"/>
        <w:spacing w:after="0"/>
        <w:ind w:firstLine="720"/>
        <w:jc w:val="both"/>
        <w:rPr>
          <w:rFonts w:ascii="Cambria" w:hAnsi="Cambria" w:cs="Arial"/>
          <w:sz w:val="20"/>
          <w:szCs w:val="20"/>
        </w:rPr>
      </w:pPr>
      <w:r>
        <w:rPr>
          <w:rFonts w:ascii="Cambria" w:hAnsi="Cambria" w:cs="Courier New"/>
          <w:b/>
          <w:sz w:val="20"/>
          <w:szCs w:val="20"/>
        </w:rPr>
        <w:t>Expert</w:t>
      </w:r>
      <w:r w:rsidR="00E224EC" w:rsidRPr="00295DD6">
        <w:rPr>
          <w:rFonts w:ascii="Cambria" w:hAnsi="Cambria" w:cs="Courier New"/>
          <w:b/>
          <w:sz w:val="20"/>
          <w:szCs w:val="20"/>
        </w:rPr>
        <w:t>/</w:t>
      </w:r>
      <w:r>
        <w:rPr>
          <w:rFonts w:ascii="Cambria" w:hAnsi="Cambria" w:cs="Courier New"/>
          <w:b/>
          <w:sz w:val="20"/>
          <w:szCs w:val="20"/>
        </w:rPr>
        <w:t>whose name will be provided soon</w:t>
      </w:r>
      <w:r>
        <w:rPr>
          <w:rFonts w:ascii="Cambria" w:hAnsi="Cambria" w:cs="Arial"/>
          <w:sz w:val="20"/>
          <w:szCs w:val="20"/>
        </w:rPr>
        <w:t xml:space="preserve">, who will testify on the structural situation of impunity in </w:t>
      </w:r>
      <w:r w:rsidR="00E807E6" w:rsidRPr="00295DD6">
        <w:rPr>
          <w:rFonts w:ascii="Cambria" w:hAnsi="Cambria" w:cs="Arial"/>
          <w:sz w:val="20"/>
          <w:szCs w:val="20"/>
        </w:rPr>
        <w:t xml:space="preserve">Guatemala </w:t>
      </w:r>
      <w:r>
        <w:rPr>
          <w:rFonts w:ascii="Cambria" w:hAnsi="Cambria" w:cs="Arial"/>
          <w:sz w:val="20"/>
          <w:szCs w:val="20"/>
        </w:rPr>
        <w:t xml:space="preserve">for human rights violations committed during the internal armed conflict. </w:t>
      </w:r>
      <w:r w:rsidR="0020567D">
        <w:rPr>
          <w:rFonts w:ascii="Cambria" w:hAnsi="Cambria" w:cs="Arial"/>
          <w:sz w:val="20"/>
          <w:szCs w:val="20"/>
        </w:rPr>
        <w:t xml:space="preserve">The expert will analyze the factors that have contributed to that situation in the past, as well as the emerging context </w:t>
      </w:r>
      <w:r w:rsidR="00C15ECF">
        <w:rPr>
          <w:rFonts w:ascii="Cambria" w:hAnsi="Cambria" w:cs="Arial"/>
          <w:sz w:val="20"/>
          <w:szCs w:val="20"/>
        </w:rPr>
        <w:t xml:space="preserve">with the </w:t>
      </w:r>
      <w:r w:rsidR="0020567D">
        <w:rPr>
          <w:rFonts w:ascii="Cambria" w:hAnsi="Cambria" w:cs="Arial"/>
          <w:sz w:val="20"/>
          <w:szCs w:val="20"/>
        </w:rPr>
        <w:t xml:space="preserve">invoking the Law on National Reconciliation. On this aspect, the expert will refer to international standards on amnesty laws, especially after an internal armed conflict, with special emphasis on the Law on National Reconciliation in the context of grave violations of human rights, crimes against humanity, genocide, and war crimes, </w:t>
      </w:r>
      <w:r w:rsidR="00C15ECF">
        <w:rPr>
          <w:rFonts w:ascii="Cambria" w:hAnsi="Cambria" w:cs="Arial"/>
          <w:sz w:val="20"/>
          <w:szCs w:val="20"/>
        </w:rPr>
        <w:t xml:space="preserve">such </w:t>
      </w:r>
      <w:r w:rsidR="0020567D">
        <w:rPr>
          <w:rFonts w:ascii="Cambria" w:hAnsi="Cambria" w:cs="Arial"/>
          <w:sz w:val="20"/>
          <w:szCs w:val="20"/>
        </w:rPr>
        <w:t xml:space="preserve">as </w:t>
      </w:r>
      <w:r w:rsidR="00C15ECF">
        <w:rPr>
          <w:rFonts w:ascii="Cambria" w:hAnsi="Cambria" w:cs="Arial"/>
          <w:sz w:val="20"/>
          <w:szCs w:val="20"/>
        </w:rPr>
        <w:t xml:space="preserve">those that </w:t>
      </w:r>
      <w:r w:rsidR="0020567D">
        <w:rPr>
          <w:rFonts w:ascii="Cambria" w:hAnsi="Cambria" w:cs="Arial"/>
          <w:sz w:val="20"/>
          <w:szCs w:val="20"/>
        </w:rPr>
        <w:t xml:space="preserve">occurred in this case. </w:t>
      </w:r>
    </w:p>
    <w:p w:rsidR="000C1C7E" w:rsidRPr="00295DD6" w:rsidRDefault="000C1C7E" w:rsidP="000C1C7E">
      <w:pPr>
        <w:tabs>
          <w:tab w:val="left" w:pos="0"/>
        </w:tabs>
        <w:spacing w:after="0"/>
        <w:ind w:firstLine="720"/>
        <w:jc w:val="both"/>
        <w:rPr>
          <w:rFonts w:ascii="Cambria" w:hAnsi="Cambria"/>
          <w:sz w:val="20"/>
          <w:szCs w:val="20"/>
        </w:rPr>
      </w:pPr>
    </w:p>
    <w:p w:rsidR="000C1C7E" w:rsidRPr="00295DD6" w:rsidRDefault="0020567D" w:rsidP="0020567D">
      <w:pPr>
        <w:tabs>
          <w:tab w:val="left" w:pos="0"/>
        </w:tabs>
        <w:spacing w:after="0"/>
        <w:ind w:firstLine="720"/>
        <w:jc w:val="both"/>
        <w:rPr>
          <w:rFonts w:ascii="Cambria" w:hAnsi="Cambria"/>
          <w:sz w:val="20"/>
          <w:szCs w:val="20"/>
        </w:rPr>
      </w:pPr>
      <w:r>
        <w:rPr>
          <w:rFonts w:ascii="Cambria" w:hAnsi="Cambria"/>
          <w:sz w:val="20"/>
          <w:szCs w:val="20"/>
        </w:rPr>
        <w:t xml:space="preserve">The </w:t>
      </w:r>
      <w:r w:rsidR="008B05DB" w:rsidRPr="00295DD6">
        <w:rPr>
          <w:rFonts w:ascii="Cambria" w:hAnsi="Cambria"/>
          <w:i/>
          <w:sz w:val="20"/>
          <w:szCs w:val="20"/>
        </w:rPr>
        <w:t xml:space="preserve">curriculum vitae </w:t>
      </w:r>
      <w:r>
        <w:rPr>
          <w:rFonts w:ascii="Cambria" w:hAnsi="Cambria"/>
          <w:sz w:val="20"/>
          <w:szCs w:val="20"/>
        </w:rPr>
        <w:t xml:space="preserve">of the experts offered will be included in the attachments to Report on the Merits </w:t>
      </w:r>
      <w:r w:rsidR="008B05DB" w:rsidRPr="00295DD6">
        <w:rPr>
          <w:rFonts w:ascii="Cambria" w:hAnsi="Cambria"/>
          <w:sz w:val="20"/>
          <w:szCs w:val="20"/>
        </w:rPr>
        <w:t>6</w:t>
      </w:r>
      <w:r w:rsidR="000C1C7E" w:rsidRPr="00295DD6">
        <w:rPr>
          <w:rFonts w:ascii="Cambria" w:hAnsi="Cambria"/>
          <w:sz w:val="20"/>
          <w:szCs w:val="20"/>
        </w:rPr>
        <w:t>/</w:t>
      </w:r>
      <w:r w:rsidR="008B05DB" w:rsidRPr="00295DD6">
        <w:rPr>
          <w:rFonts w:ascii="Cambria" w:hAnsi="Cambria"/>
          <w:sz w:val="20"/>
          <w:szCs w:val="20"/>
        </w:rPr>
        <w:t>14</w:t>
      </w:r>
      <w:r w:rsidR="000C1C7E" w:rsidRPr="00295DD6">
        <w:rPr>
          <w:rFonts w:ascii="Cambria" w:hAnsi="Cambria"/>
          <w:sz w:val="20"/>
          <w:szCs w:val="20"/>
        </w:rPr>
        <w:t xml:space="preserve">. </w:t>
      </w:r>
      <w:r>
        <w:rPr>
          <w:rFonts w:ascii="Cambria" w:hAnsi="Cambria"/>
          <w:sz w:val="20"/>
          <w:szCs w:val="20"/>
        </w:rPr>
        <w:t>The Commission informs the Court of the following information on those who have served as petitioners throughout the processing of this case</w:t>
      </w:r>
      <w:r w:rsidR="000C1C7E" w:rsidRPr="00295DD6">
        <w:rPr>
          <w:rFonts w:ascii="Cambria" w:hAnsi="Cambria"/>
          <w:sz w:val="20"/>
          <w:szCs w:val="20"/>
        </w:rPr>
        <w:t xml:space="preserve">: </w:t>
      </w:r>
    </w:p>
    <w:p w:rsidR="000C1C7E" w:rsidRPr="00295DD6" w:rsidRDefault="000C1C7E" w:rsidP="000C1C7E">
      <w:pPr>
        <w:autoSpaceDE w:val="0"/>
        <w:autoSpaceDN w:val="0"/>
        <w:adjustRightInd w:val="0"/>
        <w:spacing w:after="0"/>
        <w:jc w:val="center"/>
        <w:rPr>
          <w:rFonts w:ascii="Cambria" w:hAnsi="Cambria" w:cs="Arial"/>
          <w:sz w:val="20"/>
          <w:szCs w:val="20"/>
        </w:rPr>
      </w:pPr>
    </w:p>
    <w:p w:rsidR="000C1C7E" w:rsidRPr="006B2AEC" w:rsidRDefault="00FE208C" w:rsidP="000C1C7E">
      <w:pPr>
        <w:autoSpaceDE w:val="0"/>
        <w:autoSpaceDN w:val="0"/>
        <w:adjustRightInd w:val="0"/>
        <w:spacing w:after="0"/>
        <w:jc w:val="center"/>
        <w:rPr>
          <w:rFonts w:ascii="Cambria" w:hAnsi="Cambria" w:cs="Arial"/>
          <w:sz w:val="20"/>
          <w:szCs w:val="20"/>
          <w:lang w:val="es-ES"/>
        </w:rPr>
      </w:pPr>
      <w:r w:rsidRPr="006B2AEC">
        <w:rPr>
          <w:rFonts w:ascii="Cambria" w:hAnsi="Cambria" w:cs="Arial"/>
          <w:sz w:val="20"/>
          <w:szCs w:val="20"/>
          <w:lang w:val="es-ES"/>
        </w:rPr>
        <w:t>Wuilfredo Ivoy Morales</w:t>
      </w:r>
    </w:p>
    <w:p w:rsidR="000C1C7E" w:rsidRPr="006B2AEC" w:rsidRDefault="00FE208C" w:rsidP="000C1C7E">
      <w:pPr>
        <w:autoSpaceDE w:val="0"/>
        <w:autoSpaceDN w:val="0"/>
        <w:adjustRightInd w:val="0"/>
        <w:spacing w:after="0"/>
        <w:jc w:val="center"/>
        <w:rPr>
          <w:rFonts w:ascii="Cambria" w:hAnsi="Cambria" w:cs="Arial"/>
          <w:sz w:val="20"/>
          <w:szCs w:val="20"/>
          <w:lang w:val="es-ES"/>
        </w:rPr>
      </w:pPr>
      <w:r w:rsidRPr="006B2AEC">
        <w:rPr>
          <w:rFonts w:ascii="Cambria" w:hAnsi="Cambria" w:cs="Arial"/>
          <w:sz w:val="20"/>
          <w:szCs w:val="20"/>
          <w:lang w:val="es-ES"/>
        </w:rPr>
        <w:t xml:space="preserve">María Dolores Iztep Manuel </w:t>
      </w:r>
    </w:p>
    <w:p w:rsidR="000C1C7E" w:rsidRPr="00177011" w:rsidRDefault="00177011" w:rsidP="000C1C7E">
      <w:pPr>
        <w:autoSpaceDE w:val="0"/>
        <w:autoSpaceDN w:val="0"/>
        <w:adjustRightInd w:val="0"/>
        <w:spacing w:after="0"/>
        <w:jc w:val="center"/>
        <w:rPr>
          <w:rFonts w:ascii="Cambria" w:hAnsi="Cambria" w:cs="Arial"/>
          <w:sz w:val="20"/>
          <w:szCs w:val="20"/>
        </w:rPr>
      </w:pPr>
      <w:r w:rsidRPr="001F185B">
        <w:rPr>
          <w:rFonts w:ascii="Cambria" w:hAnsi="Cambria" w:cs="Arial"/>
          <w:sz w:val="20"/>
          <w:szCs w:val="20"/>
          <w:highlight w:val="black"/>
        </w:rPr>
        <w:t>xxxxxxxxxxxxxxxxxxxxxxxxxxx</w:t>
      </w:r>
    </w:p>
    <w:p w:rsidR="00FE208C" w:rsidRPr="00295DD6" w:rsidRDefault="00FE208C" w:rsidP="000C1C7E">
      <w:pPr>
        <w:autoSpaceDE w:val="0"/>
        <w:autoSpaceDN w:val="0"/>
        <w:adjustRightInd w:val="0"/>
        <w:spacing w:after="0"/>
        <w:jc w:val="center"/>
        <w:rPr>
          <w:rFonts w:ascii="Cambria" w:hAnsi="Cambria" w:cs="Arial"/>
          <w:sz w:val="20"/>
          <w:szCs w:val="20"/>
        </w:rPr>
      </w:pPr>
    </w:p>
    <w:p w:rsidR="000C1C7E" w:rsidRPr="00295DD6" w:rsidRDefault="00177011" w:rsidP="00A05DB0">
      <w:pPr>
        <w:tabs>
          <w:tab w:val="left" w:pos="0"/>
        </w:tabs>
        <w:spacing w:after="0"/>
        <w:ind w:firstLine="720"/>
        <w:jc w:val="both"/>
        <w:rPr>
          <w:rFonts w:ascii="Cambria" w:hAnsi="Cambria" w:cs="Arial"/>
          <w:sz w:val="20"/>
          <w:szCs w:val="20"/>
        </w:rPr>
      </w:pP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Pr>
          <w:rFonts w:ascii="Cambria" w:hAnsi="Cambria" w:cs="Arial"/>
          <w:sz w:val="20"/>
          <w:szCs w:val="20"/>
        </w:rPr>
        <w:tab/>
      </w:r>
      <w:r w:rsidR="00A05DB0">
        <w:rPr>
          <w:rFonts w:ascii="Cambria" w:hAnsi="Cambria" w:cs="Arial"/>
          <w:sz w:val="20"/>
          <w:szCs w:val="20"/>
        </w:rPr>
        <w:t xml:space="preserve">Sincerely yours, </w:t>
      </w:r>
    </w:p>
    <w:p w:rsidR="000C1C7E" w:rsidRPr="00295DD6" w:rsidRDefault="000C1C7E" w:rsidP="000C1C7E">
      <w:pPr>
        <w:suppressAutoHyphens/>
        <w:spacing w:after="0"/>
        <w:rPr>
          <w:rFonts w:ascii="Cambria" w:hAnsi="Cambria" w:cs="Arial"/>
          <w:snapToGrid w:val="0"/>
          <w:sz w:val="20"/>
          <w:szCs w:val="20"/>
        </w:rPr>
      </w:pPr>
    </w:p>
    <w:p w:rsidR="000C1C7E" w:rsidRPr="003E06FF" w:rsidRDefault="000C1C7E" w:rsidP="000C1C7E">
      <w:pPr>
        <w:suppressAutoHyphens/>
        <w:spacing w:after="0"/>
        <w:jc w:val="center"/>
        <w:rPr>
          <w:rFonts w:ascii="Cambria" w:hAnsi="Cambria" w:cs="Arial"/>
          <w:i/>
          <w:snapToGrid w:val="0"/>
          <w:color w:val="808080"/>
          <w:sz w:val="20"/>
          <w:szCs w:val="20"/>
        </w:rPr>
      </w:pPr>
      <w:r w:rsidRPr="00295DD6">
        <w:rPr>
          <w:rFonts w:ascii="Cambria" w:hAnsi="Cambria" w:cs="Arial"/>
          <w:snapToGrid w:val="0"/>
          <w:sz w:val="20"/>
          <w:szCs w:val="20"/>
        </w:rPr>
        <w:t xml:space="preserve">                                            </w:t>
      </w:r>
      <w:r w:rsidR="00177011">
        <w:rPr>
          <w:rFonts w:ascii="Cambria" w:hAnsi="Cambria" w:cs="Arial"/>
          <w:snapToGrid w:val="0"/>
          <w:sz w:val="20"/>
          <w:szCs w:val="20"/>
        </w:rPr>
        <w:tab/>
      </w:r>
      <w:r w:rsidR="00177011">
        <w:rPr>
          <w:rFonts w:ascii="Cambria" w:hAnsi="Cambria" w:cs="Arial"/>
          <w:snapToGrid w:val="0"/>
          <w:sz w:val="20"/>
          <w:szCs w:val="20"/>
        </w:rPr>
        <w:tab/>
      </w:r>
      <w:r w:rsidR="00177011">
        <w:rPr>
          <w:rFonts w:ascii="Cambria" w:hAnsi="Cambria" w:cs="Arial"/>
          <w:snapToGrid w:val="0"/>
          <w:sz w:val="20"/>
          <w:szCs w:val="20"/>
        </w:rPr>
        <w:tab/>
      </w:r>
      <w:r w:rsidR="00177011" w:rsidRPr="00FB17AA">
        <w:rPr>
          <w:rFonts w:ascii="Cambria" w:hAnsi="Cambria" w:cs="Arial"/>
          <w:snapToGrid w:val="0"/>
          <w:sz w:val="18"/>
          <w:szCs w:val="20"/>
        </w:rPr>
        <w:tab/>
      </w:r>
      <w:r w:rsidR="00FB17AA" w:rsidRPr="00FB17AA">
        <w:rPr>
          <w:rFonts w:ascii="Cambria" w:hAnsi="Cambria" w:cs="Arial"/>
          <w:snapToGrid w:val="0"/>
          <w:sz w:val="18"/>
          <w:szCs w:val="20"/>
        </w:rPr>
        <w:t xml:space="preserve">          </w:t>
      </w:r>
      <w:r w:rsidRPr="003E06FF">
        <w:rPr>
          <w:rFonts w:ascii="Cambria" w:hAnsi="Cambria" w:cs="Arial"/>
          <w:i/>
          <w:snapToGrid w:val="0"/>
          <w:color w:val="808080"/>
          <w:sz w:val="18"/>
          <w:szCs w:val="20"/>
        </w:rPr>
        <w:t xml:space="preserve"> </w:t>
      </w:r>
      <w:r w:rsidR="00177011" w:rsidRPr="003E06FF">
        <w:rPr>
          <w:rFonts w:ascii="Cambria" w:hAnsi="Cambria" w:cs="Arial"/>
          <w:i/>
          <w:snapToGrid w:val="0"/>
          <w:color w:val="808080"/>
          <w:sz w:val="18"/>
          <w:szCs w:val="20"/>
        </w:rPr>
        <w:t>Signed in the original</w:t>
      </w:r>
      <w:r w:rsidRPr="003E06FF">
        <w:rPr>
          <w:rFonts w:ascii="Cambria" w:hAnsi="Cambria" w:cs="Arial"/>
          <w:i/>
          <w:snapToGrid w:val="0"/>
          <w:color w:val="808080"/>
          <w:sz w:val="18"/>
          <w:szCs w:val="20"/>
        </w:rPr>
        <w:t xml:space="preserve">     </w:t>
      </w:r>
      <w:r w:rsidRPr="003E06FF">
        <w:rPr>
          <w:rFonts w:ascii="Cambria" w:hAnsi="Cambria" w:cs="Arial"/>
          <w:i/>
          <w:snapToGrid w:val="0"/>
          <w:color w:val="808080"/>
          <w:sz w:val="20"/>
          <w:szCs w:val="20"/>
        </w:rPr>
        <w:t xml:space="preserve">                                                         </w:t>
      </w:r>
    </w:p>
    <w:p w:rsidR="000C1C7E" w:rsidRPr="00295DD6" w:rsidRDefault="000C1C7E" w:rsidP="000C1C7E">
      <w:pPr>
        <w:suppressAutoHyphens/>
        <w:spacing w:after="0"/>
        <w:rPr>
          <w:rFonts w:ascii="Cambria" w:hAnsi="Cambria" w:cs="Arial"/>
          <w:snapToGrid w:val="0"/>
          <w:sz w:val="20"/>
          <w:szCs w:val="20"/>
        </w:rPr>
      </w:pPr>
    </w:p>
    <w:p w:rsidR="000C1C7E" w:rsidRPr="00295DD6" w:rsidRDefault="000C1C7E" w:rsidP="000C1C7E">
      <w:pPr>
        <w:suppressAutoHyphens/>
        <w:spacing w:after="0"/>
        <w:ind w:left="5760" w:firstLine="720"/>
        <w:rPr>
          <w:rFonts w:ascii="Cambria" w:hAnsi="Cambria" w:cs="Arial"/>
          <w:snapToGrid w:val="0"/>
          <w:sz w:val="20"/>
          <w:szCs w:val="20"/>
        </w:rPr>
      </w:pPr>
      <w:r w:rsidRPr="00295DD6">
        <w:rPr>
          <w:rFonts w:ascii="Cambria" w:hAnsi="Cambria" w:cs="Arial"/>
          <w:snapToGrid w:val="0"/>
          <w:sz w:val="20"/>
          <w:szCs w:val="20"/>
        </w:rPr>
        <w:t>Elizabeth Abi-Mershed</w:t>
      </w:r>
    </w:p>
    <w:p w:rsidR="000C1C7E" w:rsidRPr="00295DD6" w:rsidRDefault="000C1C7E" w:rsidP="00A05DB0">
      <w:pPr>
        <w:suppressAutoHyphens/>
        <w:spacing w:after="0"/>
        <w:ind w:left="5040" w:firstLine="720"/>
        <w:rPr>
          <w:rFonts w:ascii="Cambria" w:hAnsi="Cambria"/>
          <w:sz w:val="20"/>
          <w:szCs w:val="20"/>
        </w:rPr>
      </w:pPr>
      <w:r w:rsidRPr="00295DD6">
        <w:rPr>
          <w:rFonts w:ascii="Cambria" w:hAnsi="Cambria" w:cs="Arial"/>
          <w:snapToGrid w:val="0"/>
          <w:sz w:val="20"/>
          <w:szCs w:val="20"/>
        </w:rPr>
        <w:t xml:space="preserve">           </w:t>
      </w:r>
      <w:r w:rsidR="00A05DB0">
        <w:rPr>
          <w:rFonts w:ascii="Cambria" w:hAnsi="Cambria" w:cs="Arial"/>
          <w:snapToGrid w:val="0"/>
          <w:sz w:val="20"/>
          <w:szCs w:val="20"/>
        </w:rPr>
        <w:t xml:space="preserve">Assistant Executive Secretary </w:t>
      </w:r>
    </w:p>
    <w:p w:rsidR="00822ECD" w:rsidRPr="00295DD6" w:rsidRDefault="00822ECD">
      <w:pPr>
        <w:rPr>
          <w:rFonts w:ascii="Cambria" w:hAnsi="Cambria"/>
          <w:sz w:val="20"/>
          <w:szCs w:val="20"/>
        </w:rPr>
      </w:pPr>
    </w:p>
    <w:sectPr w:rsidR="00822ECD" w:rsidRPr="00295DD6" w:rsidSect="00A909FC">
      <w:headerReference w:type="default" r:id="rId7"/>
      <w:footerReference w:type="default" r:id="rId8"/>
      <w:pgSz w:w="12240" w:h="15840" w:code="1"/>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43A10" w:rsidRDefault="00F43A10">
      <w:pPr>
        <w:spacing w:after="0" w:line="240" w:lineRule="auto"/>
      </w:pPr>
      <w:r>
        <w:separator/>
      </w:r>
    </w:p>
  </w:endnote>
  <w:endnote w:type="continuationSeparator" w:id="0">
    <w:p w:rsidR="00F43A10" w:rsidRDefault="00F43A1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FC" w:rsidRDefault="00A909FC" w:rsidP="00A909FC">
    <w:pPr>
      <w:pStyle w:val="Piedepgina"/>
      <w:spacing w:line="360" w:lineRule="auto"/>
    </w:pPr>
    <w:r>
      <w:pict>
        <v:rect id="_x0000_i1026" style="width:0;height:1.5pt" o:hralign="center" o:hrstd="t" o:hr="t" fillcolor="#a0a0a0" stroked="f"/>
      </w:pict>
    </w:r>
  </w:p>
  <w:p w:rsidR="00A909FC" w:rsidRDefault="00A909FC" w:rsidP="00A909FC">
    <w:pPr>
      <w:pStyle w:val="Piedepgina"/>
      <w:jc w:val="center"/>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i1029" type="#_x0000_t75" style="width:403.2pt;height:24.95pt;visibility:visible">
          <v:imagedata r:id="rId1" o:title="footer-es"/>
        </v:shape>
      </w:pict>
    </w:r>
  </w:p>
  <w:p w:rsidR="00A909FC" w:rsidRDefault="00A909FC" w:rsidP="00A909FC">
    <w:pPr>
      <w:pStyle w:val="Piedepgina"/>
    </w:pPr>
  </w:p>
  <w:p w:rsidR="00A909FC" w:rsidRDefault="00A909F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43A10" w:rsidRDefault="00F43A10">
      <w:pPr>
        <w:spacing w:after="0" w:line="240" w:lineRule="auto"/>
      </w:pPr>
      <w:r>
        <w:separator/>
      </w:r>
    </w:p>
  </w:footnote>
  <w:footnote w:type="continuationSeparator" w:id="0">
    <w:p w:rsidR="00F43A10" w:rsidRDefault="00F43A1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909FC" w:rsidRDefault="00A909FC" w:rsidP="00A909FC">
    <w:pPr>
      <w:pStyle w:val="Encabezado"/>
    </w:pPr>
    <w:r w:rsidRPr="008A5CB5">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i1027" type="#_x0000_t75" style="width:185.3pt;height:35.5pt;visibility:visible">
          <v:imagedata r:id="rId1" o:title="cidh-es"/>
        </v:shape>
      </w:pict>
    </w:r>
    <w:r>
      <w:tab/>
      <w:t xml:space="preserve">                                                                            </w:t>
    </w:r>
    <w:r w:rsidRPr="008A5CB5">
      <w:rPr>
        <w:noProof/>
      </w:rPr>
      <w:pict>
        <v:shape id="Picture 2" o:spid="_x0000_i1028" type="#_x0000_t75" style="width:129.6pt;height:37.45pt;visibility:visible">
          <v:imagedata r:id="rId2" o:title="oea-es"/>
        </v:shape>
      </w:pict>
    </w:r>
  </w:p>
  <w:p w:rsidR="00A909FC" w:rsidRDefault="00A909FC" w:rsidP="00A909FC">
    <w:pPr>
      <w:pStyle w:val="Encabezado"/>
    </w:pPr>
  </w:p>
  <w:p w:rsidR="00A909FC" w:rsidRDefault="00A909FC" w:rsidP="00A909FC">
    <w:pPr>
      <w:pStyle w:val="Encabezado"/>
    </w:pPr>
    <w:r>
      <w:pict>
        <v:rect id="_x0000_i1025" style="width:0;height:1.5pt" o:hralign="center" o:hrstd="t" o:hr="t" fillcolor="#a0a0a0" stroked="f"/>
      </w:pict>
    </w:r>
  </w:p>
  <w:p w:rsidR="00A909FC" w:rsidRDefault="00A909FC">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71A7BD0"/>
    <w:multiLevelType w:val="hybridMultilevel"/>
    <w:tmpl w:val="9ADECDCC"/>
    <w:lvl w:ilvl="0" w:tplc="B4968DB0">
      <w:start w:val="1"/>
      <w:numFmt w:val="decimal"/>
      <w:lvlText w:val="%1."/>
      <w:lvlJc w:val="left"/>
      <w:pPr>
        <w:tabs>
          <w:tab w:val="num" w:pos="720"/>
        </w:tabs>
        <w:ind w:left="720" w:hanging="360"/>
      </w:pPr>
      <w:rPr>
        <w:rFonts w:ascii="Calibri" w:hAnsi="Calibri" w:hint="default"/>
        <w:b w:val="0"/>
        <w:sz w:val="22"/>
        <w:szCs w:val="22"/>
      </w:rPr>
    </w:lvl>
    <w:lvl w:ilvl="1" w:tplc="FFFFFFFF">
      <w:start w:val="59"/>
      <w:numFmt w:val="decimal"/>
      <w:lvlText w:val="%2."/>
      <w:lvlJc w:val="left"/>
      <w:pPr>
        <w:tabs>
          <w:tab w:val="num" w:pos="2580"/>
        </w:tabs>
        <w:ind w:left="2580" w:hanging="1500"/>
      </w:pPr>
      <w:rPr>
        <w:rFonts w:hint="default"/>
      </w:rPr>
    </w:lvl>
    <w:lvl w:ilvl="2" w:tplc="FFFFFFFF">
      <w:start w:val="1"/>
      <w:numFmt w:val="upperLetter"/>
      <w:lvlText w:val="%3."/>
      <w:lvlJc w:val="left"/>
      <w:pPr>
        <w:tabs>
          <w:tab w:val="num" w:pos="2340"/>
        </w:tabs>
        <w:ind w:left="2340" w:hanging="360"/>
      </w:pPr>
      <w:rPr>
        <w:rFonts w:hint="default"/>
      </w:rPr>
    </w:lvl>
    <w:lvl w:ilvl="3" w:tplc="61D6B772">
      <w:start w:val="5"/>
      <w:numFmt w:val="lowerLetter"/>
      <w:lvlText w:val="%4."/>
      <w:lvlJc w:val="left"/>
      <w:pPr>
        <w:tabs>
          <w:tab w:val="num" w:pos="2880"/>
        </w:tabs>
        <w:ind w:left="2880" w:hanging="360"/>
      </w:pPr>
      <w:rPr>
        <w:rFonts w:hint="default"/>
        <w:b/>
        <w:color w:val="000000"/>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nsid w:val="51E86D93"/>
    <w:multiLevelType w:val="hybridMultilevel"/>
    <w:tmpl w:val="F8F0AC48"/>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nsid w:val="6B4460CA"/>
    <w:multiLevelType w:val="hybridMultilevel"/>
    <w:tmpl w:val="07B85AD8"/>
    <w:lvl w:ilvl="0" w:tplc="67D6E770">
      <w:start w:val="1"/>
      <w:numFmt w:val="decimal"/>
      <w:lvlText w:val="%1."/>
      <w:lvlJc w:val="left"/>
      <w:pPr>
        <w:tabs>
          <w:tab w:val="num" w:pos="927"/>
        </w:tabs>
        <w:ind w:left="927" w:hanging="360"/>
      </w:pPr>
      <w:rPr>
        <w:rFonts w:cs="Arial" w:hint="default"/>
        <w:sz w:val="20"/>
        <w:szCs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7AFB3831"/>
    <w:multiLevelType w:val="hybridMultilevel"/>
    <w:tmpl w:val="1474E3CC"/>
    <w:lvl w:ilvl="0" w:tplc="5D1A316A">
      <w:start w:val="2"/>
      <w:numFmt w:val="upperLetter"/>
      <w:lvlText w:val="%1."/>
      <w:lvlJc w:val="left"/>
      <w:pPr>
        <w:tabs>
          <w:tab w:val="num" w:pos="1440"/>
        </w:tabs>
        <w:ind w:left="1440" w:hanging="720"/>
      </w:pPr>
      <w:rPr>
        <w:rFonts w:hint="default"/>
      </w:rPr>
    </w:lvl>
    <w:lvl w:ilvl="1" w:tplc="BD42056E">
      <w:start w:val="1"/>
      <w:numFmt w:val="decimal"/>
      <w:lvlText w:val="%2."/>
      <w:lvlJc w:val="left"/>
      <w:pPr>
        <w:tabs>
          <w:tab w:val="num" w:pos="1200"/>
        </w:tabs>
        <w:ind w:left="1200"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removePersonalInformation/>
  <w:proofState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C1C7E"/>
    <w:rsid w:val="000241B9"/>
    <w:rsid w:val="0003024E"/>
    <w:rsid w:val="0003600F"/>
    <w:rsid w:val="000B1BBA"/>
    <w:rsid w:val="000C1C7E"/>
    <w:rsid w:val="000F6629"/>
    <w:rsid w:val="00147D7D"/>
    <w:rsid w:val="00166668"/>
    <w:rsid w:val="00167986"/>
    <w:rsid w:val="00177011"/>
    <w:rsid w:val="001B7ED0"/>
    <w:rsid w:val="001C131A"/>
    <w:rsid w:val="001C2379"/>
    <w:rsid w:val="001E41D9"/>
    <w:rsid w:val="001F185B"/>
    <w:rsid w:val="0020567D"/>
    <w:rsid w:val="00295DD6"/>
    <w:rsid w:val="002A29F4"/>
    <w:rsid w:val="002C780C"/>
    <w:rsid w:val="00323DC6"/>
    <w:rsid w:val="003304C3"/>
    <w:rsid w:val="00346C35"/>
    <w:rsid w:val="00350F8F"/>
    <w:rsid w:val="0038716D"/>
    <w:rsid w:val="003B54C3"/>
    <w:rsid w:val="003C5006"/>
    <w:rsid w:val="003E06FF"/>
    <w:rsid w:val="00436D4B"/>
    <w:rsid w:val="00446284"/>
    <w:rsid w:val="00466EC0"/>
    <w:rsid w:val="0047068D"/>
    <w:rsid w:val="004847AF"/>
    <w:rsid w:val="00495F0C"/>
    <w:rsid w:val="004D4444"/>
    <w:rsid w:val="00565395"/>
    <w:rsid w:val="005824DB"/>
    <w:rsid w:val="005A4784"/>
    <w:rsid w:val="005C3647"/>
    <w:rsid w:val="0061549C"/>
    <w:rsid w:val="00631747"/>
    <w:rsid w:val="00653141"/>
    <w:rsid w:val="00660E31"/>
    <w:rsid w:val="00671954"/>
    <w:rsid w:val="006920F2"/>
    <w:rsid w:val="006B2735"/>
    <w:rsid w:val="006B2AEC"/>
    <w:rsid w:val="006E77D0"/>
    <w:rsid w:val="006F63C9"/>
    <w:rsid w:val="006F7BBF"/>
    <w:rsid w:val="00701CF5"/>
    <w:rsid w:val="00774D07"/>
    <w:rsid w:val="00796464"/>
    <w:rsid w:val="00822ECD"/>
    <w:rsid w:val="0084544F"/>
    <w:rsid w:val="00865A43"/>
    <w:rsid w:val="00882089"/>
    <w:rsid w:val="00885250"/>
    <w:rsid w:val="0088671E"/>
    <w:rsid w:val="008B05DB"/>
    <w:rsid w:val="008C3F3D"/>
    <w:rsid w:val="009755A2"/>
    <w:rsid w:val="009A70AE"/>
    <w:rsid w:val="009B4EF1"/>
    <w:rsid w:val="009D5F25"/>
    <w:rsid w:val="00A05DB0"/>
    <w:rsid w:val="00A17966"/>
    <w:rsid w:val="00A3169F"/>
    <w:rsid w:val="00A7550A"/>
    <w:rsid w:val="00A8139B"/>
    <w:rsid w:val="00A909FC"/>
    <w:rsid w:val="00AB6A9A"/>
    <w:rsid w:val="00AE21DE"/>
    <w:rsid w:val="00B720B4"/>
    <w:rsid w:val="00BF67E6"/>
    <w:rsid w:val="00C07F5E"/>
    <w:rsid w:val="00C14367"/>
    <w:rsid w:val="00C15ECF"/>
    <w:rsid w:val="00C51258"/>
    <w:rsid w:val="00C76EFF"/>
    <w:rsid w:val="00CE6F89"/>
    <w:rsid w:val="00D531C1"/>
    <w:rsid w:val="00DC330A"/>
    <w:rsid w:val="00DD6337"/>
    <w:rsid w:val="00DE1AB2"/>
    <w:rsid w:val="00E224EC"/>
    <w:rsid w:val="00E46F67"/>
    <w:rsid w:val="00E807E6"/>
    <w:rsid w:val="00EA2088"/>
    <w:rsid w:val="00F1508E"/>
    <w:rsid w:val="00F27D25"/>
    <w:rsid w:val="00F43A10"/>
    <w:rsid w:val="00F44B0B"/>
    <w:rsid w:val="00FB17AA"/>
    <w:rsid w:val="00FC2AD0"/>
    <w:rsid w:val="00FE208C"/>
    <w:rsid w:val="00FE6C9F"/>
    <w:rsid w:val="00FE7E6E"/>
    <w:rsid w:val="00FF0D61"/>
    <w:rsid w:val="00FF5F6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C1C7E"/>
    <w:pPr>
      <w:tabs>
        <w:tab w:val="center" w:pos="4680"/>
        <w:tab w:val="right" w:pos="9360"/>
      </w:tabs>
      <w:spacing w:after="0" w:line="240" w:lineRule="auto"/>
    </w:pPr>
    <w:rPr>
      <w:rFonts w:eastAsia="Batang"/>
      <w:lang w:val="x-none" w:eastAsia="x-none"/>
    </w:rPr>
  </w:style>
  <w:style w:type="character" w:customStyle="1" w:styleId="EncabezadoCar">
    <w:name w:val="Encabezado Car"/>
    <w:link w:val="Encabezado"/>
    <w:uiPriority w:val="99"/>
    <w:rsid w:val="000C1C7E"/>
    <w:rPr>
      <w:rFonts w:eastAsia="Batang"/>
      <w:sz w:val="22"/>
      <w:szCs w:val="22"/>
    </w:rPr>
  </w:style>
  <w:style w:type="paragraph" w:styleId="Piedepgina">
    <w:name w:val="footer"/>
    <w:basedOn w:val="Normal"/>
    <w:link w:val="PiedepginaCar"/>
    <w:rsid w:val="000C1C7E"/>
    <w:pPr>
      <w:tabs>
        <w:tab w:val="center" w:pos="4320"/>
        <w:tab w:val="right" w:pos="8640"/>
      </w:tabs>
      <w:spacing w:after="0" w:line="240" w:lineRule="auto"/>
    </w:pPr>
    <w:rPr>
      <w:rFonts w:ascii="Times New Roman" w:eastAsia="Times New Roman" w:hAnsi="Times New Roman"/>
      <w:sz w:val="24"/>
      <w:szCs w:val="24"/>
      <w:lang w:val="es-ES" w:eastAsia="es-ES"/>
    </w:rPr>
  </w:style>
  <w:style w:type="character" w:customStyle="1" w:styleId="PiedepginaCar">
    <w:name w:val="Pie de página Car"/>
    <w:link w:val="Piedepgina"/>
    <w:rsid w:val="000C1C7E"/>
    <w:rPr>
      <w:rFonts w:ascii="Times New Roman" w:eastAsia="Times New Roman" w:hAnsi="Times New Roman"/>
      <w:sz w:val="24"/>
      <w:szCs w:val="24"/>
      <w:lang w:val="es-ES" w:eastAsia="es-ES"/>
    </w:rPr>
  </w:style>
  <w:style w:type="paragraph" w:styleId="Textoindependiente3">
    <w:name w:val="Body Text 3"/>
    <w:basedOn w:val="Normal"/>
    <w:link w:val="Textoindependiente3Car"/>
    <w:rsid w:val="00346C35"/>
    <w:pPr>
      <w:spacing w:after="120" w:line="240" w:lineRule="auto"/>
    </w:pPr>
    <w:rPr>
      <w:rFonts w:ascii="Times New Roman" w:eastAsia="MS Mincho" w:hAnsi="Times New Roman"/>
      <w:sz w:val="16"/>
      <w:szCs w:val="16"/>
      <w:lang w:val="x-none" w:eastAsia="x-none"/>
    </w:rPr>
  </w:style>
  <w:style w:type="character" w:customStyle="1" w:styleId="Textoindependiente3Car">
    <w:name w:val="Texto independiente 3 Car"/>
    <w:link w:val="Textoindependiente3"/>
    <w:rsid w:val="00346C35"/>
    <w:rPr>
      <w:rFonts w:ascii="Times New Roman" w:eastAsia="MS Mincho" w:hAnsi="Times New Roman"/>
      <w:sz w:val="16"/>
      <w:szCs w:val="16"/>
    </w:rPr>
  </w:style>
  <w:style w:type="character" w:styleId="Hipervnculo">
    <w:name w:val="Hyperlink"/>
    <w:uiPriority w:val="99"/>
    <w:unhideWhenUsed/>
    <w:rsid w:val="00FE208C"/>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1910</Words>
  <Characters>10507</Characters>
  <Application>Microsoft Office Word</Application>
  <DocSecurity>0</DocSecurity>
  <Lines>87</Lines>
  <Paragraphs>24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lpstr> </vt:lpstr>
    </vt:vector>
  </TitlesOfParts>
  <LinksUpToDate>false</LinksUpToDate>
  <CharactersWithSpaces>12393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2018-02-08T21:35:00Z</dcterms:created>
  <dcterms:modified xsi:type="dcterms:W3CDTF">2018-02-08T21:35:00Z</dcterms:modified>
</cp:coreProperties>
</file>