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1A9F" w:rsidRPr="00F15FE6" w:rsidRDefault="00121A9F" w:rsidP="00DF0DE3">
      <w:pPr>
        <w:spacing w:after="0"/>
        <w:rPr>
          <w:rFonts w:ascii="Cambria" w:hAnsi="Cambria"/>
          <w:sz w:val="20"/>
          <w:szCs w:val="20"/>
        </w:rPr>
      </w:pPr>
      <w:bookmarkStart w:id="0" w:name="_GoBack"/>
      <w:bookmarkEnd w:id="0"/>
    </w:p>
    <w:p w:rsidR="00121A9F" w:rsidRPr="00F15FE6" w:rsidRDefault="00DF0DE3" w:rsidP="00DF0DE3">
      <w:pPr>
        <w:suppressAutoHyphens/>
        <w:spacing w:after="0"/>
        <w:jc w:val="right"/>
        <w:rPr>
          <w:rFonts w:ascii="Cambria" w:hAnsi="Cambria" w:cs="Arial"/>
          <w:b/>
          <w:sz w:val="20"/>
          <w:szCs w:val="20"/>
          <w:lang w:val="es-ES_tradnl"/>
        </w:rPr>
      </w:pPr>
      <w:r w:rsidRPr="00F15FE6">
        <w:rPr>
          <w:rFonts w:ascii="Cambria" w:hAnsi="Cambria" w:cs="Arial"/>
          <w:sz w:val="20"/>
          <w:szCs w:val="20"/>
          <w:lang w:val="es-PE"/>
        </w:rPr>
        <w:t>5</w:t>
      </w:r>
      <w:r w:rsidR="00121A9F" w:rsidRPr="00F15FE6">
        <w:rPr>
          <w:rFonts w:ascii="Cambria" w:hAnsi="Cambria" w:cs="Arial"/>
          <w:sz w:val="20"/>
          <w:szCs w:val="20"/>
          <w:lang w:val="es-PE"/>
        </w:rPr>
        <w:t xml:space="preserve"> de </w:t>
      </w:r>
      <w:r w:rsidRPr="00F15FE6">
        <w:rPr>
          <w:rFonts w:ascii="Cambria" w:hAnsi="Cambria" w:cs="Arial"/>
          <w:sz w:val="20"/>
          <w:szCs w:val="20"/>
          <w:lang w:val="es-PE"/>
        </w:rPr>
        <w:t>agosto</w:t>
      </w:r>
      <w:r w:rsidR="00121A9F" w:rsidRPr="00F15FE6">
        <w:rPr>
          <w:rFonts w:ascii="Cambria" w:hAnsi="Cambria" w:cs="Arial"/>
          <w:sz w:val="20"/>
          <w:szCs w:val="20"/>
          <w:lang w:val="es-PE"/>
        </w:rPr>
        <w:t xml:space="preserve"> de 2014</w:t>
      </w:r>
    </w:p>
    <w:p w:rsidR="00121A9F" w:rsidRPr="00F15FE6" w:rsidRDefault="00121A9F" w:rsidP="00DF0DE3">
      <w:pPr>
        <w:tabs>
          <w:tab w:val="left" w:pos="720"/>
          <w:tab w:val="center" w:pos="6480"/>
        </w:tabs>
        <w:spacing w:after="0"/>
        <w:jc w:val="both"/>
        <w:rPr>
          <w:rFonts w:ascii="Cambria" w:hAnsi="Cambria" w:cs="Arial"/>
          <w:b/>
          <w:sz w:val="20"/>
          <w:szCs w:val="20"/>
          <w:lang w:val="es-CO"/>
        </w:rPr>
      </w:pPr>
      <w:r w:rsidRPr="00F15FE6">
        <w:rPr>
          <w:rFonts w:ascii="Cambria" w:hAnsi="Cambria" w:cs="Arial"/>
          <w:b/>
          <w:sz w:val="20"/>
          <w:szCs w:val="20"/>
          <w:lang w:val="es-CO"/>
        </w:rPr>
        <w:t>Ref.:</w:t>
      </w:r>
      <w:bookmarkStart w:id="1" w:name="Peticion_n"/>
      <w:bookmarkEnd w:id="1"/>
      <w:r w:rsidR="00F25538" w:rsidRPr="00F15FE6">
        <w:rPr>
          <w:rFonts w:ascii="Cambria" w:hAnsi="Cambria" w:cs="Arial"/>
          <w:b/>
          <w:sz w:val="20"/>
          <w:szCs w:val="20"/>
          <w:lang w:val="es-CO"/>
        </w:rPr>
        <w:tab/>
        <w:t>Caso</w:t>
      </w:r>
      <w:r w:rsidRPr="00F15FE6">
        <w:rPr>
          <w:rFonts w:ascii="Cambria" w:hAnsi="Cambria" w:cs="Arial"/>
          <w:b/>
          <w:sz w:val="20"/>
          <w:szCs w:val="20"/>
          <w:lang w:val="es-CO"/>
        </w:rPr>
        <w:t xml:space="preserve"> No.</w:t>
      </w:r>
      <w:r w:rsidR="00F25538" w:rsidRPr="00F15FE6">
        <w:rPr>
          <w:rFonts w:ascii="Cambria" w:hAnsi="Cambria" w:cs="Arial"/>
          <w:b/>
          <w:sz w:val="20"/>
          <w:szCs w:val="20"/>
          <w:lang w:val="es-CO"/>
        </w:rPr>
        <w:t xml:space="preserve"> </w:t>
      </w:r>
      <w:r w:rsidRPr="00F15FE6">
        <w:rPr>
          <w:rFonts w:ascii="Cambria" w:hAnsi="Cambria"/>
          <w:b/>
          <w:sz w:val="20"/>
          <w:szCs w:val="20"/>
          <w:lang w:val="es-UY"/>
        </w:rPr>
        <w:t>12.</w:t>
      </w:r>
      <w:r w:rsidR="00F25538" w:rsidRPr="00F15FE6">
        <w:rPr>
          <w:rFonts w:ascii="Cambria" w:hAnsi="Cambria"/>
          <w:b/>
          <w:sz w:val="20"/>
          <w:szCs w:val="20"/>
          <w:lang w:val="es-UY"/>
        </w:rPr>
        <w:t>482</w:t>
      </w:r>
    </w:p>
    <w:p w:rsidR="00121A9F" w:rsidRPr="00F15FE6" w:rsidRDefault="00F25538" w:rsidP="00DF0DE3">
      <w:pPr>
        <w:tabs>
          <w:tab w:val="left" w:pos="720"/>
          <w:tab w:val="center" w:pos="6480"/>
        </w:tabs>
        <w:spacing w:after="0"/>
        <w:ind w:left="720"/>
        <w:jc w:val="both"/>
        <w:rPr>
          <w:rFonts w:ascii="Cambria" w:hAnsi="Cambria" w:cs="Arial"/>
          <w:b/>
          <w:sz w:val="20"/>
          <w:szCs w:val="20"/>
          <w:lang w:val="es-CR"/>
        </w:rPr>
      </w:pPr>
      <w:proofErr w:type="spellStart"/>
      <w:r w:rsidRPr="00F15FE6">
        <w:rPr>
          <w:rFonts w:ascii="Cambria" w:hAnsi="Cambria" w:cs="Arial"/>
          <w:b/>
          <w:sz w:val="20"/>
          <w:szCs w:val="20"/>
          <w:lang w:val="es-CR"/>
        </w:rPr>
        <w:t>Valdemir</w:t>
      </w:r>
      <w:proofErr w:type="spellEnd"/>
      <w:r w:rsidRPr="00F15FE6">
        <w:rPr>
          <w:rFonts w:ascii="Cambria" w:hAnsi="Cambria" w:cs="Arial"/>
          <w:b/>
          <w:sz w:val="20"/>
          <w:szCs w:val="20"/>
          <w:lang w:val="es-CR"/>
        </w:rPr>
        <w:t xml:space="preserve"> </w:t>
      </w:r>
      <w:proofErr w:type="spellStart"/>
      <w:r w:rsidRPr="00F15FE6">
        <w:rPr>
          <w:rFonts w:ascii="Cambria" w:hAnsi="Cambria" w:cs="Arial"/>
          <w:b/>
          <w:sz w:val="20"/>
          <w:szCs w:val="20"/>
          <w:lang w:val="es-CR"/>
        </w:rPr>
        <w:t>Quispealaya</w:t>
      </w:r>
      <w:proofErr w:type="spellEnd"/>
      <w:r w:rsidRPr="00F15FE6">
        <w:rPr>
          <w:rFonts w:ascii="Cambria" w:hAnsi="Cambria" w:cs="Arial"/>
          <w:b/>
          <w:sz w:val="20"/>
          <w:szCs w:val="20"/>
          <w:lang w:val="es-CR"/>
        </w:rPr>
        <w:t xml:space="preserve"> </w:t>
      </w:r>
      <w:proofErr w:type="spellStart"/>
      <w:r w:rsidRPr="00F15FE6">
        <w:rPr>
          <w:rFonts w:ascii="Cambria" w:hAnsi="Cambria" w:cs="Arial"/>
          <w:b/>
          <w:sz w:val="20"/>
          <w:szCs w:val="20"/>
          <w:lang w:val="es-CR"/>
        </w:rPr>
        <w:t>Vilcapoma</w:t>
      </w:r>
      <w:proofErr w:type="spellEnd"/>
      <w:r w:rsidR="00121A9F" w:rsidRPr="00F15FE6">
        <w:rPr>
          <w:rFonts w:ascii="Cambria" w:hAnsi="Cambria" w:cs="Arial"/>
          <w:b/>
          <w:sz w:val="20"/>
          <w:szCs w:val="20"/>
          <w:lang w:val="es-CR"/>
        </w:rPr>
        <w:t xml:space="preserve"> </w:t>
      </w:r>
    </w:p>
    <w:p w:rsidR="00121A9F" w:rsidRPr="00F15FE6" w:rsidRDefault="00AF7E55" w:rsidP="00DF0DE3">
      <w:pPr>
        <w:tabs>
          <w:tab w:val="left" w:pos="720"/>
          <w:tab w:val="center" w:pos="6480"/>
        </w:tabs>
        <w:spacing w:after="0"/>
        <w:ind w:left="720"/>
        <w:jc w:val="both"/>
        <w:rPr>
          <w:rFonts w:ascii="Cambria" w:hAnsi="Cambria" w:cs="Arial"/>
          <w:b/>
          <w:sz w:val="20"/>
          <w:szCs w:val="20"/>
          <w:lang w:val="es-ES_tradnl"/>
        </w:rPr>
      </w:pPr>
      <w:r w:rsidRPr="00F15FE6">
        <w:rPr>
          <w:rFonts w:ascii="Cambria" w:hAnsi="Cambria" w:cs="Arial"/>
          <w:b/>
          <w:sz w:val="20"/>
          <w:szCs w:val="20"/>
          <w:lang w:val="es-ES_tradnl"/>
        </w:rPr>
        <w:t xml:space="preserve">Perú </w:t>
      </w:r>
    </w:p>
    <w:p w:rsidR="00121A9F" w:rsidRPr="00F15FE6" w:rsidRDefault="00121A9F" w:rsidP="00DF0DE3">
      <w:pPr>
        <w:tabs>
          <w:tab w:val="left" w:pos="720"/>
          <w:tab w:val="center" w:pos="6480"/>
        </w:tabs>
        <w:spacing w:after="0"/>
        <w:jc w:val="both"/>
        <w:rPr>
          <w:rFonts w:ascii="Cambria" w:hAnsi="Cambria" w:cs="Arial"/>
          <w:sz w:val="20"/>
          <w:szCs w:val="20"/>
          <w:lang w:val="es-CO"/>
        </w:rPr>
      </w:pPr>
    </w:p>
    <w:p w:rsidR="00121A9F" w:rsidRPr="00F15FE6" w:rsidRDefault="00121A9F" w:rsidP="00DF0DE3">
      <w:pPr>
        <w:tabs>
          <w:tab w:val="left" w:pos="720"/>
          <w:tab w:val="center" w:pos="6480"/>
        </w:tabs>
        <w:spacing w:after="0"/>
        <w:jc w:val="both"/>
        <w:rPr>
          <w:rFonts w:ascii="Cambria" w:hAnsi="Cambria" w:cs="Arial"/>
          <w:sz w:val="20"/>
          <w:szCs w:val="20"/>
          <w:lang w:val="es-PE"/>
        </w:rPr>
      </w:pPr>
      <w:r w:rsidRPr="00F15FE6">
        <w:rPr>
          <w:rFonts w:ascii="Cambria" w:hAnsi="Cambria" w:cs="Arial"/>
          <w:sz w:val="20"/>
          <w:szCs w:val="20"/>
          <w:lang w:val="es-PE"/>
        </w:rPr>
        <w:t>Señor Secretario:</w:t>
      </w:r>
    </w:p>
    <w:p w:rsidR="00121A9F" w:rsidRPr="00F15FE6" w:rsidRDefault="00121A9F" w:rsidP="00DF0DE3">
      <w:pPr>
        <w:spacing w:after="0"/>
        <w:rPr>
          <w:rFonts w:ascii="Cambria" w:hAnsi="Cambria" w:cs="Arial"/>
          <w:sz w:val="20"/>
          <w:szCs w:val="20"/>
          <w:lang w:val="es-CO"/>
        </w:rPr>
      </w:pPr>
    </w:p>
    <w:p w:rsidR="00121A9F" w:rsidRPr="00F15FE6" w:rsidRDefault="00121A9F" w:rsidP="00DF0DE3">
      <w:pPr>
        <w:spacing w:after="0"/>
        <w:jc w:val="both"/>
        <w:rPr>
          <w:rFonts w:ascii="Cambria" w:hAnsi="Cambria" w:cs="Arial"/>
          <w:sz w:val="20"/>
          <w:szCs w:val="20"/>
          <w:lang w:val="es-CO"/>
        </w:rPr>
      </w:pPr>
      <w:r w:rsidRPr="00F15FE6">
        <w:rPr>
          <w:rFonts w:ascii="Cambria" w:hAnsi="Cambria"/>
          <w:sz w:val="20"/>
          <w:szCs w:val="20"/>
          <w:lang w:val="es-CO"/>
        </w:rPr>
        <w:tab/>
        <w:t>Tengo el agrado de dirigirme a usted en nombre de la Comisión Interamericana de Derechos Humanos con el objeto</w:t>
      </w:r>
      <w:r w:rsidRPr="00F15FE6">
        <w:rPr>
          <w:rFonts w:ascii="Cambria" w:hAnsi="Cambria" w:cs="Arial"/>
          <w:sz w:val="20"/>
          <w:szCs w:val="20"/>
          <w:lang w:val="es-CO"/>
        </w:rPr>
        <w:t xml:space="preserve"> de someter a la jurisdicción de la Honorable Corte Interamericana de Derechos Humanos,</w:t>
      </w:r>
      <w:r w:rsidR="008A06E7" w:rsidRPr="00F15FE6">
        <w:rPr>
          <w:rFonts w:ascii="Cambria" w:hAnsi="Cambria" w:cs="Arial"/>
          <w:sz w:val="20"/>
          <w:szCs w:val="20"/>
          <w:lang w:val="es-CO"/>
        </w:rPr>
        <w:t xml:space="preserve"> el caso </w:t>
      </w:r>
      <w:r w:rsidRPr="00F15FE6">
        <w:rPr>
          <w:rFonts w:ascii="Cambria" w:hAnsi="Cambria" w:cs="Arial"/>
          <w:sz w:val="20"/>
          <w:szCs w:val="20"/>
          <w:lang w:val="es-CO"/>
        </w:rPr>
        <w:t>12.</w:t>
      </w:r>
      <w:r w:rsidR="008A06E7" w:rsidRPr="00F15FE6">
        <w:rPr>
          <w:rFonts w:ascii="Cambria" w:hAnsi="Cambria" w:cs="Arial"/>
          <w:sz w:val="20"/>
          <w:szCs w:val="20"/>
          <w:lang w:val="es-CO"/>
        </w:rPr>
        <w:t>482</w:t>
      </w:r>
      <w:r w:rsidRPr="00F15FE6">
        <w:rPr>
          <w:rFonts w:ascii="Cambria" w:hAnsi="Cambria" w:cs="Arial"/>
          <w:sz w:val="20"/>
          <w:szCs w:val="20"/>
          <w:lang w:val="es-CO"/>
        </w:rPr>
        <w:t xml:space="preserve"> – </w:t>
      </w:r>
      <w:proofErr w:type="spellStart"/>
      <w:r w:rsidR="008A06E7" w:rsidRPr="00F15FE6">
        <w:rPr>
          <w:rFonts w:ascii="Cambria" w:hAnsi="Cambria" w:cs="Arial"/>
          <w:sz w:val="20"/>
          <w:szCs w:val="20"/>
          <w:lang w:val="es-CO"/>
        </w:rPr>
        <w:t>Valdemir</w:t>
      </w:r>
      <w:proofErr w:type="spellEnd"/>
      <w:r w:rsidR="008A06E7" w:rsidRPr="00F15FE6">
        <w:rPr>
          <w:rFonts w:ascii="Cambria" w:hAnsi="Cambria" w:cs="Arial"/>
          <w:sz w:val="20"/>
          <w:szCs w:val="20"/>
          <w:lang w:val="es-CO"/>
        </w:rPr>
        <w:t xml:space="preserve"> </w:t>
      </w:r>
      <w:proofErr w:type="spellStart"/>
      <w:r w:rsidR="008A06E7" w:rsidRPr="00F15FE6">
        <w:rPr>
          <w:rFonts w:ascii="Cambria" w:hAnsi="Cambria" w:cs="Arial"/>
          <w:sz w:val="20"/>
          <w:szCs w:val="20"/>
          <w:lang w:val="es-CO"/>
        </w:rPr>
        <w:t>Quispealaya</w:t>
      </w:r>
      <w:proofErr w:type="spellEnd"/>
      <w:r w:rsidR="008A06E7" w:rsidRPr="00F15FE6">
        <w:rPr>
          <w:rFonts w:ascii="Cambria" w:hAnsi="Cambria" w:cs="Arial"/>
          <w:sz w:val="20"/>
          <w:szCs w:val="20"/>
          <w:lang w:val="es-CO"/>
        </w:rPr>
        <w:t xml:space="preserve"> </w:t>
      </w:r>
      <w:proofErr w:type="spellStart"/>
      <w:r w:rsidR="008A06E7" w:rsidRPr="00F15FE6">
        <w:rPr>
          <w:rFonts w:ascii="Cambria" w:hAnsi="Cambria" w:cs="Arial"/>
          <w:sz w:val="20"/>
          <w:szCs w:val="20"/>
          <w:lang w:val="es-CO"/>
        </w:rPr>
        <w:t>Vilcapoma</w:t>
      </w:r>
      <w:proofErr w:type="spellEnd"/>
      <w:r w:rsidRPr="00F15FE6">
        <w:rPr>
          <w:rFonts w:ascii="Cambria" w:hAnsi="Cambria" w:cs="Arial"/>
          <w:sz w:val="20"/>
          <w:szCs w:val="20"/>
          <w:lang w:val="es-CO"/>
        </w:rPr>
        <w:t xml:space="preserve"> respecto de la República de</w:t>
      </w:r>
      <w:r w:rsidR="008A06E7" w:rsidRPr="00F15FE6">
        <w:rPr>
          <w:rFonts w:ascii="Cambria" w:hAnsi="Cambria" w:cs="Arial"/>
          <w:sz w:val="20"/>
          <w:szCs w:val="20"/>
          <w:lang w:val="es-CO"/>
        </w:rPr>
        <w:t xml:space="preserve"> Perú</w:t>
      </w:r>
      <w:r w:rsidRPr="00F15FE6">
        <w:rPr>
          <w:rFonts w:ascii="Cambria" w:hAnsi="Cambria" w:cs="Arial"/>
          <w:sz w:val="20"/>
          <w:szCs w:val="20"/>
          <w:lang w:val="es-CO"/>
        </w:rPr>
        <w:t xml:space="preserve"> (en adelante “el Estado”, “el Estado </w:t>
      </w:r>
      <w:r w:rsidR="00BD52BE" w:rsidRPr="00F15FE6">
        <w:rPr>
          <w:rFonts w:ascii="Cambria" w:hAnsi="Cambria" w:cs="Arial"/>
          <w:sz w:val="20"/>
          <w:szCs w:val="20"/>
          <w:lang w:val="es-CO"/>
        </w:rPr>
        <w:t>peruano” o “Perú”</w:t>
      </w:r>
      <w:r w:rsidRPr="00F15FE6">
        <w:rPr>
          <w:rFonts w:ascii="Cambria" w:hAnsi="Cambria" w:cs="Arial"/>
          <w:sz w:val="20"/>
          <w:szCs w:val="20"/>
          <w:lang w:val="es-CO"/>
        </w:rPr>
        <w:t xml:space="preserve">). </w:t>
      </w:r>
    </w:p>
    <w:p w:rsidR="00121A9F" w:rsidRPr="00F15FE6" w:rsidRDefault="00121A9F" w:rsidP="00DF0DE3">
      <w:pPr>
        <w:spacing w:after="0"/>
        <w:jc w:val="both"/>
        <w:rPr>
          <w:rFonts w:ascii="Cambria" w:hAnsi="Cambria" w:cs="Arial"/>
          <w:sz w:val="20"/>
          <w:szCs w:val="20"/>
          <w:lang w:val="es-CO"/>
        </w:rPr>
      </w:pPr>
    </w:p>
    <w:p w:rsidR="00F75D59" w:rsidRPr="00F15FE6" w:rsidRDefault="00F75D59" w:rsidP="00F75D59">
      <w:pPr>
        <w:widowControl w:val="0"/>
        <w:autoSpaceDE w:val="0"/>
        <w:autoSpaceDN w:val="0"/>
        <w:adjustRightInd w:val="0"/>
        <w:spacing w:after="0" w:line="240" w:lineRule="auto"/>
        <w:ind w:firstLine="720"/>
        <w:jc w:val="both"/>
        <w:rPr>
          <w:rFonts w:ascii="Cambria" w:hAnsi="Cambria"/>
          <w:sz w:val="20"/>
          <w:szCs w:val="20"/>
          <w:lang w:val="es-ES"/>
        </w:rPr>
      </w:pPr>
      <w:r w:rsidRPr="00F15FE6">
        <w:rPr>
          <w:rFonts w:ascii="Cambria" w:hAnsi="Cambria"/>
          <w:sz w:val="20"/>
          <w:szCs w:val="20"/>
          <w:lang w:val="es-ES"/>
        </w:rPr>
        <w:t xml:space="preserve">El presente caso se relaciona con </w:t>
      </w:r>
      <w:r w:rsidRPr="00F15FE6">
        <w:rPr>
          <w:rFonts w:ascii="Cambria" w:hAnsi="Cambria" w:cs="Arial"/>
          <w:sz w:val="20"/>
          <w:szCs w:val="20"/>
          <w:lang w:val="es-AR"/>
        </w:rPr>
        <w:t xml:space="preserve">la afectación a la integridad personal en perjuicio </w:t>
      </w:r>
      <w:r w:rsidR="002612AF">
        <w:rPr>
          <w:rFonts w:ascii="Cambria" w:hAnsi="Cambria" w:cs="Arial"/>
          <w:sz w:val="20"/>
          <w:szCs w:val="20"/>
          <w:lang w:val="es-AR"/>
        </w:rPr>
        <w:t>d</w:t>
      </w:r>
      <w:r w:rsidRPr="00F15FE6">
        <w:rPr>
          <w:rFonts w:ascii="Cambria" w:hAnsi="Cambria" w:cs="Arial"/>
          <w:sz w:val="20"/>
          <w:szCs w:val="20"/>
          <w:lang w:val="es-AR"/>
        </w:rPr>
        <w:t xml:space="preserve">el señor </w:t>
      </w:r>
      <w:proofErr w:type="spellStart"/>
      <w:r w:rsidRPr="00F15FE6">
        <w:rPr>
          <w:rFonts w:ascii="Cambria" w:hAnsi="Cambria" w:cs="Arial"/>
          <w:sz w:val="20"/>
          <w:szCs w:val="20"/>
          <w:lang w:val="es-AR"/>
        </w:rPr>
        <w:t>Valdemir</w:t>
      </w:r>
      <w:proofErr w:type="spellEnd"/>
      <w:r w:rsidRPr="00F15FE6">
        <w:rPr>
          <w:rFonts w:ascii="Cambria" w:hAnsi="Cambria" w:cs="Arial"/>
          <w:sz w:val="20"/>
          <w:szCs w:val="20"/>
          <w:lang w:val="es-AR"/>
        </w:rPr>
        <w:t xml:space="preserve"> </w:t>
      </w:r>
      <w:proofErr w:type="spellStart"/>
      <w:r w:rsidRPr="00F15FE6">
        <w:rPr>
          <w:rFonts w:ascii="Cambria" w:hAnsi="Cambria" w:cs="Arial"/>
          <w:sz w:val="20"/>
          <w:szCs w:val="20"/>
          <w:lang w:val="es-AR"/>
        </w:rPr>
        <w:t>Quispealaya</w:t>
      </w:r>
      <w:proofErr w:type="spellEnd"/>
      <w:r w:rsidRPr="00F15FE6">
        <w:rPr>
          <w:rFonts w:ascii="Cambria" w:hAnsi="Cambria" w:cs="Arial"/>
          <w:sz w:val="20"/>
          <w:szCs w:val="20"/>
          <w:lang w:val="es-AR"/>
        </w:rPr>
        <w:t xml:space="preserve"> </w:t>
      </w:r>
      <w:proofErr w:type="spellStart"/>
      <w:r w:rsidRPr="00F15FE6">
        <w:rPr>
          <w:rFonts w:ascii="Cambria" w:hAnsi="Cambria" w:cs="Arial"/>
          <w:sz w:val="20"/>
          <w:szCs w:val="20"/>
          <w:lang w:val="es-AR"/>
        </w:rPr>
        <w:t>Vilcapoma</w:t>
      </w:r>
      <w:proofErr w:type="spellEnd"/>
      <w:r w:rsidRPr="00F15FE6">
        <w:rPr>
          <w:rFonts w:ascii="Cambria" w:hAnsi="Cambria" w:cs="Arial"/>
          <w:sz w:val="20"/>
          <w:szCs w:val="20"/>
          <w:lang w:val="es-AR"/>
        </w:rPr>
        <w:t xml:space="preserve">, como consecuencia de un golpe recibido el 23 de enero de 2001 por un Suboficial, en respuesta a los errores que habría cometido el señor </w:t>
      </w:r>
      <w:proofErr w:type="spellStart"/>
      <w:r w:rsidRPr="00F15FE6">
        <w:rPr>
          <w:rFonts w:ascii="Cambria" w:hAnsi="Cambria" w:cs="Arial"/>
          <w:sz w:val="20"/>
          <w:szCs w:val="20"/>
          <w:lang w:val="es-AR"/>
        </w:rPr>
        <w:t>Quispealaya</w:t>
      </w:r>
      <w:proofErr w:type="spellEnd"/>
      <w:r w:rsidRPr="00F15FE6">
        <w:rPr>
          <w:rFonts w:ascii="Cambria" w:hAnsi="Cambria" w:cs="Arial"/>
          <w:sz w:val="20"/>
          <w:szCs w:val="20"/>
          <w:lang w:val="es-AR"/>
        </w:rPr>
        <w:t xml:space="preserve"> </w:t>
      </w:r>
      <w:proofErr w:type="spellStart"/>
      <w:r w:rsidRPr="00F15FE6">
        <w:rPr>
          <w:rFonts w:ascii="Cambria" w:hAnsi="Cambria" w:cs="Arial"/>
          <w:sz w:val="20"/>
          <w:szCs w:val="20"/>
          <w:lang w:val="es-AR"/>
        </w:rPr>
        <w:t>Vilcapoma</w:t>
      </w:r>
      <w:proofErr w:type="spellEnd"/>
      <w:r w:rsidRPr="00F15FE6">
        <w:rPr>
          <w:rFonts w:ascii="Cambria" w:hAnsi="Cambria" w:cs="Arial"/>
          <w:sz w:val="20"/>
          <w:szCs w:val="20"/>
          <w:lang w:val="es-AR"/>
        </w:rPr>
        <w:t xml:space="preserve"> en el ejercicio de la práctica de tiro, mientras prestaba el servicio militar. </w:t>
      </w:r>
      <w:r w:rsidRPr="00F15FE6">
        <w:rPr>
          <w:rFonts w:ascii="Cambria" w:hAnsi="Cambria" w:cs="Arial"/>
          <w:sz w:val="20"/>
          <w:szCs w:val="20"/>
          <w:lang w:val="es-CR"/>
        </w:rPr>
        <w:t>El golpe fue propinado con la culata de un arma de fue</w:t>
      </w:r>
      <w:r w:rsidR="009A7A26">
        <w:rPr>
          <w:rFonts w:ascii="Cambria" w:hAnsi="Cambria" w:cs="Arial"/>
          <w:sz w:val="20"/>
          <w:szCs w:val="20"/>
          <w:lang w:val="es-CR"/>
        </w:rPr>
        <w:t>g</w:t>
      </w:r>
      <w:r w:rsidRPr="00F15FE6">
        <w:rPr>
          <w:rFonts w:ascii="Cambria" w:hAnsi="Cambria" w:cs="Arial"/>
          <w:sz w:val="20"/>
          <w:szCs w:val="20"/>
          <w:lang w:val="es-CR"/>
        </w:rPr>
        <w:t xml:space="preserve">o en la frente y ojo de la víctima. Meses después, el señor </w:t>
      </w:r>
      <w:proofErr w:type="spellStart"/>
      <w:r w:rsidRPr="00F15FE6">
        <w:rPr>
          <w:rFonts w:ascii="Cambria" w:hAnsi="Cambria" w:cs="Arial"/>
          <w:sz w:val="20"/>
          <w:szCs w:val="20"/>
          <w:lang w:val="es-CR"/>
        </w:rPr>
        <w:t>Quispea</w:t>
      </w:r>
      <w:r w:rsidR="00AA5C0F" w:rsidRPr="00F15FE6">
        <w:rPr>
          <w:rFonts w:ascii="Cambria" w:hAnsi="Cambria" w:cs="Arial"/>
          <w:sz w:val="20"/>
          <w:szCs w:val="20"/>
          <w:lang w:val="es-CR"/>
        </w:rPr>
        <w:t>la</w:t>
      </w:r>
      <w:r w:rsidRPr="00F15FE6">
        <w:rPr>
          <w:rFonts w:ascii="Cambria" w:hAnsi="Cambria" w:cs="Arial"/>
          <w:sz w:val="20"/>
          <w:szCs w:val="20"/>
          <w:lang w:val="es-CR"/>
        </w:rPr>
        <w:t>ya</w:t>
      </w:r>
      <w:proofErr w:type="spellEnd"/>
      <w:r w:rsidRPr="00F15FE6">
        <w:rPr>
          <w:rFonts w:ascii="Cambria" w:hAnsi="Cambria" w:cs="Arial"/>
          <w:sz w:val="20"/>
          <w:szCs w:val="20"/>
          <w:lang w:val="es-CR"/>
        </w:rPr>
        <w:t xml:space="preserve"> </w:t>
      </w:r>
      <w:proofErr w:type="spellStart"/>
      <w:r w:rsidRPr="00F15FE6">
        <w:rPr>
          <w:rFonts w:ascii="Cambria" w:hAnsi="Cambria" w:cs="Arial"/>
          <w:sz w:val="20"/>
          <w:szCs w:val="20"/>
          <w:lang w:val="es-CR"/>
        </w:rPr>
        <w:t>Vilcapoma</w:t>
      </w:r>
      <w:proofErr w:type="spellEnd"/>
      <w:r w:rsidRPr="00F15FE6">
        <w:rPr>
          <w:rFonts w:ascii="Cambria" w:hAnsi="Cambria" w:cs="Arial"/>
          <w:sz w:val="20"/>
          <w:szCs w:val="20"/>
          <w:lang w:val="es-CR"/>
        </w:rPr>
        <w:t xml:space="preserve"> fue ingresado al Hospital Militar Central de Lima, donde a pesar de la intervención quirúrgica que le practicaron, perdió la capacidad visual de su ojo derecho, siendo dado de </w:t>
      </w:r>
      <w:proofErr w:type="gramStart"/>
      <w:r w:rsidRPr="00F15FE6">
        <w:rPr>
          <w:rFonts w:ascii="Cambria" w:hAnsi="Cambria" w:cs="Arial"/>
          <w:sz w:val="20"/>
          <w:szCs w:val="20"/>
          <w:lang w:val="es-CR"/>
        </w:rPr>
        <w:t>alta</w:t>
      </w:r>
      <w:proofErr w:type="gramEnd"/>
      <w:r w:rsidRPr="00F15FE6">
        <w:rPr>
          <w:rFonts w:ascii="Cambria" w:hAnsi="Cambria" w:cs="Arial"/>
          <w:sz w:val="20"/>
          <w:szCs w:val="20"/>
          <w:lang w:val="es-CR"/>
        </w:rPr>
        <w:t xml:space="preserve"> 13 meses después. La Comisión concluyó en su informe</w:t>
      </w:r>
      <w:r w:rsidR="000022B0" w:rsidRPr="00F15FE6">
        <w:rPr>
          <w:rFonts w:ascii="Cambria" w:hAnsi="Cambria" w:cs="Arial"/>
          <w:sz w:val="20"/>
          <w:szCs w:val="20"/>
          <w:lang w:val="es-CR"/>
        </w:rPr>
        <w:t xml:space="preserve"> de fondo </w:t>
      </w:r>
      <w:r w:rsidRPr="00F15FE6">
        <w:rPr>
          <w:rFonts w:ascii="Cambria" w:hAnsi="Cambria" w:cs="Arial"/>
          <w:sz w:val="20"/>
          <w:szCs w:val="20"/>
          <w:lang w:val="es-CR"/>
        </w:rPr>
        <w:t xml:space="preserve">que estos hechos </w:t>
      </w:r>
      <w:r w:rsidRPr="00F15FE6">
        <w:rPr>
          <w:rFonts w:ascii="Cambria" w:hAnsi="Cambria"/>
          <w:sz w:val="20"/>
          <w:szCs w:val="20"/>
          <w:lang w:val="es-CR"/>
        </w:rPr>
        <w:t xml:space="preserve">responden al patrón de torturas y tratos crueles inhumanos o degradantes que ocurrían al interior de las dependencias militares, identificado por la Defensoría del Pueblo del Perú, el cual tendría su origen en una arraigada y errónea interpretación de la disciplina militar. La Comisión también concluyó que </w:t>
      </w:r>
      <w:r w:rsidRPr="00F15FE6">
        <w:rPr>
          <w:rFonts w:ascii="Cambria" w:hAnsi="Cambria" w:cs="Arial"/>
          <w:sz w:val="20"/>
          <w:szCs w:val="20"/>
          <w:lang w:val="es-CR"/>
        </w:rPr>
        <w:t xml:space="preserve">el Estado no proveyó de recursos efectivos a la víctima y sus familiares, pues no se </w:t>
      </w:r>
      <w:r w:rsidRPr="00F15FE6">
        <w:rPr>
          <w:rFonts w:ascii="Cambria" w:hAnsi="Cambria" w:cs="Verdana"/>
          <w:sz w:val="20"/>
          <w:szCs w:val="20"/>
          <w:lang w:val="es-CR"/>
        </w:rPr>
        <w:t xml:space="preserve">inició una investigación de oficio por las autoridades competentes; no se adoptaron las medidas pertinentes para salvaguardar el objeto y fin del proceso penal a pesar de que el señor </w:t>
      </w:r>
      <w:proofErr w:type="spellStart"/>
      <w:r w:rsidRPr="00F15FE6">
        <w:rPr>
          <w:rFonts w:ascii="Cambria" w:hAnsi="Cambria" w:cs="Verdana"/>
          <w:sz w:val="20"/>
          <w:szCs w:val="20"/>
          <w:lang w:val="es-CR"/>
        </w:rPr>
        <w:t>Quispealaya</w:t>
      </w:r>
      <w:proofErr w:type="spellEnd"/>
      <w:r w:rsidRPr="00F15FE6">
        <w:rPr>
          <w:rFonts w:ascii="Cambria" w:hAnsi="Cambria" w:cs="Verdana"/>
          <w:sz w:val="20"/>
          <w:szCs w:val="20"/>
          <w:lang w:val="es-CR"/>
        </w:rPr>
        <w:t xml:space="preserve"> denunció reiteradamente la existencia de amenazas en su contra y en contra de otros testigos de los hechos; el proceso fue conocido por la jurisdicción militar durante casi 7 años; y el proceso ha tenido una duración irrazonable. En suma, la Comisión concluyó que los hechos se encuentran en situación de impunidad.</w:t>
      </w:r>
    </w:p>
    <w:p w:rsidR="00121A9F" w:rsidRPr="00F15FE6" w:rsidRDefault="00121A9F" w:rsidP="00DF0DE3">
      <w:pPr>
        <w:tabs>
          <w:tab w:val="num" w:pos="1710"/>
        </w:tabs>
        <w:autoSpaceDE w:val="0"/>
        <w:autoSpaceDN w:val="0"/>
        <w:adjustRightInd w:val="0"/>
        <w:spacing w:after="0"/>
        <w:ind w:firstLine="720"/>
        <w:jc w:val="both"/>
        <w:rPr>
          <w:rFonts w:ascii="Cambria" w:hAnsi="Cambria" w:cs="Arial"/>
          <w:sz w:val="20"/>
          <w:szCs w:val="20"/>
          <w:lang w:val="es-CR"/>
        </w:rPr>
      </w:pPr>
      <w:r w:rsidRPr="00F15FE6">
        <w:rPr>
          <w:rFonts w:ascii="Cambria" w:hAnsi="Cambria" w:cs="Arial"/>
          <w:sz w:val="20"/>
          <w:szCs w:val="20"/>
          <w:lang w:val="es-AR"/>
        </w:rPr>
        <w:t xml:space="preserve"> </w:t>
      </w:r>
    </w:p>
    <w:p w:rsidR="00DF0806" w:rsidRPr="00DF0806" w:rsidRDefault="00DF0806" w:rsidP="00DF0806">
      <w:pPr>
        <w:spacing w:after="0"/>
        <w:ind w:firstLine="720"/>
        <w:jc w:val="both"/>
        <w:rPr>
          <w:rFonts w:ascii="Cambria" w:hAnsi="Cambria" w:cs="Arial"/>
          <w:sz w:val="20"/>
          <w:szCs w:val="20"/>
          <w:lang w:val="es-CO"/>
        </w:rPr>
      </w:pPr>
      <w:r w:rsidRPr="00DF0806">
        <w:rPr>
          <w:rFonts w:ascii="Cambria" w:hAnsi="Cambria" w:cs="Arial"/>
          <w:sz w:val="20"/>
          <w:szCs w:val="20"/>
          <w:lang w:val="es-CO"/>
        </w:rPr>
        <w:t xml:space="preserve">El Estado ratificó la Convención Americana sobre Derechos Humanos el 12 de julio de 1978 y aceptó la competencia contenciosa de la Corte el 21 de enero de 1981. </w:t>
      </w:r>
    </w:p>
    <w:p w:rsidR="00DF0806" w:rsidRPr="00DF0806" w:rsidRDefault="00DF0806" w:rsidP="00DF0806">
      <w:pPr>
        <w:spacing w:after="0"/>
        <w:jc w:val="both"/>
        <w:rPr>
          <w:rFonts w:ascii="Cambria" w:hAnsi="Cambria"/>
          <w:sz w:val="20"/>
          <w:szCs w:val="20"/>
          <w:lang w:val="es-AR"/>
        </w:rPr>
      </w:pPr>
    </w:p>
    <w:p w:rsidR="00DF0806" w:rsidRPr="00DF0806" w:rsidRDefault="00DF0806" w:rsidP="00DF0806">
      <w:pPr>
        <w:spacing w:after="0"/>
        <w:jc w:val="both"/>
        <w:rPr>
          <w:rFonts w:ascii="Cambria" w:hAnsi="Cambria" w:cs="Arial"/>
          <w:sz w:val="20"/>
          <w:szCs w:val="20"/>
          <w:lang w:val="es-CO"/>
        </w:rPr>
      </w:pPr>
      <w:r w:rsidRPr="00DF0806">
        <w:rPr>
          <w:rFonts w:ascii="Cambria" w:hAnsi="Cambria"/>
          <w:sz w:val="20"/>
          <w:szCs w:val="20"/>
          <w:lang w:val="es-CO"/>
        </w:rPr>
        <w:tab/>
      </w:r>
      <w:r w:rsidRPr="00DF0806">
        <w:rPr>
          <w:rFonts w:ascii="Cambria" w:hAnsi="Cambria" w:cs="Arial"/>
          <w:sz w:val="20"/>
          <w:szCs w:val="20"/>
          <w:lang w:val="es-CO"/>
        </w:rPr>
        <w:t xml:space="preserve"> </w:t>
      </w:r>
      <w:r w:rsidRPr="00DF0806">
        <w:rPr>
          <w:rFonts w:ascii="Cambria" w:hAnsi="Cambria"/>
          <w:sz w:val="20"/>
          <w:szCs w:val="20"/>
          <w:lang w:val="es-CO"/>
        </w:rPr>
        <w:t>La Comisión ha designado al Comisionado James Cavallaro y al Secretario Ejecutivo Emilio Álvarez Icaza L. como sus delegados. Asimismo, Elizabeth Abi-Mershed, Secretaria Ejecutiva Adjunta y Silvia Serrano Guzmán, abogada de la Secretaría Ejecutiva de la CIDH, actuarán como asesoras legales.</w:t>
      </w:r>
    </w:p>
    <w:p w:rsidR="00121A9F" w:rsidRPr="00F15FE6" w:rsidRDefault="00121A9F" w:rsidP="00DF0DE3">
      <w:pPr>
        <w:autoSpaceDE w:val="0"/>
        <w:autoSpaceDN w:val="0"/>
        <w:adjustRightInd w:val="0"/>
        <w:spacing w:after="0"/>
        <w:ind w:right="480"/>
        <w:jc w:val="both"/>
        <w:rPr>
          <w:rFonts w:ascii="Cambria" w:hAnsi="Cambria"/>
          <w:b/>
          <w:sz w:val="20"/>
          <w:szCs w:val="20"/>
          <w:lang w:val="es-CR"/>
        </w:rPr>
      </w:pPr>
    </w:p>
    <w:p w:rsidR="008A360A" w:rsidRPr="00F15FE6" w:rsidRDefault="008A360A" w:rsidP="00DF0DE3">
      <w:pPr>
        <w:spacing w:after="0"/>
        <w:jc w:val="both"/>
        <w:rPr>
          <w:rFonts w:ascii="Cambria" w:hAnsi="Cambria" w:cs="Arial"/>
          <w:snapToGrid w:val="0"/>
          <w:sz w:val="20"/>
          <w:szCs w:val="20"/>
          <w:lang w:val="es-CO"/>
        </w:rPr>
      </w:pPr>
    </w:p>
    <w:p w:rsidR="00121A9F" w:rsidRPr="00F15FE6" w:rsidRDefault="00121A9F" w:rsidP="00DF0DE3">
      <w:pPr>
        <w:spacing w:after="0"/>
        <w:jc w:val="both"/>
        <w:rPr>
          <w:rFonts w:ascii="Cambria" w:hAnsi="Cambria" w:cs="Arial"/>
          <w:snapToGrid w:val="0"/>
          <w:sz w:val="20"/>
          <w:szCs w:val="20"/>
          <w:lang w:val="es-CO"/>
        </w:rPr>
      </w:pPr>
      <w:r w:rsidRPr="00F15FE6">
        <w:rPr>
          <w:rFonts w:ascii="Cambria" w:hAnsi="Cambria" w:cs="Arial"/>
          <w:snapToGrid w:val="0"/>
          <w:sz w:val="20"/>
          <w:szCs w:val="20"/>
          <w:lang w:val="es-CO"/>
        </w:rPr>
        <w:t>Señor</w:t>
      </w:r>
    </w:p>
    <w:p w:rsidR="00121A9F" w:rsidRPr="00F15FE6" w:rsidRDefault="00121A9F" w:rsidP="00DF0DE3">
      <w:pPr>
        <w:suppressAutoHyphens/>
        <w:spacing w:after="0"/>
        <w:rPr>
          <w:rFonts w:ascii="Cambria" w:hAnsi="Cambria" w:cs="Arial"/>
          <w:snapToGrid w:val="0"/>
          <w:sz w:val="20"/>
          <w:szCs w:val="20"/>
          <w:lang w:val="es-CO"/>
        </w:rPr>
      </w:pPr>
      <w:r w:rsidRPr="00F15FE6">
        <w:rPr>
          <w:rFonts w:ascii="Cambria" w:hAnsi="Cambria" w:cs="Arial"/>
          <w:snapToGrid w:val="0"/>
          <w:sz w:val="20"/>
          <w:szCs w:val="20"/>
          <w:lang w:val="es-CO"/>
        </w:rPr>
        <w:t>Pablo Saavedra Alessandri, Secretario</w:t>
      </w:r>
    </w:p>
    <w:p w:rsidR="00121A9F" w:rsidRPr="00F15FE6" w:rsidRDefault="00121A9F" w:rsidP="00DF0DE3">
      <w:pPr>
        <w:suppressAutoHyphens/>
        <w:spacing w:after="0"/>
        <w:rPr>
          <w:rFonts w:ascii="Cambria" w:hAnsi="Cambria" w:cs="Arial"/>
          <w:snapToGrid w:val="0"/>
          <w:sz w:val="20"/>
          <w:szCs w:val="20"/>
          <w:lang w:val="es-ES_tradnl"/>
        </w:rPr>
      </w:pPr>
      <w:r w:rsidRPr="00F15FE6">
        <w:rPr>
          <w:rFonts w:ascii="Cambria" w:hAnsi="Cambria" w:cs="Arial"/>
          <w:snapToGrid w:val="0"/>
          <w:sz w:val="20"/>
          <w:szCs w:val="20"/>
          <w:lang w:val="es-ES_tradnl"/>
        </w:rPr>
        <w:t>Corte Interamericana de Derechos Humanos</w:t>
      </w:r>
    </w:p>
    <w:p w:rsidR="00121A9F" w:rsidRPr="00F15FE6" w:rsidRDefault="00121A9F" w:rsidP="00DF0DE3">
      <w:pPr>
        <w:suppressAutoHyphens/>
        <w:spacing w:after="0"/>
        <w:rPr>
          <w:rFonts w:ascii="Cambria" w:hAnsi="Cambria" w:cs="Arial"/>
          <w:snapToGrid w:val="0"/>
          <w:sz w:val="20"/>
          <w:szCs w:val="20"/>
          <w:lang w:val="es-ES_tradnl"/>
        </w:rPr>
      </w:pPr>
      <w:r w:rsidRPr="00F15FE6">
        <w:rPr>
          <w:rFonts w:ascii="Cambria" w:hAnsi="Cambria" w:cs="Arial"/>
          <w:snapToGrid w:val="0"/>
          <w:sz w:val="20"/>
          <w:szCs w:val="20"/>
          <w:lang w:val="es-ES_tradnl"/>
        </w:rPr>
        <w:t>Apartado 6906-1000</w:t>
      </w:r>
    </w:p>
    <w:p w:rsidR="00121A9F" w:rsidRPr="00F15FE6" w:rsidRDefault="00121A9F" w:rsidP="00DF0DE3">
      <w:pPr>
        <w:suppressAutoHyphens/>
        <w:spacing w:after="0"/>
        <w:rPr>
          <w:rFonts w:ascii="Cambria" w:hAnsi="Cambria" w:cs="Arial"/>
          <w:snapToGrid w:val="0"/>
          <w:sz w:val="20"/>
          <w:szCs w:val="20"/>
          <w:lang w:val="es-ES_tradnl"/>
        </w:rPr>
      </w:pPr>
      <w:r w:rsidRPr="00F15FE6">
        <w:rPr>
          <w:rFonts w:ascii="Cambria" w:hAnsi="Cambria" w:cs="Arial"/>
          <w:snapToGrid w:val="0"/>
          <w:sz w:val="20"/>
          <w:szCs w:val="20"/>
          <w:lang w:val="es-ES_tradnl"/>
        </w:rPr>
        <w:t>San José, Costa Rica</w:t>
      </w:r>
    </w:p>
    <w:p w:rsidR="008A360A" w:rsidRPr="00F15FE6" w:rsidRDefault="008A360A" w:rsidP="00DF0DE3">
      <w:pPr>
        <w:suppressAutoHyphens/>
        <w:spacing w:after="0"/>
        <w:rPr>
          <w:rFonts w:ascii="Cambria" w:hAnsi="Cambria" w:cs="Arial"/>
          <w:snapToGrid w:val="0"/>
          <w:sz w:val="20"/>
          <w:szCs w:val="20"/>
          <w:lang w:val="es-ES_tradnl"/>
        </w:rPr>
      </w:pPr>
    </w:p>
    <w:p w:rsidR="00121A9F" w:rsidRPr="00F15FE6" w:rsidRDefault="00DF0806" w:rsidP="00DF0806">
      <w:pPr>
        <w:tabs>
          <w:tab w:val="num" w:pos="1710"/>
        </w:tabs>
        <w:autoSpaceDE w:val="0"/>
        <w:autoSpaceDN w:val="0"/>
        <w:adjustRightInd w:val="0"/>
        <w:spacing w:after="0"/>
        <w:rPr>
          <w:rFonts w:ascii="Cambria" w:hAnsi="Cambria" w:cs="Arial"/>
          <w:sz w:val="20"/>
          <w:szCs w:val="20"/>
          <w:lang w:val="es-AR"/>
        </w:rPr>
      </w:pPr>
      <w:r w:rsidRPr="00F15FE6">
        <w:rPr>
          <w:rFonts w:ascii="Cambria" w:hAnsi="Cambria" w:cs="Arial"/>
          <w:sz w:val="20"/>
          <w:szCs w:val="20"/>
          <w:lang w:val="es-AR"/>
        </w:rPr>
        <w:t>Anexos</w:t>
      </w:r>
    </w:p>
    <w:p w:rsidR="00121A9F" w:rsidRPr="00F15FE6" w:rsidRDefault="00121A9F" w:rsidP="00DF0DE3">
      <w:pPr>
        <w:spacing w:after="0"/>
        <w:jc w:val="both"/>
        <w:rPr>
          <w:rFonts w:ascii="Cambria" w:hAnsi="Cambria" w:cs="Arial"/>
          <w:snapToGrid w:val="0"/>
          <w:sz w:val="20"/>
          <w:szCs w:val="20"/>
          <w:lang w:val="es-CO"/>
        </w:rPr>
      </w:pPr>
    </w:p>
    <w:p w:rsidR="00121A9F" w:rsidRPr="00F15FE6" w:rsidRDefault="00121A9F" w:rsidP="000977C3">
      <w:pPr>
        <w:spacing w:after="0"/>
        <w:ind w:firstLine="720"/>
        <w:jc w:val="both"/>
        <w:rPr>
          <w:rFonts w:ascii="Cambria" w:hAnsi="Cambria"/>
          <w:sz w:val="20"/>
          <w:szCs w:val="20"/>
          <w:lang w:val="es-AR"/>
        </w:rPr>
      </w:pPr>
      <w:r w:rsidRPr="00F15FE6">
        <w:rPr>
          <w:rFonts w:ascii="Cambria" w:hAnsi="Cambria" w:cs="Arial"/>
          <w:sz w:val="20"/>
          <w:szCs w:val="20"/>
          <w:lang w:val="es-CO"/>
        </w:rPr>
        <w:t xml:space="preserve">De conformidad con el artículo 35 del Reglamento de la Corte Interamericana, la Comisión adjunta </w:t>
      </w:r>
      <w:r w:rsidRPr="00F15FE6">
        <w:rPr>
          <w:rFonts w:ascii="Cambria" w:hAnsi="Cambria"/>
          <w:sz w:val="20"/>
          <w:szCs w:val="20"/>
          <w:lang w:val="es-CO"/>
        </w:rPr>
        <w:t>copia del informe 8</w:t>
      </w:r>
      <w:r w:rsidR="008C1878" w:rsidRPr="00F15FE6">
        <w:rPr>
          <w:rFonts w:ascii="Cambria" w:hAnsi="Cambria"/>
          <w:sz w:val="20"/>
          <w:szCs w:val="20"/>
          <w:lang w:val="es-CO"/>
        </w:rPr>
        <w:t>4</w:t>
      </w:r>
      <w:r w:rsidRPr="00F15FE6">
        <w:rPr>
          <w:rFonts w:ascii="Cambria" w:hAnsi="Cambria"/>
          <w:sz w:val="20"/>
          <w:szCs w:val="20"/>
          <w:lang w:val="es-CO"/>
        </w:rPr>
        <w:t>/13 elaborado en observancia del artículo 50 de la Convención, así como copia de la totalidad del expediente ante la Comisión Interamericana (Apéndice I) y los anexos utilizados en la elaboración del informe 8</w:t>
      </w:r>
      <w:r w:rsidR="00814407" w:rsidRPr="00F15FE6">
        <w:rPr>
          <w:rFonts w:ascii="Cambria" w:hAnsi="Cambria"/>
          <w:sz w:val="20"/>
          <w:szCs w:val="20"/>
          <w:lang w:val="es-CO"/>
        </w:rPr>
        <w:t>4</w:t>
      </w:r>
      <w:r w:rsidRPr="00F15FE6">
        <w:rPr>
          <w:rFonts w:ascii="Cambria" w:hAnsi="Cambria"/>
          <w:sz w:val="20"/>
          <w:szCs w:val="20"/>
          <w:lang w:val="es-CO"/>
        </w:rPr>
        <w:t xml:space="preserve">/13 (Anexos). Dicho informe de fondo </w:t>
      </w:r>
      <w:r w:rsidRPr="00F15FE6">
        <w:rPr>
          <w:rFonts w:ascii="Cambria" w:hAnsi="Cambria"/>
          <w:sz w:val="20"/>
          <w:szCs w:val="20"/>
          <w:lang w:val="es-AR"/>
        </w:rPr>
        <w:t xml:space="preserve">fue notificado al Estado de </w:t>
      </w:r>
      <w:r w:rsidR="000022B0" w:rsidRPr="00F15FE6">
        <w:rPr>
          <w:rFonts w:ascii="Cambria" w:hAnsi="Cambria"/>
          <w:sz w:val="20"/>
          <w:szCs w:val="20"/>
          <w:lang w:val="es-AR"/>
        </w:rPr>
        <w:t xml:space="preserve">Perú </w:t>
      </w:r>
      <w:r w:rsidRPr="00F15FE6">
        <w:rPr>
          <w:rFonts w:ascii="Cambria" w:hAnsi="Cambria"/>
          <w:sz w:val="20"/>
          <w:szCs w:val="20"/>
          <w:lang w:val="es-AR"/>
        </w:rPr>
        <w:t xml:space="preserve">mediante comunicación de </w:t>
      </w:r>
      <w:r w:rsidR="00232598" w:rsidRPr="00F15FE6">
        <w:rPr>
          <w:rFonts w:ascii="Cambria" w:hAnsi="Cambria"/>
          <w:sz w:val="20"/>
          <w:szCs w:val="20"/>
          <w:lang w:val="es-AR"/>
        </w:rPr>
        <w:t>21</w:t>
      </w:r>
      <w:r w:rsidRPr="00F15FE6">
        <w:rPr>
          <w:rFonts w:ascii="Cambria" w:hAnsi="Cambria"/>
          <w:sz w:val="20"/>
          <w:szCs w:val="20"/>
          <w:lang w:val="es-AR"/>
        </w:rPr>
        <w:t xml:space="preserve"> de </w:t>
      </w:r>
      <w:r w:rsidR="00232598" w:rsidRPr="00F15FE6">
        <w:rPr>
          <w:rFonts w:ascii="Cambria" w:hAnsi="Cambria"/>
          <w:sz w:val="20"/>
          <w:szCs w:val="20"/>
          <w:lang w:val="es-AR"/>
        </w:rPr>
        <w:t>noviembre</w:t>
      </w:r>
      <w:r w:rsidRPr="00F15FE6">
        <w:rPr>
          <w:rFonts w:ascii="Cambria" w:hAnsi="Cambria"/>
          <w:sz w:val="20"/>
          <w:szCs w:val="20"/>
          <w:lang w:val="es-AR"/>
        </w:rPr>
        <w:t xml:space="preserve"> de 2013, otorgándole un plazo de dos meses para informar sobre el cumpli</w:t>
      </w:r>
      <w:r w:rsidR="000977C3" w:rsidRPr="00F15FE6">
        <w:rPr>
          <w:rFonts w:ascii="Cambria" w:hAnsi="Cambria"/>
          <w:sz w:val="20"/>
          <w:szCs w:val="20"/>
          <w:lang w:val="es-AR"/>
        </w:rPr>
        <w:t xml:space="preserve">miento de las recomendaciones.  </w:t>
      </w:r>
      <w:r w:rsidR="001F16D0" w:rsidRPr="00F15FE6">
        <w:rPr>
          <w:rFonts w:ascii="Cambria" w:hAnsi="Cambria"/>
          <w:sz w:val="20"/>
          <w:szCs w:val="20"/>
          <w:lang w:val="es-AR"/>
        </w:rPr>
        <w:t xml:space="preserve">El Estado de Perú solicitó tres prórrogas, las cuales fueron otorgadas por la Comisión Interamericana. </w:t>
      </w:r>
      <w:r w:rsidR="00893F82" w:rsidRPr="00F15FE6">
        <w:rPr>
          <w:rFonts w:ascii="Cambria" w:hAnsi="Cambria"/>
          <w:sz w:val="20"/>
          <w:szCs w:val="20"/>
          <w:lang w:val="es-AR"/>
        </w:rPr>
        <w:t xml:space="preserve">Al momento de otorgar dichas prórrogas, la Comisión hizo notar al Estado de Perú que era necesario que presentara información sobre la totalidad de las recomendaciones, en particular la reapertura de la investigación y la reparación integral a la víctima. A pesar de lo anterior, al momento de solicitar la cuarta prórroga, la investigación permanecía archivada y el Estado no había presentado una propuesta concreta de reparación a la víctima. </w:t>
      </w:r>
      <w:r w:rsidRPr="00F15FE6">
        <w:rPr>
          <w:rFonts w:ascii="Cambria" w:hAnsi="Cambria"/>
          <w:sz w:val="20"/>
          <w:szCs w:val="20"/>
          <w:lang w:val="es-AR"/>
        </w:rPr>
        <w:t xml:space="preserve"> </w:t>
      </w:r>
    </w:p>
    <w:p w:rsidR="00121A9F" w:rsidRPr="00F15FE6" w:rsidRDefault="00121A9F" w:rsidP="00DF0DE3">
      <w:pPr>
        <w:tabs>
          <w:tab w:val="left" w:pos="0"/>
        </w:tabs>
        <w:autoSpaceDE w:val="0"/>
        <w:autoSpaceDN w:val="0"/>
        <w:adjustRightInd w:val="0"/>
        <w:spacing w:after="0"/>
        <w:jc w:val="both"/>
        <w:rPr>
          <w:rFonts w:ascii="Cambria" w:hAnsi="Cambria"/>
          <w:sz w:val="20"/>
          <w:szCs w:val="20"/>
          <w:lang w:val="es-AR"/>
        </w:rPr>
      </w:pPr>
      <w:r w:rsidRPr="00F15FE6">
        <w:rPr>
          <w:rFonts w:ascii="Cambria" w:hAnsi="Cambria" w:cs="Arial"/>
          <w:sz w:val="20"/>
          <w:szCs w:val="20"/>
          <w:lang w:val="es-AR"/>
        </w:rPr>
        <w:t xml:space="preserve"> </w:t>
      </w:r>
      <w:r w:rsidRPr="00F15FE6">
        <w:rPr>
          <w:rFonts w:ascii="Cambria" w:hAnsi="Cambria" w:cs="Arial"/>
          <w:sz w:val="20"/>
          <w:szCs w:val="20"/>
          <w:lang w:val="es-AR"/>
        </w:rPr>
        <w:tab/>
      </w:r>
      <w:r w:rsidRPr="00F15FE6">
        <w:rPr>
          <w:rFonts w:ascii="Cambria" w:hAnsi="Cambria" w:cs="Arial"/>
          <w:sz w:val="20"/>
          <w:szCs w:val="20"/>
          <w:lang w:val="es-AR"/>
        </w:rPr>
        <w:tab/>
      </w:r>
    </w:p>
    <w:p w:rsidR="00121A9F" w:rsidRPr="00F15FE6" w:rsidRDefault="00121A9F" w:rsidP="00DF0DE3">
      <w:pPr>
        <w:spacing w:after="0"/>
        <w:ind w:firstLine="720"/>
        <w:jc w:val="both"/>
        <w:rPr>
          <w:rFonts w:ascii="Cambria" w:hAnsi="Cambria"/>
          <w:sz w:val="20"/>
          <w:szCs w:val="20"/>
          <w:lang w:val="es-AR"/>
        </w:rPr>
      </w:pPr>
      <w:r w:rsidRPr="00F15FE6">
        <w:rPr>
          <w:rFonts w:ascii="Cambria" w:hAnsi="Cambria"/>
          <w:sz w:val="20"/>
          <w:szCs w:val="20"/>
          <w:lang w:val="es-AR"/>
        </w:rPr>
        <w:t>En consecuencia, la Comisión decidió no otorgar la</w:t>
      </w:r>
      <w:r w:rsidR="00F12B7B" w:rsidRPr="00F15FE6">
        <w:rPr>
          <w:rFonts w:ascii="Cambria" w:hAnsi="Cambria"/>
          <w:sz w:val="20"/>
          <w:szCs w:val="20"/>
          <w:lang w:val="es-AR"/>
        </w:rPr>
        <w:t xml:space="preserve"> cuarta </w:t>
      </w:r>
      <w:r w:rsidRPr="00F15FE6">
        <w:rPr>
          <w:rFonts w:ascii="Cambria" w:hAnsi="Cambria"/>
          <w:sz w:val="20"/>
          <w:szCs w:val="20"/>
          <w:lang w:val="es-AR"/>
        </w:rPr>
        <w:t>prórroga solicitada por el Estado de</w:t>
      </w:r>
      <w:r w:rsidR="00F12B7B" w:rsidRPr="00F15FE6">
        <w:rPr>
          <w:rFonts w:ascii="Cambria" w:hAnsi="Cambria"/>
          <w:sz w:val="20"/>
          <w:szCs w:val="20"/>
          <w:lang w:val="es-AR"/>
        </w:rPr>
        <w:t xml:space="preserve"> Perú </w:t>
      </w:r>
      <w:r w:rsidRPr="00F15FE6">
        <w:rPr>
          <w:rFonts w:ascii="Cambria" w:hAnsi="Cambria"/>
          <w:sz w:val="20"/>
          <w:szCs w:val="20"/>
          <w:lang w:val="es-AR"/>
        </w:rPr>
        <w:t xml:space="preserve">y someter el presente caso a la jurisdicción de la Corte Interamericana por la necesidad de obtención de justicia para la víctima. </w:t>
      </w:r>
      <w:r w:rsidRPr="00F15FE6">
        <w:rPr>
          <w:rFonts w:ascii="Cambria" w:hAnsi="Cambria"/>
          <w:sz w:val="20"/>
          <w:szCs w:val="20"/>
          <w:lang w:val="es-CO"/>
        </w:rPr>
        <w:t>La Comisión Interamericana somete a la jurisdicción de la Corte la totalidad de los hechos y violaciones de derechos humanos descritos en el informe de fondo 8</w:t>
      </w:r>
      <w:r w:rsidR="00F02B98" w:rsidRPr="00F15FE6">
        <w:rPr>
          <w:rFonts w:ascii="Cambria" w:hAnsi="Cambria"/>
          <w:sz w:val="20"/>
          <w:szCs w:val="20"/>
          <w:lang w:val="es-CO"/>
        </w:rPr>
        <w:t>4</w:t>
      </w:r>
      <w:r w:rsidRPr="00F15FE6">
        <w:rPr>
          <w:rFonts w:ascii="Cambria" w:hAnsi="Cambria"/>
          <w:sz w:val="20"/>
          <w:szCs w:val="20"/>
          <w:lang w:val="es-CO"/>
        </w:rPr>
        <w:t xml:space="preserve">/13. </w:t>
      </w:r>
    </w:p>
    <w:p w:rsidR="00121A9F" w:rsidRPr="00F15FE6" w:rsidRDefault="00121A9F" w:rsidP="00DF0DE3">
      <w:pPr>
        <w:tabs>
          <w:tab w:val="left" w:pos="0"/>
        </w:tabs>
        <w:spacing w:after="0"/>
        <w:jc w:val="both"/>
        <w:rPr>
          <w:rFonts w:ascii="Cambria" w:hAnsi="Cambria"/>
          <w:sz w:val="20"/>
          <w:szCs w:val="20"/>
          <w:lang w:val="es-CO"/>
        </w:rPr>
      </w:pPr>
    </w:p>
    <w:p w:rsidR="00121A9F" w:rsidRPr="00F15FE6" w:rsidRDefault="00121A9F" w:rsidP="00C70B9B">
      <w:pPr>
        <w:tabs>
          <w:tab w:val="left" w:pos="0"/>
          <w:tab w:val="left" w:pos="1134"/>
        </w:tabs>
        <w:spacing w:after="0"/>
        <w:ind w:firstLine="720"/>
        <w:jc w:val="both"/>
        <w:rPr>
          <w:rFonts w:ascii="Cambria" w:hAnsi="Cambria" w:cs="callibri"/>
          <w:sz w:val="20"/>
          <w:szCs w:val="20"/>
          <w:lang w:val="es-CO"/>
        </w:rPr>
      </w:pPr>
      <w:r w:rsidRPr="00F15FE6">
        <w:rPr>
          <w:rFonts w:ascii="Cambria" w:hAnsi="Cambria"/>
          <w:sz w:val="20"/>
          <w:szCs w:val="20"/>
          <w:lang w:val="es-CO"/>
        </w:rPr>
        <w:t>En ese sentido, la Comisión solicita a la Corte que concluya y declare la responsabilidad internacional del</w:t>
      </w:r>
      <w:r w:rsidRPr="00F15FE6">
        <w:rPr>
          <w:rFonts w:ascii="Cambria" w:hAnsi="Cambria" w:cs="Arial"/>
          <w:sz w:val="20"/>
          <w:szCs w:val="20"/>
          <w:lang w:val="es-CL"/>
        </w:rPr>
        <w:t xml:space="preserve"> Estado de</w:t>
      </w:r>
      <w:r w:rsidR="004E0F41" w:rsidRPr="00F15FE6">
        <w:rPr>
          <w:rFonts w:ascii="Cambria" w:hAnsi="Cambria" w:cs="Arial"/>
          <w:sz w:val="20"/>
          <w:szCs w:val="20"/>
          <w:lang w:val="es-CL"/>
        </w:rPr>
        <w:t xml:space="preserve"> Perú por </w:t>
      </w:r>
      <w:r w:rsidRPr="00F15FE6">
        <w:rPr>
          <w:rFonts w:ascii="Cambria" w:hAnsi="Cambria" w:cs="callibri"/>
          <w:sz w:val="20"/>
          <w:szCs w:val="20"/>
          <w:lang w:val="es-CO"/>
        </w:rPr>
        <w:t xml:space="preserve">la violación de: </w:t>
      </w:r>
    </w:p>
    <w:p w:rsidR="00121A9F" w:rsidRPr="00F15FE6" w:rsidRDefault="00121A9F" w:rsidP="00C70B9B">
      <w:pPr>
        <w:tabs>
          <w:tab w:val="left" w:pos="1134"/>
        </w:tabs>
        <w:autoSpaceDE w:val="0"/>
        <w:autoSpaceDN w:val="0"/>
        <w:adjustRightInd w:val="0"/>
        <w:spacing w:after="0"/>
        <w:ind w:left="720" w:right="480"/>
        <w:jc w:val="both"/>
        <w:rPr>
          <w:rFonts w:ascii="Cambria" w:hAnsi="Cambria"/>
          <w:sz w:val="20"/>
          <w:szCs w:val="20"/>
          <w:lang w:val="es-CR"/>
        </w:rPr>
      </w:pPr>
    </w:p>
    <w:p w:rsidR="001A3E20" w:rsidRPr="00F15FE6" w:rsidRDefault="001A3E20" w:rsidP="00F313FB">
      <w:pPr>
        <w:numPr>
          <w:ilvl w:val="1"/>
          <w:numId w:val="2"/>
        </w:numPr>
        <w:tabs>
          <w:tab w:val="clear" w:pos="1200"/>
          <w:tab w:val="left" w:pos="1134"/>
        </w:tabs>
        <w:spacing w:after="120" w:line="240" w:lineRule="auto"/>
        <w:ind w:left="709" w:right="584" w:firstLine="0"/>
        <w:jc w:val="both"/>
        <w:rPr>
          <w:rFonts w:ascii="Cambria" w:hAnsi="Cambria" w:cs="Arial"/>
          <w:sz w:val="20"/>
          <w:szCs w:val="20"/>
          <w:lang w:val="es-PE"/>
        </w:rPr>
      </w:pPr>
      <w:r w:rsidRPr="00F15FE6">
        <w:rPr>
          <w:rFonts w:ascii="Cambria" w:hAnsi="Cambria" w:cs="Arial"/>
          <w:sz w:val="20"/>
          <w:szCs w:val="20"/>
          <w:lang w:val="es-CR"/>
        </w:rPr>
        <w:t>E</w:t>
      </w:r>
      <w:r w:rsidRPr="00F15FE6">
        <w:rPr>
          <w:rFonts w:ascii="Cambria" w:hAnsi="Cambria"/>
          <w:sz w:val="20"/>
          <w:szCs w:val="20"/>
          <w:lang w:val="es-AR"/>
        </w:rPr>
        <w:t xml:space="preserve">l derecho a integridad personal conforme al artículo 5.1 y 5.2 de la Convención Americana en relación al artículo 1.1 del mismo instrumento y al artículo 8 de la Convención Interamericana para Prevenir y Sancionar la Tortura en perjuicio del  señor </w:t>
      </w:r>
      <w:proofErr w:type="spellStart"/>
      <w:r w:rsidRPr="00F15FE6">
        <w:rPr>
          <w:rFonts w:ascii="Cambria" w:hAnsi="Cambria"/>
          <w:sz w:val="20"/>
          <w:szCs w:val="20"/>
          <w:lang w:val="es-AR"/>
        </w:rPr>
        <w:t>Quispealaya</w:t>
      </w:r>
      <w:proofErr w:type="spellEnd"/>
      <w:r w:rsidRPr="00F15FE6">
        <w:rPr>
          <w:rFonts w:ascii="Cambria" w:hAnsi="Cambria"/>
          <w:sz w:val="20"/>
          <w:szCs w:val="20"/>
          <w:lang w:val="es-AR"/>
        </w:rPr>
        <w:t xml:space="preserve"> </w:t>
      </w:r>
      <w:proofErr w:type="spellStart"/>
      <w:r w:rsidRPr="00F15FE6">
        <w:rPr>
          <w:rFonts w:ascii="Cambria" w:hAnsi="Cambria"/>
          <w:sz w:val="20"/>
          <w:szCs w:val="20"/>
          <w:lang w:val="es-AR"/>
        </w:rPr>
        <w:t>Vilcapoma</w:t>
      </w:r>
      <w:proofErr w:type="spellEnd"/>
      <w:r w:rsidRPr="00F15FE6">
        <w:rPr>
          <w:rFonts w:ascii="Cambria" w:hAnsi="Cambria"/>
          <w:sz w:val="20"/>
          <w:szCs w:val="20"/>
          <w:lang w:val="es-AR"/>
        </w:rPr>
        <w:t>;</w:t>
      </w:r>
    </w:p>
    <w:p w:rsidR="001A3E20" w:rsidRPr="00F15FE6" w:rsidRDefault="001A3E20" w:rsidP="00F313FB">
      <w:pPr>
        <w:numPr>
          <w:ilvl w:val="1"/>
          <w:numId w:val="2"/>
        </w:numPr>
        <w:tabs>
          <w:tab w:val="clear" w:pos="1200"/>
          <w:tab w:val="left" w:pos="1134"/>
        </w:tabs>
        <w:spacing w:after="120" w:line="240" w:lineRule="auto"/>
        <w:ind w:left="709" w:right="584" w:firstLine="0"/>
        <w:jc w:val="both"/>
        <w:rPr>
          <w:rFonts w:ascii="Cambria" w:hAnsi="Cambria" w:cs="Arial"/>
          <w:sz w:val="20"/>
          <w:szCs w:val="20"/>
          <w:lang w:val="es-PE"/>
        </w:rPr>
      </w:pPr>
      <w:r w:rsidRPr="00F15FE6">
        <w:rPr>
          <w:rFonts w:ascii="Cambria" w:hAnsi="Cambria"/>
          <w:sz w:val="20"/>
          <w:szCs w:val="20"/>
          <w:lang w:val="es-AR"/>
        </w:rPr>
        <w:t xml:space="preserve">El derecho a las garantías y a la protección judicial consagrado en los artículos 8 y 25 de la Convención Americana en relación con el artículo 1.1 del mismo instrumento en perjuicio del  señor </w:t>
      </w:r>
      <w:proofErr w:type="spellStart"/>
      <w:r w:rsidRPr="00F15FE6">
        <w:rPr>
          <w:rFonts w:ascii="Cambria" w:hAnsi="Cambria"/>
          <w:sz w:val="20"/>
          <w:szCs w:val="20"/>
          <w:lang w:val="es-AR"/>
        </w:rPr>
        <w:t>Quispealaya</w:t>
      </w:r>
      <w:proofErr w:type="spellEnd"/>
      <w:r w:rsidRPr="00F15FE6">
        <w:rPr>
          <w:rFonts w:ascii="Cambria" w:hAnsi="Cambria"/>
          <w:sz w:val="20"/>
          <w:szCs w:val="20"/>
          <w:lang w:val="es-AR"/>
        </w:rPr>
        <w:t xml:space="preserve"> </w:t>
      </w:r>
      <w:proofErr w:type="spellStart"/>
      <w:r w:rsidRPr="00F15FE6">
        <w:rPr>
          <w:rFonts w:ascii="Cambria" w:hAnsi="Cambria"/>
          <w:sz w:val="20"/>
          <w:szCs w:val="20"/>
          <w:lang w:val="es-AR"/>
        </w:rPr>
        <w:t>Vilcapoma</w:t>
      </w:r>
      <w:proofErr w:type="spellEnd"/>
      <w:r w:rsidRPr="00F15FE6">
        <w:rPr>
          <w:rFonts w:ascii="Cambria" w:hAnsi="Cambria"/>
          <w:sz w:val="20"/>
          <w:szCs w:val="20"/>
          <w:lang w:val="es-AR"/>
        </w:rPr>
        <w:t>;</w:t>
      </w:r>
    </w:p>
    <w:p w:rsidR="001A3E20" w:rsidRPr="00F15FE6" w:rsidRDefault="005B5D44" w:rsidP="00F313FB">
      <w:pPr>
        <w:numPr>
          <w:ilvl w:val="1"/>
          <w:numId w:val="2"/>
        </w:numPr>
        <w:tabs>
          <w:tab w:val="clear" w:pos="1200"/>
          <w:tab w:val="left" w:pos="1134"/>
        </w:tabs>
        <w:spacing w:after="120" w:line="240" w:lineRule="auto"/>
        <w:ind w:left="709" w:right="584" w:firstLine="0"/>
        <w:jc w:val="both"/>
        <w:rPr>
          <w:rFonts w:ascii="Cambria" w:hAnsi="Cambria"/>
          <w:sz w:val="20"/>
          <w:szCs w:val="20"/>
          <w:lang w:val="es-AR"/>
        </w:rPr>
      </w:pPr>
      <w:r w:rsidRPr="00F15FE6">
        <w:rPr>
          <w:rFonts w:ascii="Cambria" w:hAnsi="Cambria" w:cs="Arial"/>
          <w:sz w:val="20"/>
          <w:szCs w:val="20"/>
          <w:lang w:val="es-PE"/>
        </w:rPr>
        <w:t>E</w:t>
      </w:r>
      <w:r w:rsidR="001A3E20" w:rsidRPr="00F15FE6">
        <w:rPr>
          <w:rFonts w:ascii="Cambria" w:hAnsi="Cambria" w:cs="Arial"/>
          <w:sz w:val="20"/>
          <w:szCs w:val="20"/>
          <w:lang w:val="es-PE"/>
        </w:rPr>
        <w:t xml:space="preserve">l derecho a la integridad personal conforme al artículo 5.1 de la Convención Americana en relación con el artículo 1.1 del mencionado instrumento, en perjuicio de </w:t>
      </w:r>
      <w:r w:rsidR="00C701F2">
        <w:rPr>
          <w:rFonts w:ascii="Cambria" w:hAnsi="Cambria" w:cs="Arial"/>
          <w:sz w:val="20"/>
          <w:szCs w:val="20"/>
          <w:lang w:val="es-PE"/>
        </w:rPr>
        <w:t xml:space="preserve">su madre, </w:t>
      </w:r>
      <w:r w:rsidR="001A3E20" w:rsidRPr="00F15FE6">
        <w:rPr>
          <w:rFonts w:ascii="Cambria" w:hAnsi="Cambria" w:cs="Arial"/>
          <w:sz w:val="20"/>
          <w:szCs w:val="20"/>
          <w:lang w:val="es-PE"/>
        </w:rPr>
        <w:t xml:space="preserve">la señora Victoria </w:t>
      </w:r>
      <w:proofErr w:type="spellStart"/>
      <w:r w:rsidR="001A3E20" w:rsidRPr="00F15FE6">
        <w:rPr>
          <w:rFonts w:ascii="Cambria" w:hAnsi="Cambria" w:cs="Arial"/>
          <w:sz w:val="20"/>
          <w:szCs w:val="20"/>
          <w:lang w:val="es-PE"/>
        </w:rPr>
        <w:t>Vilcapoma</w:t>
      </w:r>
      <w:proofErr w:type="spellEnd"/>
      <w:r w:rsidR="001A3E20" w:rsidRPr="00F15FE6">
        <w:rPr>
          <w:rFonts w:ascii="Cambria" w:hAnsi="Cambria" w:cs="Arial"/>
          <w:sz w:val="20"/>
          <w:szCs w:val="20"/>
          <w:lang w:val="es-PE"/>
        </w:rPr>
        <w:t xml:space="preserve"> Taquia.</w:t>
      </w:r>
    </w:p>
    <w:p w:rsidR="001A3E20" w:rsidRPr="00F15FE6" w:rsidRDefault="001A3E20" w:rsidP="00DF0DE3">
      <w:pPr>
        <w:autoSpaceDE w:val="0"/>
        <w:autoSpaceDN w:val="0"/>
        <w:adjustRightInd w:val="0"/>
        <w:spacing w:after="0"/>
        <w:ind w:left="720" w:right="480"/>
        <w:jc w:val="both"/>
        <w:rPr>
          <w:rFonts w:ascii="Cambria" w:hAnsi="Cambria"/>
          <w:sz w:val="20"/>
          <w:szCs w:val="20"/>
          <w:lang w:val="es-AR"/>
        </w:rPr>
      </w:pPr>
    </w:p>
    <w:p w:rsidR="0045049C" w:rsidRDefault="0045049C" w:rsidP="00DF0DE3">
      <w:pPr>
        <w:autoSpaceDE w:val="0"/>
        <w:autoSpaceDN w:val="0"/>
        <w:adjustRightInd w:val="0"/>
        <w:spacing w:after="0"/>
        <w:ind w:left="720" w:right="480"/>
        <w:jc w:val="both"/>
        <w:rPr>
          <w:rFonts w:ascii="Cambria" w:hAnsi="Cambria"/>
          <w:sz w:val="20"/>
          <w:szCs w:val="20"/>
          <w:lang w:val="es-CO"/>
        </w:rPr>
      </w:pPr>
      <w:r>
        <w:rPr>
          <w:rFonts w:ascii="Cambria" w:hAnsi="Cambria"/>
          <w:sz w:val="20"/>
          <w:szCs w:val="20"/>
          <w:lang w:val="es-CO"/>
        </w:rPr>
        <w:t xml:space="preserve">Asimismo, </w:t>
      </w:r>
      <w:r w:rsidRPr="0045049C">
        <w:rPr>
          <w:rFonts w:ascii="Cambria" w:hAnsi="Cambria"/>
          <w:sz w:val="20"/>
          <w:szCs w:val="20"/>
          <w:lang w:val="es-CO"/>
        </w:rPr>
        <w:t>la Comisión solicita a la Corte que</w:t>
      </w:r>
      <w:r>
        <w:rPr>
          <w:rFonts w:ascii="Cambria" w:hAnsi="Cambria"/>
          <w:sz w:val="20"/>
          <w:szCs w:val="20"/>
          <w:lang w:val="es-CO"/>
        </w:rPr>
        <w:t xml:space="preserve"> establezca las siguientes medidas de reparación:</w:t>
      </w:r>
    </w:p>
    <w:p w:rsidR="003A5952" w:rsidRDefault="003A5952" w:rsidP="00DF0DE3">
      <w:pPr>
        <w:autoSpaceDE w:val="0"/>
        <w:autoSpaceDN w:val="0"/>
        <w:adjustRightInd w:val="0"/>
        <w:spacing w:after="0"/>
        <w:ind w:left="720" w:right="480"/>
        <w:jc w:val="both"/>
        <w:rPr>
          <w:rFonts w:ascii="Cambria" w:hAnsi="Cambria"/>
          <w:sz w:val="20"/>
          <w:szCs w:val="20"/>
          <w:lang w:val="es-CO"/>
        </w:rPr>
      </w:pPr>
    </w:p>
    <w:p w:rsidR="00810979" w:rsidRPr="00F15FE6" w:rsidRDefault="00810979" w:rsidP="00F313FB">
      <w:pPr>
        <w:numPr>
          <w:ilvl w:val="0"/>
          <w:numId w:val="3"/>
        </w:numPr>
        <w:spacing w:after="120" w:line="240" w:lineRule="auto"/>
        <w:ind w:left="709" w:right="584" w:firstLine="0"/>
        <w:jc w:val="both"/>
        <w:rPr>
          <w:rFonts w:ascii="Cambria" w:hAnsi="Cambria"/>
          <w:sz w:val="20"/>
          <w:szCs w:val="20"/>
          <w:lang w:val="es-AR"/>
        </w:rPr>
      </w:pPr>
      <w:r w:rsidRPr="00F15FE6">
        <w:rPr>
          <w:rFonts w:ascii="Cambria" w:hAnsi="Cambria"/>
          <w:sz w:val="20"/>
          <w:szCs w:val="20"/>
          <w:lang w:val="es-AR"/>
        </w:rPr>
        <w:t xml:space="preserve">Reabra la investigación por la violación a la integridad personal sufrida por el señor </w:t>
      </w:r>
      <w:proofErr w:type="spellStart"/>
      <w:r w:rsidRPr="00F15FE6">
        <w:rPr>
          <w:rFonts w:ascii="Cambria" w:hAnsi="Cambria"/>
          <w:sz w:val="20"/>
          <w:szCs w:val="20"/>
          <w:lang w:val="es-AR"/>
        </w:rPr>
        <w:t>Quispealaya</w:t>
      </w:r>
      <w:proofErr w:type="spellEnd"/>
      <w:r w:rsidRPr="00F15FE6">
        <w:rPr>
          <w:rFonts w:ascii="Cambria" w:hAnsi="Cambria"/>
          <w:sz w:val="20"/>
          <w:szCs w:val="20"/>
          <w:lang w:val="es-AR"/>
        </w:rPr>
        <w:t xml:space="preserve"> </w:t>
      </w:r>
      <w:proofErr w:type="spellStart"/>
      <w:r w:rsidRPr="00F15FE6">
        <w:rPr>
          <w:rFonts w:ascii="Cambria" w:hAnsi="Cambria"/>
          <w:sz w:val="20"/>
          <w:szCs w:val="20"/>
          <w:lang w:val="es-AR"/>
        </w:rPr>
        <w:t>Vilcapoma</w:t>
      </w:r>
      <w:proofErr w:type="spellEnd"/>
      <w:r w:rsidRPr="00F15FE6">
        <w:rPr>
          <w:rFonts w:ascii="Cambria" w:hAnsi="Cambria"/>
          <w:sz w:val="20"/>
          <w:szCs w:val="20"/>
          <w:lang w:val="es-AR"/>
        </w:rPr>
        <w:t xml:space="preserve"> y la conduzca de manera imparcial, efectiva y dentro de un plazo razonable, con el objeto de esclarecer los hechos de forma completa, identifique al o los autor(es) e imponga las sanciones que correspondan.  </w:t>
      </w:r>
    </w:p>
    <w:p w:rsidR="00810979" w:rsidRPr="00F15FE6" w:rsidRDefault="00810979" w:rsidP="00F313FB">
      <w:pPr>
        <w:numPr>
          <w:ilvl w:val="0"/>
          <w:numId w:val="3"/>
        </w:numPr>
        <w:spacing w:after="120" w:line="240" w:lineRule="auto"/>
        <w:ind w:left="709" w:right="584" w:firstLine="0"/>
        <w:jc w:val="both"/>
        <w:rPr>
          <w:rFonts w:ascii="Cambria" w:hAnsi="Cambria"/>
          <w:sz w:val="20"/>
          <w:szCs w:val="20"/>
          <w:lang w:val="es-AR"/>
        </w:rPr>
      </w:pPr>
      <w:r w:rsidRPr="00F15FE6">
        <w:rPr>
          <w:rFonts w:ascii="Cambria" w:hAnsi="Cambria"/>
          <w:sz w:val="20"/>
          <w:szCs w:val="20"/>
          <w:lang w:val="es-AR"/>
        </w:rPr>
        <w:t>Repare adecuadamente las violaciones de derechos humanos declaradas en el informe tanto en el aspecto material como moral, incluyendo una justa compensación.</w:t>
      </w:r>
    </w:p>
    <w:p w:rsidR="00810979" w:rsidRPr="00F15FE6" w:rsidRDefault="00810979" w:rsidP="00F313FB">
      <w:pPr>
        <w:numPr>
          <w:ilvl w:val="0"/>
          <w:numId w:val="3"/>
        </w:numPr>
        <w:spacing w:after="120" w:line="240" w:lineRule="auto"/>
        <w:ind w:left="709" w:right="584" w:firstLine="0"/>
        <w:jc w:val="both"/>
        <w:rPr>
          <w:rFonts w:ascii="Cambria" w:hAnsi="Cambria"/>
          <w:sz w:val="20"/>
          <w:szCs w:val="20"/>
          <w:lang w:val="es-CO"/>
        </w:rPr>
      </w:pPr>
      <w:r w:rsidRPr="00F15FE6">
        <w:rPr>
          <w:rFonts w:ascii="Cambria" w:hAnsi="Cambria"/>
          <w:sz w:val="20"/>
          <w:szCs w:val="20"/>
          <w:lang w:val="es-AR"/>
        </w:rPr>
        <w:t xml:space="preserve">Diseñe e implemente </w:t>
      </w:r>
      <w:r w:rsidRPr="00F15FE6">
        <w:rPr>
          <w:rFonts w:ascii="Cambria" w:hAnsi="Cambria" w:cs="Univers"/>
          <w:sz w:val="20"/>
          <w:szCs w:val="20"/>
          <w:lang w:val="es-CO"/>
        </w:rPr>
        <w:t>materiales de formación y cursos regulares sobre derechos humanos, y específicamente sobre los límites de la disciplina militar a la luz de las obligaciones asumidas por el Estado al ratificar instrumentos internacionales de derechos humanos.</w:t>
      </w:r>
    </w:p>
    <w:p w:rsidR="00810979" w:rsidRPr="00F15FE6" w:rsidRDefault="00810979" w:rsidP="00F313FB">
      <w:pPr>
        <w:numPr>
          <w:ilvl w:val="0"/>
          <w:numId w:val="3"/>
        </w:numPr>
        <w:spacing w:after="120" w:line="240" w:lineRule="auto"/>
        <w:ind w:left="709" w:right="584" w:firstLine="0"/>
        <w:jc w:val="both"/>
        <w:rPr>
          <w:rFonts w:ascii="Cambria" w:hAnsi="Cambria"/>
          <w:sz w:val="20"/>
          <w:szCs w:val="20"/>
          <w:lang w:val="es-AR"/>
        </w:rPr>
      </w:pPr>
      <w:r w:rsidRPr="00F15FE6">
        <w:rPr>
          <w:rFonts w:ascii="Cambria" w:hAnsi="Cambria"/>
          <w:sz w:val="20"/>
          <w:szCs w:val="20"/>
          <w:lang w:val="es-AR"/>
        </w:rPr>
        <w:lastRenderedPageBreak/>
        <w:t>Se establezcan mecanismos eficientes para que los jóvenes que realizan el servicio militar puedan denunciar los casos de maltratos o abusos, los cuales garanticen el respeto a las reglas del debido proceso, y eliminen la posibilidad de cualquier tipo de represalia por parte de los agresores.</w:t>
      </w:r>
    </w:p>
    <w:p w:rsidR="003A5952" w:rsidRPr="00F15FE6" w:rsidRDefault="00810979" w:rsidP="00F313FB">
      <w:pPr>
        <w:numPr>
          <w:ilvl w:val="0"/>
          <w:numId w:val="3"/>
        </w:numPr>
        <w:spacing w:after="120" w:line="240" w:lineRule="auto"/>
        <w:ind w:left="709" w:right="584" w:firstLine="0"/>
        <w:jc w:val="both"/>
        <w:rPr>
          <w:rFonts w:ascii="Cambria" w:hAnsi="Cambria"/>
          <w:sz w:val="20"/>
          <w:szCs w:val="20"/>
          <w:lang w:val="es-AR"/>
        </w:rPr>
      </w:pPr>
      <w:r w:rsidRPr="00F15FE6">
        <w:rPr>
          <w:rFonts w:ascii="Cambria" w:hAnsi="Cambria"/>
          <w:sz w:val="20"/>
          <w:szCs w:val="20"/>
          <w:lang w:val="es-AR"/>
        </w:rPr>
        <w:t>Fortalezca la capacidad del poder judicial de investigar de forma adecuada y eficiente las denuncias de tortura y violaciones a la integridad personal que se realicen por parte de jóvenes que realizan el servicio militar.</w:t>
      </w:r>
    </w:p>
    <w:p w:rsidR="0045049C" w:rsidRPr="00F15FE6" w:rsidRDefault="0045049C" w:rsidP="00DF0DE3">
      <w:pPr>
        <w:autoSpaceDE w:val="0"/>
        <w:autoSpaceDN w:val="0"/>
        <w:adjustRightInd w:val="0"/>
        <w:spacing w:after="0"/>
        <w:ind w:left="720" w:right="480"/>
        <w:jc w:val="both"/>
        <w:rPr>
          <w:rFonts w:ascii="Cambria" w:hAnsi="Cambria"/>
          <w:sz w:val="20"/>
          <w:szCs w:val="20"/>
          <w:lang w:val="es-AR"/>
        </w:rPr>
      </w:pPr>
    </w:p>
    <w:p w:rsidR="007F123F" w:rsidRPr="00F15FE6" w:rsidRDefault="00121A9F" w:rsidP="007F123F">
      <w:pPr>
        <w:autoSpaceDE w:val="0"/>
        <w:autoSpaceDN w:val="0"/>
        <w:adjustRightInd w:val="0"/>
        <w:spacing w:after="0"/>
        <w:ind w:firstLine="720"/>
        <w:jc w:val="both"/>
        <w:rPr>
          <w:rFonts w:ascii="Cambria" w:hAnsi="Cambria" w:cs="Arial"/>
          <w:sz w:val="20"/>
          <w:szCs w:val="20"/>
          <w:lang w:val="es-CL"/>
        </w:rPr>
      </w:pPr>
      <w:r w:rsidRPr="00F15FE6">
        <w:rPr>
          <w:rFonts w:ascii="Cambria" w:hAnsi="Cambria" w:cs="Arial"/>
          <w:sz w:val="20"/>
          <w:szCs w:val="20"/>
          <w:lang w:val="es-CL"/>
        </w:rPr>
        <w:t>Además de la necesidad de obtención de justicia por la falta de cumplimiento de las recomendaciones del informe de fondo, la Comisión considera que el caso presenta cuestiones de orden público interamericano. Específicamente,</w:t>
      </w:r>
      <w:r w:rsidR="007F123F" w:rsidRPr="00F15FE6">
        <w:rPr>
          <w:rFonts w:ascii="Cambria" w:hAnsi="Cambria" w:cs="Arial"/>
          <w:sz w:val="20"/>
          <w:szCs w:val="20"/>
          <w:lang w:val="es-CL"/>
        </w:rPr>
        <w:t xml:space="preserve"> el presente caso </w:t>
      </w:r>
      <w:r w:rsidR="007F123F" w:rsidRPr="00E54B35">
        <w:rPr>
          <w:rFonts w:ascii="Cambria" w:hAnsi="Cambria" w:cs="Arial"/>
          <w:sz w:val="20"/>
          <w:szCs w:val="20"/>
          <w:lang w:val="es-CL"/>
        </w:rPr>
        <w:t>le permitirá</w:t>
      </w:r>
      <w:r w:rsidR="007F123F">
        <w:rPr>
          <w:rFonts w:ascii="Cambria" w:hAnsi="Cambria" w:cs="Arial"/>
          <w:sz w:val="20"/>
          <w:szCs w:val="20"/>
          <w:lang w:val="es-CL"/>
        </w:rPr>
        <w:t xml:space="preserve"> a la Corte </w:t>
      </w:r>
      <w:r w:rsidR="007F123F" w:rsidRPr="00E54B35">
        <w:rPr>
          <w:rFonts w:ascii="Cambria" w:hAnsi="Cambria" w:cs="Arial"/>
          <w:sz w:val="20"/>
          <w:szCs w:val="20"/>
          <w:lang w:val="es-CL"/>
        </w:rPr>
        <w:t>pronunciarse sobre hechos de posible tortura o tratos crueles, inhumanos o degradantes, en perjuicio de una persona que se encuentra prestando el servicio militar y que estaría sometida a conceptos tales como la “disciplina militar”. El caso permitirá un desarrollo de los límites que el derecho internacional de los derechos humanos y, en particular, la prohibición de tortura y de tratos crueles, inhumanos o degradantes, imponen a los reglamentos y prácticas en ámbitos militares. Asimismo, el caso permitirá establecer parámetros para asegurar mecanismos independientes e imparciales de control y rendición de cuentas sobre eventos que tienen lugar al interior de instalaciones militares y que pueden constituir violaciones al derecho a la integridad personal.</w:t>
      </w:r>
    </w:p>
    <w:p w:rsidR="00121A9F" w:rsidRPr="00F15FE6" w:rsidRDefault="00121A9F" w:rsidP="00DF0DE3">
      <w:pPr>
        <w:autoSpaceDE w:val="0"/>
        <w:autoSpaceDN w:val="0"/>
        <w:adjustRightInd w:val="0"/>
        <w:spacing w:after="0"/>
        <w:jc w:val="both"/>
        <w:rPr>
          <w:rFonts w:ascii="Cambria" w:hAnsi="Cambria" w:cs="Arial"/>
          <w:sz w:val="20"/>
          <w:szCs w:val="20"/>
          <w:lang w:val="es-CL"/>
        </w:rPr>
      </w:pPr>
    </w:p>
    <w:p w:rsidR="00121A9F" w:rsidRPr="00F15FE6" w:rsidRDefault="00121A9F" w:rsidP="00DF0DE3">
      <w:pPr>
        <w:autoSpaceDE w:val="0"/>
        <w:autoSpaceDN w:val="0"/>
        <w:adjustRightInd w:val="0"/>
        <w:spacing w:after="0"/>
        <w:ind w:firstLine="720"/>
        <w:jc w:val="both"/>
        <w:rPr>
          <w:rFonts w:ascii="Cambria" w:hAnsi="Cambria" w:cs="Arial"/>
          <w:sz w:val="20"/>
          <w:szCs w:val="20"/>
          <w:lang w:val="es-CL"/>
        </w:rPr>
      </w:pPr>
      <w:r w:rsidRPr="00F15FE6">
        <w:rPr>
          <w:rFonts w:ascii="Cambria" w:hAnsi="Cambria" w:cs="Arial"/>
          <w:sz w:val="20"/>
          <w:szCs w:val="20"/>
          <w:lang w:val="es-CL"/>
        </w:rPr>
        <w:t>En virtud de que estas cuestiones afectan de manera relevante el orden público interamericano, de conformidad con el artículo 35.1 f) del Reglamento de la Corte Interamericana, la Comisión se permite ofrecer la siguiente declaraci</w:t>
      </w:r>
      <w:r w:rsidR="0063258E" w:rsidRPr="00F15FE6">
        <w:rPr>
          <w:rFonts w:ascii="Cambria" w:hAnsi="Cambria" w:cs="Arial"/>
          <w:sz w:val="20"/>
          <w:szCs w:val="20"/>
          <w:lang w:val="es-CL"/>
        </w:rPr>
        <w:t>ón pericial:</w:t>
      </w:r>
    </w:p>
    <w:p w:rsidR="00121A9F" w:rsidRPr="00F15FE6" w:rsidRDefault="00121A9F" w:rsidP="00DF0DE3">
      <w:pPr>
        <w:autoSpaceDE w:val="0"/>
        <w:autoSpaceDN w:val="0"/>
        <w:adjustRightInd w:val="0"/>
        <w:spacing w:after="0"/>
        <w:ind w:right="480"/>
        <w:jc w:val="both"/>
        <w:rPr>
          <w:rFonts w:ascii="Cambria" w:hAnsi="Cambria" w:cs="Arial"/>
          <w:sz w:val="20"/>
          <w:szCs w:val="20"/>
          <w:lang w:val="es-CL"/>
        </w:rPr>
      </w:pPr>
    </w:p>
    <w:p w:rsidR="00121A9F" w:rsidRPr="00F15FE6" w:rsidRDefault="00121A9F" w:rsidP="0062109D">
      <w:pPr>
        <w:autoSpaceDE w:val="0"/>
        <w:autoSpaceDN w:val="0"/>
        <w:adjustRightInd w:val="0"/>
        <w:spacing w:after="0"/>
        <w:ind w:firstLine="720"/>
        <w:jc w:val="both"/>
        <w:rPr>
          <w:rFonts w:ascii="Cambria" w:hAnsi="Cambria" w:cs="Courier New"/>
          <w:sz w:val="20"/>
          <w:szCs w:val="20"/>
          <w:lang w:val="es-ES_tradnl"/>
        </w:rPr>
      </w:pPr>
      <w:r w:rsidRPr="00F15FE6">
        <w:rPr>
          <w:rFonts w:ascii="Cambria" w:hAnsi="Cambria" w:cs="Courier New"/>
          <w:b/>
          <w:sz w:val="20"/>
          <w:szCs w:val="20"/>
          <w:lang w:val="es-ES_tradnl"/>
        </w:rPr>
        <w:t>Perito/a cuyo nombre será informado a la brevedad</w:t>
      </w:r>
      <w:r w:rsidRPr="00F15FE6">
        <w:rPr>
          <w:rFonts w:ascii="Cambria" w:hAnsi="Cambria" w:cs="Courier New"/>
          <w:sz w:val="20"/>
          <w:szCs w:val="20"/>
          <w:lang w:val="es-ES_tradnl"/>
        </w:rPr>
        <w:t xml:space="preserve">, </w:t>
      </w:r>
      <w:r w:rsidR="0062109D" w:rsidRPr="00F15FE6">
        <w:rPr>
          <w:rFonts w:ascii="Cambria" w:hAnsi="Cambria" w:cs="Courier New"/>
          <w:sz w:val="20"/>
          <w:szCs w:val="20"/>
          <w:lang w:val="es-ES_tradnl"/>
        </w:rPr>
        <w:t xml:space="preserve">quien declarará sobre </w:t>
      </w:r>
      <w:r w:rsidR="0062109D" w:rsidRPr="00E54B35">
        <w:rPr>
          <w:rFonts w:ascii="Cambria" w:eastAsia="Times New Roman" w:hAnsi="Cambria" w:cs="Courier New"/>
          <w:sz w:val="20"/>
          <w:szCs w:val="20"/>
          <w:lang w:val="es-ES_tradnl"/>
        </w:rPr>
        <w:t>los límites que el derecho internacional de los derechos humanos y, en particular, la prohibición absoluta de la tortura y de tratos crueles, inhumanos y degradantes, impone a reglamentos o prácticas asociados con la disciplina militar, en el ámbito de la prestación del servicio militar. El/la perito/a se referirá también a la obligación estatal de investigar posibles afectaciones a la integridad personal al interior de instalaciones militares, así como a los parámetros mínimos que deben considerarse en una política de prevención de este tipo de situaciones.</w:t>
      </w:r>
    </w:p>
    <w:p w:rsidR="0062109D" w:rsidRPr="00F15FE6" w:rsidRDefault="0062109D" w:rsidP="00DF0DE3">
      <w:pPr>
        <w:tabs>
          <w:tab w:val="left" w:pos="0"/>
        </w:tabs>
        <w:spacing w:after="0"/>
        <w:ind w:firstLine="720"/>
        <w:jc w:val="both"/>
        <w:rPr>
          <w:rFonts w:ascii="Cambria" w:hAnsi="Cambria"/>
          <w:sz w:val="20"/>
          <w:szCs w:val="20"/>
          <w:lang w:val="es-AR"/>
        </w:rPr>
      </w:pPr>
    </w:p>
    <w:p w:rsidR="00121A9F" w:rsidRPr="00F15FE6" w:rsidRDefault="0062109D" w:rsidP="00F313FB">
      <w:pPr>
        <w:tabs>
          <w:tab w:val="left" w:pos="0"/>
        </w:tabs>
        <w:spacing w:after="0"/>
        <w:ind w:firstLine="720"/>
        <w:jc w:val="both"/>
        <w:rPr>
          <w:rFonts w:ascii="Cambria" w:hAnsi="Cambria"/>
          <w:sz w:val="20"/>
          <w:szCs w:val="20"/>
          <w:lang w:val="es-CO"/>
        </w:rPr>
      </w:pPr>
      <w:r w:rsidRPr="00F15FE6">
        <w:rPr>
          <w:rFonts w:ascii="Cambria" w:hAnsi="Cambria"/>
          <w:sz w:val="20"/>
          <w:szCs w:val="20"/>
          <w:lang w:val="es-AR"/>
        </w:rPr>
        <w:t>El CV del/la perito/</w:t>
      </w:r>
      <w:proofErr w:type="spellStart"/>
      <w:r w:rsidRPr="00F15FE6">
        <w:rPr>
          <w:rFonts w:ascii="Cambria" w:hAnsi="Cambria"/>
          <w:sz w:val="20"/>
          <w:szCs w:val="20"/>
          <w:lang w:val="es-AR"/>
        </w:rPr>
        <w:t>a</w:t>
      </w:r>
      <w:proofErr w:type="spellEnd"/>
      <w:r w:rsidRPr="00F15FE6">
        <w:rPr>
          <w:rFonts w:ascii="Cambria" w:hAnsi="Cambria"/>
          <w:sz w:val="20"/>
          <w:szCs w:val="20"/>
          <w:lang w:val="es-AR"/>
        </w:rPr>
        <w:t xml:space="preserve"> ofrecido/a </w:t>
      </w:r>
      <w:r w:rsidR="00121A9F" w:rsidRPr="00F15FE6">
        <w:rPr>
          <w:rFonts w:ascii="Cambria" w:hAnsi="Cambria"/>
          <w:sz w:val="20"/>
          <w:szCs w:val="20"/>
          <w:lang w:val="es-CO"/>
        </w:rPr>
        <w:t>será incluido en los anexos al i</w:t>
      </w:r>
      <w:r w:rsidR="00D36227" w:rsidRPr="00F15FE6">
        <w:rPr>
          <w:rFonts w:ascii="Cambria" w:hAnsi="Cambria"/>
          <w:sz w:val="20"/>
          <w:szCs w:val="20"/>
          <w:lang w:val="es-CO"/>
        </w:rPr>
        <w:t>nforme de fondo 84</w:t>
      </w:r>
      <w:r w:rsidR="00121A9F" w:rsidRPr="00F15FE6">
        <w:rPr>
          <w:rFonts w:ascii="Cambria" w:hAnsi="Cambria"/>
          <w:sz w:val="20"/>
          <w:szCs w:val="20"/>
          <w:lang w:val="es-CO"/>
        </w:rPr>
        <w:t>/13</w:t>
      </w:r>
      <w:r w:rsidR="00F313FB" w:rsidRPr="00F15FE6">
        <w:rPr>
          <w:rFonts w:ascii="Cambria" w:hAnsi="Cambria"/>
          <w:sz w:val="20"/>
          <w:szCs w:val="20"/>
          <w:lang w:val="es-CO"/>
        </w:rPr>
        <w:t xml:space="preserve">. </w:t>
      </w:r>
      <w:r w:rsidR="00121A9F" w:rsidRPr="00F15FE6">
        <w:rPr>
          <w:rFonts w:ascii="Cambria" w:hAnsi="Cambria"/>
          <w:sz w:val="20"/>
          <w:szCs w:val="20"/>
          <w:lang w:val="es-ES_tradnl"/>
        </w:rPr>
        <w:t xml:space="preserve">La Comisión pone </w:t>
      </w:r>
      <w:r w:rsidR="004C5671" w:rsidRPr="00F15FE6">
        <w:rPr>
          <w:rFonts w:ascii="Cambria" w:hAnsi="Cambria"/>
          <w:sz w:val="20"/>
          <w:szCs w:val="20"/>
          <w:lang w:val="es-ES_tradnl"/>
        </w:rPr>
        <w:t>en conocimiento de la Corte los siguientes datos sobre quienes han actuado como peticionarios a lo largo del trámite</w:t>
      </w:r>
      <w:r w:rsidR="00121A9F" w:rsidRPr="00F15FE6">
        <w:rPr>
          <w:rFonts w:ascii="Cambria" w:hAnsi="Cambria"/>
          <w:sz w:val="20"/>
          <w:szCs w:val="20"/>
          <w:lang w:val="es-ES_tradnl"/>
        </w:rPr>
        <w:t xml:space="preserve">: </w:t>
      </w:r>
    </w:p>
    <w:p w:rsidR="00121A9F" w:rsidRPr="00F15FE6" w:rsidRDefault="00121A9F" w:rsidP="00DF0DE3">
      <w:pPr>
        <w:autoSpaceDE w:val="0"/>
        <w:autoSpaceDN w:val="0"/>
        <w:adjustRightInd w:val="0"/>
        <w:spacing w:after="0"/>
        <w:jc w:val="center"/>
        <w:rPr>
          <w:rFonts w:ascii="Cambria" w:hAnsi="Cambria" w:cs="Arial"/>
          <w:sz w:val="20"/>
          <w:szCs w:val="20"/>
          <w:lang w:val="es-ES_tradnl"/>
        </w:rPr>
      </w:pPr>
    </w:p>
    <w:p w:rsidR="00121A9F" w:rsidRPr="00F15FE6" w:rsidRDefault="00650185" w:rsidP="00DF0DE3">
      <w:pPr>
        <w:autoSpaceDE w:val="0"/>
        <w:autoSpaceDN w:val="0"/>
        <w:adjustRightInd w:val="0"/>
        <w:spacing w:after="0"/>
        <w:jc w:val="center"/>
        <w:rPr>
          <w:rFonts w:ascii="Cambria" w:hAnsi="Cambria" w:cs="Arial"/>
          <w:sz w:val="20"/>
          <w:szCs w:val="20"/>
          <w:lang w:val="es-ES_tradnl"/>
        </w:rPr>
      </w:pPr>
      <w:proofErr w:type="spellStart"/>
      <w:r w:rsidRPr="00F15FE6">
        <w:rPr>
          <w:rFonts w:ascii="Cambria" w:hAnsi="Cambria" w:cs="Arial"/>
          <w:sz w:val="20"/>
          <w:szCs w:val="20"/>
          <w:lang w:val="es-ES_tradnl"/>
        </w:rPr>
        <w:t>Nataly</w:t>
      </w:r>
      <w:proofErr w:type="spellEnd"/>
      <w:r w:rsidRPr="00F15FE6">
        <w:rPr>
          <w:rFonts w:ascii="Cambria" w:hAnsi="Cambria" w:cs="Arial"/>
          <w:sz w:val="20"/>
          <w:szCs w:val="20"/>
          <w:lang w:val="es-ES_tradnl"/>
        </w:rPr>
        <w:t xml:space="preserve"> Herrera</w:t>
      </w:r>
    </w:p>
    <w:p w:rsidR="00121A9F" w:rsidRPr="00F15FE6" w:rsidRDefault="00F313FB" w:rsidP="00DF0DE3">
      <w:pPr>
        <w:autoSpaceDE w:val="0"/>
        <w:autoSpaceDN w:val="0"/>
        <w:adjustRightInd w:val="0"/>
        <w:spacing w:after="0"/>
        <w:jc w:val="center"/>
        <w:rPr>
          <w:rFonts w:ascii="Cambria" w:hAnsi="Cambria" w:cs="Arial"/>
          <w:sz w:val="20"/>
          <w:szCs w:val="20"/>
          <w:lang w:val="es-ES_tradnl"/>
        </w:rPr>
      </w:pPr>
      <w:r w:rsidRPr="00F15FE6">
        <w:rPr>
          <w:rFonts w:ascii="Cambria" w:hAnsi="Cambria" w:cs="Arial"/>
          <w:sz w:val="20"/>
          <w:szCs w:val="20"/>
          <w:lang w:val="es-ES_tradnl"/>
        </w:rPr>
        <w:t>Comisión de Derechos Humanos - COMISEDH</w:t>
      </w:r>
    </w:p>
    <w:p w:rsidR="00121A9F" w:rsidRPr="00F313FB" w:rsidRDefault="008E5246" w:rsidP="00DF0DE3">
      <w:pPr>
        <w:autoSpaceDE w:val="0"/>
        <w:autoSpaceDN w:val="0"/>
        <w:adjustRightInd w:val="0"/>
        <w:spacing w:after="0"/>
        <w:jc w:val="center"/>
        <w:rPr>
          <w:rFonts w:ascii="Times New Roman" w:hAnsi="Times New Roman" w:hint="eastAsia"/>
          <w:sz w:val="20"/>
          <w:szCs w:val="20"/>
          <w:lang w:val="es-ES_tradnl" w:eastAsia="ko-KR"/>
        </w:rPr>
      </w:pPr>
      <w:proofErr w:type="spellStart"/>
      <w:proofErr w:type="gramStart"/>
      <w:r w:rsidRPr="008E5246">
        <w:rPr>
          <w:rFonts w:ascii="Cambria" w:hAnsi="Cambria" w:cs="Arial"/>
          <w:sz w:val="20"/>
          <w:szCs w:val="20"/>
          <w:highlight w:val="black"/>
          <w:lang w:val="es-ES_tradnl"/>
        </w:rPr>
        <w:t>xxxxxxxxxxxxxxxxxxxxxxxxxxx</w:t>
      </w:r>
      <w:proofErr w:type="spellEnd"/>
      <w:proofErr w:type="gramEnd"/>
    </w:p>
    <w:p w:rsidR="00121A9F" w:rsidRPr="00F15FE6" w:rsidRDefault="00121A9F" w:rsidP="00DF0DE3">
      <w:pPr>
        <w:autoSpaceDE w:val="0"/>
        <w:autoSpaceDN w:val="0"/>
        <w:adjustRightInd w:val="0"/>
        <w:spacing w:after="0"/>
        <w:jc w:val="center"/>
        <w:rPr>
          <w:rFonts w:ascii="Cambria" w:hAnsi="Cambria" w:cs="Arial"/>
          <w:sz w:val="20"/>
          <w:szCs w:val="20"/>
          <w:lang w:val="es-ES_tradnl"/>
        </w:rPr>
      </w:pPr>
    </w:p>
    <w:p w:rsidR="00121A9F" w:rsidRPr="00F15FE6" w:rsidRDefault="00121A9F" w:rsidP="00DF0DE3">
      <w:pPr>
        <w:tabs>
          <w:tab w:val="left" w:pos="0"/>
        </w:tabs>
        <w:spacing w:after="0"/>
        <w:ind w:firstLine="720"/>
        <w:jc w:val="both"/>
        <w:rPr>
          <w:rFonts w:ascii="Cambria" w:hAnsi="Cambria" w:cs="Arial"/>
          <w:sz w:val="20"/>
          <w:szCs w:val="20"/>
          <w:lang w:val="es-CO"/>
        </w:rPr>
      </w:pPr>
      <w:r w:rsidRPr="00F15FE6">
        <w:rPr>
          <w:rFonts w:ascii="Cambria" w:hAnsi="Cambria" w:cs="Arial"/>
          <w:sz w:val="20"/>
          <w:szCs w:val="20"/>
          <w:lang w:val="es-CO"/>
        </w:rPr>
        <w:t>Aprovecho la oportunidad para saludar a usted muy atentamente,</w:t>
      </w:r>
    </w:p>
    <w:p w:rsidR="00121A9F" w:rsidRPr="00F15FE6" w:rsidRDefault="00121A9F" w:rsidP="00DF0DE3">
      <w:pPr>
        <w:suppressAutoHyphens/>
        <w:spacing w:after="0"/>
        <w:rPr>
          <w:rFonts w:ascii="Cambria" w:hAnsi="Cambria" w:cs="Arial"/>
          <w:snapToGrid w:val="0"/>
          <w:sz w:val="20"/>
          <w:szCs w:val="20"/>
          <w:lang w:val="es-CO"/>
        </w:rPr>
      </w:pPr>
    </w:p>
    <w:p w:rsidR="00121A9F" w:rsidRPr="00B96A07" w:rsidRDefault="00121A9F" w:rsidP="00DF0DE3">
      <w:pPr>
        <w:suppressAutoHyphens/>
        <w:spacing w:after="0"/>
        <w:jc w:val="center"/>
        <w:rPr>
          <w:rFonts w:ascii="Cambria" w:hAnsi="Cambria" w:cs="Arial"/>
          <w:i/>
          <w:snapToGrid w:val="0"/>
          <w:color w:val="A6A6A6"/>
          <w:sz w:val="20"/>
          <w:szCs w:val="20"/>
          <w:lang w:val="es-CO"/>
        </w:rPr>
      </w:pPr>
      <w:r w:rsidRPr="00F15FE6">
        <w:rPr>
          <w:rFonts w:ascii="Cambria" w:hAnsi="Cambria" w:cs="Arial"/>
          <w:snapToGrid w:val="0"/>
          <w:sz w:val="20"/>
          <w:szCs w:val="20"/>
          <w:lang w:val="es-CO"/>
        </w:rPr>
        <w:t xml:space="preserve">                                                             </w:t>
      </w:r>
      <w:r w:rsidR="008E5246">
        <w:rPr>
          <w:rFonts w:ascii="Cambria" w:hAnsi="Cambria" w:cs="Arial"/>
          <w:snapToGrid w:val="0"/>
          <w:sz w:val="20"/>
          <w:szCs w:val="20"/>
          <w:lang w:val="es-CO"/>
        </w:rPr>
        <w:tab/>
      </w:r>
      <w:r w:rsidR="008E5246">
        <w:rPr>
          <w:rFonts w:ascii="Cambria" w:hAnsi="Cambria" w:cs="Arial"/>
          <w:snapToGrid w:val="0"/>
          <w:sz w:val="20"/>
          <w:szCs w:val="20"/>
          <w:lang w:val="es-CO"/>
        </w:rPr>
        <w:tab/>
      </w:r>
      <w:r w:rsidR="008E5246">
        <w:rPr>
          <w:rFonts w:ascii="Cambria" w:hAnsi="Cambria" w:cs="Arial"/>
          <w:snapToGrid w:val="0"/>
          <w:sz w:val="20"/>
          <w:szCs w:val="20"/>
          <w:lang w:val="es-CO"/>
        </w:rPr>
        <w:tab/>
      </w:r>
      <w:r w:rsidRPr="00F15FE6">
        <w:rPr>
          <w:rFonts w:ascii="Cambria" w:hAnsi="Cambria" w:cs="Arial"/>
          <w:snapToGrid w:val="0"/>
          <w:sz w:val="20"/>
          <w:szCs w:val="20"/>
          <w:lang w:val="es-CO"/>
        </w:rPr>
        <w:t xml:space="preserve">  </w:t>
      </w:r>
      <w:r w:rsidR="008E5246" w:rsidRPr="00B96A07">
        <w:rPr>
          <w:rFonts w:ascii="Cambria" w:hAnsi="Cambria" w:cs="Arial"/>
          <w:i/>
          <w:snapToGrid w:val="0"/>
          <w:color w:val="A6A6A6"/>
          <w:sz w:val="20"/>
          <w:szCs w:val="20"/>
          <w:lang w:val="es-CO"/>
        </w:rPr>
        <w:tab/>
        <w:t>Firmado en el original</w:t>
      </w:r>
      <w:r w:rsidRPr="00B96A07">
        <w:rPr>
          <w:rFonts w:ascii="Cambria" w:hAnsi="Cambria" w:cs="Arial"/>
          <w:i/>
          <w:snapToGrid w:val="0"/>
          <w:color w:val="A6A6A6"/>
          <w:sz w:val="20"/>
          <w:szCs w:val="20"/>
          <w:lang w:val="es-CO"/>
        </w:rPr>
        <w:t xml:space="preserve">                                            </w:t>
      </w:r>
    </w:p>
    <w:p w:rsidR="00121A9F" w:rsidRPr="00F15FE6" w:rsidRDefault="00121A9F" w:rsidP="00DF0DE3">
      <w:pPr>
        <w:suppressAutoHyphens/>
        <w:spacing w:after="0"/>
        <w:rPr>
          <w:rFonts w:ascii="Cambria" w:hAnsi="Cambria" w:cs="Arial"/>
          <w:snapToGrid w:val="0"/>
          <w:sz w:val="20"/>
          <w:szCs w:val="20"/>
          <w:lang w:val="es-CO"/>
        </w:rPr>
      </w:pPr>
    </w:p>
    <w:p w:rsidR="00121A9F" w:rsidRPr="00F15FE6" w:rsidRDefault="00121A9F" w:rsidP="00DF0DE3">
      <w:pPr>
        <w:suppressAutoHyphens/>
        <w:spacing w:after="0"/>
        <w:ind w:left="5760" w:firstLine="720"/>
        <w:rPr>
          <w:rFonts w:ascii="Cambria" w:hAnsi="Cambria" w:cs="Arial"/>
          <w:snapToGrid w:val="0"/>
          <w:sz w:val="20"/>
          <w:szCs w:val="20"/>
          <w:lang w:val="es-CO"/>
        </w:rPr>
      </w:pPr>
      <w:r w:rsidRPr="00F15FE6">
        <w:rPr>
          <w:rFonts w:ascii="Cambria" w:hAnsi="Cambria" w:cs="Arial"/>
          <w:snapToGrid w:val="0"/>
          <w:sz w:val="20"/>
          <w:szCs w:val="20"/>
          <w:lang w:val="es-CO"/>
        </w:rPr>
        <w:t>Elizabeth Abi-Mershed</w:t>
      </w:r>
    </w:p>
    <w:p w:rsidR="00822ECD" w:rsidRPr="00F15FE6" w:rsidRDefault="00121A9F" w:rsidP="00F313FB">
      <w:pPr>
        <w:suppressAutoHyphens/>
        <w:spacing w:after="0"/>
        <w:ind w:left="5040" w:firstLine="720"/>
        <w:rPr>
          <w:rFonts w:ascii="Cambria" w:hAnsi="Cambria"/>
          <w:sz w:val="20"/>
          <w:szCs w:val="20"/>
        </w:rPr>
      </w:pPr>
      <w:r w:rsidRPr="00F15FE6">
        <w:rPr>
          <w:rFonts w:ascii="Cambria" w:hAnsi="Cambria" w:cs="Arial"/>
          <w:snapToGrid w:val="0"/>
          <w:sz w:val="20"/>
          <w:szCs w:val="20"/>
          <w:lang w:val="es-CO"/>
        </w:rPr>
        <w:t xml:space="preserve">     </w:t>
      </w:r>
      <w:r w:rsidR="00F313FB" w:rsidRPr="00F15FE6">
        <w:rPr>
          <w:rFonts w:ascii="Cambria" w:hAnsi="Cambria" w:cs="Arial"/>
          <w:snapToGrid w:val="0"/>
          <w:sz w:val="20"/>
          <w:szCs w:val="20"/>
          <w:lang w:val="es-CO"/>
        </w:rPr>
        <w:t xml:space="preserve">   </w:t>
      </w:r>
      <w:r w:rsidR="00CC61C5" w:rsidRPr="00F15FE6">
        <w:rPr>
          <w:rFonts w:ascii="Cambria" w:hAnsi="Cambria" w:cs="Arial"/>
          <w:snapToGrid w:val="0"/>
          <w:sz w:val="20"/>
          <w:szCs w:val="20"/>
          <w:lang w:val="es-CO"/>
        </w:rPr>
        <w:t xml:space="preserve">  </w:t>
      </w:r>
      <w:r w:rsidR="00F313FB" w:rsidRPr="00F15FE6">
        <w:rPr>
          <w:rFonts w:ascii="Cambria" w:hAnsi="Cambria" w:cs="Arial"/>
          <w:snapToGrid w:val="0"/>
          <w:sz w:val="20"/>
          <w:szCs w:val="20"/>
          <w:lang w:val="es-CO"/>
        </w:rPr>
        <w:t xml:space="preserve"> Secretaria Ejecutiva Adjunta</w:t>
      </w:r>
    </w:p>
    <w:sectPr w:rsidR="00822ECD" w:rsidRPr="00F15FE6" w:rsidSect="00F15FE6">
      <w:headerReference w:type="default" r:id="rId8"/>
      <w:footerReference w:type="default" r:id="rId9"/>
      <w:pgSz w:w="12240" w:h="15840" w:code="1"/>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4238" w:rsidRDefault="00334238">
      <w:pPr>
        <w:spacing w:after="0" w:line="240" w:lineRule="auto"/>
      </w:pPr>
      <w:r>
        <w:separator/>
      </w:r>
    </w:p>
  </w:endnote>
  <w:endnote w:type="continuationSeparator" w:id="0">
    <w:p w:rsidR="00334238" w:rsidRDefault="003342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allibri">
    <w:altName w:val="Times New Roman"/>
    <w:panose1 w:val="00000000000000000000"/>
    <w:charset w:val="4D"/>
    <w:family w:val="roman"/>
    <w:notTrueType/>
    <w:pitch w:val="default"/>
    <w:sig w:usb0="00000003" w:usb1="00000000" w:usb2="00000000" w:usb3="00000000" w:csb0="00000001" w:csb1="00000000"/>
  </w:font>
  <w:font w:name="Univers">
    <w:altName w:val="Arial"/>
    <w:charset w:val="00"/>
    <w:family w:val="swiss"/>
    <w:pitch w:val="variable"/>
    <w:sig w:usb0="00000007" w:usb1="00000000" w:usb2="00000000" w:usb3="00000000" w:csb0="00000093"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5FE6" w:rsidRDefault="00F15FE6" w:rsidP="00F15FE6">
    <w:pPr>
      <w:pStyle w:val="Piedepgina"/>
      <w:spacing w:line="360" w:lineRule="auto"/>
    </w:pPr>
    <w:r>
      <w:pict>
        <v:rect id="_x0000_i1026" style="width:0;height:1.5pt" o:hralign="center" o:hrstd="t" o:hr="t" fillcolor="#a0a0a0" stroked="f"/>
      </w:pict>
    </w:r>
  </w:p>
  <w:p w:rsidR="00F15FE6" w:rsidRDefault="00F15FE6" w:rsidP="00F15FE6">
    <w:pPr>
      <w:pStyle w:val="Piedepgina"/>
      <w:jc w:val="center"/>
    </w:pPr>
    <w:r w:rsidRPr="008A5CB5">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 o:spid="_x0000_i1029" type="#_x0000_t75" style="width:402.75pt;height:25.5pt;visibility:visible">
          <v:imagedata r:id="rId1" o:title="footer-es"/>
        </v:shape>
      </w:pict>
    </w:r>
  </w:p>
  <w:p w:rsidR="00F15FE6" w:rsidRDefault="00F15FE6" w:rsidP="00F15FE6">
    <w:pPr>
      <w:pStyle w:val="Piedepgina"/>
    </w:pPr>
  </w:p>
  <w:p w:rsidR="00F15FE6" w:rsidRDefault="00F15FE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4238" w:rsidRDefault="00334238">
      <w:pPr>
        <w:spacing w:after="0" w:line="240" w:lineRule="auto"/>
      </w:pPr>
      <w:r>
        <w:separator/>
      </w:r>
    </w:p>
  </w:footnote>
  <w:footnote w:type="continuationSeparator" w:id="0">
    <w:p w:rsidR="00334238" w:rsidRDefault="0033423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5FE6" w:rsidRDefault="00F15FE6" w:rsidP="00F15FE6">
    <w:pPr>
      <w:pStyle w:val="Encabezado"/>
    </w:pPr>
    <w:r w:rsidRPr="008A5CB5">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7" type="#_x0000_t75" style="width:185.25pt;height:36pt;visibility:visible">
          <v:imagedata r:id="rId1" o:title="cidh-es"/>
        </v:shape>
      </w:pict>
    </w:r>
    <w:r>
      <w:tab/>
      <w:t xml:space="preserve">                                                                            </w:t>
    </w:r>
    <w:r w:rsidRPr="008A5CB5">
      <w:rPr>
        <w:noProof/>
      </w:rPr>
      <w:pict>
        <v:shape id="Picture 2" o:spid="_x0000_i1028" type="#_x0000_t75" style="width:129.75pt;height:37.5pt;visibility:visible">
          <v:imagedata r:id="rId2" o:title="oea-es"/>
        </v:shape>
      </w:pict>
    </w:r>
  </w:p>
  <w:p w:rsidR="00F15FE6" w:rsidRDefault="00F15FE6" w:rsidP="00F15FE6">
    <w:pPr>
      <w:pStyle w:val="Encabezado"/>
    </w:pPr>
  </w:p>
  <w:p w:rsidR="00F15FE6" w:rsidRDefault="00F15FE6" w:rsidP="00F15FE6">
    <w:pPr>
      <w:pStyle w:val="Encabezado"/>
    </w:pPr>
    <w:r>
      <w:pict>
        <v:rect id="_x0000_i1025" style="width:0;height:1.5pt" o:hralign="center" o:hrstd="t" o:hr="t" fillcolor="#a0a0a0" stroked="f"/>
      </w:pict>
    </w:r>
  </w:p>
  <w:p w:rsidR="00F15FE6" w:rsidRDefault="00F15FE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90029F"/>
    <w:multiLevelType w:val="hybridMultilevel"/>
    <w:tmpl w:val="C346E628"/>
    <w:lvl w:ilvl="0" w:tplc="5DF4F800">
      <w:start w:val="1"/>
      <w:numFmt w:val="decimal"/>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6B4460CA"/>
    <w:multiLevelType w:val="hybridMultilevel"/>
    <w:tmpl w:val="07B85AD8"/>
    <w:lvl w:ilvl="0" w:tplc="67D6E770">
      <w:start w:val="1"/>
      <w:numFmt w:val="decimal"/>
      <w:lvlText w:val="%1."/>
      <w:lvlJc w:val="left"/>
      <w:pPr>
        <w:tabs>
          <w:tab w:val="num" w:pos="927"/>
        </w:tabs>
        <w:ind w:left="927" w:hanging="360"/>
      </w:pPr>
      <w:rPr>
        <w:rFonts w:cs="Arial" w:hint="default"/>
        <w:sz w:val="20"/>
        <w:szCs w:val="20"/>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2">
    <w:nsid w:val="7AFB3831"/>
    <w:multiLevelType w:val="hybridMultilevel"/>
    <w:tmpl w:val="1474E3CC"/>
    <w:lvl w:ilvl="0" w:tplc="5D1A316A">
      <w:start w:val="2"/>
      <w:numFmt w:val="upperLetter"/>
      <w:lvlText w:val="%1."/>
      <w:lvlJc w:val="left"/>
      <w:pPr>
        <w:tabs>
          <w:tab w:val="num" w:pos="1440"/>
        </w:tabs>
        <w:ind w:left="1440" w:hanging="720"/>
      </w:pPr>
      <w:rPr>
        <w:rFonts w:hint="default"/>
      </w:rPr>
    </w:lvl>
    <w:lvl w:ilvl="1" w:tplc="BD42056E">
      <w:start w:val="1"/>
      <w:numFmt w:val="decimal"/>
      <w:lvlText w:val="%2."/>
      <w:lvlJc w:val="left"/>
      <w:pPr>
        <w:tabs>
          <w:tab w:val="num" w:pos="1200"/>
        </w:tabs>
        <w:ind w:left="12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oNotTrackMoves/>
  <w:defaultTabStop w:val="72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21A9F"/>
    <w:rsid w:val="000022B0"/>
    <w:rsid w:val="000977C3"/>
    <w:rsid w:val="000F1E91"/>
    <w:rsid w:val="00121A9F"/>
    <w:rsid w:val="001865EF"/>
    <w:rsid w:val="001A3E20"/>
    <w:rsid w:val="001F16D0"/>
    <w:rsid w:val="00232598"/>
    <w:rsid w:val="002612AF"/>
    <w:rsid w:val="00297C2D"/>
    <w:rsid w:val="002F1727"/>
    <w:rsid w:val="00334238"/>
    <w:rsid w:val="003A5952"/>
    <w:rsid w:val="003D30AF"/>
    <w:rsid w:val="004006D5"/>
    <w:rsid w:val="0045049C"/>
    <w:rsid w:val="004802B7"/>
    <w:rsid w:val="004A285A"/>
    <w:rsid w:val="004C5671"/>
    <w:rsid w:val="004E0F41"/>
    <w:rsid w:val="00532442"/>
    <w:rsid w:val="0053318C"/>
    <w:rsid w:val="005B5D44"/>
    <w:rsid w:val="0062109D"/>
    <w:rsid w:val="0063258E"/>
    <w:rsid w:val="00650185"/>
    <w:rsid w:val="006744F5"/>
    <w:rsid w:val="006C2963"/>
    <w:rsid w:val="007F123F"/>
    <w:rsid w:val="00810979"/>
    <w:rsid w:val="00814407"/>
    <w:rsid w:val="00822ECD"/>
    <w:rsid w:val="00893F82"/>
    <w:rsid w:val="008A06E7"/>
    <w:rsid w:val="008A360A"/>
    <w:rsid w:val="008C1878"/>
    <w:rsid w:val="008E5246"/>
    <w:rsid w:val="009A7A26"/>
    <w:rsid w:val="00AA5C0F"/>
    <w:rsid w:val="00AF7E55"/>
    <w:rsid w:val="00B1538A"/>
    <w:rsid w:val="00B96A07"/>
    <w:rsid w:val="00BA6CFB"/>
    <w:rsid w:val="00BD52BE"/>
    <w:rsid w:val="00C601FF"/>
    <w:rsid w:val="00C701F2"/>
    <w:rsid w:val="00C70B9B"/>
    <w:rsid w:val="00CC61C5"/>
    <w:rsid w:val="00D36227"/>
    <w:rsid w:val="00DB31D9"/>
    <w:rsid w:val="00DF0806"/>
    <w:rsid w:val="00DF0DE3"/>
    <w:rsid w:val="00EF0163"/>
    <w:rsid w:val="00F02B98"/>
    <w:rsid w:val="00F12B7B"/>
    <w:rsid w:val="00F15FE6"/>
    <w:rsid w:val="00F25538"/>
    <w:rsid w:val="00F313FB"/>
    <w:rsid w:val="00F75D5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Batang" w:hAnsi="Calibri"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21A9F"/>
    <w:pPr>
      <w:tabs>
        <w:tab w:val="center" w:pos="4680"/>
        <w:tab w:val="right" w:pos="9360"/>
      </w:tabs>
      <w:spacing w:after="0" w:line="240" w:lineRule="auto"/>
    </w:pPr>
  </w:style>
  <w:style w:type="character" w:customStyle="1" w:styleId="EncabezadoCar">
    <w:name w:val="Encabezado Car"/>
    <w:link w:val="Encabezado"/>
    <w:uiPriority w:val="99"/>
    <w:rsid w:val="00121A9F"/>
    <w:rPr>
      <w:sz w:val="22"/>
      <w:szCs w:val="22"/>
    </w:rPr>
  </w:style>
  <w:style w:type="paragraph" w:styleId="Piedepgina">
    <w:name w:val="footer"/>
    <w:basedOn w:val="Normal"/>
    <w:link w:val="PiedepginaCar"/>
    <w:rsid w:val="00121A9F"/>
    <w:pPr>
      <w:tabs>
        <w:tab w:val="center" w:pos="4320"/>
        <w:tab w:val="right" w:pos="8640"/>
      </w:tabs>
      <w:spacing w:after="0" w:line="240" w:lineRule="auto"/>
    </w:pPr>
    <w:rPr>
      <w:rFonts w:ascii="Times New Roman" w:eastAsia="Times New Roman" w:hAnsi="Times New Roman"/>
      <w:sz w:val="24"/>
      <w:szCs w:val="24"/>
      <w:lang w:val="es-ES" w:eastAsia="es-ES"/>
    </w:rPr>
  </w:style>
  <w:style w:type="character" w:customStyle="1" w:styleId="PiedepginaCar">
    <w:name w:val="Pie de página Car"/>
    <w:link w:val="Piedepgina"/>
    <w:rsid w:val="00121A9F"/>
    <w:rPr>
      <w:rFonts w:ascii="Times New Roman" w:eastAsia="Times New Roman" w:hAnsi="Times New Roman"/>
      <w:sz w:val="24"/>
      <w:szCs w:val="24"/>
      <w:lang w:val="es-ES" w:eastAsia="es-ES"/>
    </w:rPr>
  </w:style>
  <w:style w:type="character" w:styleId="Hipervnculo">
    <w:name w:val="Hyperlink"/>
    <w:rsid w:val="00121A9F"/>
    <w:rPr>
      <w:color w:val="0000FF"/>
      <w:u w:val="single"/>
    </w:rPr>
  </w:style>
  <w:style w:type="paragraph" w:styleId="Textoindependiente">
    <w:name w:val="Body Text"/>
    <w:basedOn w:val="Normal"/>
    <w:link w:val="TextoindependienteCar"/>
    <w:rsid w:val="00121A9F"/>
    <w:pPr>
      <w:spacing w:after="120" w:line="240" w:lineRule="auto"/>
    </w:pPr>
    <w:rPr>
      <w:rFonts w:ascii="Times New Roman" w:eastAsia="Times New Roman" w:hAnsi="Times New Roman"/>
      <w:sz w:val="24"/>
      <w:szCs w:val="24"/>
      <w:lang w:val="es-ES" w:eastAsia="es-ES"/>
    </w:rPr>
  </w:style>
  <w:style w:type="character" w:customStyle="1" w:styleId="TextoindependienteCar">
    <w:name w:val="Texto independiente Car"/>
    <w:link w:val="Textoindependiente"/>
    <w:rsid w:val="00121A9F"/>
    <w:rPr>
      <w:rFonts w:ascii="Times New Roman" w:eastAsia="Times New Roman" w:hAnsi="Times New Roman"/>
      <w:sz w:val="24"/>
      <w:szCs w:val="24"/>
      <w:lang w:val="es-ES" w:eastAsia="es-ES"/>
    </w:rPr>
  </w:style>
  <w:style w:type="paragraph" w:customStyle="1" w:styleId="Default">
    <w:name w:val="Default"/>
    <w:rsid w:val="00121A9F"/>
    <w:pPr>
      <w:autoSpaceDE w:val="0"/>
      <w:autoSpaceDN w:val="0"/>
      <w:adjustRightInd w:val="0"/>
    </w:pPr>
    <w:rPr>
      <w:rFonts w:ascii="Arial" w:eastAsia="Times New Roman" w:hAnsi="Arial" w:cs="Arial"/>
      <w:color w:val="000000"/>
      <w:sz w:val="24"/>
      <w:szCs w:val="24"/>
      <w:lang w:val="en-US" w:eastAsia="en-US"/>
    </w:rPr>
  </w:style>
  <w:style w:type="paragraph" w:styleId="Prrafodelista">
    <w:name w:val="List Paragraph"/>
    <w:basedOn w:val="Normal"/>
    <w:uiPriority w:val="34"/>
    <w:qFormat/>
    <w:rsid w:val="00810979"/>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4630FE-F891-4DD7-B9AC-C260014FF3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1366</Words>
  <Characters>7516</Characters>
  <Application>Microsoft Office Word</Application>
  <DocSecurity>0</DocSecurity>
  <Lines>62</Lines>
  <Paragraphs>17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Cejil Autorizado</Company>
  <LinksUpToDate>false</LinksUpToDate>
  <CharactersWithSpaces>8865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3</cp:revision>
  <cp:lastPrinted>2018-02-08T21:40:00Z</cp:lastPrinted>
  <dcterms:created xsi:type="dcterms:W3CDTF">2018-02-08T21:40:00Z</dcterms:created>
  <dcterms:modified xsi:type="dcterms:W3CDTF">2018-02-08T21:40:00Z</dcterms:modified>
</cp:coreProperties>
</file>