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4DC" w:rsidRDefault="005074DC" w:rsidP="005074DC">
      <w:pPr>
        <w:rPr>
          <w:rFonts w:ascii="Calibri" w:hAnsi="Calibri"/>
          <w:sz w:val="22"/>
          <w:szCs w:val="22"/>
        </w:rPr>
      </w:pPr>
      <w:bookmarkStart w:id="0" w:name="_GoBack"/>
      <w:bookmarkEnd w:id="0"/>
    </w:p>
    <w:p w:rsidR="00F84674" w:rsidRDefault="00F84674" w:rsidP="005074DC">
      <w:pPr>
        <w:rPr>
          <w:rFonts w:ascii="Calibri" w:hAnsi="Calibri"/>
          <w:sz w:val="22"/>
          <w:szCs w:val="22"/>
        </w:rPr>
      </w:pPr>
    </w:p>
    <w:p w:rsidR="005074DC" w:rsidRPr="009433F4" w:rsidRDefault="005074DC" w:rsidP="005074DC">
      <w:pPr>
        <w:rPr>
          <w:rFonts w:ascii="Calibri" w:hAnsi="Calibri"/>
          <w:sz w:val="22"/>
          <w:szCs w:val="22"/>
        </w:rPr>
      </w:pPr>
    </w:p>
    <w:p w:rsidR="005074DC" w:rsidRDefault="005074DC" w:rsidP="005074DC">
      <w:pPr>
        <w:suppressAutoHyphens/>
        <w:jc w:val="right"/>
        <w:rPr>
          <w:rFonts w:ascii="Calibri" w:hAnsi="Calibri" w:cs="Arial"/>
          <w:b/>
          <w:sz w:val="22"/>
          <w:szCs w:val="22"/>
          <w:lang w:val="es-ES_tradnl"/>
        </w:rPr>
      </w:pPr>
      <w:r w:rsidRPr="009433F4">
        <w:rPr>
          <w:rFonts w:ascii="Calibri" w:hAnsi="Calibri" w:cs="Arial"/>
          <w:sz w:val="22"/>
          <w:szCs w:val="22"/>
          <w:lang w:val="es-PE"/>
        </w:rPr>
        <w:t>3 de junio de 2014</w:t>
      </w:r>
    </w:p>
    <w:p w:rsidR="00F84674" w:rsidRDefault="00F84674" w:rsidP="005074DC">
      <w:pPr>
        <w:tabs>
          <w:tab w:val="left" w:pos="720"/>
          <w:tab w:val="center" w:pos="6480"/>
        </w:tabs>
        <w:jc w:val="both"/>
        <w:rPr>
          <w:rFonts w:ascii="Calibri" w:hAnsi="Calibri" w:cs="Arial"/>
          <w:b/>
          <w:sz w:val="22"/>
          <w:szCs w:val="22"/>
        </w:rPr>
      </w:pPr>
    </w:p>
    <w:p w:rsidR="005074DC" w:rsidRPr="00C60643" w:rsidRDefault="005074DC" w:rsidP="005074DC">
      <w:pPr>
        <w:tabs>
          <w:tab w:val="left" w:pos="720"/>
          <w:tab w:val="center" w:pos="6480"/>
        </w:tabs>
        <w:jc w:val="both"/>
        <w:rPr>
          <w:rFonts w:ascii="Calibri" w:hAnsi="Calibri" w:cs="Arial"/>
          <w:b/>
          <w:sz w:val="22"/>
          <w:szCs w:val="22"/>
        </w:rPr>
      </w:pPr>
      <w:r w:rsidRPr="00C60643">
        <w:rPr>
          <w:rFonts w:ascii="Calibri" w:hAnsi="Calibri" w:cs="Arial"/>
          <w:b/>
          <w:sz w:val="22"/>
          <w:szCs w:val="22"/>
        </w:rPr>
        <w:t>Ref.:</w:t>
      </w:r>
      <w:bookmarkStart w:id="1" w:name="Peticion_n"/>
      <w:bookmarkEnd w:id="1"/>
      <w:r w:rsidRPr="00C60643">
        <w:rPr>
          <w:rFonts w:ascii="Calibri" w:hAnsi="Calibri" w:cs="Arial"/>
          <w:b/>
          <w:sz w:val="22"/>
          <w:szCs w:val="22"/>
        </w:rPr>
        <w:tab/>
        <w:t>Casos No</w:t>
      </w:r>
      <w:r>
        <w:rPr>
          <w:rFonts w:ascii="Calibri" w:hAnsi="Calibri" w:cs="Arial"/>
          <w:b/>
          <w:sz w:val="22"/>
          <w:szCs w:val="22"/>
        </w:rPr>
        <w:t>s</w:t>
      </w:r>
      <w:r w:rsidRPr="00C60643">
        <w:rPr>
          <w:rFonts w:ascii="Calibri" w:hAnsi="Calibri" w:cs="Arial"/>
          <w:b/>
          <w:sz w:val="22"/>
          <w:szCs w:val="22"/>
        </w:rPr>
        <w:t>.</w:t>
      </w:r>
      <w:r w:rsidRPr="004A64C7">
        <w:rPr>
          <w:rFonts w:ascii="Calibri" w:hAnsi="Calibri"/>
          <w:b/>
          <w:sz w:val="22"/>
          <w:szCs w:val="22"/>
          <w:lang w:val="es-UY"/>
        </w:rPr>
        <w:t>12.595, 12.596 y 12.621</w:t>
      </w:r>
    </w:p>
    <w:p w:rsidR="005074DC" w:rsidRPr="003208A2" w:rsidRDefault="005074DC" w:rsidP="005074DC">
      <w:pPr>
        <w:tabs>
          <w:tab w:val="left" w:pos="720"/>
          <w:tab w:val="center" w:pos="6480"/>
        </w:tabs>
        <w:ind w:left="720"/>
        <w:jc w:val="both"/>
        <w:rPr>
          <w:rFonts w:ascii="Calibri" w:hAnsi="Calibri" w:cs="Arial"/>
          <w:b/>
          <w:sz w:val="22"/>
          <w:szCs w:val="22"/>
          <w:lang w:val="es-CR"/>
        </w:rPr>
      </w:pPr>
      <w:r>
        <w:rPr>
          <w:rFonts w:ascii="Calibri" w:hAnsi="Calibri" w:cs="Arial"/>
          <w:b/>
          <w:sz w:val="22"/>
          <w:szCs w:val="22"/>
          <w:lang w:val="es-CR"/>
        </w:rPr>
        <w:t>Ana Teresa Yarce y O</w:t>
      </w:r>
      <w:r w:rsidRPr="003208A2">
        <w:rPr>
          <w:rFonts w:ascii="Calibri" w:hAnsi="Calibri" w:cs="Arial"/>
          <w:b/>
          <w:sz w:val="22"/>
          <w:szCs w:val="22"/>
          <w:lang w:val="es-CR"/>
        </w:rPr>
        <w:t xml:space="preserve">tras </w:t>
      </w:r>
    </w:p>
    <w:p w:rsidR="005074DC" w:rsidRPr="009433F4" w:rsidRDefault="005074DC" w:rsidP="005074DC">
      <w:pPr>
        <w:tabs>
          <w:tab w:val="left" w:pos="720"/>
          <w:tab w:val="center" w:pos="6480"/>
        </w:tabs>
        <w:ind w:left="720"/>
        <w:jc w:val="both"/>
        <w:rPr>
          <w:rFonts w:ascii="Calibri" w:hAnsi="Calibri" w:cs="Arial"/>
          <w:b/>
          <w:sz w:val="22"/>
          <w:szCs w:val="22"/>
          <w:lang w:val="es-ES_tradnl"/>
        </w:rPr>
      </w:pPr>
      <w:r w:rsidRPr="009433F4">
        <w:rPr>
          <w:rFonts w:ascii="Calibri" w:hAnsi="Calibri" w:cs="Arial"/>
          <w:b/>
          <w:sz w:val="22"/>
          <w:szCs w:val="22"/>
          <w:lang w:val="es-ES_tradnl"/>
        </w:rPr>
        <w:t>Colombia</w:t>
      </w:r>
    </w:p>
    <w:p w:rsidR="005074DC" w:rsidRDefault="005074DC" w:rsidP="005074DC">
      <w:pPr>
        <w:tabs>
          <w:tab w:val="left" w:pos="720"/>
          <w:tab w:val="center" w:pos="6480"/>
        </w:tabs>
        <w:jc w:val="both"/>
        <w:rPr>
          <w:rFonts w:ascii="Calibri" w:hAnsi="Calibri" w:cs="Arial"/>
          <w:sz w:val="22"/>
          <w:szCs w:val="22"/>
        </w:rPr>
      </w:pPr>
    </w:p>
    <w:p w:rsidR="005074DC" w:rsidRPr="009433F4" w:rsidRDefault="005074DC" w:rsidP="005074DC">
      <w:pPr>
        <w:tabs>
          <w:tab w:val="left" w:pos="720"/>
          <w:tab w:val="center" w:pos="6480"/>
        </w:tabs>
        <w:jc w:val="both"/>
        <w:rPr>
          <w:rFonts w:ascii="Calibri" w:hAnsi="Calibri" w:cs="Arial"/>
          <w:sz w:val="22"/>
          <w:szCs w:val="22"/>
        </w:rPr>
      </w:pPr>
    </w:p>
    <w:p w:rsidR="005074DC" w:rsidRPr="009433F4" w:rsidRDefault="005074DC" w:rsidP="005074DC">
      <w:pPr>
        <w:tabs>
          <w:tab w:val="left" w:pos="720"/>
          <w:tab w:val="center" w:pos="6480"/>
        </w:tabs>
        <w:jc w:val="both"/>
        <w:rPr>
          <w:rFonts w:ascii="Calibri" w:hAnsi="Calibri" w:cs="Arial"/>
          <w:sz w:val="22"/>
          <w:szCs w:val="22"/>
          <w:lang w:val="es-PE"/>
        </w:rPr>
      </w:pPr>
      <w:r w:rsidRPr="009433F4">
        <w:rPr>
          <w:rFonts w:ascii="Calibri" w:hAnsi="Calibri" w:cs="Arial"/>
          <w:sz w:val="22"/>
          <w:szCs w:val="22"/>
          <w:lang w:val="es-PE"/>
        </w:rPr>
        <w:t>Señor Secretario:</w:t>
      </w:r>
    </w:p>
    <w:p w:rsidR="005074DC" w:rsidRPr="009433F4" w:rsidRDefault="005074DC" w:rsidP="005074DC">
      <w:pPr>
        <w:rPr>
          <w:rFonts w:ascii="Calibri" w:hAnsi="Calibri" w:cs="Arial"/>
          <w:sz w:val="22"/>
          <w:szCs w:val="22"/>
          <w:lang w:val="es-CO"/>
        </w:rPr>
      </w:pPr>
    </w:p>
    <w:p w:rsidR="005074DC" w:rsidRPr="009433F4" w:rsidRDefault="005074DC" w:rsidP="005074DC">
      <w:pPr>
        <w:jc w:val="both"/>
        <w:rPr>
          <w:rFonts w:ascii="Calibri" w:hAnsi="Calibri" w:cs="Arial"/>
          <w:sz w:val="22"/>
          <w:szCs w:val="22"/>
        </w:rPr>
      </w:pPr>
      <w:r w:rsidRPr="009433F4">
        <w:rPr>
          <w:rFonts w:ascii="Calibri" w:hAnsi="Calibri"/>
          <w:sz w:val="22"/>
          <w:szCs w:val="22"/>
        </w:rPr>
        <w:tab/>
        <w:t>Tengo el agrado de dirigirme a usted en nombre de la Comisión Interamericana de Derechos Humanos con el objeto</w:t>
      </w:r>
      <w:r w:rsidRPr="009433F4">
        <w:rPr>
          <w:rFonts w:ascii="Calibri" w:hAnsi="Calibri" w:cs="Arial"/>
          <w:sz w:val="22"/>
          <w:szCs w:val="22"/>
          <w:lang w:val="es-CO"/>
        </w:rPr>
        <w:t xml:space="preserve"> de someter a la jurisdicción de la Honorable Corte Interamericana de Derechos Humanos, los casos acumulados 12.595, 12.596 y 12.621</w:t>
      </w:r>
      <w:r>
        <w:rPr>
          <w:rFonts w:ascii="Calibri" w:hAnsi="Calibri" w:cs="Arial"/>
          <w:sz w:val="22"/>
          <w:szCs w:val="22"/>
        </w:rPr>
        <w:t xml:space="preserve"> – Ana Teresa Yarce y otras </w:t>
      </w:r>
      <w:r w:rsidRPr="009433F4">
        <w:rPr>
          <w:rFonts w:ascii="Calibri" w:hAnsi="Calibri" w:cs="Arial"/>
          <w:sz w:val="22"/>
          <w:szCs w:val="22"/>
        </w:rPr>
        <w:t xml:space="preserve">respecto de la República de Colombia (en adelante “el Estado”, “el Estado colombiano” o “Colombia”). Este caso se encuentra relacionado con las Medidas Provisionales, Mery Naranjo y otros, que continúan vigentes ante la Corte. </w:t>
      </w:r>
    </w:p>
    <w:p w:rsidR="005074DC" w:rsidRPr="009433F4" w:rsidRDefault="005074DC" w:rsidP="005074DC">
      <w:pPr>
        <w:jc w:val="both"/>
        <w:rPr>
          <w:rFonts w:ascii="Calibri" w:hAnsi="Calibri" w:cs="Arial"/>
          <w:sz w:val="22"/>
          <w:szCs w:val="22"/>
        </w:rPr>
      </w:pPr>
    </w:p>
    <w:p w:rsidR="005074DC" w:rsidRPr="004A64C7" w:rsidRDefault="005074DC" w:rsidP="005074DC">
      <w:pPr>
        <w:ind w:firstLine="720"/>
        <w:jc w:val="both"/>
        <w:rPr>
          <w:rFonts w:ascii="Calibri" w:hAnsi="Calibri" w:cs="Arial"/>
          <w:sz w:val="22"/>
          <w:szCs w:val="22"/>
          <w:lang w:val="es-CR"/>
        </w:rPr>
      </w:pPr>
      <w:r w:rsidRPr="009433F4">
        <w:rPr>
          <w:rFonts w:ascii="Calibri" w:hAnsi="Calibri" w:cs="Arial"/>
          <w:sz w:val="22"/>
          <w:szCs w:val="22"/>
        </w:rPr>
        <w:t xml:space="preserve">El caso se relaciona con la </w:t>
      </w:r>
      <w:r w:rsidRPr="004A64C7">
        <w:rPr>
          <w:rFonts w:ascii="Calibri" w:hAnsi="Calibri" w:cs="Arial"/>
          <w:sz w:val="22"/>
          <w:szCs w:val="22"/>
          <w:lang w:val="es-AR"/>
        </w:rPr>
        <w:t xml:space="preserve">responsabilidad internacional del Estado de Colombia por una serie de violaciones de derechos humanos en perjuicio de cinco defensoras de derechos humanos y sus familias a partir del año 2002, en el lugar conocido como Comuna 13, en la ciudad de Medellín. Esta secuencia de hechos tuvo lugar en el contexto </w:t>
      </w:r>
      <w:r w:rsidRPr="004A64C7">
        <w:rPr>
          <w:rFonts w:ascii="Calibri" w:hAnsi="Calibri"/>
          <w:sz w:val="22"/>
          <w:szCs w:val="22"/>
          <w:lang w:val="es-CR"/>
        </w:rPr>
        <w:t xml:space="preserve">de conflicto armado en la zona, conocido por el Estado colombiano y caracterizado por enfrentamientos entre los grupos armados ilegales y la fuerza pública durante varias décadas. Dicho contexto en la Comuna 13 se vio intensificado por los operativos militares ejecutados por el mismo Estado durante el 2002 y el recrudecimiento de la presencia paramilitar luego de estos operativos.   </w:t>
      </w:r>
      <w:r w:rsidRPr="004A64C7">
        <w:rPr>
          <w:rFonts w:ascii="Calibri" w:hAnsi="Calibri"/>
          <w:sz w:val="22"/>
          <w:szCs w:val="22"/>
        </w:rPr>
        <w:t xml:space="preserve"> </w:t>
      </w:r>
    </w:p>
    <w:p w:rsidR="005074DC" w:rsidRPr="004A64C7" w:rsidRDefault="005074DC" w:rsidP="005074DC">
      <w:pPr>
        <w:autoSpaceDE w:val="0"/>
        <w:autoSpaceDN w:val="0"/>
        <w:adjustRightInd w:val="0"/>
        <w:ind w:right="480"/>
        <w:jc w:val="both"/>
        <w:rPr>
          <w:rFonts w:ascii="Calibri" w:hAnsi="Calibri" w:cs="Arial"/>
          <w:sz w:val="22"/>
          <w:szCs w:val="22"/>
          <w:lang w:val="es-AR"/>
        </w:rPr>
      </w:pPr>
    </w:p>
    <w:p w:rsidR="005074DC" w:rsidRPr="004A64C7" w:rsidRDefault="005074DC" w:rsidP="005074DC">
      <w:pPr>
        <w:tabs>
          <w:tab w:val="num" w:pos="1710"/>
        </w:tabs>
        <w:autoSpaceDE w:val="0"/>
        <w:autoSpaceDN w:val="0"/>
        <w:adjustRightInd w:val="0"/>
        <w:ind w:firstLine="720"/>
        <w:jc w:val="both"/>
        <w:rPr>
          <w:rFonts w:ascii="Calibri" w:hAnsi="Calibri" w:cs="Arial"/>
          <w:sz w:val="22"/>
          <w:szCs w:val="22"/>
          <w:lang w:val="es-CR"/>
        </w:rPr>
      </w:pPr>
      <w:r w:rsidRPr="004A64C7">
        <w:rPr>
          <w:rFonts w:ascii="Calibri" w:hAnsi="Calibri" w:cs="Arial"/>
          <w:sz w:val="22"/>
          <w:szCs w:val="22"/>
          <w:lang w:val="es-AR"/>
        </w:rPr>
        <w:t>Así, las señoras Myriam Eugenia</w:t>
      </w:r>
      <w:r>
        <w:rPr>
          <w:rFonts w:ascii="Calibri" w:hAnsi="Calibri" w:cs="Arial"/>
          <w:sz w:val="22"/>
          <w:szCs w:val="22"/>
          <w:lang w:val="es-AR"/>
        </w:rPr>
        <w:t xml:space="preserve"> Rúa Figueroa y Luz Dary Ospina</w:t>
      </w:r>
      <w:r w:rsidRPr="004A64C7">
        <w:rPr>
          <w:rFonts w:ascii="Calibri" w:hAnsi="Calibri" w:cs="Arial"/>
          <w:sz w:val="22"/>
          <w:szCs w:val="22"/>
          <w:lang w:val="es-AR"/>
        </w:rPr>
        <w:t xml:space="preserve"> fueron amenazadas, hostigadas, sufrieron allanamientos y ocupación de sus viviendas y, consecuentemente, fueron obligadas a desplazarse. Por su parte, las señoras Mery Naranjo, María del Socorro Mosquera y Ana Teresa Yarce, fueron privadas arbitrariamente de su libertad, y tras una serie de denuncias del actuar de grupos paramilitares en connivencia con la Fuerza Pública en la zona, fue asesinada la señora Ana Teresa Yarce el 6 de octubre de 2004. De esta manera, las señoras Mery Naran</w:t>
      </w:r>
      <w:r>
        <w:rPr>
          <w:rFonts w:ascii="Calibri" w:hAnsi="Calibri" w:cs="Arial"/>
          <w:sz w:val="22"/>
          <w:szCs w:val="22"/>
          <w:lang w:val="es-AR"/>
        </w:rPr>
        <w:t>jo y María del Socorro Mosquera</w:t>
      </w:r>
      <w:r w:rsidRPr="004A64C7">
        <w:rPr>
          <w:rFonts w:ascii="Calibri" w:hAnsi="Calibri" w:cs="Arial"/>
          <w:sz w:val="22"/>
          <w:szCs w:val="22"/>
          <w:lang w:val="es-AR"/>
        </w:rPr>
        <w:t xml:space="preserve"> también fueron obligadas a desplazarse. </w:t>
      </w:r>
    </w:p>
    <w:p w:rsidR="005074DC" w:rsidRDefault="005074DC" w:rsidP="005074DC">
      <w:pPr>
        <w:autoSpaceDE w:val="0"/>
        <w:autoSpaceDN w:val="0"/>
        <w:adjustRightInd w:val="0"/>
        <w:ind w:right="480"/>
        <w:jc w:val="both"/>
        <w:rPr>
          <w:rFonts w:ascii="Calibri" w:hAnsi="Calibri"/>
          <w:b/>
          <w:sz w:val="22"/>
          <w:szCs w:val="22"/>
          <w:lang w:val="es-CR"/>
        </w:rPr>
      </w:pPr>
    </w:p>
    <w:p w:rsidR="005074DC" w:rsidRDefault="005074DC" w:rsidP="005074DC">
      <w:pPr>
        <w:autoSpaceDE w:val="0"/>
        <w:autoSpaceDN w:val="0"/>
        <w:adjustRightInd w:val="0"/>
        <w:ind w:right="480"/>
        <w:jc w:val="both"/>
        <w:rPr>
          <w:rFonts w:ascii="Calibri" w:hAnsi="Calibri"/>
          <w:b/>
          <w:sz w:val="22"/>
          <w:szCs w:val="22"/>
          <w:lang w:val="es-CR"/>
        </w:rPr>
      </w:pPr>
    </w:p>
    <w:p w:rsidR="005074DC" w:rsidRPr="004A64C7" w:rsidRDefault="005074DC" w:rsidP="005074DC">
      <w:pPr>
        <w:autoSpaceDE w:val="0"/>
        <w:autoSpaceDN w:val="0"/>
        <w:adjustRightInd w:val="0"/>
        <w:ind w:right="480"/>
        <w:jc w:val="both"/>
        <w:rPr>
          <w:rFonts w:ascii="Calibri" w:hAnsi="Calibri"/>
          <w:b/>
          <w:sz w:val="22"/>
          <w:szCs w:val="22"/>
          <w:lang w:val="es-CR"/>
        </w:rPr>
      </w:pPr>
    </w:p>
    <w:p w:rsidR="005074DC" w:rsidRPr="009433F4" w:rsidRDefault="005074DC" w:rsidP="005074DC">
      <w:pPr>
        <w:jc w:val="both"/>
        <w:rPr>
          <w:rFonts w:ascii="Calibri" w:hAnsi="Calibri" w:cs="Arial"/>
          <w:snapToGrid w:val="0"/>
          <w:sz w:val="22"/>
          <w:szCs w:val="22"/>
          <w:lang w:val="es-CO"/>
        </w:rPr>
      </w:pPr>
      <w:r w:rsidRPr="009433F4">
        <w:rPr>
          <w:rFonts w:ascii="Calibri" w:hAnsi="Calibri" w:cs="Arial"/>
          <w:snapToGrid w:val="0"/>
          <w:sz w:val="22"/>
          <w:szCs w:val="22"/>
          <w:lang w:val="es-CO"/>
        </w:rPr>
        <w:t>Señor</w:t>
      </w:r>
    </w:p>
    <w:p w:rsidR="005074DC" w:rsidRPr="009433F4" w:rsidRDefault="005074DC" w:rsidP="005074DC">
      <w:pPr>
        <w:suppressAutoHyphens/>
        <w:rPr>
          <w:rFonts w:ascii="Calibri" w:hAnsi="Calibri" w:cs="Arial"/>
          <w:snapToGrid w:val="0"/>
          <w:sz w:val="22"/>
          <w:szCs w:val="22"/>
          <w:lang w:val="es-CO"/>
        </w:rPr>
      </w:pPr>
      <w:r w:rsidRPr="009433F4">
        <w:rPr>
          <w:rFonts w:ascii="Calibri" w:hAnsi="Calibri" w:cs="Arial"/>
          <w:snapToGrid w:val="0"/>
          <w:sz w:val="22"/>
          <w:szCs w:val="22"/>
          <w:lang w:val="es-CO"/>
        </w:rPr>
        <w:t>Pablo Saavedra Alessandri, Secretario</w:t>
      </w:r>
    </w:p>
    <w:p w:rsidR="005074DC" w:rsidRPr="009433F4" w:rsidRDefault="005074DC" w:rsidP="005074DC">
      <w:pPr>
        <w:suppressAutoHyphens/>
        <w:rPr>
          <w:rFonts w:ascii="Calibri" w:hAnsi="Calibri" w:cs="Arial"/>
          <w:snapToGrid w:val="0"/>
          <w:sz w:val="22"/>
          <w:szCs w:val="22"/>
          <w:lang w:val="es-ES_tradnl"/>
        </w:rPr>
      </w:pPr>
      <w:r w:rsidRPr="009433F4">
        <w:rPr>
          <w:rFonts w:ascii="Calibri" w:hAnsi="Calibri" w:cs="Arial"/>
          <w:snapToGrid w:val="0"/>
          <w:sz w:val="22"/>
          <w:szCs w:val="22"/>
          <w:lang w:val="es-ES_tradnl"/>
        </w:rPr>
        <w:t>Corte Interamericana de Derechos Humanos</w:t>
      </w:r>
    </w:p>
    <w:p w:rsidR="005074DC" w:rsidRPr="009433F4" w:rsidRDefault="005074DC" w:rsidP="005074DC">
      <w:pPr>
        <w:suppressAutoHyphens/>
        <w:rPr>
          <w:rFonts w:ascii="Calibri" w:hAnsi="Calibri" w:cs="Arial"/>
          <w:snapToGrid w:val="0"/>
          <w:sz w:val="22"/>
          <w:szCs w:val="22"/>
          <w:lang w:val="es-ES_tradnl"/>
        </w:rPr>
      </w:pPr>
      <w:r w:rsidRPr="009433F4">
        <w:rPr>
          <w:rFonts w:ascii="Calibri" w:hAnsi="Calibri" w:cs="Arial"/>
          <w:snapToGrid w:val="0"/>
          <w:sz w:val="22"/>
          <w:szCs w:val="22"/>
          <w:lang w:val="es-ES_tradnl"/>
        </w:rPr>
        <w:t>Apartado 6906-1000</w:t>
      </w:r>
    </w:p>
    <w:p w:rsidR="005074DC" w:rsidRDefault="005074DC" w:rsidP="005074DC">
      <w:pPr>
        <w:suppressAutoHyphens/>
        <w:rPr>
          <w:rFonts w:ascii="Calibri" w:hAnsi="Calibri" w:cs="Arial"/>
          <w:snapToGrid w:val="0"/>
          <w:sz w:val="22"/>
          <w:szCs w:val="22"/>
          <w:lang w:val="es-ES_tradnl"/>
        </w:rPr>
      </w:pPr>
      <w:r w:rsidRPr="009433F4">
        <w:rPr>
          <w:rFonts w:ascii="Calibri" w:hAnsi="Calibri" w:cs="Arial"/>
          <w:snapToGrid w:val="0"/>
          <w:sz w:val="22"/>
          <w:szCs w:val="22"/>
          <w:lang w:val="es-ES_tradnl"/>
        </w:rPr>
        <w:t>San José, Costa Rica</w:t>
      </w:r>
    </w:p>
    <w:p w:rsidR="007F72E9" w:rsidRPr="009433F4" w:rsidRDefault="007F72E9" w:rsidP="005074DC">
      <w:pPr>
        <w:suppressAutoHyphens/>
        <w:rPr>
          <w:rFonts w:ascii="Calibri" w:hAnsi="Calibri" w:cs="Arial"/>
          <w:snapToGrid w:val="0"/>
          <w:sz w:val="22"/>
          <w:szCs w:val="22"/>
          <w:lang w:val="es-ES_tradnl"/>
        </w:rPr>
      </w:pPr>
    </w:p>
    <w:p w:rsidR="00F84674" w:rsidRDefault="00F84674" w:rsidP="004546E1">
      <w:pPr>
        <w:tabs>
          <w:tab w:val="num" w:pos="1710"/>
        </w:tabs>
        <w:autoSpaceDE w:val="0"/>
        <w:autoSpaceDN w:val="0"/>
        <w:adjustRightInd w:val="0"/>
        <w:ind w:firstLine="720"/>
        <w:jc w:val="center"/>
        <w:rPr>
          <w:rFonts w:ascii="Calibri" w:hAnsi="Calibri" w:cs="Arial"/>
          <w:sz w:val="22"/>
          <w:szCs w:val="22"/>
          <w:lang w:val="es-AR"/>
        </w:rPr>
      </w:pPr>
    </w:p>
    <w:p w:rsidR="004546E1" w:rsidRDefault="004546E1" w:rsidP="004546E1">
      <w:pPr>
        <w:tabs>
          <w:tab w:val="num" w:pos="1710"/>
        </w:tabs>
        <w:autoSpaceDE w:val="0"/>
        <w:autoSpaceDN w:val="0"/>
        <w:adjustRightInd w:val="0"/>
        <w:ind w:firstLine="720"/>
        <w:jc w:val="center"/>
        <w:rPr>
          <w:rFonts w:ascii="Calibri" w:hAnsi="Calibri" w:cs="Arial"/>
          <w:sz w:val="22"/>
          <w:szCs w:val="22"/>
          <w:lang w:val="es-AR"/>
        </w:rPr>
      </w:pPr>
      <w:r>
        <w:rPr>
          <w:rFonts w:ascii="Calibri" w:hAnsi="Calibri" w:cs="Arial"/>
          <w:sz w:val="22"/>
          <w:szCs w:val="22"/>
          <w:lang w:val="es-AR"/>
        </w:rPr>
        <w:lastRenderedPageBreak/>
        <w:t>2</w:t>
      </w:r>
    </w:p>
    <w:p w:rsidR="004546E1" w:rsidRDefault="004546E1" w:rsidP="005074DC">
      <w:pPr>
        <w:tabs>
          <w:tab w:val="num" w:pos="1710"/>
        </w:tabs>
        <w:autoSpaceDE w:val="0"/>
        <w:autoSpaceDN w:val="0"/>
        <w:adjustRightInd w:val="0"/>
        <w:ind w:firstLine="720"/>
        <w:jc w:val="both"/>
        <w:rPr>
          <w:rFonts w:ascii="Calibri" w:hAnsi="Calibri" w:cs="Arial"/>
          <w:sz w:val="22"/>
          <w:szCs w:val="22"/>
          <w:lang w:val="es-AR"/>
        </w:rPr>
      </w:pPr>
    </w:p>
    <w:p w:rsidR="005074DC" w:rsidRPr="004A64C7" w:rsidRDefault="005074DC" w:rsidP="005074DC">
      <w:pPr>
        <w:tabs>
          <w:tab w:val="num" w:pos="1710"/>
        </w:tabs>
        <w:autoSpaceDE w:val="0"/>
        <w:autoSpaceDN w:val="0"/>
        <w:adjustRightInd w:val="0"/>
        <w:ind w:firstLine="720"/>
        <w:jc w:val="both"/>
        <w:rPr>
          <w:rFonts w:ascii="Calibri" w:hAnsi="Calibri" w:cs="Arial"/>
          <w:sz w:val="22"/>
          <w:szCs w:val="22"/>
          <w:lang w:val="es-CR"/>
        </w:rPr>
      </w:pPr>
      <w:r w:rsidRPr="004A64C7">
        <w:rPr>
          <w:rFonts w:ascii="Calibri" w:hAnsi="Calibri" w:cs="Arial"/>
          <w:sz w:val="22"/>
          <w:szCs w:val="22"/>
          <w:lang w:val="es-AR"/>
        </w:rPr>
        <w:t xml:space="preserve">La Comisión consideró que esta grave secuencia de hechos ha tenido un profundo impacto en los núcleos familiares de las cinco defensoras de derechos humanos, con una especial afectación en los niños y niñas. Todos estos hechos se encuentran en situación de impunidad. </w:t>
      </w:r>
    </w:p>
    <w:p w:rsidR="005074DC" w:rsidRPr="004A64C7" w:rsidRDefault="005074DC" w:rsidP="005074DC">
      <w:pPr>
        <w:tabs>
          <w:tab w:val="num" w:pos="1710"/>
        </w:tabs>
        <w:autoSpaceDE w:val="0"/>
        <w:autoSpaceDN w:val="0"/>
        <w:adjustRightInd w:val="0"/>
        <w:ind w:firstLine="720"/>
        <w:jc w:val="both"/>
        <w:rPr>
          <w:rFonts w:ascii="Calibri" w:hAnsi="Calibri" w:cs="Arial"/>
          <w:sz w:val="22"/>
          <w:szCs w:val="22"/>
          <w:lang w:val="es-CR"/>
        </w:rPr>
      </w:pPr>
    </w:p>
    <w:p w:rsidR="005074DC" w:rsidRPr="004A64C7" w:rsidRDefault="005074DC" w:rsidP="005074DC">
      <w:pPr>
        <w:tabs>
          <w:tab w:val="num" w:pos="1710"/>
        </w:tabs>
        <w:autoSpaceDE w:val="0"/>
        <w:autoSpaceDN w:val="0"/>
        <w:adjustRightInd w:val="0"/>
        <w:ind w:firstLine="720"/>
        <w:jc w:val="both"/>
        <w:rPr>
          <w:rFonts w:ascii="Calibri" w:hAnsi="Calibri"/>
          <w:sz w:val="22"/>
          <w:szCs w:val="22"/>
        </w:rPr>
      </w:pPr>
      <w:r w:rsidRPr="004A64C7">
        <w:rPr>
          <w:rFonts w:ascii="Calibri" w:hAnsi="Calibri"/>
          <w:sz w:val="22"/>
          <w:szCs w:val="22"/>
          <w:lang w:val="es-CR"/>
        </w:rPr>
        <w:t xml:space="preserve">Asimismo, la Comisión </w:t>
      </w:r>
      <w:r w:rsidRPr="004A64C7">
        <w:rPr>
          <w:rFonts w:ascii="Calibri" w:hAnsi="Calibri" w:cs="Arial"/>
          <w:sz w:val="22"/>
          <w:szCs w:val="22"/>
          <w:lang w:val="es-AR"/>
        </w:rPr>
        <w:t>consideró</w:t>
      </w:r>
      <w:r w:rsidRPr="004A64C7">
        <w:rPr>
          <w:rFonts w:ascii="Calibri" w:hAnsi="Calibri"/>
          <w:sz w:val="22"/>
          <w:szCs w:val="22"/>
          <w:lang w:val="es-CR"/>
        </w:rPr>
        <w:t xml:space="preserve"> que todos estos hechos ocurrieron por incumplimiento del deber acentuado de </w:t>
      </w:r>
      <w:r w:rsidRPr="004A64C7">
        <w:rPr>
          <w:rFonts w:ascii="Calibri" w:hAnsi="Calibri"/>
          <w:kern w:val="20"/>
          <w:sz w:val="22"/>
          <w:szCs w:val="22"/>
          <w:lang w:val="es-CR"/>
        </w:rPr>
        <w:t>protección y respuesta que tenía el Estado, el cual estaba a su vez reforzado por la situación de riesgo particular de las mujeres defensoras de derechos humanos, en razón de la discriminación histórica que han sufrido y las particularidades de su trabajo, así como por el agravamiento de este riesgo en zonas controladas por los actores que hacen parte del conflicto armado.</w:t>
      </w:r>
      <w:r w:rsidRPr="004A64C7">
        <w:rPr>
          <w:rFonts w:ascii="Calibri" w:hAnsi="Calibri" w:cs="Arial"/>
          <w:sz w:val="22"/>
          <w:szCs w:val="22"/>
          <w:lang w:val="es-CR"/>
        </w:rPr>
        <w:t xml:space="preserve"> </w:t>
      </w:r>
    </w:p>
    <w:p w:rsidR="005074DC" w:rsidRDefault="005074DC" w:rsidP="005074DC">
      <w:pPr>
        <w:jc w:val="both"/>
        <w:rPr>
          <w:rFonts w:ascii="Calibri" w:hAnsi="Calibri" w:cs="Arial"/>
          <w:sz w:val="22"/>
          <w:szCs w:val="22"/>
        </w:rPr>
      </w:pPr>
    </w:p>
    <w:p w:rsidR="005074DC" w:rsidRDefault="005074DC" w:rsidP="005074DC">
      <w:pPr>
        <w:ind w:firstLine="720"/>
        <w:jc w:val="both"/>
        <w:rPr>
          <w:rFonts w:ascii="Calibri" w:hAnsi="Calibri" w:cs="Arial"/>
          <w:sz w:val="22"/>
          <w:szCs w:val="22"/>
        </w:rPr>
      </w:pPr>
      <w:r w:rsidRPr="00DC1103">
        <w:rPr>
          <w:rFonts w:ascii="Calibri" w:hAnsi="Calibri" w:cs="Arial"/>
          <w:sz w:val="22"/>
          <w:szCs w:val="22"/>
        </w:rPr>
        <w:t xml:space="preserve">El Estado </w:t>
      </w:r>
      <w:r>
        <w:rPr>
          <w:rFonts w:ascii="Calibri" w:hAnsi="Calibri" w:cs="Arial"/>
          <w:sz w:val="22"/>
          <w:szCs w:val="22"/>
        </w:rPr>
        <w:t>colombiano</w:t>
      </w:r>
      <w:r w:rsidRPr="00DC1103">
        <w:rPr>
          <w:rFonts w:ascii="Calibri" w:hAnsi="Calibri" w:cs="Arial"/>
          <w:sz w:val="22"/>
          <w:szCs w:val="22"/>
        </w:rPr>
        <w:t xml:space="preserve"> ratificó la Convención Americ</w:t>
      </w:r>
      <w:r>
        <w:rPr>
          <w:rFonts w:ascii="Calibri" w:hAnsi="Calibri" w:cs="Arial"/>
          <w:sz w:val="22"/>
          <w:szCs w:val="22"/>
        </w:rPr>
        <w:t>ana sobre Derechos Humanos el 31</w:t>
      </w:r>
      <w:r w:rsidRPr="00DC1103">
        <w:rPr>
          <w:rFonts w:ascii="Calibri" w:hAnsi="Calibri" w:cs="Arial"/>
          <w:sz w:val="22"/>
          <w:szCs w:val="22"/>
        </w:rPr>
        <w:t xml:space="preserve"> de </w:t>
      </w:r>
      <w:r>
        <w:rPr>
          <w:rFonts w:ascii="Calibri" w:hAnsi="Calibri" w:cs="Arial"/>
          <w:sz w:val="22"/>
          <w:szCs w:val="22"/>
        </w:rPr>
        <w:t>julio de 1973</w:t>
      </w:r>
      <w:r w:rsidRPr="00DC1103">
        <w:rPr>
          <w:rFonts w:ascii="Calibri" w:hAnsi="Calibri" w:cs="Arial"/>
          <w:sz w:val="22"/>
          <w:szCs w:val="22"/>
        </w:rPr>
        <w:t xml:space="preserve"> y aceptó la competen</w:t>
      </w:r>
      <w:r>
        <w:rPr>
          <w:rFonts w:ascii="Calibri" w:hAnsi="Calibri" w:cs="Arial"/>
          <w:sz w:val="22"/>
          <w:szCs w:val="22"/>
        </w:rPr>
        <w:t xml:space="preserve">cia contenciosa de la Corte el 21 de junio de 1985. </w:t>
      </w:r>
    </w:p>
    <w:p w:rsidR="005074DC" w:rsidRDefault="005074DC" w:rsidP="005074DC">
      <w:pPr>
        <w:jc w:val="both"/>
        <w:rPr>
          <w:rFonts w:ascii="Calibri" w:hAnsi="Calibri"/>
          <w:sz w:val="22"/>
          <w:szCs w:val="22"/>
          <w:lang w:val="es-AR"/>
        </w:rPr>
      </w:pPr>
    </w:p>
    <w:p w:rsidR="005074DC" w:rsidRPr="009433F4" w:rsidRDefault="005074DC" w:rsidP="005074DC">
      <w:pPr>
        <w:jc w:val="both"/>
        <w:rPr>
          <w:rFonts w:ascii="Calibri" w:hAnsi="Calibri" w:cs="Arial"/>
          <w:sz w:val="22"/>
          <w:szCs w:val="22"/>
        </w:rPr>
      </w:pPr>
      <w:r w:rsidRPr="009433F4">
        <w:rPr>
          <w:rFonts w:ascii="Calibri" w:hAnsi="Calibri"/>
          <w:sz w:val="22"/>
          <w:szCs w:val="22"/>
        </w:rPr>
        <w:tab/>
      </w:r>
      <w:r w:rsidRPr="009433F4">
        <w:rPr>
          <w:rFonts w:ascii="Calibri" w:hAnsi="Calibri" w:cs="Arial"/>
          <w:sz w:val="22"/>
          <w:szCs w:val="22"/>
        </w:rPr>
        <w:t xml:space="preserve"> </w:t>
      </w:r>
      <w:r w:rsidRPr="009433F4">
        <w:rPr>
          <w:rFonts w:ascii="Calibri" w:hAnsi="Calibri"/>
          <w:sz w:val="22"/>
          <w:szCs w:val="22"/>
        </w:rPr>
        <w:t>La Comisión ha designado al Comisionado José de Jesús Orozco Henríquez y al Secretario Ejecutivo Emilio Álvarez Icaza L. como sus delegado</w:t>
      </w:r>
      <w:r>
        <w:rPr>
          <w:rFonts w:ascii="Calibri" w:hAnsi="Calibri"/>
          <w:sz w:val="22"/>
          <w:szCs w:val="22"/>
        </w:rPr>
        <w:t>s</w:t>
      </w:r>
      <w:r w:rsidRPr="009433F4">
        <w:rPr>
          <w:rFonts w:ascii="Calibri" w:hAnsi="Calibri"/>
          <w:sz w:val="22"/>
          <w:szCs w:val="22"/>
        </w:rPr>
        <w:t>. Asimismo, Elizabeth Abi-Mershed, Secretaria Ejecutiva Adjunta, y Silvia Serrano Guzmán y Rosa Celorio, abogadas de la Secretaría Ejecutiva de la CIDH, actuarán como asesoras legales.</w:t>
      </w:r>
    </w:p>
    <w:p w:rsidR="005074DC" w:rsidRPr="009433F4" w:rsidRDefault="005074DC" w:rsidP="005074DC">
      <w:pPr>
        <w:jc w:val="both"/>
        <w:rPr>
          <w:rFonts w:ascii="Calibri" w:hAnsi="Calibri" w:cs="Arial"/>
          <w:snapToGrid w:val="0"/>
          <w:sz w:val="22"/>
          <w:szCs w:val="22"/>
        </w:rPr>
      </w:pPr>
    </w:p>
    <w:p w:rsidR="005074DC" w:rsidRPr="009433F4" w:rsidRDefault="005074DC" w:rsidP="005074DC">
      <w:pPr>
        <w:ind w:firstLine="720"/>
        <w:jc w:val="both"/>
        <w:rPr>
          <w:rFonts w:ascii="Calibri" w:hAnsi="Calibri"/>
          <w:sz w:val="22"/>
          <w:szCs w:val="22"/>
          <w:lang w:val="es-AR"/>
        </w:rPr>
      </w:pPr>
      <w:r w:rsidRPr="009433F4">
        <w:rPr>
          <w:rFonts w:ascii="Calibri" w:hAnsi="Calibri" w:cs="Arial"/>
          <w:sz w:val="22"/>
          <w:szCs w:val="22"/>
        </w:rPr>
        <w:t xml:space="preserve">De conformidad con el artículo 35 del Reglamento de la Corte Interamericana, la Comisión adjunta </w:t>
      </w:r>
      <w:r w:rsidRPr="009433F4">
        <w:rPr>
          <w:rFonts w:ascii="Calibri" w:hAnsi="Calibri"/>
          <w:sz w:val="22"/>
          <w:szCs w:val="22"/>
          <w:lang w:val="es-CO"/>
        </w:rPr>
        <w:t xml:space="preserve">copia del </w:t>
      </w:r>
      <w:r w:rsidRPr="009433F4">
        <w:rPr>
          <w:rFonts w:ascii="Calibri" w:hAnsi="Calibri"/>
          <w:sz w:val="22"/>
          <w:szCs w:val="22"/>
        </w:rPr>
        <w:t>informe 86/1</w:t>
      </w:r>
      <w:r>
        <w:rPr>
          <w:rFonts w:ascii="Calibri" w:hAnsi="Calibri"/>
          <w:sz w:val="22"/>
          <w:szCs w:val="22"/>
        </w:rPr>
        <w:t>3</w:t>
      </w:r>
      <w:r w:rsidRPr="009433F4">
        <w:rPr>
          <w:rFonts w:ascii="Calibri" w:hAnsi="Calibri"/>
          <w:sz w:val="22"/>
          <w:szCs w:val="22"/>
        </w:rPr>
        <w:t xml:space="preserve"> elaborado en observancia del artículo 50 de la Convención, así como copia de la totalidad del expediente ante la Comisión Interamericana (Apéndice I) y los anexos utilizados en la elaboración del informe </w:t>
      </w:r>
      <w:r>
        <w:rPr>
          <w:rFonts w:ascii="Calibri" w:hAnsi="Calibri"/>
          <w:sz w:val="22"/>
          <w:szCs w:val="22"/>
        </w:rPr>
        <w:t>86</w:t>
      </w:r>
      <w:r w:rsidRPr="009433F4">
        <w:rPr>
          <w:rFonts w:ascii="Calibri" w:hAnsi="Calibri"/>
          <w:sz w:val="22"/>
          <w:szCs w:val="22"/>
        </w:rPr>
        <w:t>/1</w:t>
      </w:r>
      <w:r>
        <w:rPr>
          <w:rFonts w:ascii="Calibri" w:hAnsi="Calibri"/>
          <w:sz w:val="22"/>
          <w:szCs w:val="22"/>
        </w:rPr>
        <w:t>3</w:t>
      </w:r>
      <w:r w:rsidRPr="009433F4">
        <w:rPr>
          <w:rFonts w:ascii="Calibri" w:hAnsi="Calibri"/>
          <w:sz w:val="22"/>
          <w:szCs w:val="22"/>
        </w:rPr>
        <w:t xml:space="preserve"> (Anexos). Dicho informe de fondo </w:t>
      </w:r>
      <w:r w:rsidRPr="009433F4">
        <w:rPr>
          <w:rFonts w:ascii="Calibri" w:hAnsi="Calibri"/>
          <w:sz w:val="22"/>
          <w:szCs w:val="22"/>
          <w:lang w:val="es-AR"/>
        </w:rPr>
        <w:t xml:space="preserve">fue notificado al Estado de Colombia mediante comunicación de </w:t>
      </w:r>
      <w:r>
        <w:rPr>
          <w:rFonts w:ascii="Calibri" w:hAnsi="Calibri"/>
          <w:sz w:val="22"/>
          <w:szCs w:val="22"/>
          <w:lang w:val="es-AR"/>
        </w:rPr>
        <w:t>3</w:t>
      </w:r>
      <w:r w:rsidRPr="009433F4">
        <w:rPr>
          <w:rFonts w:ascii="Calibri" w:hAnsi="Calibri"/>
          <w:sz w:val="22"/>
          <w:szCs w:val="22"/>
          <w:lang w:val="es-AR"/>
        </w:rPr>
        <w:t xml:space="preserve"> de diciembre </w:t>
      </w:r>
      <w:r>
        <w:rPr>
          <w:rFonts w:ascii="Calibri" w:hAnsi="Calibri"/>
          <w:sz w:val="22"/>
          <w:szCs w:val="22"/>
          <w:lang w:val="es-AR"/>
        </w:rPr>
        <w:t>de 2013</w:t>
      </w:r>
      <w:r w:rsidRPr="009433F4">
        <w:rPr>
          <w:rFonts w:ascii="Calibri" w:hAnsi="Calibri"/>
          <w:sz w:val="22"/>
          <w:szCs w:val="22"/>
          <w:lang w:val="es-AR"/>
        </w:rPr>
        <w:t xml:space="preserve">, otorgándole un plazo de dos meses para informar sobre el cumplimiento de las recomendaciones. </w:t>
      </w:r>
    </w:p>
    <w:p w:rsidR="005074DC" w:rsidRDefault="005074DC" w:rsidP="005074DC">
      <w:pPr>
        <w:ind w:firstLine="720"/>
        <w:jc w:val="both"/>
        <w:rPr>
          <w:rFonts w:ascii="Calibri" w:hAnsi="Calibri"/>
          <w:sz w:val="22"/>
          <w:szCs w:val="22"/>
          <w:lang w:val="es-AR"/>
        </w:rPr>
      </w:pPr>
    </w:p>
    <w:p w:rsidR="005074DC" w:rsidRDefault="005074DC" w:rsidP="005074DC">
      <w:pPr>
        <w:ind w:firstLine="720"/>
        <w:jc w:val="both"/>
        <w:rPr>
          <w:rFonts w:ascii="Calibri" w:hAnsi="Calibri"/>
          <w:sz w:val="22"/>
          <w:szCs w:val="22"/>
          <w:lang w:val="es-AR"/>
        </w:rPr>
      </w:pPr>
      <w:r w:rsidRPr="009433F4">
        <w:rPr>
          <w:rFonts w:ascii="Calibri" w:hAnsi="Calibri"/>
          <w:sz w:val="22"/>
          <w:szCs w:val="22"/>
          <w:lang w:val="es-AR"/>
        </w:rPr>
        <w:t>El Estado de Colombia solicitó una primera prórroga, la cual fue otorgada por la Comisión por un plazo de tres meses, solicitándole al Estado que presentara un informe sobre los avances en el cumplimiento de las recomendaciones. Mediante comunicación de 20 de mayo de 2014, el Estado solicitó una nueva prórroga. Tras evaluar el informe presentado por el Estado, la Comisión consideró que el mismo no refleja avances sustanciales en el cumplimiento de las recomendaciones. En particular, las iniciativas en materia de investigación, aunque relevantes, no han tenido un impacto significativo en el cumplimiento de la obligación de investigar la totalidad de los hechos del caso. Asimismo, la información disponible indica que varias causas permanecen archivadas.</w:t>
      </w:r>
    </w:p>
    <w:p w:rsidR="005074DC" w:rsidRPr="004A64C7" w:rsidRDefault="005074DC" w:rsidP="005074DC">
      <w:pPr>
        <w:tabs>
          <w:tab w:val="left" w:pos="0"/>
        </w:tabs>
        <w:autoSpaceDE w:val="0"/>
        <w:autoSpaceDN w:val="0"/>
        <w:adjustRightInd w:val="0"/>
        <w:jc w:val="both"/>
        <w:rPr>
          <w:rFonts w:ascii="Calibri" w:hAnsi="Calibri" w:cs="Arial"/>
          <w:sz w:val="22"/>
          <w:szCs w:val="22"/>
          <w:lang w:val="es-AR"/>
        </w:rPr>
      </w:pPr>
      <w:r w:rsidRPr="004A64C7">
        <w:rPr>
          <w:rFonts w:ascii="Calibri" w:hAnsi="Calibri" w:cs="Arial"/>
          <w:sz w:val="22"/>
          <w:szCs w:val="22"/>
          <w:lang w:val="es-AR"/>
        </w:rPr>
        <w:t xml:space="preserve"> </w:t>
      </w:r>
    </w:p>
    <w:p w:rsidR="005074DC" w:rsidRPr="004A64C7" w:rsidRDefault="005074DC" w:rsidP="005074DC">
      <w:pPr>
        <w:tabs>
          <w:tab w:val="left" w:pos="0"/>
        </w:tabs>
        <w:autoSpaceDE w:val="0"/>
        <w:autoSpaceDN w:val="0"/>
        <w:adjustRightInd w:val="0"/>
        <w:jc w:val="both"/>
        <w:rPr>
          <w:rFonts w:ascii="Calibri" w:hAnsi="Calibri" w:cs="Arial"/>
          <w:sz w:val="22"/>
          <w:szCs w:val="22"/>
          <w:lang w:val="es-AR"/>
        </w:rPr>
      </w:pPr>
      <w:r w:rsidRPr="004A64C7">
        <w:rPr>
          <w:rFonts w:ascii="Calibri" w:hAnsi="Calibri" w:cs="Arial"/>
          <w:sz w:val="22"/>
          <w:szCs w:val="22"/>
          <w:lang w:val="es-AR"/>
        </w:rPr>
        <w:tab/>
        <w:t>Además, el Estado no ha informado sobre una propuesta concreta en materia de reparaciones. En su informe, el Estado mencionó el marco a través del cual se canalizarían las eventuales reparaciones, pero sin precisar las reparaciones que se tiene previsto que obtengan las víctimas del caso, su programa de implementación ni la forma en que las mismas satisfacen los estándares de reparación integral.</w:t>
      </w:r>
    </w:p>
    <w:p w:rsidR="005074DC" w:rsidRDefault="005074DC" w:rsidP="005074DC">
      <w:pPr>
        <w:tabs>
          <w:tab w:val="left" w:pos="0"/>
        </w:tabs>
        <w:autoSpaceDE w:val="0"/>
        <w:autoSpaceDN w:val="0"/>
        <w:adjustRightInd w:val="0"/>
        <w:jc w:val="both"/>
        <w:rPr>
          <w:rFonts w:ascii="Calibri" w:hAnsi="Calibri" w:cs="Arial"/>
          <w:sz w:val="22"/>
          <w:szCs w:val="22"/>
          <w:lang w:val="es-AR"/>
        </w:rPr>
      </w:pPr>
    </w:p>
    <w:p w:rsidR="007F72E9" w:rsidRDefault="007F72E9" w:rsidP="005074DC">
      <w:pPr>
        <w:tabs>
          <w:tab w:val="left" w:pos="0"/>
        </w:tabs>
        <w:autoSpaceDE w:val="0"/>
        <w:autoSpaceDN w:val="0"/>
        <w:adjustRightInd w:val="0"/>
        <w:jc w:val="both"/>
        <w:rPr>
          <w:rFonts w:ascii="Calibri" w:hAnsi="Calibri" w:cs="Arial"/>
          <w:sz w:val="22"/>
          <w:szCs w:val="22"/>
          <w:lang w:val="es-AR"/>
        </w:rPr>
      </w:pPr>
    </w:p>
    <w:p w:rsidR="00F84674" w:rsidRPr="004A64C7" w:rsidRDefault="00F84674" w:rsidP="005074DC">
      <w:pPr>
        <w:tabs>
          <w:tab w:val="left" w:pos="0"/>
        </w:tabs>
        <w:autoSpaceDE w:val="0"/>
        <w:autoSpaceDN w:val="0"/>
        <w:adjustRightInd w:val="0"/>
        <w:jc w:val="both"/>
        <w:rPr>
          <w:rFonts w:ascii="Calibri" w:hAnsi="Calibri" w:cs="Arial"/>
          <w:sz w:val="22"/>
          <w:szCs w:val="22"/>
          <w:lang w:val="es-AR"/>
        </w:rPr>
      </w:pPr>
    </w:p>
    <w:p w:rsidR="004546E1" w:rsidRDefault="004546E1" w:rsidP="004546E1">
      <w:pPr>
        <w:tabs>
          <w:tab w:val="left" w:pos="0"/>
        </w:tabs>
        <w:autoSpaceDE w:val="0"/>
        <w:autoSpaceDN w:val="0"/>
        <w:adjustRightInd w:val="0"/>
        <w:jc w:val="center"/>
        <w:rPr>
          <w:rFonts w:ascii="Calibri" w:hAnsi="Calibri" w:cs="Arial"/>
          <w:sz w:val="22"/>
          <w:szCs w:val="22"/>
          <w:lang w:val="es-AR"/>
        </w:rPr>
      </w:pPr>
      <w:r>
        <w:rPr>
          <w:rFonts w:ascii="Calibri" w:hAnsi="Calibri" w:cs="Arial"/>
          <w:sz w:val="22"/>
          <w:szCs w:val="22"/>
          <w:lang w:val="es-AR"/>
        </w:rPr>
        <w:lastRenderedPageBreak/>
        <w:t>3</w:t>
      </w:r>
    </w:p>
    <w:p w:rsidR="004546E1" w:rsidRDefault="004546E1" w:rsidP="005074DC">
      <w:pPr>
        <w:tabs>
          <w:tab w:val="left" w:pos="0"/>
        </w:tabs>
        <w:autoSpaceDE w:val="0"/>
        <w:autoSpaceDN w:val="0"/>
        <w:adjustRightInd w:val="0"/>
        <w:jc w:val="both"/>
        <w:rPr>
          <w:rFonts w:ascii="Calibri" w:hAnsi="Calibri" w:cs="Arial"/>
          <w:sz w:val="22"/>
          <w:szCs w:val="22"/>
          <w:lang w:val="es-AR"/>
        </w:rPr>
      </w:pPr>
    </w:p>
    <w:p w:rsidR="005074DC" w:rsidRPr="004A64C7" w:rsidRDefault="004546E1" w:rsidP="005074DC">
      <w:pPr>
        <w:tabs>
          <w:tab w:val="left" w:pos="0"/>
        </w:tabs>
        <w:autoSpaceDE w:val="0"/>
        <w:autoSpaceDN w:val="0"/>
        <w:adjustRightInd w:val="0"/>
        <w:jc w:val="both"/>
        <w:rPr>
          <w:rFonts w:ascii="Calibri" w:hAnsi="Calibri" w:cs="Arial"/>
          <w:sz w:val="22"/>
          <w:szCs w:val="22"/>
          <w:lang w:val="es-AR"/>
        </w:rPr>
      </w:pPr>
      <w:r>
        <w:rPr>
          <w:rFonts w:ascii="Calibri" w:hAnsi="Calibri" w:cs="Arial"/>
          <w:sz w:val="22"/>
          <w:szCs w:val="22"/>
          <w:lang w:val="es-AR"/>
        </w:rPr>
        <w:tab/>
      </w:r>
      <w:r w:rsidR="005074DC" w:rsidRPr="004A64C7">
        <w:rPr>
          <w:rFonts w:ascii="Calibri" w:hAnsi="Calibri" w:cs="Arial"/>
          <w:sz w:val="22"/>
          <w:szCs w:val="22"/>
          <w:lang w:val="es-AR"/>
        </w:rPr>
        <w:t xml:space="preserve">En cuanto a las medidas relacionadas con la seguridad de las víctimas y la asistencia humanitaria a las personas desplazadas, el Estado presentó información relativa al cumplimiento de las medidas provisionales vigentes ante la Corte Interamericana y recapituló una serie de compromisos tras una reunión reciente. A la fecha, la Comisión no cuenta con información precisa sobre el cumplimiento de dichos compromisos. En todo caso, como se ha indicado a lo largo de la vigencia de las medidas provisionales, si bien el Estado ha manifestado la voluntad de proveer la protección a las personas beneficiarias, han existido múltiples deficiencias en la implementación de las mismas. Además, se han presentado hechos de la mayor gravedad que han motivado incluso la ampliación de las medidas. </w:t>
      </w:r>
    </w:p>
    <w:p w:rsidR="005074DC" w:rsidRDefault="005074DC" w:rsidP="005074DC">
      <w:pPr>
        <w:tabs>
          <w:tab w:val="left" w:pos="0"/>
        </w:tabs>
        <w:autoSpaceDE w:val="0"/>
        <w:autoSpaceDN w:val="0"/>
        <w:adjustRightInd w:val="0"/>
        <w:jc w:val="both"/>
        <w:rPr>
          <w:rFonts w:ascii="Calibri" w:hAnsi="Calibri"/>
          <w:sz w:val="22"/>
          <w:szCs w:val="22"/>
          <w:lang w:val="es-AR"/>
        </w:rPr>
      </w:pPr>
    </w:p>
    <w:p w:rsidR="005074DC" w:rsidRPr="00125867" w:rsidRDefault="005074DC" w:rsidP="005074DC">
      <w:pPr>
        <w:ind w:firstLine="720"/>
        <w:jc w:val="both"/>
        <w:rPr>
          <w:rFonts w:ascii="Calibri" w:hAnsi="Calibri"/>
          <w:sz w:val="22"/>
          <w:szCs w:val="22"/>
          <w:lang w:val="es-AR"/>
        </w:rPr>
      </w:pPr>
      <w:r>
        <w:rPr>
          <w:rFonts w:ascii="Calibri" w:hAnsi="Calibri"/>
          <w:sz w:val="22"/>
          <w:szCs w:val="22"/>
          <w:lang w:val="es-AR"/>
        </w:rPr>
        <w:t xml:space="preserve">En consecuencia, </w:t>
      </w:r>
      <w:r w:rsidRPr="009433F4">
        <w:rPr>
          <w:rFonts w:ascii="Calibri" w:hAnsi="Calibri"/>
          <w:sz w:val="22"/>
          <w:szCs w:val="22"/>
          <w:lang w:val="es-AR"/>
        </w:rPr>
        <w:t>la Comisión decidió no otorgar la nueva prórroga solicitada por el Estado de Colombia y someter el presente caso a la jurisdicción de la Corte Interamericana por la necesidad de obtención de justicia para las</w:t>
      </w:r>
      <w:r>
        <w:rPr>
          <w:rFonts w:ascii="Calibri" w:hAnsi="Calibri"/>
          <w:sz w:val="22"/>
          <w:szCs w:val="22"/>
          <w:lang w:val="es-AR"/>
        </w:rPr>
        <w:t xml:space="preserve"> víctimas.</w:t>
      </w:r>
      <w:r w:rsidRPr="009433F4">
        <w:rPr>
          <w:rFonts w:ascii="Calibri" w:hAnsi="Calibri"/>
          <w:sz w:val="22"/>
          <w:szCs w:val="22"/>
          <w:lang w:val="es-AR"/>
        </w:rPr>
        <w:t xml:space="preserve"> </w:t>
      </w:r>
      <w:r w:rsidRPr="009433F4">
        <w:rPr>
          <w:rFonts w:ascii="Calibri" w:hAnsi="Calibri"/>
          <w:sz w:val="22"/>
          <w:szCs w:val="22"/>
        </w:rPr>
        <w:t>La Comisión Interamericana somete a la jurisdicción de la Corte la totalidad de los hechos y violaciones de derechos humanos des</w:t>
      </w:r>
      <w:r>
        <w:rPr>
          <w:rFonts w:ascii="Calibri" w:hAnsi="Calibri"/>
          <w:sz w:val="22"/>
          <w:szCs w:val="22"/>
        </w:rPr>
        <w:t>critos en el informe de fondo 86</w:t>
      </w:r>
      <w:r w:rsidRPr="009433F4">
        <w:rPr>
          <w:rFonts w:ascii="Calibri" w:hAnsi="Calibri"/>
          <w:sz w:val="22"/>
          <w:szCs w:val="22"/>
        </w:rPr>
        <w:t>/1</w:t>
      </w:r>
      <w:r>
        <w:rPr>
          <w:rFonts w:ascii="Calibri" w:hAnsi="Calibri"/>
          <w:sz w:val="22"/>
          <w:szCs w:val="22"/>
        </w:rPr>
        <w:t>3</w:t>
      </w:r>
      <w:r w:rsidRPr="009433F4">
        <w:rPr>
          <w:rFonts w:ascii="Calibri" w:hAnsi="Calibri"/>
          <w:sz w:val="22"/>
          <w:szCs w:val="22"/>
        </w:rPr>
        <w:t xml:space="preserve">. </w:t>
      </w:r>
    </w:p>
    <w:p w:rsidR="005074DC" w:rsidRDefault="005074DC" w:rsidP="005074DC">
      <w:pPr>
        <w:tabs>
          <w:tab w:val="left" w:pos="0"/>
        </w:tabs>
        <w:jc w:val="both"/>
        <w:rPr>
          <w:rFonts w:ascii="Calibri" w:hAnsi="Calibri"/>
          <w:sz w:val="22"/>
          <w:szCs w:val="22"/>
        </w:rPr>
      </w:pPr>
    </w:p>
    <w:p w:rsidR="005074DC" w:rsidRPr="00585697" w:rsidRDefault="005074DC" w:rsidP="005074DC">
      <w:pPr>
        <w:tabs>
          <w:tab w:val="left" w:pos="0"/>
        </w:tabs>
        <w:ind w:firstLine="720"/>
        <w:jc w:val="both"/>
        <w:rPr>
          <w:rFonts w:ascii="Calibri" w:hAnsi="Calibri" w:cs="callibri"/>
          <w:sz w:val="22"/>
          <w:szCs w:val="22"/>
          <w:lang w:val="es-CO"/>
        </w:rPr>
      </w:pPr>
      <w:r w:rsidRPr="009433F4">
        <w:rPr>
          <w:rFonts w:ascii="Calibri" w:hAnsi="Calibri"/>
          <w:sz w:val="22"/>
          <w:szCs w:val="22"/>
        </w:rPr>
        <w:t xml:space="preserve">En ese sentido, la Comisión </w:t>
      </w:r>
      <w:r w:rsidRPr="00585697">
        <w:rPr>
          <w:rFonts w:ascii="Calibri" w:hAnsi="Calibri"/>
          <w:sz w:val="22"/>
          <w:szCs w:val="22"/>
        </w:rPr>
        <w:t>solicita a la Corte que concluya y declare la responsabilidad internacional del</w:t>
      </w:r>
      <w:r w:rsidRPr="00585697">
        <w:rPr>
          <w:rFonts w:ascii="Calibri" w:hAnsi="Calibri" w:cs="Arial"/>
          <w:sz w:val="22"/>
          <w:szCs w:val="22"/>
          <w:lang w:val="es-CL"/>
        </w:rPr>
        <w:t xml:space="preserve"> Estado de Colombia </w:t>
      </w:r>
      <w:r w:rsidRPr="00585697">
        <w:rPr>
          <w:rFonts w:ascii="Calibri" w:hAnsi="Calibri" w:cs="callibri"/>
          <w:sz w:val="22"/>
          <w:szCs w:val="22"/>
          <w:lang w:val="es-CO"/>
        </w:rPr>
        <w:t xml:space="preserve">por la violación de: </w:t>
      </w:r>
    </w:p>
    <w:p w:rsidR="005074DC" w:rsidRPr="00DC66EF" w:rsidRDefault="005074DC" w:rsidP="005074DC">
      <w:pPr>
        <w:autoSpaceDE w:val="0"/>
        <w:autoSpaceDN w:val="0"/>
        <w:adjustRightInd w:val="0"/>
        <w:ind w:left="720" w:right="480"/>
        <w:jc w:val="both"/>
        <w:rPr>
          <w:sz w:val="22"/>
          <w:szCs w:val="22"/>
          <w:lang w:val="es-CR"/>
        </w:rPr>
      </w:pPr>
    </w:p>
    <w:p w:rsidR="005074DC" w:rsidRPr="004A64C7" w:rsidRDefault="005074DC" w:rsidP="00BE729F">
      <w:pPr>
        <w:pStyle w:val="Textoindependiente"/>
        <w:tabs>
          <w:tab w:val="left" w:pos="1080"/>
        </w:tabs>
        <w:ind w:left="720" w:right="900"/>
        <w:jc w:val="both"/>
        <w:rPr>
          <w:rFonts w:ascii="Calibri" w:hAnsi="Calibri"/>
          <w:kern w:val="20"/>
          <w:sz w:val="20"/>
        </w:rPr>
      </w:pPr>
      <w:r w:rsidRPr="004A64C7">
        <w:rPr>
          <w:rFonts w:ascii="Calibri" w:hAnsi="Calibri"/>
          <w:kern w:val="20"/>
          <w:sz w:val="20"/>
          <w:szCs w:val="22"/>
        </w:rPr>
        <w:t>-</w:t>
      </w:r>
      <w:r w:rsidRPr="004A64C7">
        <w:rPr>
          <w:rFonts w:ascii="Calibri" w:hAnsi="Calibri"/>
          <w:kern w:val="20"/>
          <w:sz w:val="20"/>
          <w:szCs w:val="22"/>
        </w:rPr>
        <w:tab/>
      </w:r>
      <w:r w:rsidRPr="004A64C7">
        <w:rPr>
          <w:rFonts w:ascii="Calibri" w:hAnsi="Calibri"/>
          <w:kern w:val="20"/>
          <w:sz w:val="20"/>
        </w:rPr>
        <w:t xml:space="preserve">Artículo 5.1 de la Convención Americana, en relación con el artículo 1.1 del mismo instrumento, en perjuicio de las señoras Miryam Eugenia Rúa Figueroa y Luz Dary Ospina Bastidas.  </w:t>
      </w:r>
    </w:p>
    <w:p w:rsidR="005074DC" w:rsidRPr="004A64C7" w:rsidRDefault="005074DC" w:rsidP="00BE729F">
      <w:pPr>
        <w:pStyle w:val="Textoindependiente"/>
        <w:tabs>
          <w:tab w:val="left" w:pos="1080"/>
        </w:tabs>
        <w:ind w:left="720" w:right="900"/>
        <w:jc w:val="both"/>
        <w:rPr>
          <w:rFonts w:ascii="Calibri" w:hAnsi="Calibri"/>
          <w:kern w:val="20"/>
          <w:sz w:val="20"/>
        </w:rPr>
      </w:pPr>
    </w:p>
    <w:p w:rsidR="005074DC" w:rsidRPr="004A64C7" w:rsidRDefault="005074DC" w:rsidP="00BE729F">
      <w:pPr>
        <w:pStyle w:val="Textoindependiente"/>
        <w:tabs>
          <w:tab w:val="left" w:pos="1080"/>
        </w:tabs>
        <w:ind w:left="720" w:right="900"/>
        <w:jc w:val="both"/>
        <w:rPr>
          <w:rFonts w:ascii="Calibri" w:hAnsi="Calibri"/>
          <w:kern w:val="20"/>
          <w:sz w:val="20"/>
        </w:rPr>
      </w:pPr>
      <w:r w:rsidRPr="004A64C7">
        <w:rPr>
          <w:rFonts w:ascii="Calibri" w:hAnsi="Calibri"/>
          <w:kern w:val="20"/>
          <w:sz w:val="20"/>
        </w:rPr>
        <w:t>-</w:t>
      </w:r>
      <w:r w:rsidRPr="004A64C7">
        <w:rPr>
          <w:rFonts w:ascii="Calibri" w:hAnsi="Calibri"/>
          <w:kern w:val="20"/>
          <w:sz w:val="20"/>
        </w:rPr>
        <w:tab/>
        <w:t xml:space="preserve">Artículos 7.1, 7.3, y 5.1 de la Convención Americana, en relación con el artículo 1.1 del mismo instrumento, en perjuicio de las señoras Maria del Socorro Mosquera, Mery Naranjo, y Ana Teresa Yarce.  </w:t>
      </w:r>
    </w:p>
    <w:p w:rsidR="005074DC" w:rsidRPr="004A64C7" w:rsidRDefault="005074DC" w:rsidP="00BE729F">
      <w:pPr>
        <w:pStyle w:val="Textoindependiente"/>
        <w:tabs>
          <w:tab w:val="left" w:pos="1080"/>
        </w:tabs>
        <w:ind w:left="720" w:right="900"/>
        <w:jc w:val="both"/>
        <w:rPr>
          <w:rFonts w:ascii="Calibri" w:hAnsi="Calibri"/>
          <w:kern w:val="20"/>
          <w:sz w:val="20"/>
        </w:rPr>
      </w:pPr>
    </w:p>
    <w:p w:rsidR="005074DC" w:rsidRPr="004A64C7" w:rsidRDefault="005074DC" w:rsidP="00BE729F">
      <w:pPr>
        <w:pStyle w:val="Textoindependiente"/>
        <w:tabs>
          <w:tab w:val="left" w:pos="1080"/>
        </w:tabs>
        <w:ind w:left="720" w:right="900"/>
        <w:jc w:val="both"/>
        <w:rPr>
          <w:rFonts w:ascii="Calibri" w:hAnsi="Calibri"/>
          <w:kern w:val="20"/>
          <w:sz w:val="20"/>
        </w:rPr>
      </w:pPr>
      <w:r w:rsidRPr="004A64C7">
        <w:rPr>
          <w:rFonts w:ascii="Calibri" w:hAnsi="Calibri"/>
          <w:kern w:val="20"/>
          <w:sz w:val="20"/>
        </w:rPr>
        <w:t>-</w:t>
      </w:r>
      <w:r w:rsidRPr="004A64C7">
        <w:rPr>
          <w:rFonts w:ascii="Calibri" w:hAnsi="Calibri"/>
          <w:kern w:val="20"/>
          <w:sz w:val="20"/>
        </w:rPr>
        <w:tab/>
        <w:t xml:space="preserve">Artículo 4.1 de la Convención Americana, en relación con el artículo 1.1 del mismo instrumento, en perjuicio de la señora Ana Teresa Yarce. </w:t>
      </w:r>
    </w:p>
    <w:p w:rsidR="005074DC" w:rsidRPr="004A64C7" w:rsidRDefault="005074DC" w:rsidP="00BE729F">
      <w:pPr>
        <w:pStyle w:val="Textoindependiente"/>
        <w:tabs>
          <w:tab w:val="left" w:pos="1080"/>
        </w:tabs>
        <w:ind w:left="720" w:right="900"/>
        <w:jc w:val="both"/>
        <w:rPr>
          <w:rFonts w:ascii="Calibri" w:hAnsi="Calibri"/>
          <w:kern w:val="20"/>
          <w:sz w:val="20"/>
        </w:rPr>
      </w:pPr>
    </w:p>
    <w:p w:rsidR="005074DC" w:rsidRPr="004A64C7" w:rsidRDefault="005074DC" w:rsidP="00BE729F">
      <w:pPr>
        <w:pStyle w:val="Textoindependiente"/>
        <w:tabs>
          <w:tab w:val="left" w:pos="1080"/>
        </w:tabs>
        <w:ind w:left="720" w:right="900"/>
        <w:jc w:val="both"/>
        <w:rPr>
          <w:rFonts w:ascii="Calibri" w:hAnsi="Calibri"/>
          <w:kern w:val="20"/>
          <w:sz w:val="20"/>
        </w:rPr>
      </w:pPr>
      <w:r w:rsidRPr="004A64C7">
        <w:rPr>
          <w:rFonts w:ascii="Calibri" w:hAnsi="Calibri"/>
          <w:kern w:val="20"/>
          <w:sz w:val="20"/>
        </w:rPr>
        <w:t>-</w:t>
      </w:r>
      <w:r w:rsidRPr="004A64C7">
        <w:rPr>
          <w:rFonts w:ascii="Calibri" w:hAnsi="Calibri"/>
          <w:kern w:val="20"/>
          <w:sz w:val="20"/>
        </w:rPr>
        <w:tab/>
        <w:t>Artículo 22 de la Convención Americana, en relación con los artículos  5.1, 17.1 y 1.1 del mismo instrumento, en perjuicio de las señoras Miryam Eugenia Rúa Figueroa, María del Socorro Mosquera, Luz Dary Ospina Bastidas, y Mery Naranjo y sus familiares identificados en los párrafos 282, 293 y 304 (notas 384 y 430) del informe</w:t>
      </w:r>
      <w:r>
        <w:rPr>
          <w:rFonts w:ascii="Calibri" w:hAnsi="Calibri"/>
          <w:kern w:val="20"/>
          <w:sz w:val="20"/>
        </w:rPr>
        <w:t xml:space="preserve"> de fondo</w:t>
      </w:r>
      <w:r w:rsidRPr="004A64C7">
        <w:rPr>
          <w:rFonts w:ascii="Calibri" w:hAnsi="Calibri"/>
          <w:kern w:val="20"/>
          <w:sz w:val="20"/>
        </w:rPr>
        <w:t>.</w:t>
      </w:r>
    </w:p>
    <w:p w:rsidR="005074DC" w:rsidRPr="004A64C7" w:rsidRDefault="005074DC" w:rsidP="00BE729F">
      <w:pPr>
        <w:pStyle w:val="Textoindependiente"/>
        <w:tabs>
          <w:tab w:val="left" w:pos="1080"/>
        </w:tabs>
        <w:ind w:left="720" w:right="900"/>
        <w:jc w:val="both"/>
        <w:rPr>
          <w:rFonts w:ascii="Calibri" w:hAnsi="Calibri"/>
          <w:kern w:val="20"/>
          <w:sz w:val="20"/>
        </w:rPr>
      </w:pPr>
    </w:p>
    <w:p w:rsidR="005074DC" w:rsidRDefault="005074DC" w:rsidP="00BE729F">
      <w:pPr>
        <w:pStyle w:val="Textoindependiente"/>
        <w:tabs>
          <w:tab w:val="left" w:pos="1080"/>
        </w:tabs>
        <w:ind w:left="720" w:right="900"/>
        <w:jc w:val="both"/>
        <w:rPr>
          <w:rFonts w:ascii="Calibri" w:hAnsi="Calibri"/>
          <w:kern w:val="20"/>
          <w:sz w:val="20"/>
        </w:rPr>
      </w:pPr>
      <w:r w:rsidRPr="004A64C7">
        <w:rPr>
          <w:rFonts w:ascii="Calibri" w:hAnsi="Calibri"/>
          <w:kern w:val="20"/>
          <w:sz w:val="20"/>
        </w:rPr>
        <w:t>-</w:t>
      </w:r>
      <w:r w:rsidRPr="004A64C7">
        <w:rPr>
          <w:rFonts w:ascii="Calibri" w:hAnsi="Calibri"/>
          <w:kern w:val="20"/>
          <w:sz w:val="20"/>
        </w:rPr>
        <w:tab/>
        <w:t xml:space="preserve">Artículo 22 de la Convención Americana, en relación con los artículos 19 y 1.1 del mismo instrumento, en perjuicio de las niñas y niños para la fecha de los hechos Bárbara del Sol Palacios Rúa; </w:t>
      </w:r>
      <w:r w:rsidRPr="004A64C7">
        <w:rPr>
          <w:rFonts w:ascii="Calibri" w:hAnsi="Calibri" w:cs="Arial"/>
          <w:kern w:val="20"/>
          <w:sz w:val="20"/>
        </w:rPr>
        <w:t>Ú</w:t>
      </w:r>
      <w:r w:rsidRPr="004A64C7">
        <w:rPr>
          <w:rFonts w:ascii="Calibri" w:hAnsi="Calibri"/>
          <w:kern w:val="20"/>
          <w:sz w:val="20"/>
        </w:rPr>
        <w:t>rsula Manuela Palacios Rúa; Valentina Estefanía Tobón Rúa; Migdalia Andrea Hoyos Ospina; Lubín Alfonso Villa Mosquera; y Marlon Daniel Herrera Mosquera.</w:t>
      </w:r>
    </w:p>
    <w:p w:rsidR="007F72E9" w:rsidRDefault="007F72E9" w:rsidP="005074DC">
      <w:pPr>
        <w:pStyle w:val="Textoindependiente"/>
        <w:tabs>
          <w:tab w:val="left" w:pos="1080"/>
        </w:tabs>
        <w:ind w:left="720" w:right="900"/>
        <w:rPr>
          <w:rFonts w:ascii="Calibri" w:hAnsi="Calibri"/>
          <w:kern w:val="20"/>
          <w:sz w:val="20"/>
        </w:rPr>
      </w:pPr>
    </w:p>
    <w:p w:rsidR="00F84674" w:rsidRPr="004A64C7" w:rsidRDefault="00F84674" w:rsidP="005074DC">
      <w:pPr>
        <w:pStyle w:val="Textoindependiente"/>
        <w:tabs>
          <w:tab w:val="left" w:pos="1080"/>
        </w:tabs>
        <w:ind w:left="720" w:right="900"/>
        <w:rPr>
          <w:rFonts w:ascii="Calibri" w:hAnsi="Calibri"/>
          <w:kern w:val="20"/>
          <w:sz w:val="20"/>
        </w:rPr>
      </w:pPr>
    </w:p>
    <w:p w:rsidR="005074DC" w:rsidRDefault="004546E1" w:rsidP="004546E1">
      <w:pPr>
        <w:pStyle w:val="Textoindependiente"/>
        <w:tabs>
          <w:tab w:val="left" w:pos="1080"/>
        </w:tabs>
        <w:ind w:left="720" w:right="900"/>
        <w:jc w:val="center"/>
        <w:rPr>
          <w:rFonts w:ascii="Calibri" w:hAnsi="Calibri"/>
          <w:kern w:val="20"/>
          <w:sz w:val="20"/>
        </w:rPr>
      </w:pPr>
      <w:r>
        <w:rPr>
          <w:rFonts w:ascii="Calibri" w:hAnsi="Calibri"/>
          <w:kern w:val="20"/>
          <w:sz w:val="20"/>
        </w:rPr>
        <w:lastRenderedPageBreak/>
        <w:t>4</w:t>
      </w:r>
    </w:p>
    <w:p w:rsidR="004546E1" w:rsidRPr="004A64C7" w:rsidRDefault="004546E1" w:rsidP="005074DC">
      <w:pPr>
        <w:pStyle w:val="Textoindependiente"/>
        <w:tabs>
          <w:tab w:val="left" w:pos="1080"/>
        </w:tabs>
        <w:ind w:left="720" w:right="900"/>
        <w:rPr>
          <w:rFonts w:ascii="Calibri" w:hAnsi="Calibri"/>
          <w:kern w:val="20"/>
          <w:sz w:val="20"/>
        </w:rPr>
      </w:pPr>
    </w:p>
    <w:p w:rsidR="005074DC" w:rsidRPr="004A64C7" w:rsidRDefault="005074DC" w:rsidP="00BE729F">
      <w:pPr>
        <w:pStyle w:val="Textoindependiente"/>
        <w:tabs>
          <w:tab w:val="left" w:pos="1080"/>
        </w:tabs>
        <w:ind w:left="720" w:right="900"/>
        <w:jc w:val="both"/>
        <w:rPr>
          <w:rFonts w:ascii="Calibri" w:hAnsi="Calibri"/>
          <w:kern w:val="20"/>
          <w:sz w:val="20"/>
        </w:rPr>
      </w:pPr>
      <w:r w:rsidRPr="004A64C7">
        <w:rPr>
          <w:rFonts w:ascii="Calibri" w:hAnsi="Calibri"/>
          <w:kern w:val="20"/>
          <w:sz w:val="20"/>
        </w:rPr>
        <w:t>-</w:t>
      </w:r>
      <w:r w:rsidRPr="004A64C7">
        <w:rPr>
          <w:rFonts w:ascii="Calibri" w:hAnsi="Calibri"/>
          <w:kern w:val="20"/>
          <w:sz w:val="20"/>
        </w:rPr>
        <w:tab/>
        <w:t>Artículo 21 (incisos 1 y 2) de la Convención Americana, en relación con el artículo 1.1 del mismo instrumento, en perjuicio de las señoras Miryam Eugenia Rua Figueroa, Luz Dary Ospina, y sus familiares identificados en el párrafo 321 del informe</w:t>
      </w:r>
      <w:r>
        <w:rPr>
          <w:rFonts w:ascii="Calibri" w:hAnsi="Calibri"/>
          <w:kern w:val="20"/>
          <w:sz w:val="20"/>
        </w:rPr>
        <w:t xml:space="preserve"> de fondo</w:t>
      </w:r>
      <w:r w:rsidRPr="004A64C7">
        <w:rPr>
          <w:rFonts w:ascii="Calibri" w:hAnsi="Calibri"/>
          <w:kern w:val="20"/>
          <w:sz w:val="20"/>
        </w:rPr>
        <w:t>.</w:t>
      </w:r>
    </w:p>
    <w:p w:rsidR="005074DC" w:rsidRPr="004A64C7" w:rsidRDefault="005074DC" w:rsidP="00BE729F">
      <w:pPr>
        <w:pStyle w:val="Textoindependiente"/>
        <w:tabs>
          <w:tab w:val="left" w:pos="1080"/>
        </w:tabs>
        <w:spacing w:after="0"/>
        <w:ind w:left="720" w:right="907"/>
        <w:jc w:val="both"/>
        <w:rPr>
          <w:rFonts w:ascii="Calibri" w:hAnsi="Calibri"/>
          <w:kern w:val="20"/>
          <w:sz w:val="20"/>
        </w:rPr>
      </w:pPr>
    </w:p>
    <w:p w:rsidR="005074DC" w:rsidRPr="004A64C7" w:rsidRDefault="005074DC" w:rsidP="00BE729F">
      <w:pPr>
        <w:pStyle w:val="Textoindependiente"/>
        <w:tabs>
          <w:tab w:val="left" w:pos="1080"/>
        </w:tabs>
        <w:ind w:left="720" w:right="900"/>
        <w:jc w:val="both"/>
        <w:rPr>
          <w:rFonts w:ascii="Calibri" w:hAnsi="Calibri"/>
          <w:kern w:val="20"/>
          <w:sz w:val="20"/>
        </w:rPr>
      </w:pPr>
      <w:r w:rsidRPr="004A64C7">
        <w:rPr>
          <w:rFonts w:ascii="Calibri" w:hAnsi="Calibri"/>
          <w:kern w:val="20"/>
          <w:sz w:val="20"/>
        </w:rPr>
        <w:t>-</w:t>
      </w:r>
      <w:r w:rsidRPr="004A64C7">
        <w:rPr>
          <w:rFonts w:ascii="Calibri" w:hAnsi="Calibri"/>
          <w:kern w:val="20"/>
          <w:sz w:val="20"/>
        </w:rPr>
        <w:tab/>
        <w:t>Artículo 16 de la Convención Americana, en relación con el artículo 1.1 del mismo instrumento, en perjuicio de las señora Miryam Eugenia Rúa Figueroa, Luz Dary Ospina Bastidas, Maria del Socorro Mosqu</w:t>
      </w:r>
      <w:r>
        <w:rPr>
          <w:rFonts w:ascii="Calibri" w:hAnsi="Calibri"/>
          <w:kern w:val="20"/>
          <w:sz w:val="20"/>
        </w:rPr>
        <w:t xml:space="preserve">era, Mery Naranjo y Ana Teresa </w:t>
      </w:r>
      <w:r w:rsidRPr="004A64C7">
        <w:rPr>
          <w:rFonts w:ascii="Calibri" w:hAnsi="Calibri"/>
          <w:kern w:val="20"/>
          <w:sz w:val="20"/>
        </w:rPr>
        <w:t xml:space="preserve">Yarce. </w:t>
      </w:r>
    </w:p>
    <w:p w:rsidR="005074DC" w:rsidRPr="004A64C7" w:rsidRDefault="005074DC" w:rsidP="00BE729F">
      <w:pPr>
        <w:pStyle w:val="Textoindependiente"/>
        <w:tabs>
          <w:tab w:val="left" w:pos="1080"/>
        </w:tabs>
        <w:spacing w:after="0"/>
        <w:ind w:left="720" w:right="907"/>
        <w:jc w:val="both"/>
        <w:rPr>
          <w:rFonts w:ascii="Calibri" w:hAnsi="Calibri"/>
          <w:kern w:val="20"/>
          <w:sz w:val="20"/>
        </w:rPr>
      </w:pPr>
    </w:p>
    <w:p w:rsidR="005074DC" w:rsidRPr="004A64C7" w:rsidRDefault="005074DC" w:rsidP="00BE729F">
      <w:pPr>
        <w:pStyle w:val="Textoindependiente"/>
        <w:tabs>
          <w:tab w:val="left" w:pos="1080"/>
        </w:tabs>
        <w:ind w:left="720" w:right="900"/>
        <w:jc w:val="both"/>
        <w:rPr>
          <w:rFonts w:ascii="Calibri" w:hAnsi="Calibri"/>
          <w:kern w:val="20"/>
          <w:sz w:val="20"/>
        </w:rPr>
      </w:pPr>
      <w:r w:rsidRPr="004A64C7">
        <w:rPr>
          <w:rFonts w:ascii="Calibri" w:hAnsi="Calibri"/>
          <w:kern w:val="20"/>
          <w:sz w:val="20"/>
        </w:rPr>
        <w:t>-</w:t>
      </w:r>
      <w:r w:rsidRPr="004A64C7">
        <w:rPr>
          <w:rFonts w:ascii="Calibri" w:hAnsi="Calibri"/>
          <w:kern w:val="20"/>
          <w:sz w:val="20"/>
        </w:rPr>
        <w:tab/>
        <w:t>Artículos 8.1 y 25 de la Convención Americana, en relación con el artículo 1.1 del mismo instrumento, y el artículo 7 de la Convención de Belém do Pará, en perjuicio de las señoras Luz Dary Ospina Bastidas, Miryam Eugenia Rúa Figueroa, Maria del Socorro Mosquera, Mery Naranjo y Ana Teresa Yarce.</w:t>
      </w:r>
    </w:p>
    <w:p w:rsidR="005074DC" w:rsidRPr="004A64C7" w:rsidRDefault="005074DC" w:rsidP="00BE729F">
      <w:pPr>
        <w:pStyle w:val="Textoindependiente"/>
        <w:tabs>
          <w:tab w:val="left" w:pos="1080"/>
        </w:tabs>
        <w:spacing w:after="0"/>
        <w:ind w:left="720" w:right="907"/>
        <w:jc w:val="both"/>
        <w:rPr>
          <w:rFonts w:ascii="Calibri" w:hAnsi="Calibri"/>
          <w:kern w:val="20"/>
          <w:sz w:val="20"/>
        </w:rPr>
      </w:pPr>
    </w:p>
    <w:p w:rsidR="005074DC" w:rsidRPr="004A64C7" w:rsidRDefault="005074DC" w:rsidP="00BE729F">
      <w:pPr>
        <w:pStyle w:val="Textoindependiente"/>
        <w:tabs>
          <w:tab w:val="left" w:pos="1080"/>
        </w:tabs>
        <w:ind w:left="720" w:right="900"/>
        <w:jc w:val="both"/>
        <w:rPr>
          <w:rFonts w:ascii="Calibri" w:hAnsi="Calibri"/>
          <w:kern w:val="20"/>
          <w:sz w:val="20"/>
        </w:rPr>
      </w:pPr>
      <w:r w:rsidRPr="004A64C7">
        <w:rPr>
          <w:rFonts w:ascii="Calibri" w:hAnsi="Calibri"/>
          <w:kern w:val="20"/>
          <w:sz w:val="20"/>
        </w:rPr>
        <w:t>-</w:t>
      </w:r>
      <w:r w:rsidRPr="004A64C7">
        <w:rPr>
          <w:rFonts w:ascii="Calibri" w:hAnsi="Calibri"/>
          <w:kern w:val="20"/>
          <w:sz w:val="20"/>
        </w:rPr>
        <w:tab/>
        <w:t>Artículos 8.1 y 25 de la Convención Americana, en relación con el artículo 1.1 del mismo instrumento, en perjuicio de los familiares de las señoras Miryam Eugenia Rúa Figueroa, Luz Dary Ospina Bastidas, y Ana Teresa Yarce identificados en los párrafos 349, 354, y 357 del informe</w:t>
      </w:r>
      <w:r>
        <w:rPr>
          <w:rFonts w:ascii="Calibri" w:hAnsi="Calibri"/>
          <w:kern w:val="20"/>
          <w:sz w:val="20"/>
        </w:rPr>
        <w:t xml:space="preserve"> de fondo</w:t>
      </w:r>
      <w:r w:rsidRPr="004A64C7">
        <w:rPr>
          <w:rFonts w:ascii="Calibri" w:hAnsi="Calibri"/>
          <w:kern w:val="20"/>
          <w:sz w:val="20"/>
        </w:rPr>
        <w:t>.</w:t>
      </w:r>
    </w:p>
    <w:p w:rsidR="005074DC" w:rsidRPr="004A64C7" w:rsidRDefault="005074DC" w:rsidP="00BE729F">
      <w:pPr>
        <w:pStyle w:val="Textoindependiente"/>
        <w:tabs>
          <w:tab w:val="left" w:pos="1080"/>
        </w:tabs>
        <w:spacing w:after="0"/>
        <w:ind w:left="720" w:right="907"/>
        <w:jc w:val="both"/>
        <w:rPr>
          <w:rFonts w:ascii="Calibri" w:hAnsi="Calibri"/>
          <w:kern w:val="20"/>
          <w:sz w:val="20"/>
        </w:rPr>
      </w:pPr>
    </w:p>
    <w:p w:rsidR="005074DC" w:rsidRPr="004A64C7" w:rsidRDefault="005074DC" w:rsidP="00BE729F">
      <w:pPr>
        <w:pStyle w:val="Textoindependiente"/>
        <w:tabs>
          <w:tab w:val="left" w:pos="1080"/>
        </w:tabs>
        <w:ind w:left="720" w:right="900"/>
        <w:jc w:val="both"/>
        <w:rPr>
          <w:rFonts w:ascii="Calibri" w:hAnsi="Calibri"/>
          <w:kern w:val="20"/>
          <w:sz w:val="20"/>
        </w:rPr>
      </w:pPr>
      <w:r w:rsidRPr="004A64C7">
        <w:rPr>
          <w:rFonts w:ascii="Calibri" w:hAnsi="Calibri"/>
          <w:kern w:val="20"/>
          <w:sz w:val="20"/>
        </w:rPr>
        <w:t>-</w:t>
      </w:r>
      <w:r w:rsidRPr="004A64C7">
        <w:rPr>
          <w:rFonts w:ascii="Calibri" w:hAnsi="Calibri"/>
          <w:kern w:val="20"/>
          <w:sz w:val="20"/>
        </w:rPr>
        <w:tab/>
        <w:t>Artículo 5.1 de la Convención Americana, en relación con el artículo 1.1 del mismo instrumento, en perjuicio de los familiares de las señoras Miryam Eugenia Rúa Figueroa, Luz Dary Ospina Bastidas, Ana Teresa Yarce, Maria del Socorro Mosquera y Mery Naranjo identificados en el párrafo 367 (notas 532-536) del informe</w:t>
      </w:r>
      <w:r>
        <w:rPr>
          <w:rFonts w:ascii="Calibri" w:hAnsi="Calibri"/>
          <w:kern w:val="20"/>
          <w:sz w:val="20"/>
        </w:rPr>
        <w:t xml:space="preserve"> de fondo</w:t>
      </w:r>
      <w:r w:rsidRPr="004A64C7">
        <w:rPr>
          <w:rFonts w:ascii="Calibri" w:hAnsi="Calibri"/>
          <w:kern w:val="20"/>
          <w:sz w:val="20"/>
        </w:rPr>
        <w:t>.</w:t>
      </w:r>
    </w:p>
    <w:p w:rsidR="005074DC" w:rsidRPr="00731991" w:rsidRDefault="005074DC" w:rsidP="005074DC">
      <w:pPr>
        <w:tabs>
          <w:tab w:val="left" w:pos="1080"/>
        </w:tabs>
        <w:autoSpaceDE w:val="0"/>
        <w:autoSpaceDN w:val="0"/>
        <w:adjustRightInd w:val="0"/>
        <w:ind w:left="720" w:right="900"/>
        <w:jc w:val="both"/>
        <w:rPr>
          <w:rFonts w:ascii="Calibri" w:hAnsi="Calibri" w:cs="Arial"/>
          <w:sz w:val="22"/>
          <w:szCs w:val="22"/>
          <w:lang w:val="es-CL"/>
        </w:rPr>
      </w:pPr>
    </w:p>
    <w:p w:rsidR="005074DC" w:rsidRPr="00A63BFD" w:rsidRDefault="005074DC" w:rsidP="005074DC">
      <w:pPr>
        <w:autoSpaceDE w:val="0"/>
        <w:autoSpaceDN w:val="0"/>
        <w:adjustRightInd w:val="0"/>
        <w:ind w:right="480" w:firstLine="720"/>
        <w:jc w:val="both"/>
        <w:rPr>
          <w:rFonts w:ascii="Calibri" w:hAnsi="Calibri" w:cs="Arial"/>
          <w:sz w:val="22"/>
          <w:szCs w:val="22"/>
          <w:lang w:val="es-CL"/>
        </w:rPr>
      </w:pPr>
      <w:r w:rsidRPr="00A63BFD">
        <w:rPr>
          <w:rFonts w:ascii="Calibri" w:hAnsi="Calibri" w:cs="Arial"/>
          <w:sz w:val="22"/>
          <w:szCs w:val="22"/>
          <w:lang w:val="es-CL"/>
        </w:rPr>
        <w:t>En virtud de las anteriores conclusiones, la Comisión le recomendó al Estado:</w:t>
      </w:r>
    </w:p>
    <w:p w:rsidR="005074DC" w:rsidRPr="00986CDD" w:rsidRDefault="005074DC" w:rsidP="005074DC">
      <w:pPr>
        <w:tabs>
          <w:tab w:val="left" w:pos="1080"/>
        </w:tabs>
        <w:autoSpaceDE w:val="0"/>
        <w:autoSpaceDN w:val="0"/>
        <w:adjustRightInd w:val="0"/>
        <w:ind w:left="720" w:right="720"/>
        <w:jc w:val="both"/>
        <w:rPr>
          <w:rFonts w:ascii="Calibri" w:hAnsi="Calibri" w:cs="Arial"/>
          <w:sz w:val="22"/>
          <w:szCs w:val="22"/>
          <w:lang w:val="es-CL"/>
        </w:rPr>
      </w:pPr>
    </w:p>
    <w:p w:rsidR="005074DC" w:rsidRPr="004A64C7" w:rsidRDefault="005074DC" w:rsidP="005074DC">
      <w:pPr>
        <w:pStyle w:val="Textoindependiente"/>
        <w:numPr>
          <w:ilvl w:val="0"/>
          <w:numId w:val="1"/>
        </w:numPr>
        <w:tabs>
          <w:tab w:val="clear" w:pos="2160"/>
          <w:tab w:val="left" w:pos="1080"/>
        </w:tabs>
        <w:spacing w:after="0"/>
        <w:ind w:left="720" w:right="900" w:firstLine="0"/>
        <w:jc w:val="both"/>
        <w:rPr>
          <w:rFonts w:ascii="Calibri" w:hAnsi="Calibri"/>
          <w:sz w:val="20"/>
          <w:lang w:val="es-EC"/>
        </w:rPr>
      </w:pPr>
      <w:r w:rsidRPr="004A64C7">
        <w:rPr>
          <w:rFonts w:ascii="Calibri" w:hAnsi="Calibri"/>
          <w:sz w:val="20"/>
        </w:rPr>
        <w:t>Completar</w:t>
      </w:r>
      <w:r w:rsidRPr="004A64C7">
        <w:rPr>
          <w:rFonts w:ascii="Calibri" w:hAnsi="Calibri"/>
          <w:sz w:val="20"/>
          <w:lang w:val="es-EC"/>
        </w:rPr>
        <w:t xml:space="preserve"> investigaciones con celeridad y de forma exhaustiva, imparcial, y efectiva de las violaciones descritas en el informe. Las mismas deben ser adelantadas en un plazo de tiempo razonable y sin dilación, por parte de las autoridades judiciales, con miras al esclarecimiento de la verdad, y a la sanción de los responsables. Estas medidas deben ser asimismo implementadas considerando la especificidad de la violencia que han sufrido las mujeres defensoras afectadas, la discriminación que las afecta en base a su doble condición como líderes y mujeres, y el contexto conocido de riesgo en el qu</w:t>
      </w:r>
      <w:r>
        <w:rPr>
          <w:rFonts w:ascii="Calibri" w:hAnsi="Calibri"/>
          <w:sz w:val="20"/>
          <w:lang w:val="es-EC"/>
        </w:rPr>
        <w:t>e trabajan.</w:t>
      </w:r>
      <w:r w:rsidRPr="004A64C7">
        <w:rPr>
          <w:rFonts w:ascii="Calibri" w:hAnsi="Calibri"/>
          <w:sz w:val="20"/>
          <w:lang w:val="es-EC"/>
        </w:rPr>
        <w:t xml:space="preserve"> Estas investigaciones a su vez deben estar orientadas a identificar a todos los actores posiblemente implicados en las violaciones aquí establecidas, incluyendo integrantes de los grupos paramilitares, agentes estatales, y todos los autores materiales e intelectuales de estos hechos.</w:t>
      </w:r>
    </w:p>
    <w:p w:rsidR="005074DC" w:rsidRPr="00986CDD" w:rsidRDefault="005074DC" w:rsidP="005074DC">
      <w:pPr>
        <w:pStyle w:val="Textoindependiente"/>
        <w:tabs>
          <w:tab w:val="left" w:pos="1080"/>
        </w:tabs>
        <w:ind w:left="720" w:right="900"/>
        <w:rPr>
          <w:rFonts w:ascii="Calibri" w:hAnsi="Calibri"/>
          <w:sz w:val="20"/>
          <w:szCs w:val="20"/>
          <w:lang w:val="es-EC"/>
        </w:rPr>
      </w:pPr>
    </w:p>
    <w:p w:rsidR="005074DC" w:rsidRPr="004A64C7" w:rsidRDefault="005074DC" w:rsidP="005074DC">
      <w:pPr>
        <w:pStyle w:val="Textoindependiente"/>
        <w:numPr>
          <w:ilvl w:val="0"/>
          <w:numId w:val="1"/>
        </w:numPr>
        <w:tabs>
          <w:tab w:val="clear" w:pos="2160"/>
          <w:tab w:val="left" w:pos="1080"/>
        </w:tabs>
        <w:spacing w:after="0"/>
        <w:ind w:left="720" w:right="900" w:firstLine="0"/>
        <w:jc w:val="both"/>
        <w:rPr>
          <w:rFonts w:ascii="Calibri" w:hAnsi="Calibri"/>
          <w:sz w:val="20"/>
          <w:lang w:val="es-EC"/>
        </w:rPr>
      </w:pPr>
      <w:r w:rsidRPr="004A64C7">
        <w:rPr>
          <w:rFonts w:ascii="Calibri" w:hAnsi="Calibri"/>
          <w:sz w:val="20"/>
          <w:lang w:val="es-EC"/>
        </w:rPr>
        <w:t>Adoptar medidas urgentes e inmediatas de protección a fin de garantizar la seguridad de las defensoras afectadas y sus familiares. Estas medidas deben comprender intervenciones con el fin de facilitar su retorno a la Comuna 13 de forma pronta y segura.</w:t>
      </w:r>
    </w:p>
    <w:p w:rsidR="005074DC" w:rsidRDefault="005074DC" w:rsidP="005074DC">
      <w:pPr>
        <w:pStyle w:val="Textoindependiente"/>
        <w:tabs>
          <w:tab w:val="left" w:pos="1080"/>
        </w:tabs>
        <w:ind w:left="720" w:right="900"/>
        <w:rPr>
          <w:rFonts w:ascii="Calibri" w:hAnsi="Calibri"/>
          <w:sz w:val="20"/>
          <w:lang w:val="es-EC"/>
        </w:rPr>
      </w:pPr>
    </w:p>
    <w:p w:rsidR="005C03DA" w:rsidRDefault="005C03DA" w:rsidP="005074DC">
      <w:pPr>
        <w:pStyle w:val="Textoindependiente"/>
        <w:tabs>
          <w:tab w:val="left" w:pos="1080"/>
        </w:tabs>
        <w:ind w:left="720" w:right="900"/>
        <w:rPr>
          <w:rFonts w:ascii="Calibri" w:hAnsi="Calibri"/>
          <w:sz w:val="20"/>
          <w:lang w:val="es-EC"/>
        </w:rPr>
      </w:pPr>
    </w:p>
    <w:p w:rsidR="00F84674" w:rsidRDefault="00F84674" w:rsidP="005C03DA">
      <w:pPr>
        <w:pStyle w:val="Textoindependiente"/>
        <w:tabs>
          <w:tab w:val="left" w:pos="1080"/>
        </w:tabs>
        <w:spacing w:after="0"/>
        <w:ind w:left="720" w:right="907"/>
        <w:jc w:val="center"/>
        <w:rPr>
          <w:rFonts w:ascii="Calibri" w:hAnsi="Calibri"/>
          <w:sz w:val="20"/>
          <w:lang w:val="es-EC"/>
        </w:rPr>
      </w:pPr>
      <w:r>
        <w:rPr>
          <w:rFonts w:ascii="Calibri" w:hAnsi="Calibri"/>
          <w:sz w:val="20"/>
          <w:lang w:val="es-EC"/>
        </w:rPr>
        <w:lastRenderedPageBreak/>
        <w:t>5</w:t>
      </w:r>
    </w:p>
    <w:p w:rsidR="005C03DA" w:rsidRPr="004A64C7" w:rsidRDefault="005C03DA" w:rsidP="005C03DA">
      <w:pPr>
        <w:pStyle w:val="Textoindependiente"/>
        <w:tabs>
          <w:tab w:val="left" w:pos="1080"/>
        </w:tabs>
        <w:spacing w:after="0"/>
        <w:ind w:left="720" w:right="907"/>
        <w:rPr>
          <w:rFonts w:ascii="Calibri" w:hAnsi="Calibri"/>
          <w:sz w:val="20"/>
          <w:lang w:val="es-EC"/>
        </w:rPr>
      </w:pPr>
    </w:p>
    <w:p w:rsidR="005074DC" w:rsidRPr="004A64C7" w:rsidRDefault="005074DC" w:rsidP="005074DC">
      <w:pPr>
        <w:pStyle w:val="Textoindependiente"/>
        <w:numPr>
          <w:ilvl w:val="0"/>
          <w:numId w:val="1"/>
        </w:numPr>
        <w:tabs>
          <w:tab w:val="clear" w:pos="2160"/>
          <w:tab w:val="left" w:pos="1080"/>
        </w:tabs>
        <w:spacing w:after="0"/>
        <w:ind w:left="720" w:right="900" w:firstLine="0"/>
        <w:jc w:val="both"/>
        <w:rPr>
          <w:rFonts w:ascii="Calibri" w:hAnsi="Calibri"/>
          <w:sz w:val="20"/>
          <w:lang w:val="es-EC"/>
        </w:rPr>
      </w:pPr>
      <w:r w:rsidRPr="004A64C7">
        <w:rPr>
          <w:rFonts w:ascii="Calibri" w:hAnsi="Calibri"/>
          <w:sz w:val="20"/>
          <w:lang w:val="es-EC"/>
        </w:rPr>
        <w:t>Garantizar a las víctimas y a sus familiares en situación de desplazamiento una atención humanitaria e integral, y las condiciones de seguridad necesarias.</w:t>
      </w:r>
    </w:p>
    <w:p w:rsidR="005074DC" w:rsidRPr="00986CDD" w:rsidRDefault="005074DC" w:rsidP="005C03DA">
      <w:pPr>
        <w:pStyle w:val="Textoindependiente"/>
        <w:tabs>
          <w:tab w:val="left" w:pos="1080"/>
        </w:tabs>
        <w:spacing w:after="0"/>
        <w:ind w:left="720" w:right="907"/>
        <w:rPr>
          <w:rFonts w:ascii="Calibri" w:hAnsi="Calibri"/>
          <w:sz w:val="18"/>
          <w:szCs w:val="18"/>
          <w:lang w:val="es-EC"/>
        </w:rPr>
      </w:pPr>
    </w:p>
    <w:p w:rsidR="005074DC" w:rsidRPr="004A64C7" w:rsidRDefault="005074DC" w:rsidP="005074DC">
      <w:pPr>
        <w:pStyle w:val="Textoindependiente"/>
        <w:numPr>
          <w:ilvl w:val="0"/>
          <w:numId w:val="1"/>
        </w:numPr>
        <w:tabs>
          <w:tab w:val="clear" w:pos="2160"/>
          <w:tab w:val="left" w:pos="1080"/>
        </w:tabs>
        <w:spacing w:after="0"/>
        <w:ind w:left="720" w:right="900" w:firstLine="0"/>
        <w:jc w:val="both"/>
        <w:rPr>
          <w:rFonts w:ascii="Calibri" w:hAnsi="Calibri"/>
          <w:sz w:val="20"/>
          <w:lang w:val="es-EC"/>
        </w:rPr>
      </w:pPr>
      <w:r w:rsidRPr="004A64C7">
        <w:rPr>
          <w:rFonts w:ascii="Calibri" w:hAnsi="Calibri"/>
          <w:sz w:val="20"/>
          <w:lang w:val="es-EC"/>
        </w:rPr>
        <w:t>Reparar de forma plena e integral a las víctimas por las violaciones de derechos humanos establecidas en</w:t>
      </w:r>
      <w:r>
        <w:rPr>
          <w:rFonts w:ascii="Calibri" w:hAnsi="Calibri"/>
          <w:sz w:val="20"/>
          <w:lang w:val="es-EC"/>
        </w:rPr>
        <w:t xml:space="preserve"> el marco del presente informe.</w:t>
      </w:r>
      <w:r w:rsidRPr="004A64C7">
        <w:rPr>
          <w:rFonts w:ascii="Calibri" w:hAnsi="Calibri"/>
          <w:sz w:val="20"/>
          <w:lang w:val="es-EC"/>
        </w:rPr>
        <w:t xml:space="preserve"> Las medidas deben ser concertadas con la participación y desde la perspectiva de las personas afectadas.</w:t>
      </w:r>
    </w:p>
    <w:p w:rsidR="005074DC" w:rsidRPr="00986CDD" w:rsidRDefault="005074DC" w:rsidP="005C03DA">
      <w:pPr>
        <w:pStyle w:val="Textoindependiente"/>
        <w:tabs>
          <w:tab w:val="left" w:pos="1080"/>
        </w:tabs>
        <w:spacing w:after="0"/>
        <w:ind w:left="720" w:right="907"/>
        <w:rPr>
          <w:rFonts w:ascii="Calibri" w:hAnsi="Calibri"/>
          <w:sz w:val="18"/>
          <w:szCs w:val="18"/>
          <w:lang w:val="es-EC"/>
        </w:rPr>
      </w:pPr>
    </w:p>
    <w:p w:rsidR="005074DC" w:rsidRPr="004A64C7" w:rsidRDefault="005074DC" w:rsidP="005074DC">
      <w:pPr>
        <w:pStyle w:val="Textoindependiente"/>
        <w:numPr>
          <w:ilvl w:val="0"/>
          <w:numId w:val="1"/>
        </w:numPr>
        <w:tabs>
          <w:tab w:val="clear" w:pos="2160"/>
          <w:tab w:val="left" w:pos="1080"/>
        </w:tabs>
        <w:spacing w:after="0"/>
        <w:ind w:left="720" w:right="900" w:firstLine="0"/>
        <w:jc w:val="both"/>
        <w:rPr>
          <w:rFonts w:ascii="Calibri" w:hAnsi="Calibri"/>
          <w:sz w:val="20"/>
          <w:lang w:val="es-EC"/>
        </w:rPr>
      </w:pPr>
      <w:r w:rsidRPr="004A64C7">
        <w:rPr>
          <w:rFonts w:ascii="Calibri" w:hAnsi="Calibri"/>
          <w:sz w:val="20"/>
          <w:lang w:val="es-EC"/>
        </w:rPr>
        <w:t>Implementar políticas, programas, e intervenciones encaminadas a fin de generar condiciones seguras para la actividad de las y los defensores de los derechos humanos en la Comuna 13, como una garantía fundamental de la no repetición de los hechos.</w:t>
      </w:r>
    </w:p>
    <w:p w:rsidR="005074DC" w:rsidRPr="00986CDD" w:rsidRDefault="005074DC" w:rsidP="005C03DA">
      <w:pPr>
        <w:pStyle w:val="Textoindependiente"/>
        <w:tabs>
          <w:tab w:val="left" w:pos="1080"/>
        </w:tabs>
        <w:spacing w:after="0"/>
        <w:ind w:left="720" w:right="907"/>
        <w:rPr>
          <w:rFonts w:ascii="Calibri" w:hAnsi="Calibri"/>
          <w:sz w:val="18"/>
          <w:szCs w:val="18"/>
          <w:lang w:val="es-EC"/>
        </w:rPr>
      </w:pPr>
    </w:p>
    <w:p w:rsidR="005074DC" w:rsidRPr="004A64C7" w:rsidRDefault="005074DC" w:rsidP="005074DC">
      <w:pPr>
        <w:pStyle w:val="Textoindependiente"/>
        <w:numPr>
          <w:ilvl w:val="0"/>
          <w:numId w:val="1"/>
        </w:numPr>
        <w:tabs>
          <w:tab w:val="clear" w:pos="2160"/>
          <w:tab w:val="left" w:pos="1080"/>
        </w:tabs>
        <w:spacing w:after="0"/>
        <w:ind w:left="720" w:right="900" w:firstLine="0"/>
        <w:jc w:val="both"/>
        <w:rPr>
          <w:rFonts w:ascii="Calibri" w:hAnsi="Calibri"/>
          <w:sz w:val="20"/>
          <w:lang w:val="es-EC"/>
        </w:rPr>
      </w:pPr>
      <w:r w:rsidRPr="004A64C7">
        <w:rPr>
          <w:rFonts w:ascii="Calibri" w:hAnsi="Calibri"/>
          <w:sz w:val="20"/>
          <w:lang w:val="es-EC"/>
        </w:rPr>
        <w:t>Ejecutar intervenciones en la Comuna 13 a fin de promover una cultura de los derechos humanos en la cual se reconozca públicamente el papel fundamental que ejercen las defensoras y los defens</w:t>
      </w:r>
      <w:r>
        <w:rPr>
          <w:rFonts w:ascii="Calibri" w:hAnsi="Calibri"/>
          <w:sz w:val="20"/>
          <w:lang w:val="es-EC"/>
        </w:rPr>
        <w:t xml:space="preserve">ores de los derechos humanos. </w:t>
      </w:r>
      <w:r w:rsidRPr="004A64C7">
        <w:rPr>
          <w:rFonts w:ascii="Calibri" w:hAnsi="Calibri"/>
          <w:sz w:val="20"/>
          <w:lang w:val="es-EC"/>
        </w:rPr>
        <w:t>El compromiso estatal con esta política debe reflejarse en todas la esferas de los poderes ejecutivo, legislativo y judicial.</w:t>
      </w:r>
    </w:p>
    <w:p w:rsidR="005074DC" w:rsidRPr="00986CDD" w:rsidRDefault="005074DC" w:rsidP="005C03DA">
      <w:pPr>
        <w:pStyle w:val="Textoindependiente"/>
        <w:tabs>
          <w:tab w:val="left" w:pos="1080"/>
        </w:tabs>
        <w:spacing w:after="0"/>
        <w:ind w:left="720" w:right="907"/>
        <w:rPr>
          <w:rFonts w:ascii="Calibri" w:hAnsi="Calibri"/>
          <w:sz w:val="18"/>
          <w:szCs w:val="18"/>
          <w:lang w:val="es-EC"/>
        </w:rPr>
      </w:pPr>
    </w:p>
    <w:p w:rsidR="005074DC" w:rsidRPr="004A64C7" w:rsidRDefault="005074DC" w:rsidP="005074DC">
      <w:pPr>
        <w:pStyle w:val="Textoindependiente"/>
        <w:numPr>
          <w:ilvl w:val="0"/>
          <w:numId w:val="1"/>
        </w:numPr>
        <w:tabs>
          <w:tab w:val="clear" w:pos="2160"/>
          <w:tab w:val="left" w:pos="1080"/>
        </w:tabs>
        <w:spacing w:after="0"/>
        <w:ind w:left="720" w:right="900" w:firstLine="0"/>
        <w:jc w:val="both"/>
        <w:rPr>
          <w:rFonts w:ascii="Calibri" w:hAnsi="Calibri"/>
          <w:sz w:val="20"/>
          <w:lang w:val="es-EC"/>
        </w:rPr>
      </w:pPr>
      <w:r w:rsidRPr="004A64C7">
        <w:rPr>
          <w:rFonts w:ascii="Calibri" w:hAnsi="Calibri"/>
          <w:sz w:val="20"/>
          <w:lang w:val="es-EC"/>
        </w:rPr>
        <w:t>Generar espacios de diálogo entre las organizaciones que trabajan en la defensa de los derechos humanos en la Comuna 13 y autoridades de alto nivel, a fin de identificar políticas, programas e intervenciones que puedan ser adecuadas y efectivas en garantizar su seguridad.</w:t>
      </w:r>
    </w:p>
    <w:p w:rsidR="005074DC" w:rsidRPr="00986CDD" w:rsidRDefault="005074DC" w:rsidP="005074DC">
      <w:pPr>
        <w:tabs>
          <w:tab w:val="left" w:pos="1440"/>
          <w:tab w:val="left" w:pos="1800"/>
        </w:tabs>
        <w:ind w:right="720"/>
        <w:jc w:val="both"/>
        <w:rPr>
          <w:rFonts w:ascii="Calibri" w:hAnsi="Calibri" w:cs="Arial"/>
          <w:sz w:val="20"/>
          <w:szCs w:val="20"/>
          <w:lang w:val="es-CL"/>
        </w:rPr>
      </w:pPr>
    </w:p>
    <w:p w:rsidR="005074DC" w:rsidRPr="00184134" w:rsidRDefault="005074DC" w:rsidP="005074DC">
      <w:pPr>
        <w:autoSpaceDE w:val="0"/>
        <w:autoSpaceDN w:val="0"/>
        <w:adjustRightInd w:val="0"/>
        <w:ind w:firstLine="720"/>
        <w:jc w:val="both"/>
        <w:rPr>
          <w:rFonts w:ascii="Calibri" w:hAnsi="Calibri" w:cs="Arial"/>
          <w:sz w:val="22"/>
          <w:szCs w:val="22"/>
          <w:lang w:val="es-CL"/>
        </w:rPr>
      </w:pPr>
      <w:r w:rsidRPr="00184134">
        <w:rPr>
          <w:rFonts w:ascii="Calibri" w:hAnsi="Calibri" w:cs="Arial"/>
          <w:sz w:val="22"/>
          <w:szCs w:val="22"/>
          <w:lang w:val="es-CL"/>
        </w:rPr>
        <w:t>Además de la necesidad de obtención de justicia por la falta de cumplimiento de las recomendaciones del informe de fondo, la Comisión considera que el caso presenta cuestiones de orden público interamericano. Específicamente, el presente caso ofrece a la Corte una nueva oportunidad para pronunciarse sobre un contexto de connivencia y colaboración entre la Fuerza Pública y los grupos paramilitares. En este caso, con la característica de t</w:t>
      </w:r>
      <w:r>
        <w:rPr>
          <w:rFonts w:ascii="Calibri" w:hAnsi="Calibri" w:cs="Arial"/>
          <w:sz w:val="22"/>
          <w:szCs w:val="22"/>
          <w:lang w:val="es-CL"/>
        </w:rPr>
        <w:t>ratarse de zonas urbanas en sit</w:t>
      </w:r>
      <w:r w:rsidRPr="00184134">
        <w:rPr>
          <w:rFonts w:ascii="Calibri" w:hAnsi="Calibri" w:cs="Arial"/>
          <w:sz w:val="22"/>
          <w:szCs w:val="22"/>
          <w:lang w:val="es-CL"/>
        </w:rPr>
        <w:t xml:space="preserve">uación de pobreza, como la Comuna 13 en la ciudad de Medellín, en la cual los mecanismos de connivencia y colaboración revisten particularidades. Asimismo, el presente caso plantea la problemática del riesgo agravado en que se encuentran los defensores y defensoras de derechos humanos en el marco del conflicto armado colombiano, con un impacto especial en las defensoras de derechos humanos. En este contexto, la Honorable Corte podrá profundizar en los deberes especiales y reforzados de protección que tienen los Estados frente a defensoras de derechos humanos y su responsabilidad internacional por el incumplimiento de dichos deberes. </w:t>
      </w:r>
    </w:p>
    <w:p w:rsidR="005074DC" w:rsidRPr="00986CDD" w:rsidRDefault="005074DC" w:rsidP="00986CDD">
      <w:pPr>
        <w:autoSpaceDE w:val="0"/>
        <w:autoSpaceDN w:val="0"/>
        <w:adjustRightInd w:val="0"/>
        <w:jc w:val="both"/>
        <w:rPr>
          <w:rFonts w:ascii="Calibri" w:hAnsi="Calibri" w:cs="Arial"/>
          <w:sz w:val="20"/>
          <w:szCs w:val="20"/>
          <w:lang w:val="es-CL"/>
        </w:rPr>
      </w:pPr>
    </w:p>
    <w:p w:rsidR="005074DC" w:rsidRPr="00184134" w:rsidRDefault="005074DC" w:rsidP="005074DC">
      <w:pPr>
        <w:autoSpaceDE w:val="0"/>
        <w:autoSpaceDN w:val="0"/>
        <w:adjustRightInd w:val="0"/>
        <w:ind w:firstLine="720"/>
        <w:jc w:val="both"/>
        <w:rPr>
          <w:rFonts w:ascii="Calibri" w:hAnsi="Calibri" w:cs="Arial"/>
          <w:sz w:val="22"/>
          <w:szCs w:val="22"/>
          <w:lang w:val="es-CL"/>
        </w:rPr>
      </w:pPr>
      <w:r w:rsidRPr="00184134">
        <w:rPr>
          <w:rFonts w:ascii="Calibri" w:hAnsi="Calibri" w:cs="Arial"/>
          <w:sz w:val="22"/>
          <w:szCs w:val="22"/>
          <w:lang w:val="es-CL"/>
        </w:rPr>
        <w:t>En virtud de que estas cuestiones afectan de manera relevante el orden público interamericano, de conformidad con el artículo 35.1 f) del Reglamento de la Corte Interamericana, la Comisión se permite ofrecer las siguientes declaraciones periciales.</w:t>
      </w:r>
    </w:p>
    <w:p w:rsidR="005074DC" w:rsidRPr="00986CDD" w:rsidRDefault="005074DC" w:rsidP="00986CDD">
      <w:pPr>
        <w:autoSpaceDE w:val="0"/>
        <w:autoSpaceDN w:val="0"/>
        <w:adjustRightInd w:val="0"/>
        <w:ind w:right="480"/>
        <w:jc w:val="both"/>
        <w:rPr>
          <w:rFonts w:ascii="Calibri" w:hAnsi="Calibri" w:cs="Arial"/>
          <w:sz w:val="20"/>
          <w:szCs w:val="20"/>
          <w:lang w:val="es-CL"/>
        </w:rPr>
      </w:pPr>
    </w:p>
    <w:p w:rsidR="005074DC" w:rsidRPr="00184134" w:rsidRDefault="005074DC" w:rsidP="005074DC">
      <w:pPr>
        <w:autoSpaceDE w:val="0"/>
        <w:autoSpaceDN w:val="0"/>
        <w:adjustRightInd w:val="0"/>
        <w:ind w:firstLine="720"/>
        <w:jc w:val="both"/>
        <w:rPr>
          <w:rFonts w:ascii="Calibri" w:hAnsi="Calibri" w:cs="Courier New"/>
          <w:sz w:val="22"/>
          <w:szCs w:val="22"/>
          <w:lang w:val="es-ES_tradnl"/>
        </w:rPr>
      </w:pPr>
      <w:r w:rsidRPr="004A64C7">
        <w:rPr>
          <w:rFonts w:ascii="Calibri" w:hAnsi="Calibri" w:cs="Courier New"/>
          <w:b/>
          <w:sz w:val="22"/>
          <w:szCs w:val="22"/>
          <w:lang w:val="es-ES_tradnl"/>
        </w:rPr>
        <w:t>Perito/a cuyo nombre será informado a la brevedad</w:t>
      </w:r>
      <w:r w:rsidRPr="00184134">
        <w:rPr>
          <w:rFonts w:ascii="Calibri" w:hAnsi="Calibri" w:cs="Courier New"/>
          <w:sz w:val="22"/>
          <w:szCs w:val="22"/>
          <w:lang w:val="es-ES_tradnl"/>
        </w:rPr>
        <w:t xml:space="preserve">, quien declarará sobre la relevancia de analizar violaciones de derechos humanos como las que ocurrieron en el presente caso, a la luz de contextos específicos en el cual tuvieron lugar. El/la perito/a precisará el impacto específico de estos análisis de contexto tanto en la determinación del alcance completo de la responsabilidad de los Estados, como en la determinación de la verdad y la obtención de justicia. El/la perito/a ejemplificará su declaración mediante el contexto particular de la Comuna 13 en la ciudad de Medellín en los años 2002 y siguientes. </w:t>
      </w:r>
    </w:p>
    <w:p w:rsidR="005074DC" w:rsidRDefault="005C03DA" w:rsidP="005C03DA">
      <w:pPr>
        <w:ind w:left="720"/>
        <w:jc w:val="center"/>
        <w:rPr>
          <w:rFonts w:ascii="Calibri" w:hAnsi="Calibri"/>
          <w:sz w:val="22"/>
          <w:szCs w:val="22"/>
        </w:rPr>
      </w:pPr>
      <w:r>
        <w:rPr>
          <w:rFonts w:ascii="Calibri" w:hAnsi="Calibri"/>
          <w:sz w:val="22"/>
          <w:szCs w:val="22"/>
        </w:rPr>
        <w:lastRenderedPageBreak/>
        <w:t>6</w:t>
      </w:r>
    </w:p>
    <w:p w:rsidR="005C03DA" w:rsidRPr="00184134" w:rsidRDefault="005C03DA" w:rsidP="005074DC">
      <w:pPr>
        <w:ind w:left="720"/>
        <w:jc w:val="both"/>
        <w:rPr>
          <w:rFonts w:ascii="Calibri" w:hAnsi="Calibri"/>
          <w:sz w:val="22"/>
          <w:szCs w:val="22"/>
        </w:rPr>
      </w:pPr>
    </w:p>
    <w:p w:rsidR="005074DC" w:rsidRPr="00184134" w:rsidRDefault="005074DC" w:rsidP="005074DC">
      <w:pPr>
        <w:autoSpaceDE w:val="0"/>
        <w:autoSpaceDN w:val="0"/>
        <w:adjustRightInd w:val="0"/>
        <w:ind w:firstLine="720"/>
        <w:jc w:val="both"/>
        <w:rPr>
          <w:rFonts w:ascii="Calibri" w:hAnsi="Calibri" w:cs="Arial"/>
          <w:sz w:val="22"/>
          <w:szCs w:val="22"/>
          <w:lang w:val="es-CL"/>
        </w:rPr>
      </w:pPr>
      <w:r w:rsidRPr="004A64C7">
        <w:rPr>
          <w:rFonts w:ascii="Calibri" w:hAnsi="Calibri" w:cs="Courier New"/>
          <w:b/>
          <w:sz w:val="22"/>
          <w:szCs w:val="22"/>
          <w:lang w:val="es-ES_tradnl"/>
        </w:rPr>
        <w:t>Perito/a cuyo nombre será informado a la brevedad</w:t>
      </w:r>
      <w:r w:rsidRPr="00184134">
        <w:rPr>
          <w:rFonts w:ascii="Calibri" w:hAnsi="Calibri" w:cs="Courier New"/>
          <w:sz w:val="22"/>
          <w:szCs w:val="22"/>
          <w:lang w:val="es-ES_tradnl"/>
        </w:rPr>
        <w:t xml:space="preserve">, </w:t>
      </w:r>
      <w:r w:rsidRPr="00184134">
        <w:rPr>
          <w:rFonts w:ascii="Calibri" w:hAnsi="Calibri"/>
          <w:sz w:val="22"/>
          <w:szCs w:val="22"/>
        </w:rPr>
        <w:t xml:space="preserve">quien declarará sobre </w:t>
      </w:r>
      <w:r w:rsidRPr="00184134">
        <w:rPr>
          <w:rFonts w:ascii="Calibri" w:hAnsi="Calibri" w:cs="Arial"/>
          <w:sz w:val="22"/>
          <w:szCs w:val="22"/>
          <w:lang w:val="es-CL"/>
        </w:rPr>
        <w:t xml:space="preserve">los riesgos agravados que enfrentan los defensores y defensoras de derechos humanos en el marco de un conflicto armado, con particular énfasis en la situación de las defensoras de derechos humanos. El/la perito/a analizará las obligaciones correlativas de los Estados para responder de manera oportuna y efectiva a estos riesgos agravados. Asimismo, el/la perito/a tomará en consideración el contexto del conflicto armado colombiano y la múltiples situaciones de riesgo que confluyen en las mujeres defensoras de derechos humanos. El/la perito/a hará referencia, a modo de ejemplificación, a los hechos del presente caso. </w:t>
      </w:r>
    </w:p>
    <w:p w:rsidR="005074DC" w:rsidRDefault="005074DC" w:rsidP="005074DC">
      <w:pPr>
        <w:tabs>
          <w:tab w:val="left" w:pos="0"/>
        </w:tabs>
        <w:ind w:firstLine="720"/>
        <w:jc w:val="both"/>
        <w:rPr>
          <w:rFonts w:ascii="Calibri" w:hAnsi="Calibri"/>
          <w:sz w:val="22"/>
          <w:szCs w:val="22"/>
          <w:lang w:val="es-AR"/>
        </w:rPr>
      </w:pPr>
    </w:p>
    <w:p w:rsidR="005074DC" w:rsidRPr="009433F4" w:rsidRDefault="005074DC" w:rsidP="005074DC">
      <w:pPr>
        <w:tabs>
          <w:tab w:val="left" w:pos="0"/>
        </w:tabs>
        <w:ind w:firstLine="720"/>
        <w:jc w:val="both"/>
        <w:rPr>
          <w:rFonts w:ascii="Calibri" w:hAnsi="Calibri"/>
          <w:sz w:val="22"/>
          <w:szCs w:val="22"/>
        </w:rPr>
      </w:pPr>
      <w:r>
        <w:rPr>
          <w:rFonts w:ascii="Calibri" w:hAnsi="Calibri"/>
          <w:sz w:val="22"/>
          <w:szCs w:val="22"/>
          <w:lang w:val="es-AR"/>
        </w:rPr>
        <w:t>Los CV d</w:t>
      </w:r>
      <w:r w:rsidRPr="009433F4">
        <w:rPr>
          <w:rFonts w:ascii="Calibri" w:hAnsi="Calibri"/>
          <w:sz w:val="22"/>
          <w:szCs w:val="22"/>
        </w:rPr>
        <w:t>e</w:t>
      </w:r>
      <w:r>
        <w:rPr>
          <w:rFonts w:ascii="Calibri" w:hAnsi="Calibri"/>
          <w:sz w:val="22"/>
          <w:szCs w:val="22"/>
        </w:rPr>
        <w:t xml:space="preserve"> </w:t>
      </w:r>
      <w:r w:rsidRPr="009433F4">
        <w:rPr>
          <w:rFonts w:ascii="Calibri" w:hAnsi="Calibri"/>
          <w:sz w:val="22"/>
          <w:szCs w:val="22"/>
        </w:rPr>
        <w:t>l</w:t>
      </w:r>
      <w:r>
        <w:rPr>
          <w:rFonts w:ascii="Calibri" w:hAnsi="Calibri"/>
          <w:sz w:val="22"/>
          <w:szCs w:val="22"/>
        </w:rPr>
        <w:t>os/las</w:t>
      </w:r>
      <w:r w:rsidRPr="009433F4">
        <w:rPr>
          <w:rFonts w:ascii="Calibri" w:hAnsi="Calibri"/>
          <w:sz w:val="22"/>
          <w:szCs w:val="22"/>
        </w:rPr>
        <w:t xml:space="preserve"> perito</w:t>
      </w:r>
      <w:r>
        <w:rPr>
          <w:rFonts w:ascii="Calibri" w:hAnsi="Calibri"/>
          <w:sz w:val="22"/>
          <w:szCs w:val="22"/>
        </w:rPr>
        <w:t>s/as</w:t>
      </w:r>
      <w:r w:rsidRPr="009433F4">
        <w:rPr>
          <w:rFonts w:ascii="Calibri" w:hAnsi="Calibri"/>
          <w:sz w:val="22"/>
          <w:szCs w:val="22"/>
        </w:rPr>
        <w:t xml:space="preserve"> propuesto</w:t>
      </w:r>
      <w:r>
        <w:rPr>
          <w:rFonts w:ascii="Calibri" w:hAnsi="Calibri"/>
          <w:sz w:val="22"/>
          <w:szCs w:val="22"/>
        </w:rPr>
        <w:t>s/as</w:t>
      </w:r>
      <w:r w:rsidRPr="009433F4">
        <w:rPr>
          <w:rFonts w:ascii="Calibri" w:hAnsi="Calibri"/>
          <w:sz w:val="22"/>
          <w:szCs w:val="22"/>
        </w:rPr>
        <w:t xml:space="preserve"> será</w:t>
      </w:r>
      <w:r>
        <w:rPr>
          <w:rFonts w:ascii="Calibri" w:hAnsi="Calibri"/>
          <w:sz w:val="22"/>
          <w:szCs w:val="22"/>
        </w:rPr>
        <w:t>n</w:t>
      </w:r>
      <w:r w:rsidRPr="009433F4">
        <w:rPr>
          <w:rFonts w:ascii="Calibri" w:hAnsi="Calibri"/>
          <w:sz w:val="22"/>
          <w:szCs w:val="22"/>
        </w:rPr>
        <w:t xml:space="preserve"> incluidos en los anexos al informe de fondo 86/1</w:t>
      </w:r>
      <w:r>
        <w:rPr>
          <w:rFonts w:ascii="Calibri" w:hAnsi="Calibri"/>
          <w:sz w:val="22"/>
          <w:szCs w:val="22"/>
        </w:rPr>
        <w:t>3</w:t>
      </w:r>
      <w:r w:rsidRPr="009433F4">
        <w:rPr>
          <w:rFonts w:ascii="Calibri" w:hAnsi="Calibri"/>
          <w:sz w:val="22"/>
          <w:szCs w:val="22"/>
        </w:rPr>
        <w:t xml:space="preserve">. </w:t>
      </w:r>
    </w:p>
    <w:p w:rsidR="005074DC" w:rsidRDefault="005074DC" w:rsidP="005074DC">
      <w:pPr>
        <w:pStyle w:val="Default"/>
        <w:tabs>
          <w:tab w:val="left" w:pos="0"/>
        </w:tabs>
        <w:ind w:firstLine="720"/>
        <w:jc w:val="both"/>
        <w:rPr>
          <w:rFonts w:ascii="Calibri" w:hAnsi="Calibri"/>
          <w:sz w:val="22"/>
          <w:szCs w:val="22"/>
          <w:lang w:val="es-ES_tradnl"/>
        </w:rPr>
      </w:pPr>
    </w:p>
    <w:p w:rsidR="005074DC" w:rsidRPr="009433F4" w:rsidRDefault="005074DC" w:rsidP="005074DC">
      <w:pPr>
        <w:pStyle w:val="Default"/>
        <w:tabs>
          <w:tab w:val="left" w:pos="0"/>
        </w:tabs>
        <w:ind w:firstLine="720"/>
        <w:jc w:val="both"/>
        <w:rPr>
          <w:rFonts w:ascii="Calibri" w:hAnsi="Calibri"/>
          <w:sz w:val="22"/>
          <w:szCs w:val="22"/>
          <w:lang w:val="es-ES_tradnl"/>
        </w:rPr>
      </w:pPr>
      <w:r w:rsidRPr="009433F4">
        <w:rPr>
          <w:rFonts w:ascii="Calibri" w:hAnsi="Calibri"/>
          <w:sz w:val="22"/>
          <w:szCs w:val="22"/>
          <w:lang w:val="es-ES_tradnl"/>
        </w:rPr>
        <w:t xml:space="preserve">La Comisión pone en conocimiento de la Corte que el Grupo Interdisciplinario de Derechos Humanos (GIDH) es la organización que ha actuado como peticionaria a lo largo del trámite. Sus datos de contacto son: </w:t>
      </w:r>
    </w:p>
    <w:p w:rsidR="005074DC" w:rsidRDefault="005074DC" w:rsidP="005074DC">
      <w:pPr>
        <w:autoSpaceDE w:val="0"/>
        <w:autoSpaceDN w:val="0"/>
        <w:adjustRightInd w:val="0"/>
        <w:jc w:val="center"/>
        <w:rPr>
          <w:rFonts w:ascii="Calibri" w:hAnsi="Calibri" w:cs="Arial"/>
          <w:sz w:val="21"/>
          <w:szCs w:val="21"/>
          <w:lang w:val="es-ES_tradnl" w:eastAsia="en-US"/>
        </w:rPr>
      </w:pPr>
    </w:p>
    <w:p w:rsidR="004546E1" w:rsidRDefault="004546E1" w:rsidP="005074DC">
      <w:pPr>
        <w:autoSpaceDE w:val="0"/>
        <w:autoSpaceDN w:val="0"/>
        <w:adjustRightInd w:val="0"/>
        <w:jc w:val="center"/>
        <w:rPr>
          <w:rFonts w:ascii="Calibri" w:hAnsi="Calibri" w:cs="Arial"/>
          <w:sz w:val="21"/>
          <w:szCs w:val="21"/>
          <w:lang w:val="es-ES_tradnl" w:eastAsia="en-US"/>
        </w:rPr>
      </w:pPr>
      <w:r>
        <w:rPr>
          <w:rFonts w:ascii="Calibri" w:hAnsi="Calibri" w:cs="Arial"/>
          <w:sz w:val="21"/>
          <w:szCs w:val="21"/>
          <w:lang w:val="es-ES_tradnl" w:eastAsia="en-US"/>
        </w:rPr>
        <w:t>Señores</w:t>
      </w:r>
    </w:p>
    <w:p w:rsidR="004546E1" w:rsidRDefault="004546E1" w:rsidP="005074DC">
      <w:pPr>
        <w:autoSpaceDE w:val="0"/>
        <w:autoSpaceDN w:val="0"/>
        <w:adjustRightInd w:val="0"/>
        <w:jc w:val="center"/>
        <w:rPr>
          <w:rFonts w:ascii="Calibri" w:hAnsi="Calibri" w:cs="Arial"/>
          <w:sz w:val="21"/>
          <w:szCs w:val="21"/>
          <w:lang w:val="es-ES_tradnl" w:eastAsia="en-US"/>
        </w:rPr>
      </w:pPr>
      <w:r>
        <w:rPr>
          <w:rFonts w:ascii="Calibri" w:hAnsi="Calibri" w:cs="Arial"/>
          <w:sz w:val="21"/>
          <w:szCs w:val="21"/>
          <w:lang w:val="es-ES_tradnl" w:eastAsia="en-US"/>
        </w:rPr>
        <w:t>Grupo Interdisciplinario de Derechos Humanos – GIDH</w:t>
      </w:r>
    </w:p>
    <w:p w:rsidR="005101B1" w:rsidRPr="00085C0F" w:rsidRDefault="00AC3537" w:rsidP="005074DC">
      <w:pPr>
        <w:autoSpaceDE w:val="0"/>
        <w:autoSpaceDN w:val="0"/>
        <w:adjustRightInd w:val="0"/>
        <w:jc w:val="center"/>
        <w:rPr>
          <w:rFonts w:ascii="Calibri" w:hAnsi="Calibri" w:cs="Arial"/>
          <w:sz w:val="21"/>
          <w:szCs w:val="21"/>
          <w:highlight w:val="black"/>
          <w:lang w:val="es-ES_tradnl" w:eastAsia="en-US"/>
        </w:rPr>
      </w:pPr>
      <w:r w:rsidRPr="00085C0F">
        <w:rPr>
          <w:rFonts w:ascii="Calibri" w:hAnsi="Calibri" w:cs="Arial"/>
          <w:sz w:val="21"/>
          <w:szCs w:val="21"/>
          <w:highlight w:val="black"/>
          <w:lang w:val="es-ES_tradnl" w:eastAsia="en-US"/>
        </w:rPr>
        <w:t>xxxxxxxxxxxxxxxxxxxxxxxx</w:t>
      </w:r>
    </w:p>
    <w:p w:rsidR="004546E1" w:rsidRPr="00085C0F" w:rsidRDefault="00AC3537" w:rsidP="007F72E9">
      <w:pPr>
        <w:autoSpaceDE w:val="0"/>
        <w:autoSpaceDN w:val="0"/>
        <w:adjustRightInd w:val="0"/>
        <w:jc w:val="center"/>
        <w:rPr>
          <w:rFonts w:ascii="Calibri" w:hAnsi="Calibri" w:cs="Arial"/>
          <w:sz w:val="21"/>
          <w:szCs w:val="21"/>
          <w:highlight w:val="black"/>
          <w:lang w:val="es-ES_tradnl" w:eastAsia="en-US"/>
        </w:rPr>
      </w:pPr>
      <w:r w:rsidRPr="00085C0F">
        <w:rPr>
          <w:rFonts w:ascii="Calibri" w:hAnsi="Calibri" w:cs="Arial"/>
          <w:sz w:val="21"/>
          <w:szCs w:val="21"/>
          <w:highlight w:val="black"/>
          <w:lang w:val="es-ES_tradnl" w:eastAsia="en-US"/>
        </w:rPr>
        <w:t>xxxxxxxxxxxxxxxxxxxxxx</w:t>
      </w:r>
    </w:p>
    <w:p w:rsidR="005101B1" w:rsidRPr="00085C0F" w:rsidRDefault="00AC3537" w:rsidP="007F72E9">
      <w:pPr>
        <w:autoSpaceDE w:val="0"/>
        <w:autoSpaceDN w:val="0"/>
        <w:adjustRightInd w:val="0"/>
        <w:jc w:val="center"/>
        <w:rPr>
          <w:rFonts w:ascii="Calibri" w:hAnsi="Calibri" w:cs="Arial"/>
          <w:sz w:val="21"/>
          <w:szCs w:val="21"/>
          <w:highlight w:val="black"/>
          <w:lang w:val="es-ES_tradnl" w:eastAsia="en-US"/>
        </w:rPr>
      </w:pPr>
      <w:r w:rsidRPr="00085C0F">
        <w:rPr>
          <w:rFonts w:ascii="Calibri" w:hAnsi="Calibri" w:cs="Arial"/>
          <w:sz w:val="21"/>
          <w:szCs w:val="21"/>
          <w:highlight w:val="black"/>
          <w:lang w:val="es-ES_tradnl" w:eastAsia="en-US"/>
        </w:rPr>
        <w:t>xxxxxxxxxxxxxxxxxxxxxxxxxxxxxxx</w:t>
      </w:r>
    </w:p>
    <w:p w:rsidR="007F72E9" w:rsidRPr="00AC3537" w:rsidRDefault="00AC3537" w:rsidP="007F72E9">
      <w:pPr>
        <w:autoSpaceDE w:val="0"/>
        <w:autoSpaceDN w:val="0"/>
        <w:adjustRightInd w:val="0"/>
        <w:jc w:val="center"/>
        <w:rPr>
          <w:rFonts w:ascii="Calibri" w:hAnsi="Calibri" w:cs="Arial"/>
          <w:sz w:val="21"/>
          <w:szCs w:val="21"/>
          <w:lang w:val="es-ES_tradnl" w:eastAsia="en-US"/>
        </w:rPr>
      </w:pPr>
      <w:r w:rsidRPr="00085C0F">
        <w:rPr>
          <w:rFonts w:ascii="Calibri" w:hAnsi="Calibri" w:cs="Arial"/>
          <w:sz w:val="21"/>
          <w:szCs w:val="21"/>
          <w:highlight w:val="black"/>
          <w:lang w:val="es-ES_tradnl" w:eastAsia="en-US"/>
        </w:rPr>
        <w:t>xxxxxxxxxxxxxxxxxxx</w:t>
      </w:r>
      <w:r w:rsidR="007F72E9" w:rsidRPr="00085C0F">
        <w:rPr>
          <w:rFonts w:ascii="Calibri" w:hAnsi="Calibri" w:cs="Arial"/>
          <w:sz w:val="21"/>
          <w:szCs w:val="21"/>
          <w:highlight w:val="black"/>
          <w:lang w:val="es-ES_tradnl" w:eastAsia="en-US"/>
        </w:rPr>
        <w:t xml:space="preserve">  /  </w:t>
      </w:r>
      <w:r w:rsidRPr="00085C0F">
        <w:rPr>
          <w:rFonts w:ascii="Calibri" w:hAnsi="Calibri" w:cs="Arial"/>
          <w:sz w:val="21"/>
          <w:szCs w:val="21"/>
          <w:highlight w:val="black"/>
          <w:lang w:val="es-ES_tradnl" w:eastAsia="en-US"/>
        </w:rPr>
        <w:t>xxxxxxxxxxxxxxxxxxxxxx</w:t>
      </w:r>
    </w:p>
    <w:p w:rsidR="007F72E9" w:rsidRPr="00AC3537" w:rsidRDefault="007F72E9" w:rsidP="007F72E9">
      <w:pPr>
        <w:autoSpaceDE w:val="0"/>
        <w:autoSpaceDN w:val="0"/>
        <w:adjustRightInd w:val="0"/>
        <w:jc w:val="center"/>
        <w:rPr>
          <w:rFonts w:ascii="Calibri" w:hAnsi="Calibri" w:cs="Arial"/>
          <w:sz w:val="21"/>
          <w:szCs w:val="21"/>
          <w:lang w:val="es-ES_tradnl" w:eastAsia="en-US"/>
        </w:rPr>
      </w:pPr>
    </w:p>
    <w:p w:rsidR="00DF215F" w:rsidRDefault="00DF215F" w:rsidP="007F72E9">
      <w:pPr>
        <w:autoSpaceDE w:val="0"/>
        <w:autoSpaceDN w:val="0"/>
        <w:adjustRightInd w:val="0"/>
        <w:jc w:val="center"/>
        <w:rPr>
          <w:rFonts w:ascii="Calibri" w:hAnsi="Calibri" w:cs="Arial"/>
          <w:sz w:val="21"/>
          <w:szCs w:val="21"/>
          <w:lang w:val="es-ES_tradnl" w:eastAsia="en-US"/>
        </w:rPr>
      </w:pPr>
    </w:p>
    <w:p w:rsidR="005074DC" w:rsidRPr="009433F4" w:rsidRDefault="005074DC" w:rsidP="005074DC">
      <w:pPr>
        <w:tabs>
          <w:tab w:val="left" w:pos="0"/>
        </w:tabs>
        <w:ind w:firstLine="720"/>
        <w:jc w:val="both"/>
        <w:rPr>
          <w:rFonts w:ascii="Calibri" w:hAnsi="Calibri" w:cs="Arial"/>
          <w:sz w:val="22"/>
          <w:szCs w:val="22"/>
          <w:lang w:val="es-CO"/>
        </w:rPr>
      </w:pPr>
      <w:r w:rsidRPr="009433F4">
        <w:rPr>
          <w:rFonts w:ascii="Calibri" w:hAnsi="Calibri" w:cs="Arial"/>
          <w:sz w:val="22"/>
          <w:szCs w:val="22"/>
          <w:lang w:val="es-CO"/>
        </w:rPr>
        <w:t>Aprovecho la oportunidad para saludar a usted muy atentamente,</w:t>
      </w:r>
    </w:p>
    <w:p w:rsidR="005C03DA" w:rsidRDefault="005C03DA" w:rsidP="007F72E9">
      <w:pPr>
        <w:suppressAutoHyphens/>
        <w:rPr>
          <w:rFonts w:ascii="Calibri" w:hAnsi="Calibri" w:cs="Arial"/>
          <w:snapToGrid w:val="0"/>
          <w:sz w:val="22"/>
          <w:szCs w:val="22"/>
          <w:lang w:val="es-CO"/>
        </w:rPr>
      </w:pPr>
    </w:p>
    <w:p w:rsidR="005C03DA" w:rsidRDefault="005C03DA" w:rsidP="007F72E9">
      <w:pPr>
        <w:suppressAutoHyphens/>
        <w:rPr>
          <w:rFonts w:ascii="Calibri" w:hAnsi="Calibri" w:cs="Arial"/>
          <w:snapToGrid w:val="0"/>
          <w:sz w:val="22"/>
          <w:szCs w:val="22"/>
          <w:lang w:val="es-CO"/>
        </w:rPr>
      </w:pPr>
    </w:p>
    <w:p w:rsidR="005C03DA" w:rsidRDefault="005C03DA" w:rsidP="007F72E9">
      <w:pPr>
        <w:suppressAutoHyphens/>
        <w:rPr>
          <w:rFonts w:ascii="Calibri" w:hAnsi="Calibri" w:cs="Arial"/>
          <w:snapToGrid w:val="0"/>
          <w:sz w:val="22"/>
          <w:szCs w:val="22"/>
          <w:lang w:val="es-CO"/>
        </w:rPr>
      </w:pPr>
    </w:p>
    <w:p w:rsidR="005C03DA" w:rsidRDefault="00F110A1" w:rsidP="00F110A1">
      <w:pPr>
        <w:suppressAutoHyphens/>
        <w:jc w:val="center"/>
        <w:rPr>
          <w:rFonts w:ascii="Calibri" w:hAnsi="Calibri" w:cs="Arial"/>
          <w:snapToGrid w:val="0"/>
          <w:sz w:val="22"/>
          <w:szCs w:val="22"/>
          <w:lang w:val="es-CO"/>
        </w:rPr>
      </w:pPr>
      <w:r>
        <w:rPr>
          <w:rFonts w:ascii="Calibri" w:hAnsi="Calibri" w:cs="Arial"/>
          <w:snapToGrid w:val="0"/>
          <w:sz w:val="22"/>
          <w:szCs w:val="22"/>
          <w:lang w:val="es-CO"/>
        </w:rPr>
        <w:t xml:space="preserve">                                                                                                           </w:t>
      </w:r>
      <w:r w:rsidRPr="00F110A1">
        <w:rPr>
          <w:rFonts w:ascii="Calibri" w:hAnsi="Calibri" w:cs="Arial"/>
          <w:snapToGrid w:val="0"/>
          <w:sz w:val="22"/>
          <w:szCs w:val="22"/>
          <w:lang w:val="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5pt;height:31.7pt">
            <v:imagedata r:id="rId8" o:title="Firma de EAM"/>
          </v:shape>
        </w:pict>
      </w:r>
    </w:p>
    <w:p w:rsidR="005C03DA" w:rsidRDefault="005C03DA" w:rsidP="007F72E9">
      <w:pPr>
        <w:suppressAutoHyphens/>
        <w:rPr>
          <w:rFonts w:ascii="Calibri" w:hAnsi="Calibri" w:cs="Arial"/>
          <w:snapToGrid w:val="0"/>
          <w:sz w:val="22"/>
          <w:szCs w:val="22"/>
          <w:lang w:val="es-CO"/>
        </w:rPr>
      </w:pPr>
    </w:p>
    <w:p w:rsidR="00F110A1" w:rsidRDefault="00F110A1" w:rsidP="00F110A1">
      <w:pPr>
        <w:suppressAutoHyphens/>
        <w:ind w:left="5760" w:firstLine="720"/>
        <w:rPr>
          <w:rFonts w:ascii="Calibri" w:hAnsi="Calibri" w:cs="Arial"/>
          <w:snapToGrid w:val="0"/>
          <w:sz w:val="22"/>
          <w:szCs w:val="22"/>
          <w:lang w:val="es-CO"/>
        </w:rPr>
      </w:pPr>
      <w:r>
        <w:rPr>
          <w:rFonts w:ascii="Calibri" w:hAnsi="Calibri" w:cs="Arial"/>
          <w:snapToGrid w:val="0"/>
          <w:sz w:val="22"/>
          <w:szCs w:val="22"/>
          <w:lang w:val="es-CO"/>
        </w:rPr>
        <w:t>Elizabeth Abi-Mershed</w:t>
      </w:r>
    </w:p>
    <w:p w:rsidR="005C03DA" w:rsidRDefault="00F110A1" w:rsidP="00F110A1">
      <w:pPr>
        <w:suppressAutoHyphens/>
        <w:ind w:left="5040" w:firstLine="720"/>
        <w:rPr>
          <w:rFonts w:ascii="Calibri" w:hAnsi="Calibri" w:cs="Arial"/>
          <w:snapToGrid w:val="0"/>
          <w:sz w:val="22"/>
          <w:szCs w:val="22"/>
          <w:lang w:val="es-CO"/>
        </w:rPr>
      </w:pPr>
      <w:r>
        <w:rPr>
          <w:rFonts w:ascii="Calibri" w:hAnsi="Calibri" w:cs="Arial"/>
          <w:snapToGrid w:val="0"/>
          <w:sz w:val="22"/>
          <w:szCs w:val="22"/>
          <w:lang w:val="es-CO"/>
        </w:rPr>
        <w:t xml:space="preserve">         Secretaria Ejecutiva Adjunta</w:t>
      </w:r>
    </w:p>
    <w:p w:rsidR="005C03DA" w:rsidRDefault="005C03DA" w:rsidP="007F72E9">
      <w:pPr>
        <w:suppressAutoHyphens/>
        <w:rPr>
          <w:rFonts w:ascii="Calibri" w:hAnsi="Calibri" w:cs="Arial"/>
          <w:snapToGrid w:val="0"/>
          <w:sz w:val="22"/>
          <w:szCs w:val="22"/>
          <w:lang w:val="es-CO"/>
        </w:rPr>
      </w:pPr>
    </w:p>
    <w:p w:rsidR="005C03DA" w:rsidRDefault="005C03DA" w:rsidP="007F72E9">
      <w:pPr>
        <w:suppressAutoHyphens/>
        <w:rPr>
          <w:rFonts w:ascii="Calibri" w:hAnsi="Calibri" w:cs="Arial"/>
          <w:snapToGrid w:val="0"/>
          <w:sz w:val="22"/>
          <w:szCs w:val="22"/>
          <w:lang w:val="es-CO"/>
        </w:rPr>
      </w:pPr>
    </w:p>
    <w:p w:rsidR="005C03DA" w:rsidRDefault="005C03DA" w:rsidP="007F72E9">
      <w:pPr>
        <w:suppressAutoHyphens/>
        <w:rPr>
          <w:rFonts w:ascii="Calibri" w:hAnsi="Calibri" w:cs="Arial"/>
          <w:snapToGrid w:val="0"/>
          <w:sz w:val="22"/>
          <w:szCs w:val="22"/>
          <w:lang w:val="es-CO"/>
        </w:rPr>
      </w:pPr>
    </w:p>
    <w:p w:rsidR="005C03DA" w:rsidRDefault="005C03DA" w:rsidP="007F72E9">
      <w:pPr>
        <w:suppressAutoHyphens/>
        <w:rPr>
          <w:rFonts w:ascii="Calibri" w:hAnsi="Calibri" w:cs="Arial"/>
          <w:snapToGrid w:val="0"/>
          <w:sz w:val="22"/>
          <w:szCs w:val="22"/>
          <w:lang w:val="es-CO"/>
        </w:rPr>
      </w:pPr>
    </w:p>
    <w:p w:rsidR="005C03DA" w:rsidRDefault="005C03DA" w:rsidP="007F72E9">
      <w:pPr>
        <w:suppressAutoHyphens/>
        <w:rPr>
          <w:rFonts w:ascii="Calibri" w:hAnsi="Calibri" w:cs="Arial"/>
          <w:snapToGrid w:val="0"/>
          <w:sz w:val="22"/>
          <w:szCs w:val="22"/>
          <w:lang w:val="es-CO"/>
        </w:rPr>
      </w:pPr>
    </w:p>
    <w:p w:rsidR="005C03DA" w:rsidRDefault="005C03DA" w:rsidP="007F72E9">
      <w:pPr>
        <w:suppressAutoHyphens/>
        <w:rPr>
          <w:rFonts w:ascii="Calibri" w:hAnsi="Calibri" w:cs="Arial"/>
          <w:snapToGrid w:val="0"/>
          <w:sz w:val="22"/>
          <w:szCs w:val="22"/>
          <w:lang w:val="es-CO"/>
        </w:rPr>
      </w:pPr>
    </w:p>
    <w:p w:rsidR="005C03DA" w:rsidRDefault="005C03DA" w:rsidP="007F72E9">
      <w:pPr>
        <w:suppressAutoHyphens/>
        <w:rPr>
          <w:rFonts w:ascii="Calibri" w:hAnsi="Calibri" w:cs="Arial"/>
          <w:snapToGrid w:val="0"/>
          <w:sz w:val="22"/>
          <w:szCs w:val="22"/>
          <w:lang w:val="es-CO"/>
        </w:rPr>
      </w:pPr>
    </w:p>
    <w:p w:rsidR="007F72E9" w:rsidRDefault="007F72E9" w:rsidP="007F72E9">
      <w:pPr>
        <w:suppressAutoHyphens/>
        <w:rPr>
          <w:rFonts w:ascii="Calibri" w:hAnsi="Calibri" w:cs="Arial"/>
          <w:snapToGrid w:val="0"/>
          <w:sz w:val="22"/>
          <w:szCs w:val="22"/>
          <w:lang w:val="es-CO"/>
        </w:rPr>
      </w:pPr>
    </w:p>
    <w:p w:rsidR="007F72E9" w:rsidRDefault="007F72E9" w:rsidP="007F72E9">
      <w:pPr>
        <w:suppressAutoHyphens/>
        <w:rPr>
          <w:rFonts w:ascii="Calibri" w:hAnsi="Calibri" w:cs="Arial"/>
          <w:snapToGrid w:val="0"/>
          <w:sz w:val="22"/>
          <w:szCs w:val="22"/>
          <w:lang w:val="es-CO"/>
        </w:rPr>
      </w:pPr>
    </w:p>
    <w:p w:rsidR="003522B9" w:rsidRPr="005074DC" w:rsidRDefault="007F72E9" w:rsidP="007F72E9">
      <w:pPr>
        <w:suppressAutoHyphens/>
      </w:pPr>
      <w:r w:rsidRPr="009433F4">
        <w:rPr>
          <w:rFonts w:ascii="Calibri" w:hAnsi="Calibri" w:cs="Arial"/>
          <w:snapToGrid w:val="0"/>
          <w:sz w:val="22"/>
          <w:szCs w:val="22"/>
          <w:lang w:val="es-ES_tradnl"/>
        </w:rPr>
        <w:t>Anexo</w:t>
      </w:r>
    </w:p>
    <w:sectPr w:rsidR="003522B9" w:rsidRPr="005074DC" w:rsidSect="00F84674">
      <w:headerReference w:type="default" r:id="rId9"/>
      <w:footerReference w:type="default" r:id="rId10"/>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C43" w:rsidRDefault="002B0C43">
      <w:r>
        <w:separator/>
      </w:r>
    </w:p>
  </w:endnote>
  <w:endnote w:type="continuationSeparator" w:id="0">
    <w:p w:rsidR="002B0C43" w:rsidRDefault="002B0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libri">
    <w:altName w:val="Times New Roman"/>
    <w:panose1 w:val="00000000000000000000"/>
    <w:charset w:val="4D"/>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748" w:rsidRDefault="001D0748" w:rsidP="003522B9">
    <w:pPr>
      <w:pStyle w:val="Piedepgina"/>
      <w:spacing w:line="360" w:lineRule="auto"/>
    </w:pPr>
    <w:r>
      <w:pict>
        <v:rect id="_x0000_i1027" style="width:0;height:1.5pt" o:hralign="center" o:hrstd="t" o:hr="t" fillcolor="#a0a0a0" stroked="f"/>
      </w:pict>
    </w:r>
  </w:p>
  <w:p w:rsidR="001D0748" w:rsidRDefault="001D0748" w:rsidP="003522B9">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30" type="#_x0000_t75" style="width:403.2pt;height:24.95pt;visibility:visible">
          <v:imagedata r:id="rId1" o:title="footer-es"/>
        </v:shape>
      </w:pict>
    </w:r>
  </w:p>
  <w:p w:rsidR="001D0748" w:rsidRDefault="001D0748" w:rsidP="003522B9">
    <w:pPr>
      <w:pStyle w:val="Piedepgina"/>
    </w:pPr>
  </w:p>
  <w:p w:rsidR="001D0748" w:rsidRDefault="001D07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C43" w:rsidRDefault="002B0C43">
      <w:r>
        <w:separator/>
      </w:r>
    </w:p>
  </w:footnote>
  <w:footnote w:type="continuationSeparator" w:id="0">
    <w:p w:rsidR="002B0C43" w:rsidRDefault="002B0C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748" w:rsidRDefault="001D0748" w:rsidP="003522B9">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85.3pt;height:35.5pt;visibility:visible">
          <v:imagedata r:id="rId1" o:title="cidh-es"/>
        </v:shape>
      </w:pict>
    </w:r>
    <w:r>
      <w:tab/>
      <w:t xml:space="preserve">                    </w:t>
    </w:r>
    <w:r w:rsidR="005C03DA">
      <w:t xml:space="preserve">                        </w:t>
    </w:r>
    <w:r>
      <w:t xml:space="preserve">                                </w:t>
    </w:r>
    <w:r w:rsidRPr="008A5CB5">
      <w:rPr>
        <w:noProof/>
      </w:rPr>
      <w:pict>
        <v:shape id="Picture 2" o:spid="_x0000_i1029" type="#_x0000_t75" style="width:129.6pt;height:37.45pt;visibility:visible">
          <v:imagedata r:id="rId2" o:title="oea-es"/>
        </v:shape>
      </w:pict>
    </w:r>
  </w:p>
  <w:p w:rsidR="001D0748" w:rsidRDefault="001D0748" w:rsidP="003522B9">
    <w:pPr>
      <w:pStyle w:val="Encabezado"/>
    </w:pPr>
  </w:p>
  <w:p w:rsidR="001D0748" w:rsidRDefault="001D0748" w:rsidP="003522B9">
    <w:pPr>
      <w:pStyle w:val="Encabezado"/>
    </w:pPr>
    <w:r>
      <w:pict>
        <v:rect id="_x0000_i1026" style="width:0;height:1.5pt" o:hralign="center" o:hrstd="t" o:hr="t" fillcolor="#a0a0a0" stroked="f"/>
      </w:pict>
    </w:r>
  </w:p>
  <w:p w:rsidR="001D0748" w:rsidRDefault="001D07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0029F"/>
    <w:multiLevelType w:val="hybridMultilevel"/>
    <w:tmpl w:val="C346E628"/>
    <w:lvl w:ilvl="0" w:tplc="5DF4F800">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7474"/>
    <w:rsid w:val="00006EAA"/>
    <w:rsid w:val="00083107"/>
    <w:rsid w:val="00085C0F"/>
    <w:rsid w:val="00086D54"/>
    <w:rsid w:val="00087832"/>
    <w:rsid w:val="000A5463"/>
    <w:rsid w:val="000D1849"/>
    <w:rsid w:val="000D3756"/>
    <w:rsid w:val="000E4EA1"/>
    <w:rsid w:val="001374A0"/>
    <w:rsid w:val="001924A1"/>
    <w:rsid w:val="001D0748"/>
    <w:rsid w:val="001D255E"/>
    <w:rsid w:val="00225875"/>
    <w:rsid w:val="002860A4"/>
    <w:rsid w:val="00295C51"/>
    <w:rsid w:val="002B0C43"/>
    <w:rsid w:val="002B1E12"/>
    <w:rsid w:val="002F1460"/>
    <w:rsid w:val="00331C96"/>
    <w:rsid w:val="003522B9"/>
    <w:rsid w:val="0035460E"/>
    <w:rsid w:val="00397707"/>
    <w:rsid w:val="003C4BE7"/>
    <w:rsid w:val="003E24E3"/>
    <w:rsid w:val="004065B8"/>
    <w:rsid w:val="00437CEA"/>
    <w:rsid w:val="004546E1"/>
    <w:rsid w:val="00454CD5"/>
    <w:rsid w:val="00504389"/>
    <w:rsid w:val="005074DC"/>
    <w:rsid w:val="005101B1"/>
    <w:rsid w:val="005825DC"/>
    <w:rsid w:val="005C03DA"/>
    <w:rsid w:val="005D62EB"/>
    <w:rsid w:val="0065080D"/>
    <w:rsid w:val="006D19B3"/>
    <w:rsid w:val="006F16A8"/>
    <w:rsid w:val="00745C61"/>
    <w:rsid w:val="007708AA"/>
    <w:rsid w:val="00773D84"/>
    <w:rsid w:val="007806DB"/>
    <w:rsid w:val="007F72E9"/>
    <w:rsid w:val="00842132"/>
    <w:rsid w:val="008A60DF"/>
    <w:rsid w:val="008E6F73"/>
    <w:rsid w:val="009614FC"/>
    <w:rsid w:val="00986CDD"/>
    <w:rsid w:val="00A149F3"/>
    <w:rsid w:val="00A719F1"/>
    <w:rsid w:val="00A94425"/>
    <w:rsid w:val="00A97F39"/>
    <w:rsid w:val="00AA2427"/>
    <w:rsid w:val="00AB0478"/>
    <w:rsid w:val="00AC3537"/>
    <w:rsid w:val="00AD06A4"/>
    <w:rsid w:val="00AD7841"/>
    <w:rsid w:val="00AE7E01"/>
    <w:rsid w:val="00B10DBE"/>
    <w:rsid w:val="00B32351"/>
    <w:rsid w:val="00B42836"/>
    <w:rsid w:val="00B740C2"/>
    <w:rsid w:val="00BA2DDE"/>
    <w:rsid w:val="00BC200F"/>
    <w:rsid w:val="00BE729F"/>
    <w:rsid w:val="00C30BC8"/>
    <w:rsid w:val="00C502C6"/>
    <w:rsid w:val="00C61FEF"/>
    <w:rsid w:val="00C97474"/>
    <w:rsid w:val="00D0621E"/>
    <w:rsid w:val="00D17225"/>
    <w:rsid w:val="00D26A24"/>
    <w:rsid w:val="00D30DAF"/>
    <w:rsid w:val="00D65810"/>
    <w:rsid w:val="00D9266F"/>
    <w:rsid w:val="00DA26C6"/>
    <w:rsid w:val="00DC13D6"/>
    <w:rsid w:val="00DD09CE"/>
    <w:rsid w:val="00DF215F"/>
    <w:rsid w:val="00DF2E21"/>
    <w:rsid w:val="00E07472"/>
    <w:rsid w:val="00E66C86"/>
    <w:rsid w:val="00E76404"/>
    <w:rsid w:val="00EC162B"/>
    <w:rsid w:val="00EE6D28"/>
    <w:rsid w:val="00F110A1"/>
    <w:rsid w:val="00F34897"/>
    <w:rsid w:val="00F843E6"/>
    <w:rsid w:val="00F846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474"/>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Sangra2detindependiente">
    <w:name w:val="Body Text Indent 2"/>
    <w:basedOn w:val="Normal"/>
    <w:rsid w:val="00C97474"/>
    <w:pPr>
      <w:ind w:firstLine="720"/>
      <w:jc w:val="both"/>
    </w:pPr>
    <w:rPr>
      <w:rFonts w:ascii="Univers" w:hAnsi="Univers"/>
      <w:snapToGrid w:val="0"/>
      <w:sz w:val="22"/>
      <w:szCs w:val="20"/>
      <w:lang w:val="es-ES_tradnl" w:eastAsia="en-US"/>
    </w:rPr>
  </w:style>
  <w:style w:type="paragraph" w:styleId="Encabezado">
    <w:name w:val="header"/>
    <w:basedOn w:val="Normal"/>
    <w:link w:val="EncabezadoCar"/>
    <w:uiPriority w:val="99"/>
    <w:unhideWhenUsed/>
    <w:rsid w:val="003522B9"/>
    <w:pPr>
      <w:tabs>
        <w:tab w:val="center" w:pos="4680"/>
        <w:tab w:val="right" w:pos="9360"/>
      </w:tabs>
    </w:pPr>
    <w:rPr>
      <w:rFonts w:ascii="Calibri" w:eastAsia="Calibri" w:hAnsi="Calibri"/>
      <w:sz w:val="22"/>
      <w:szCs w:val="22"/>
      <w:lang w:val="en-US" w:eastAsia="en-US"/>
    </w:rPr>
  </w:style>
  <w:style w:type="character" w:customStyle="1" w:styleId="EncabezadoCar">
    <w:name w:val="Encabezado Car"/>
    <w:link w:val="Encabezado"/>
    <w:uiPriority w:val="99"/>
    <w:rsid w:val="003522B9"/>
    <w:rPr>
      <w:rFonts w:ascii="Calibri" w:eastAsia="Calibri" w:hAnsi="Calibri"/>
      <w:sz w:val="22"/>
      <w:szCs w:val="22"/>
      <w:lang w:val="en-US" w:eastAsia="en-US" w:bidi="ar-SA"/>
    </w:rPr>
  </w:style>
  <w:style w:type="paragraph" w:styleId="Piedepgina">
    <w:name w:val="footer"/>
    <w:basedOn w:val="Normal"/>
    <w:link w:val="PiedepginaCar"/>
    <w:rsid w:val="003522B9"/>
    <w:pPr>
      <w:tabs>
        <w:tab w:val="center" w:pos="4320"/>
        <w:tab w:val="right" w:pos="8640"/>
      </w:tabs>
    </w:pPr>
  </w:style>
  <w:style w:type="character" w:customStyle="1" w:styleId="PiedepginaCar">
    <w:name w:val="Pie de página Car"/>
    <w:link w:val="Piedepgina"/>
    <w:rsid w:val="003522B9"/>
    <w:rPr>
      <w:sz w:val="24"/>
      <w:szCs w:val="24"/>
      <w:lang w:val="es-ES" w:eastAsia="es-ES" w:bidi="ar-SA"/>
    </w:rPr>
  </w:style>
  <w:style w:type="character" w:styleId="Hipervnculo">
    <w:name w:val="Hyperlink"/>
    <w:rsid w:val="00D65810"/>
    <w:rPr>
      <w:color w:val="0000FF"/>
      <w:u w:val="single"/>
    </w:rPr>
  </w:style>
  <w:style w:type="character" w:customStyle="1" w:styleId="hps">
    <w:name w:val="hps"/>
    <w:rsid w:val="005825DC"/>
  </w:style>
  <w:style w:type="paragraph" w:styleId="Textoindependiente">
    <w:name w:val="Body Text"/>
    <w:basedOn w:val="Normal"/>
    <w:link w:val="TextoindependienteCar"/>
    <w:rsid w:val="005074DC"/>
    <w:pPr>
      <w:spacing w:after="120"/>
    </w:pPr>
  </w:style>
  <w:style w:type="character" w:customStyle="1" w:styleId="TextoindependienteCar">
    <w:name w:val="Texto independiente Car"/>
    <w:link w:val="Textoindependiente"/>
    <w:rsid w:val="005074DC"/>
    <w:rPr>
      <w:sz w:val="24"/>
      <w:szCs w:val="24"/>
      <w:lang w:val="es-ES" w:eastAsia="es-ES"/>
    </w:rPr>
  </w:style>
  <w:style w:type="paragraph" w:customStyle="1" w:styleId="Default">
    <w:name w:val="Default"/>
    <w:rsid w:val="005074DC"/>
    <w:pPr>
      <w:autoSpaceDE w:val="0"/>
      <w:autoSpaceDN w:val="0"/>
      <w:adjustRightInd w:val="0"/>
    </w:pPr>
    <w:rPr>
      <w:rFonts w:ascii="Arial" w:hAnsi="Arial" w:cs="Arial"/>
      <w:color w:val="000000"/>
      <w:sz w:val="24"/>
      <w:szCs w:val="24"/>
      <w:lang w:val="en-US" w:eastAsia="en-US"/>
    </w:rPr>
  </w:style>
  <w:style w:type="paragraph" w:styleId="Textodeglobo">
    <w:name w:val="Balloon Text"/>
    <w:basedOn w:val="Normal"/>
    <w:link w:val="TextodegloboCar"/>
    <w:rsid w:val="005C03DA"/>
    <w:rPr>
      <w:rFonts w:ascii="Tahoma" w:hAnsi="Tahoma" w:cs="Tahoma"/>
      <w:sz w:val="16"/>
      <w:szCs w:val="16"/>
    </w:rPr>
  </w:style>
  <w:style w:type="character" w:customStyle="1" w:styleId="TextodegloboCar">
    <w:name w:val="Texto de globo Car"/>
    <w:link w:val="Textodeglobo"/>
    <w:rsid w:val="005C03DA"/>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431671">
      <w:bodyDiv w:val="1"/>
      <w:marLeft w:val="0"/>
      <w:marRight w:val="0"/>
      <w:marTop w:val="0"/>
      <w:marBottom w:val="0"/>
      <w:divBdr>
        <w:top w:val="none" w:sz="0" w:space="0" w:color="auto"/>
        <w:left w:val="none" w:sz="0" w:space="0" w:color="auto"/>
        <w:bottom w:val="none" w:sz="0" w:space="0" w:color="auto"/>
        <w:right w:val="none" w:sz="0" w:space="0" w:color="auto"/>
      </w:divBdr>
      <w:divsChild>
        <w:div w:id="1431898071">
          <w:marLeft w:val="0"/>
          <w:marRight w:val="0"/>
          <w:marTop w:val="0"/>
          <w:marBottom w:val="0"/>
          <w:divBdr>
            <w:top w:val="none" w:sz="0" w:space="0" w:color="auto"/>
            <w:left w:val="none" w:sz="0" w:space="0" w:color="auto"/>
            <w:bottom w:val="none" w:sz="0" w:space="0" w:color="auto"/>
            <w:right w:val="none" w:sz="0" w:space="0" w:color="auto"/>
          </w:divBdr>
          <w:divsChild>
            <w:div w:id="736896402">
              <w:marLeft w:val="0"/>
              <w:marRight w:val="0"/>
              <w:marTop w:val="0"/>
              <w:marBottom w:val="0"/>
              <w:divBdr>
                <w:top w:val="none" w:sz="0" w:space="0" w:color="auto"/>
                <w:left w:val="none" w:sz="0" w:space="0" w:color="auto"/>
                <w:bottom w:val="none" w:sz="0" w:space="0" w:color="auto"/>
                <w:right w:val="none" w:sz="0" w:space="0" w:color="auto"/>
              </w:divBdr>
              <w:divsChild>
                <w:div w:id="557014561">
                  <w:marLeft w:val="0"/>
                  <w:marRight w:val="0"/>
                  <w:marTop w:val="0"/>
                  <w:marBottom w:val="0"/>
                  <w:divBdr>
                    <w:top w:val="none" w:sz="0" w:space="0" w:color="auto"/>
                    <w:left w:val="none" w:sz="0" w:space="0" w:color="auto"/>
                    <w:bottom w:val="none" w:sz="0" w:space="0" w:color="auto"/>
                    <w:right w:val="none" w:sz="0" w:space="0" w:color="auto"/>
                  </w:divBdr>
                  <w:divsChild>
                    <w:div w:id="822967365">
                      <w:marLeft w:val="0"/>
                      <w:marRight w:val="0"/>
                      <w:marTop w:val="0"/>
                      <w:marBottom w:val="0"/>
                      <w:divBdr>
                        <w:top w:val="none" w:sz="0" w:space="0" w:color="auto"/>
                        <w:left w:val="none" w:sz="0" w:space="0" w:color="auto"/>
                        <w:bottom w:val="none" w:sz="0" w:space="0" w:color="auto"/>
                        <w:right w:val="none" w:sz="0" w:space="0" w:color="auto"/>
                      </w:divBdr>
                      <w:divsChild>
                        <w:div w:id="1136027430">
                          <w:marLeft w:val="0"/>
                          <w:marRight w:val="0"/>
                          <w:marTop w:val="0"/>
                          <w:marBottom w:val="0"/>
                          <w:divBdr>
                            <w:top w:val="none" w:sz="0" w:space="0" w:color="auto"/>
                            <w:left w:val="none" w:sz="0" w:space="0" w:color="auto"/>
                            <w:bottom w:val="none" w:sz="0" w:space="0" w:color="auto"/>
                            <w:right w:val="none" w:sz="0" w:space="0" w:color="auto"/>
                          </w:divBdr>
                          <w:divsChild>
                            <w:div w:id="574511502">
                              <w:marLeft w:val="0"/>
                              <w:marRight w:val="0"/>
                              <w:marTop w:val="0"/>
                              <w:marBottom w:val="0"/>
                              <w:divBdr>
                                <w:top w:val="none" w:sz="0" w:space="0" w:color="auto"/>
                                <w:left w:val="none" w:sz="0" w:space="0" w:color="auto"/>
                                <w:bottom w:val="none" w:sz="0" w:space="0" w:color="auto"/>
                                <w:right w:val="none" w:sz="0" w:space="0" w:color="auto"/>
                              </w:divBdr>
                              <w:divsChild>
                                <w:div w:id="1728916567">
                                  <w:marLeft w:val="0"/>
                                  <w:marRight w:val="0"/>
                                  <w:marTop w:val="0"/>
                                  <w:marBottom w:val="0"/>
                                  <w:divBdr>
                                    <w:top w:val="none" w:sz="0" w:space="0" w:color="auto"/>
                                    <w:left w:val="none" w:sz="0" w:space="0" w:color="auto"/>
                                    <w:bottom w:val="none" w:sz="0" w:space="0" w:color="auto"/>
                                    <w:right w:val="none" w:sz="0" w:space="0" w:color="auto"/>
                                  </w:divBdr>
                                  <w:divsChild>
                                    <w:div w:id="1514303578">
                                      <w:marLeft w:val="60"/>
                                      <w:marRight w:val="0"/>
                                      <w:marTop w:val="0"/>
                                      <w:marBottom w:val="0"/>
                                      <w:divBdr>
                                        <w:top w:val="none" w:sz="0" w:space="0" w:color="auto"/>
                                        <w:left w:val="none" w:sz="0" w:space="0" w:color="auto"/>
                                        <w:bottom w:val="none" w:sz="0" w:space="0" w:color="auto"/>
                                        <w:right w:val="none" w:sz="0" w:space="0" w:color="auto"/>
                                      </w:divBdr>
                                      <w:divsChild>
                                        <w:div w:id="142046378">
                                          <w:marLeft w:val="0"/>
                                          <w:marRight w:val="0"/>
                                          <w:marTop w:val="0"/>
                                          <w:marBottom w:val="0"/>
                                          <w:divBdr>
                                            <w:top w:val="none" w:sz="0" w:space="0" w:color="auto"/>
                                            <w:left w:val="none" w:sz="0" w:space="0" w:color="auto"/>
                                            <w:bottom w:val="none" w:sz="0" w:space="0" w:color="auto"/>
                                            <w:right w:val="none" w:sz="0" w:space="0" w:color="auto"/>
                                          </w:divBdr>
                                          <w:divsChild>
                                            <w:div w:id="1491017567">
                                              <w:marLeft w:val="0"/>
                                              <w:marRight w:val="0"/>
                                              <w:marTop w:val="0"/>
                                              <w:marBottom w:val="120"/>
                                              <w:divBdr>
                                                <w:top w:val="single" w:sz="6" w:space="0" w:color="F5F5F5"/>
                                                <w:left w:val="single" w:sz="6" w:space="0" w:color="F5F5F5"/>
                                                <w:bottom w:val="single" w:sz="6" w:space="0" w:color="F5F5F5"/>
                                                <w:right w:val="single" w:sz="6" w:space="0" w:color="F5F5F5"/>
                                              </w:divBdr>
                                              <w:divsChild>
                                                <w:div w:id="629824040">
                                                  <w:marLeft w:val="0"/>
                                                  <w:marRight w:val="0"/>
                                                  <w:marTop w:val="0"/>
                                                  <w:marBottom w:val="0"/>
                                                  <w:divBdr>
                                                    <w:top w:val="none" w:sz="0" w:space="0" w:color="auto"/>
                                                    <w:left w:val="none" w:sz="0" w:space="0" w:color="auto"/>
                                                    <w:bottom w:val="none" w:sz="0" w:space="0" w:color="auto"/>
                                                    <w:right w:val="none" w:sz="0" w:space="0" w:color="auto"/>
                                                  </w:divBdr>
                                                  <w:divsChild>
                                                    <w:div w:id="454836760">
                                                      <w:marLeft w:val="0"/>
                                                      <w:marRight w:val="0"/>
                                                      <w:marTop w:val="0"/>
                                                      <w:marBottom w:val="0"/>
                                                      <w:divBdr>
                                                        <w:top w:val="none" w:sz="0" w:space="0" w:color="auto"/>
                                                        <w:left w:val="none" w:sz="0" w:space="0" w:color="auto"/>
                                                        <w:bottom w:val="none" w:sz="0" w:space="0" w:color="auto"/>
                                                        <w:right w:val="none" w:sz="0" w:space="0" w:color="auto"/>
                                                      </w:divBdr>
                                                    </w:div>
                                                  </w:divsChild>
                                                </w:div>
                                                <w:div w:id="1819498529">
                                                  <w:marLeft w:val="0"/>
                                                  <w:marRight w:val="0"/>
                                                  <w:marTop w:val="0"/>
                                                  <w:marBottom w:val="0"/>
                                                  <w:divBdr>
                                                    <w:top w:val="none" w:sz="0" w:space="0" w:color="auto"/>
                                                    <w:left w:val="none" w:sz="0" w:space="0" w:color="auto"/>
                                                    <w:bottom w:val="none" w:sz="0" w:space="0" w:color="auto"/>
                                                    <w:right w:val="none" w:sz="0" w:space="0" w:color="auto"/>
                                                  </w:divBdr>
                                                  <w:divsChild>
                                                    <w:div w:id="104552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404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19B52-7565-4A9E-A9DB-72895C3EE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2308</Words>
  <Characters>12700</Characters>
  <Application>Microsoft Office Word</Application>
  <DocSecurity>0</DocSecurity>
  <Lines>105</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14979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2018-02-08T21:48:00Z</cp:lastPrinted>
  <dcterms:created xsi:type="dcterms:W3CDTF">2018-02-08T21:48:00Z</dcterms:created>
  <dcterms:modified xsi:type="dcterms:W3CDTF">2018-02-08T21:48:00Z</dcterms:modified>
</cp:coreProperties>
</file>