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AAB" w:rsidRPr="00920D55" w:rsidRDefault="00042AAB" w:rsidP="00042AAB">
      <w:pPr>
        <w:spacing w:after="0" w:line="240" w:lineRule="auto"/>
        <w:jc w:val="right"/>
      </w:pPr>
      <w:bookmarkStart w:id="0" w:name="_GoBack"/>
      <w:bookmarkEnd w:id="0"/>
      <w:r w:rsidRPr="00920D55">
        <w:t>April 12, 2014</w:t>
      </w:r>
    </w:p>
    <w:p w:rsidR="00042AAB" w:rsidRPr="00920D55" w:rsidRDefault="00042AAB" w:rsidP="00042AAB">
      <w:pPr>
        <w:tabs>
          <w:tab w:val="left" w:pos="720"/>
          <w:tab w:val="center" w:pos="6480"/>
        </w:tabs>
        <w:spacing w:after="0" w:line="240" w:lineRule="auto"/>
        <w:jc w:val="both"/>
        <w:rPr>
          <w:rFonts w:cs="Arial"/>
          <w:b/>
        </w:rPr>
      </w:pPr>
    </w:p>
    <w:p w:rsidR="00042AAB" w:rsidRPr="00920D55" w:rsidRDefault="00042AAB" w:rsidP="00042AAB">
      <w:pPr>
        <w:tabs>
          <w:tab w:val="left" w:pos="720"/>
          <w:tab w:val="center" w:pos="6480"/>
        </w:tabs>
        <w:spacing w:after="0" w:line="240" w:lineRule="auto"/>
        <w:jc w:val="both"/>
        <w:rPr>
          <w:rFonts w:cs="Arial"/>
          <w:b/>
        </w:rPr>
      </w:pPr>
    </w:p>
    <w:p w:rsidR="00042AAB" w:rsidRPr="00BA770F" w:rsidRDefault="00042AAB" w:rsidP="00042AAB">
      <w:pPr>
        <w:tabs>
          <w:tab w:val="left" w:pos="720"/>
          <w:tab w:val="center" w:pos="6480"/>
        </w:tabs>
        <w:spacing w:after="0" w:line="240" w:lineRule="auto"/>
        <w:jc w:val="both"/>
        <w:rPr>
          <w:rFonts w:cs="Arial"/>
          <w:b/>
        </w:rPr>
      </w:pPr>
      <w:r w:rsidRPr="00BA770F">
        <w:rPr>
          <w:rFonts w:cs="Arial"/>
          <w:b/>
        </w:rPr>
        <w:t>Ref.:</w:t>
      </w:r>
      <w:bookmarkStart w:id="1" w:name="Peticion_n"/>
      <w:bookmarkEnd w:id="1"/>
      <w:r w:rsidRPr="00BA770F">
        <w:rPr>
          <w:rFonts w:cs="Arial"/>
          <w:b/>
        </w:rPr>
        <w:tab/>
        <w:t>Case No. 12.500</w:t>
      </w:r>
      <w:r w:rsidRPr="00BA770F">
        <w:rPr>
          <w:rFonts w:cs="Arial"/>
          <w:b/>
          <w:i/>
        </w:rPr>
        <w:t xml:space="preserve"> </w:t>
      </w:r>
    </w:p>
    <w:p w:rsidR="00042AAB" w:rsidRPr="00BA770F" w:rsidRDefault="00042AAB" w:rsidP="00042AAB">
      <w:pPr>
        <w:tabs>
          <w:tab w:val="left" w:pos="720"/>
          <w:tab w:val="center" w:pos="6480"/>
        </w:tabs>
        <w:spacing w:after="0" w:line="240" w:lineRule="auto"/>
        <w:ind w:left="720"/>
        <w:jc w:val="both"/>
        <w:rPr>
          <w:rFonts w:cs="Arial"/>
          <w:b/>
          <w:i/>
        </w:rPr>
      </w:pPr>
      <w:r w:rsidRPr="00BA770F">
        <w:rPr>
          <w:rFonts w:cs="Arial"/>
          <w:b/>
          <w:i/>
        </w:rPr>
        <w:t xml:space="preserve">Omar Humberto Maldonado Vargas </w:t>
      </w:r>
      <w:r w:rsidR="002D191B" w:rsidRPr="00BA770F">
        <w:rPr>
          <w:rFonts w:cs="Arial"/>
          <w:b/>
          <w:i/>
        </w:rPr>
        <w:t>et al.</w:t>
      </w:r>
      <w:r w:rsidRPr="00BA770F">
        <w:rPr>
          <w:rFonts w:cs="Arial"/>
          <w:b/>
          <w:i/>
        </w:rPr>
        <w:t xml:space="preserve"> </w:t>
      </w:r>
    </w:p>
    <w:p w:rsidR="00042AAB" w:rsidRPr="00BA770F" w:rsidRDefault="00042AAB" w:rsidP="00042AAB">
      <w:pPr>
        <w:tabs>
          <w:tab w:val="left" w:pos="720"/>
          <w:tab w:val="center" w:pos="6480"/>
        </w:tabs>
        <w:spacing w:after="0" w:line="240" w:lineRule="auto"/>
        <w:jc w:val="both"/>
        <w:rPr>
          <w:rFonts w:cs="Arial"/>
        </w:rPr>
      </w:pPr>
      <w:r w:rsidRPr="00BA770F">
        <w:rPr>
          <w:rFonts w:cs="Arial"/>
          <w:b/>
        </w:rPr>
        <w:tab/>
        <w:t>Chile</w:t>
      </w:r>
    </w:p>
    <w:p w:rsidR="00042AAB" w:rsidRPr="00BA770F" w:rsidRDefault="00042AAB" w:rsidP="00042AAB">
      <w:pPr>
        <w:tabs>
          <w:tab w:val="left" w:pos="720"/>
          <w:tab w:val="center" w:pos="6480"/>
        </w:tabs>
        <w:spacing w:after="0" w:line="240" w:lineRule="auto"/>
        <w:jc w:val="both"/>
        <w:rPr>
          <w:rFonts w:cs="Arial"/>
        </w:rPr>
      </w:pPr>
    </w:p>
    <w:p w:rsidR="00042AAB" w:rsidRPr="00BA770F" w:rsidRDefault="002D191B" w:rsidP="00042AAB">
      <w:pPr>
        <w:tabs>
          <w:tab w:val="left" w:pos="720"/>
          <w:tab w:val="center" w:pos="6480"/>
        </w:tabs>
        <w:spacing w:after="0" w:line="240" w:lineRule="auto"/>
        <w:jc w:val="both"/>
        <w:rPr>
          <w:rFonts w:cs="Arial"/>
        </w:rPr>
      </w:pPr>
      <w:r w:rsidRPr="00BA770F">
        <w:rPr>
          <w:rFonts w:cs="Arial"/>
        </w:rPr>
        <w:t>Dear Mr. Secretary,</w:t>
      </w:r>
    </w:p>
    <w:p w:rsidR="00042AAB" w:rsidRPr="00BA770F" w:rsidRDefault="00042AAB" w:rsidP="00042AAB">
      <w:pPr>
        <w:spacing w:after="0" w:line="240" w:lineRule="auto"/>
        <w:rPr>
          <w:rFonts w:cs="Arial"/>
        </w:rPr>
      </w:pPr>
    </w:p>
    <w:p w:rsidR="00042AAB" w:rsidRPr="00BA770F" w:rsidRDefault="002D191B" w:rsidP="005A795B">
      <w:pPr>
        <w:autoSpaceDE w:val="0"/>
        <w:autoSpaceDN w:val="0"/>
        <w:adjustRightInd w:val="0"/>
        <w:spacing w:after="0" w:line="240" w:lineRule="auto"/>
        <w:ind w:firstLine="720"/>
        <w:jc w:val="both"/>
        <w:rPr>
          <w:rFonts w:cs="Arial"/>
        </w:rPr>
      </w:pPr>
      <w:r w:rsidRPr="00BA770F">
        <w:t xml:space="preserve">I am pleased to write to you on behalf of the Inter-American Commission on Human Rights to submit to the jurisdiction of the Honorable Inter-American Court of Human Rights </w:t>
      </w:r>
      <w:r w:rsidR="00920D55" w:rsidRPr="00BA770F">
        <w:t>C</w:t>
      </w:r>
      <w:r w:rsidRPr="00BA770F">
        <w:t xml:space="preserve">ase No. </w:t>
      </w:r>
      <w:bookmarkStart w:id="2" w:name="Peticion_n1"/>
      <w:bookmarkEnd w:id="2"/>
      <w:r w:rsidR="00042AAB" w:rsidRPr="00BA770F">
        <w:rPr>
          <w:rFonts w:cs="Arial"/>
        </w:rPr>
        <w:t xml:space="preserve">12.500, </w:t>
      </w:r>
      <w:r w:rsidR="00042AAB" w:rsidRPr="00BA770F">
        <w:rPr>
          <w:rFonts w:cs="Arial"/>
          <w:i/>
        </w:rPr>
        <w:t xml:space="preserve">Omar Humberto Maldonado Vargas </w:t>
      </w:r>
      <w:r w:rsidR="0013762F" w:rsidRPr="00BA770F">
        <w:rPr>
          <w:rFonts w:cs="Arial"/>
          <w:i/>
        </w:rPr>
        <w:t xml:space="preserve">et al. </w:t>
      </w:r>
      <w:r w:rsidR="0013762F" w:rsidRPr="00BA770F">
        <w:rPr>
          <w:rFonts w:cs="Arial"/>
        </w:rPr>
        <w:t>in respect of</w:t>
      </w:r>
      <w:r w:rsidRPr="00BA770F">
        <w:rPr>
          <w:rFonts w:cs="Arial"/>
        </w:rPr>
        <w:t xml:space="preserve"> the Republic of Chile</w:t>
      </w:r>
      <w:r w:rsidR="00042AAB" w:rsidRPr="00BA770F">
        <w:rPr>
          <w:rFonts w:cs="Arial"/>
        </w:rPr>
        <w:t xml:space="preserve"> (</w:t>
      </w:r>
      <w:r w:rsidRPr="00BA770F">
        <w:rPr>
          <w:rFonts w:cs="Arial"/>
        </w:rPr>
        <w:t>hereinafter</w:t>
      </w:r>
      <w:r w:rsidR="00042AAB" w:rsidRPr="00BA770F">
        <w:rPr>
          <w:rFonts w:cs="Arial"/>
        </w:rPr>
        <w:t xml:space="preserve"> “</w:t>
      </w:r>
      <w:r w:rsidRPr="00BA770F">
        <w:rPr>
          <w:rFonts w:cs="Arial"/>
        </w:rPr>
        <w:t xml:space="preserve">the State of </w:t>
      </w:r>
      <w:r w:rsidR="00042AAB" w:rsidRPr="00BA770F">
        <w:rPr>
          <w:rFonts w:cs="Arial"/>
        </w:rPr>
        <w:t>Chile</w:t>
      </w:r>
      <w:r w:rsidRPr="00BA770F">
        <w:rPr>
          <w:rFonts w:cs="Arial"/>
        </w:rPr>
        <w:t>,</w:t>
      </w:r>
      <w:r w:rsidR="00042AAB" w:rsidRPr="00BA770F">
        <w:rPr>
          <w:rFonts w:cs="Arial"/>
        </w:rPr>
        <w:t>” “</w:t>
      </w:r>
      <w:r w:rsidRPr="00BA770F">
        <w:rPr>
          <w:rFonts w:cs="Arial"/>
        </w:rPr>
        <w:t>the Chilean State,</w:t>
      </w:r>
      <w:r w:rsidR="00042AAB" w:rsidRPr="00BA770F">
        <w:rPr>
          <w:rFonts w:cs="Arial"/>
        </w:rPr>
        <w:t>” o</w:t>
      </w:r>
      <w:r w:rsidRPr="00BA770F">
        <w:rPr>
          <w:rFonts w:cs="Arial"/>
        </w:rPr>
        <w:t>r</w:t>
      </w:r>
      <w:r w:rsidR="00042AAB" w:rsidRPr="00BA770F">
        <w:rPr>
          <w:rFonts w:cs="Arial"/>
        </w:rPr>
        <w:t xml:space="preserve"> “Chile”)</w:t>
      </w:r>
      <w:r w:rsidRPr="00BA770F">
        <w:rPr>
          <w:rFonts w:cs="Arial"/>
        </w:rPr>
        <w:t>.</w:t>
      </w:r>
      <w:r w:rsidR="00042AAB" w:rsidRPr="00BA770F">
        <w:rPr>
          <w:rFonts w:cs="Arial"/>
        </w:rPr>
        <w:t xml:space="preserve"> </w:t>
      </w:r>
      <w:r w:rsidRPr="00BA770F">
        <w:rPr>
          <w:rFonts w:cs="Arial"/>
        </w:rPr>
        <w:t>T</w:t>
      </w:r>
      <w:r w:rsidR="00042AAB" w:rsidRPr="00BA770F">
        <w:rPr>
          <w:rFonts w:cs="Arial"/>
        </w:rPr>
        <w:t xml:space="preserve">he instant case involves denial of justice to the detriment of </w:t>
      </w:r>
      <w:r w:rsidR="00042AAB" w:rsidRPr="00BA770F">
        <w:t>Omar Humberto Maldonado Vargas, Álvaro Yañez del Villar, Mario Antonio Cornejo Barahona, Belarmino Constanzo Merino, Manuel Osvaldo López Ovanedel, Ernesto Augusto Galaz Guzmán, Mario González Rifo, Jaime Donoso Parra, Alberto Salustio Bustamante Rojas, Gustavo Raúl Lastra Saavedra, Víctor Hugo Adriazola Meza</w:t>
      </w:r>
      <w:r w:rsidRPr="00BA770F">
        <w:t>,</w:t>
      </w:r>
      <w:r w:rsidR="00042AAB" w:rsidRPr="00BA770F">
        <w:t xml:space="preserve"> and Ivar Onoldo Rojas Ravanal; stemming from the failure to investigate ex officio and diligently, acts of torture inflicted upon the victims in the context of the military dictatorship. Additionally, in denying the motion to reopen the case and the motion for reconsideration of judgment filed, respectively, on September 10, 2001, and September 7, 2002, the State breached its obligation to provide for an effective remedy for the victims to invalidate a criminal proceeding, which was based o</w:t>
      </w:r>
      <w:r w:rsidR="001C001D" w:rsidRPr="00BA770F">
        <w:t>n evidence obtained by torture.</w:t>
      </w:r>
      <w:r w:rsidR="00042AAB" w:rsidRPr="00BA770F">
        <w:t xml:space="preserve"> Consequently, there was no mechanism available to the victims to assert the exclusionary rule as a fundamental corollary to the absolute prohibition of torture. </w:t>
      </w:r>
    </w:p>
    <w:p w:rsidR="00042AAB" w:rsidRPr="00BA770F" w:rsidRDefault="00042AAB" w:rsidP="00042AAB">
      <w:pPr>
        <w:spacing w:after="0" w:line="240" w:lineRule="auto"/>
        <w:ind w:firstLine="720"/>
        <w:jc w:val="both"/>
        <w:rPr>
          <w:iCs/>
        </w:rPr>
      </w:pPr>
    </w:p>
    <w:p w:rsidR="00042AAB" w:rsidRPr="00BA770F" w:rsidRDefault="001C001D" w:rsidP="00042AAB">
      <w:pPr>
        <w:spacing w:after="0" w:line="240" w:lineRule="auto"/>
        <w:ind w:firstLine="720"/>
        <w:jc w:val="both"/>
        <w:rPr>
          <w:rFonts w:cs="Arial"/>
        </w:rPr>
      </w:pPr>
      <w:r w:rsidRPr="00BA770F">
        <w:rPr>
          <w:rFonts w:cs="Arial"/>
        </w:rPr>
        <w:t>The State ratified the American Convention on Human Rights on August 21, 1990, and accepted the contentious jurisdiction of the Inter-American Court on the same date. Similarly, it ratified the Inter-American Convention to Prevent and Punish Torture on September 30,</w:t>
      </w:r>
      <w:r w:rsidR="00042AAB" w:rsidRPr="00BA770F">
        <w:rPr>
          <w:rFonts w:cs="Arial"/>
        </w:rPr>
        <w:t xml:space="preserve"> 1988. </w:t>
      </w:r>
    </w:p>
    <w:p w:rsidR="00042AAB" w:rsidRPr="00BA770F" w:rsidRDefault="00042AAB" w:rsidP="00042AAB">
      <w:pPr>
        <w:spacing w:after="0" w:line="240" w:lineRule="auto"/>
        <w:ind w:firstLine="720"/>
        <w:jc w:val="both"/>
        <w:rPr>
          <w:rFonts w:cs="Arial"/>
        </w:rPr>
      </w:pPr>
    </w:p>
    <w:p w:rsidR="00042AAB" w:rsidRPr="00BA770F" w:rsidRDefault="001C001D" w:rsidP="00042AAB">
      <w:pPr>
        <w:spacing w:after="0" w:line="240" w:lineRule="auto"/>
        <w:ind w:firstLine="720"/>
        <w:jc w:val="both"/>
      </w:pPr>
      <w:r w:rsidRPr="00BA770F">
        <w:t>The instant case</w:t>
      </w:r>
      <w:r w:rsidR="00145629" w:rsidRPr="00BA770F">
        <w:t xml:space="preserve"> focuses specifically on</w:t>
      </w:r>
      <w:r w:rsidR="00042AAB" w:rsidRPr="00BA770F">
        <w:t xml:space="preserve"> </w:t>
      </w:r>
      <w:r w:rsidR="00145629" w:rsidRPr="00BA770F">
        <w:t>the persistent failure to comply</w:t>
      </w:r>
      <w:r w:rsidR="00F25660" w:rsidRPr="00BA770F">
        <w:t xml:space="preserve"> </w:t>
      </w:r>
      <w:r w:rsidRPr="00BA770F">
        <w:t>with the obligation to investigat</w:t>
      </w:r>
      <w:r w:rsidR="00920D55" w:rsidRPr="00BA770F">
        <w:t>e</w:t>
      </w:r>
      <w:r w:rsidRPr="00BA770F">
        <w:t xml:space="preserve"> </w:t>
      </w:r>
      <w:r w:rsidR="00920D55" w:rsidRPr="00BA770F">
        <w:t>and on</w:t>
      </w:r>
      <w:r w:rsidRPr="00BA770F">
        <w:t xml:space="preserve"> the denial of justice stemming from the State’s response to the </w:t>
      </w:r>
      <w:r w:rsidR="003A545C" w:rsidRPr="00BA770F">
        <w:t>motion to reopen the case,</w:t>
      </w:r>
      <w:r w:rsidRPr="00BA770F">
        <w:t xml:space="preserve"> filed on September 10, 2001. In this connection, </w:t>
      </w:r>
      <w:r w:rsidR="00C377CB" w:rsidRPr="00BA770F">
        <w:t xml:space="preserve">all of </w:t>
      </w:r>
      <w:r w:rsidRPr="00BA770F">
        <w:t xml:space="preserve">the </w:t>
      </w:r>
      <w:r w:rsidR="008C75BF" w:rsidRPr="00BA770F">
        <w:t xml:space="preserve">facts </w:t>
      </w:r>
      <w:r w:rsidR="00C377CB" w:rsidRPr="00BA770F">
        <w:t>of</w:t>
      </w:r>
      <w:r w:rsidR="008C75BF" w:rsidRPr="00BA770F">
        <w:t xml:space="preserve"> </w:t>
      </w:r>
      <w:r w:rsidRPr="00BA770F">
        <w:t xml:space="preserve">the case </w:t>
      </w:r>
      <w:r w:rsidR="008C75BF" w:rsidRPr="00BA770F">
        <w:t>fall</w:t>
      </w:r>
      <w:r w:rsidRPr="00BA770F">
        <w:t xml:space="preserve"> within the tempora</w:t>
      </w:r>
      <w:r w:rsidR="008C75BF" w:rsidRPr="00BA770F">
        <w:t>l</w:t>
      </w:r>
      <w:r w:rsidRPr="00BA770F">
        <w:t xml:space="preserve"> jurisdiction of the Court</w:t>
      </w:r>
      <w:r w:rsidR="00042AAB" w:rsidRPr="00BA770F">
        <w:t xml:space="preserve">. </w:t>
      </w:r>
    </w:p>
    <w:p w:rsidR="00042AAB" w:rsidRPr="00BA770F" w:rsidRDefault="00042AAB" w:rsidP="00042AAB">
      <w:pPr>
        <w:spacing w:after="0" w:line="240" w:lineRule="auto"/>
        <w:ind w:firstLine="720"/>
        <w:jc w:val="both"/>
        <w:rPr>
          <w:rFonts w:cs="Arial"/>
        </w:rPr>
      </w:pPr>
    </w:p>
    <w:p w:rsidR="00042AAB" w:rsidRPr="00BA770F" w:rsidRDefault="00042AAB" w:rsidP="00042AAB">
      <w:pPr>
        <w:spacing w:after="0" w:line="240" w:lineRule="auto"/>
        <w:ind w:firstLine="720"/>
        <w:jc w:val="both"/>
        <w:rPr>
          <w:rFonts w:cs="Arial"/>
        </w:rPr>
      </w:pPr>
    </w:p>
    <w:p w:rsidR="00920D55" w:rsidRPr="00BA770F" w:rsidRDefault="00920D55" w:rsidP="00042AAB">
      <w:pPr>
        <w:suppressAutoHyphens/>
        <w:spacing w:after="0" w:line="240" w:lineRule="auto"/>
        <w:rPr>
          <w:rFonts w:cs="Arial"/>
          <w:snapToGrid w:val="0"/>
        </w:rPr>
      </w:pPr>
    </w:p>
    <w:p w:rsidR="00042AAB" w:rsidRPr="00BA770F" w:rsidRDefault="002D191B" w:rsidP="00042AAB">
      <w:pPr>
        <w:suppressAutoHyphens/>
        <w:spacing w:after="0" w:line="240" w:lineRule="auto"/>
        <w:rPr>
          <w:rFonts w:cs="Arial"/>
          <w:snapToGrid w:val="0"/>
        </w:rPr>
      </w:pPr>
      <w:r w:rsidRPr="00BA770F">
        <w:rPr>
          <w:rFonts w:cs="Arial"/>
          <w:snapToGrid w:val="0"/>
        </w:rPr>
        <w:t xml:space="preserve">Mr. </w:t>
      </w:r>
      <w:r w:rsidR="00042AAB" w:rsidRPr="00BA770F">
        <w:rPr>
          <w:rFonts w:cs="Arial"/>
          <w:snapToGrid w:val="0"/>
        </w:rPr>
        <w:t>Pablo Saavedra Alessandri, Secreta</w:t>
      </w:r>
      <w:r w:rsidRPr="00BA770F">
        <w:rPr>
          <w:rFonts w:cs="Arial"/>
          <w:snapToGrid w:val="0"/>
        </w:rPr>
        <w:t>ry</w:t>
      </w:r>
    </w:p>
    <w:p w:rsidR="00042AAB" w:rsidRPr="00BA770F" w:rsidRDefault="002D191B" w:rsidP="00042AAB">
      <w:pPr>
        <w:suppressAutoHyphens/>
        <w:spacing w:after="0" w:line="240" w:lineRule="auto"/>
        <w:rPr>
          <w:rFonts w:cs="Arial"/>
          <w:snapToGrid w:val="0"/>
        </w:rPr>
      </w:pPr>
      <w:r w:rsidRPr="00BA770F">
        <w:rPr>
          <w:rFonts w:cs="Arial"/>
          <w:snapToGrid w:val="0"/>
        </w:rPr>
        <w:t>Inter-American Court of Human Rights</w:t>
      </w:r>
    </w:p>
    <w:p w:rsidR="00042AAB" w:rsidRPr="00BA770F" w:rsidRDefault="002D191B" w:rsidP="00042AAB">
      <w:pPr>
        <w:suppressAutoHyphens/>
        <w:spacing w:after="0" w:line="240" w:lineRule="auto"/>
        <w:rPr>
          <w:rFonts w:cs="Arial"/>
          <w:snapToGrid w:val="0"/>
        </w:rPr>
      </w:pPr>
      <w:r w:rsidRPr="00BA770F">
        <w:rPr>
          <w:rFonts w:cs="Arial"/>
          <w:snapToGrid w:val="0"/>
        </w:rPr>
        <w:t>P.O. Box</w:t>
      </w:r>
      <w:r w:rsidR="00042AAB" w:rsidRPr="00BA770F">
        <w:rPr>
          <w:rFonts w:cs="Arial"/>
          <w:snapToGrid w:val="0"/>
        </w:rPr>
        <w:t xml:space="preserve"> 6906-1000</w:t>
      </w:r>
    </w:p>
    <w:p w:rsidR="00042AAB" w:rsidRPr="00BA770F" w:rsidRDefault="00042AAB" w:rsidP="00042AAB">
      <w:pPr>
        <w:suppressAutoHyphens/>
        <w:spacing w:after="0" w:line="240" w:lineRule="auto"/>
        <w:rPr>
          <w:rFonts w:cs="Arial"/>
          <w:snapToGrid w:val="0"/>
        </w:rPr>
      </w:pPr>
      <w:r w:rsidRPr="00BA770F">
        <w:rPr>
          <w:rFonts w:cs="Arial"/>
          <w:snapToGrid w:val="0"/>
        </w:rPr>
        <w:t>San José, Costa Rica</w:t>
      </w:r>
    </w:p>
    <w:p w:rsidR="00042AAB" w:rsidRPr="00BA770F" w:rsidRDefault="00042AAB" w:rsidP="00042AAB">
      <w:pPr>
        <w:suppressAutoHyphens/>
        <w:spacing w:after="0" w:line="240" w:lineRule="auto"/>
        <w:rPr>
          <w:rFonts w:cs="Arial"/>
          <w:snapToGrid w:val="0"/>
        </w:rPr>
      </w:pPr>
    </w:p>
    <w:p w:rsidR="00042AAB" w:rsidRPr="00BA770F" w:rsidRDefault="00042AAB" w:rsidP="00042AAB">
      <w:pPr>
        <w:suppressAutoHyphens/>
        <w:spacing w:after="0" w:line="240" w:lineRule="auto"/>
      </w:pPr>
      <w:r w:rsidRPr="00BA770F">
        <w:rPr>
          <w:rFonts w:cs="Arial"/>
          <w:snapToGrid w:val="0"/>
        </w:rPr>
        <w:t>A</w:t>
      </w:r>
      <w:r w:rsidR="001C001D" w:rsidRPr="00BA770F">
        <w:rPr>
          <w:rFonts w:cs="Arial"/>
          <w:snapToGrid w:val="0"/>
        </w:rPr>
        <w:t>ttach</w:t>
      </w:r>
      <w:r w:rsidR="002D191B" w:rsidRPr="00BA770F">
        <w:rPr>
          <w:rFonts w:cs="Arial"/>
          <w:snapToGrid w:val="0"/>
        </w:rPr>
        <w:t>ments</w:t>
      </w:r>
    </w:p>
    <w:p w:rsidR="00042AAB" w:rsidRPr="00BA770F" w:rsidRDefault="00042AAB" w:rsidP="00042AAB">
      <w:pPr>
        <w:spacing w:after="0" w:line="240" w:lineRule="auto"/>
        <w:ind w:firstLine="720"/>
        <w:jc w:val="both"/>
      </w:pPr>
    </w:p>
    <w:p w:rsidR="001C001D" w:rsidRPr="00BA770F" w:rsidRDefault="001C001D" w:rsidP="00042AAB">
      <w:pPr>
        <w:spacing w:after="0" w:line="240" w:lineRule="auto"/>
        <w:ind w:firstLine="720"/>
        <w:jc w:val="both"/>
      </w:pPr>
    </w:p>
    <w:p w:rsidR="00042AAB" w:rsidRPr="00BA770F" w:rsidRDefault="00042AAB" w:rsidP="00042AAB">
      <w:pPr>
        <w:spacing w:after="0" w:line="240" w:lineRule="auto"/>
        <w:ind w:firstLine="720"/>
        <w:jc w:val="both"/>
      </w:pPr>
    </w:p>
    <w:p w:rsidR="00042AAB" w:rsidRPr="00BA770F" w:rsidRDefault="00042AAB" w:rsidP="00042AAB">
      <w:pPr>
        <w:autoSpaceDE w:val="0"/>
        <w:autoSpaceDN w:val="0"/>
        <w:adjustRightInd w:val="0"/>
        <w:spacing w:after="0" w:line="240" w:lineRule="auto"/>
        <w:jc w:val="both"/>
        <w:rPr>
          <w:rFonts w:cs="Arial"/>
        </w:rPr>
      </w:pPr>
      <w:r w:rsidRPr="00BA770F">
        <w:lastRenderedPageBreak/>
        <w:tab/>
      </w:r>
      <w:r w:rsidR="00296B1B" w:rsidRPr="00BA770F">
        <w:t xml:space="preserve">The Commission has </w:t>
      </w:r>
      <w:r w:rsidR="00CE266F" w:rsidRPr="00BA770F">
        <w:t>designat</w:t>
      </w:r>
      <w:r w:rsidR="00296B1B" w:rsidRPr="00BA770F">
        <w:t>ed Commission</w:t>
      </w:r>
      <w:r w:rsidR="008C75BF" w:rsidRPr="00BA770F">
        <w:t>er</w:t>
      </w:r>
      <w:r w:rsidRPr="00BA770F">
        <w:t xml:space="preserve"> Rose Marie B. Antoine </w:t>
      </w:r>
      <w:r w:rsidR="00296B1B" w:rsidRPr="00BA770F">
        <w:t>and the Executive Secretary of the IACHR,</w:t>
      </w:r>
      <w:r w:rsidRPr="00BA770F">
        <w:t xml:space="preserve"> Emilio Álvarez Icaza L., </w:t>
      </w:r>
      <w:r w:rsidR="00296B1B" w:rsidRPr="00BA770F">
        <w:t>as its delegates. Likewise,</w:t>
      </w:r>
      <w:r w:rsidRPr="00BA770F">
        <w:t xml:space="preserve"> </w:t>
      </w:r>
      <w:r w:rsidR="00296B1B" w:rsidRPr="00BA770F">
        <w:t>E</w:t>
      </w:r>
      <w:r w:rsidRPr="00BA770F">
        <w:t xml:space="preserve">lizabeth Abi-Mershed, </w:t>
      </w:r>
      <w:r w:rsidR="00296B1B" w:rsidRPr="00BA770F">
        <w:t>Assistant Executive Secretary, and</w:t>
      </w:r>
      <w:r w:rsidRPr="00BA770F">
        <w:t xml:space="preserve"> Silvia Serrano Guzmán, María Claudia Pulido</w:t>
      </w:r>
      <w:r w:rsidR="00296B1B" w:rsidRPr="00BA770F">
        <w:t>, and</w:t>
      </w:r>
      <w:r w:rsidRPr="00BA770F">
        <w:t xml:space="preserve"> Norma Colledani, </w:t>
      </w:r>
      <w:r w:rsidR="00CE266F" w:rsidRPr="00BA770F">
        <w:t>attorneys of the</w:t>
      </w:r>
      <w:r w:rsidR="00296B1B" w:rsidRPr="00BA770F">
        <w:t xml:space="preserve"> Executive Secretar</w:t>
      </w:r>
      <w:r w:rsidR="00CE266F" w:rsidRPr="00BA770F">
        <w:t>iat of the IACHR</w:t>
      </w:r>
      <w:r w:rsidR="00296B1B" w:rsidRPr="00BA770F">
        <w:t>, will serve as legal advisors</w:t>
      </w:r>
      <w:r w:rsidRPr="00BA770F">
        <w:t>.</w:t>
      </w:r>
      <w:r w:rsidRPr="00BA770F">
        <w:rPr>
          <w:rFonts w:cs="Arial"/>
        </w:rPr>
        <w:t xml:space="preserve"> </w:t>
      </w:r>
    </w:p>
    <w:p w:rsidR="00042AAB" w:rsidRPr="00BA770F" w:rsidRDefault="00042AAB" w:rsidP="00042AAB">
      <w:pPr>
        <w:autoSpaceDE w:val="0"/>
        <w:autoSpaceDN w:val="0"/>
        <w:adjustRightInd w:val="0"/>
        <w:spacing w:after="0" w:line="240" w:lineRule="auto"/>
        <w:jc w:val="both"/>
        <w:rPr>
          <w:rFonts w:cs="Arial"/>
        </w:rPr>
      </w:pPr>
    </w:p>
    <w:p w:rsidR="00042AAB" w:rsidRPr="00BA770F" w:rsidRDefault="00042AAB" w:rsidP="00042AAB">
      <w:pPr>
        <w:autoSpaceDE w:val="0"/>
        <w:autoSpaceDN w:val="0"/>
        <w:adjustRightInd w:val="0"/>
        <w:spacing w:after="0" w:line="240" w:lineRule="auto"/>
        <w:jc w:val="both"/>
      </w:pPr>
      <w:r w:rsidRPr="00BA770F">
        <w:rPr>
          <w:rFonts w:cs="Arial"/>
        </w:rPr>
        <w:tab/>
      </w:r>
      <w:r w:rsidR="008C75BF" w:rsidRPr="00BA770F">
        <w:rPr>
          <w:rFonts w:cs="Arial"/>
        </w:rPr>
        <w:t>In accordance with</w:t>
      </w:r>
      <w:r w:rsidR="00296B1B" w:rsidRPr="00BA770F">
        <w:rPr>
          <w:rFonts w:cs="Arial"/>
        </w:rPr>
        <w:t xml:space="preserve"> Article 35 of the Rules of Procedure of the Inter-American Court, the Commission has attached hereto</w:t>
      </w:r>
      <w:r w:rsidR="0013762F" w:rsidRPr="00BA770F">
        <w:rPr>
          <w:rFonts w:cs="Arial"/>
        </w:rPr>
        <w:t xml:space="preserve"> </w:t>
      </w:r>
      <w:r w:rsidR="00296B1B" w:rsidRPr="00BA770F">
        <w:rPr>
          <w:rFonts w:cs="Arial"/>
        </w:rPr>
        <w:t>a copy of Report</w:t>
      </w:r>
      <w:r w:rsidRPr="00BA770F">
        <w:t xml:space="preserve"> 119/13</w:t>
      </w:r>
      <w:r w:rsidR="00296B1B" w:rsidRPr="00BA770F">
        <w:t xml:space="preserve">, prepared in </w:t>
      </w:r>
      <w:r w:rsidR="008C75BF" w:rsidRPr="00BA770F">
        <w:t>compliance</w:t>
      </w:r>
      <w:r w:rsidR="00296B1B" w:rsidRPr="00BA770F">
        <w:t xml:space="preserve"> with Article 50 of the Convention, </w:t>
      </w:r>
      <w:r w:rsidR="0013762F" w:rsidRPr="00BA770F">
        <w:t>together with</w:t>
      </w:r>
      <w:r w:rsidR="00296B1B" w:rsidRPr="00BA770F">
        <w:t xml:space="preserve"> a copy of the </w:t>
      </w:r>
      <w:r w:rsidR="0013762F" w:rsidRPr="00BA770F">
        <w:t>complete record of the case</w:t>
      </w:r>
      <w:r w:rsidR="00296B1B" w:rsidRPr="00BA770F">
        <w:t xml:space="preserve"> before the Inter-American Commission (Appendix I) and the </w:t>
      </w:r>
      <w:r w:rsidR="0013762F" w:rsidRPr="00BA770F">
        <w:t>documents</w:t>
      </w:r>
      <w:r w:rsidR="00296B1B" w:rsidRPr="00BA770F">
        <w:t xml:space="preserve"> used in </w:t>
      </w:r>
      <w:r w:rsidR="008C75BF" w:rsidRPr="00BA770F">
        <w:t>the preparation of</w:t>
      </w:r>
      <w:r w:rsidR="00296B1B" w:rsidRPr="00BA770F">
        <w:t xml:space="preserve"> Report </w:t>
      </w:r>
      <w:r w:rsidRPr="00BA770F">
        <w:t>119/13 (An</w:t>
      </w:r>
      <w:r w:rsidR="00296B1B" w:rsidRPr="00BA770F">
        <w:t>nexes</w:t>
      </w:r>
      <w:r w:rsidRPr="00BA770F">
        <w:t xml:space="preserve">). </w:t>
      </w:r>
      <w:r w:rsidR="00296B1B" w:rsidRPr="00BA770F">
        <w:t xml:space="preserve">Said report on the merits was notified to the State of Chile </w:t>
      </w:r>
      <w:r w:rsidR="00CE266F" w:rsidRPr="00BA770F">
        <w:t xml:space="preserve">in </w:t>
      </w:r>
      <w:r w:rsidR="00296B1B" w:rsidRPr="00BA770F">
        <w:t xml:space="preserve">a communication dated November 12, 2013, and </w:t>
      </w:r>
      <w:r w:rsidR="00CE266F" w:rsidRPr="00BA770F">
        <w:t>transmitted to it</w:t>
      </w:r>
      <w:r w:rsidR="00296B1B" w:rsidRPr="00BA770F">
        <w:t xml:space="preserve"> on November 13 of the same year</w:t>
      </w:r>
      <w:r w:rsidR="001279D2" w:rsidRPr="00BA770F">
        <w:t xml:space="preserve">. </w:t>
      </w:r>
      <w:r w:rsidR="00C377CB" w:rsidRPr="00BA770F">
        <w:t>The report</w:t>
      </w:r>
      <w:r w:rsidR="001279D2" w:rsidRPr="00BA770F">
        <w:t xml:space="preserve"> gave</w:t>
      </w:r>
      <w:r w:rsidR="00CE266F" w:rsidRPr="00BA770F">
        <w:t xml:space="preserve"> </w:t>
      </w:r>
      <w:r w:rsidR="00296B1B" w:rsidRPr="00BA770F">
        <w:t xml:space="preserve">the State two months to report on compliance with the recommendations. On January 7, 2014, the State requested a two-month extension, which the Commission granted. On March 27 and April 11, 2014, the Chilean State submitted reports that did not show any substantive progress in </w:t>
      </w:r>
      <w:r w:rsidR="003041E9" w:rsidRPr="00BA770F">
        <w:t xml:space="preserve">the implementation of recommendations. </w:t>
      </w:r>
    </w:p>
    <w:p w:rsidR="00042AAB" w:rsidRPr="00BA770F" w:rsidRDefault="00042AAB" w:rsidP="00042AAB">
      <w:pPr>
        <w:autoSpaceDE w:val="0"/>
        <w:autoSpaceDN w:val="0"/>
        <w:adjustRightInd w:val="0"/>
        <w:spacing w:after="0" w:line="240" w:lineRule="auto"/>
        <w:jc w:val="both"/>
      </w:pPr>
    </w:p>
    <w:p w:rsidR="00042AAB" w:rsidRPr="00BA770F" w:rsidRDefault="00042AAB" w:rsidP="00042AAB">
      <w:pPr>
        <w:autoSpaceDE w:val="0"/>
        <w:autoSpaceDN w:val="0"/>
        <w:adjustRightInd w:val="0"/>
        <w:spacing w:after="0" w:line="240" w:lineRule="auto"/>
        <w:jc w:val="both"/>
      </w:pPr>
      <w:r w:rsidRPr="00BA770F">
        <w:tab/>
      </w:r>
      <w:r w:rsidR="003041E9" w:rsidRPr="00BA770F">
        <w:t xml:space="preserve">Thus, the information provided on the two criminal </w:t>
      </w:r>
      <w:r w:rsidR="008C1767" w:rsidRPr="00BA770F">
        <w:t>proceedings</w:t>
      </w:r>
      <w:r w:rsidR="003041E9" w:rsidRPr="00BA770F">
        <w:t xml:space="preserve"> predates </w:t>
      </w:r>
      <w:r w:rsidR="001279D2" w:rsidRPr="00BA770F">
        <w:t xml:space="preserve">the </w:t>
      </w:r>
      <w:r w:rsidR="003041E9" w:rsidRPr="00BA770F">
        <w:t>report</w:t>
      </w:r>
      <w:r w:rsidR="001279D2" w:rsidRPr="00BA770F">
        <w:t xml:space="preserve"> on the merits</w:t>
      </w:r>
      <w:r w:rsidR="003041E9" w:rsidRPr="00BA770F">
        <w:t xml:space="preserve">. As concerns </w:t>
      </w:r>
      <w:r w:rsidR="008C1767" w:rsidRPr="00BA770F">
        <w:t>the</w:t>
      </w:r>
      <w:r w:rsidR="006F6DDD" w:rsidRPr="00BA770F">
        <w:t xml:space="preserve"> cases not yet brought to trial</w:t>
      </w:r>
      <w:r w:rsidRPr="00BA770F">
        <w:rPr>
          <w:rFonts w:cs="Arial"/>
        </w:rPr>
        <w:t xml:space="preserve">, </w:t>
      </w:r>
      <w:r w:rsidR="003041E9" w:rsidRPr="00BA770F">
        <w:rPr>
          <w:rFonts w:cs="Arial"/>
        </w:rPr>
        <w:t xml:space="preserve">the State indicated that </w:t>
      </w:r>
      <w:r w:rsidR="006F6DDD" w:rsidRPr="00BA770F">
        <w:rPr>
          <w:rFonts w:cs="Arial"/>
        </w:rPr>
        <w:t xml:space="preserve">proceedings </w:t>
      </w:r>
      <w:r w:rsidR="00C377CB" w:rsidRPr="00BA770F">
        <w:rPr>
          <w:rFonts w:cs="Arial"/>
        </w:rPr>
        <w:t xml:space="preserve">must </w:t>
      </w:r>
      <w:r w:rsidR="003041E9" w:rsidRPr="00BA770F">
        <w:rPr>
          <w:rFonts w:cs="Arial"/>
        </w:rPr>
        <w:t xml:space="preserve">be set in motion by the petitioners themselves which, in the Commission’s view, constitutes a </w:t>
      </w:r>
      <w:r w:rsidR="005A67F7" w:rsidRPr="00BA770F">
        <w:rPr>
          <w:rFonts w:cs="Arial"/>
        </w:rPr>
        <w:t xml:space="preserve">continuing breach </w:t>
      </w:r>
      <w:r w:rsidR="003041E9" w:rsidRPr="00BA770F">
        <w:rPr>
          <w:rFonts w:cs="Arial"/>
        </w:rPr>
        <w:t xml:space="preserve">of the </w:t>
      </w:r>
      <w:r w:rsidR="00CE266F" w:rsidRPr="00BA770F">
        <w:rPr>
          <w:rFonts w:cs="Arial"/>
        </w:rPr>
        <w:t>obligation</w:t>
      </w:r>
      <w:r w:rsidR="003041E9" w:rsidRPr="00BA770F">
        <w:rPr>
          <w:rFonts w:cs="Arial"/>
        </w:rPr>
        <w:t xml:space="preserve"> to investigate acts of torture ex officio. With regard to the duty to investigate the officials who failed to launch investigations, the State simply noted that</w:t>
      </w:r>
      <w:r w:rsidR="006C1C3A" w:rsidRPr="00BA770F">
        <w:rPr>
          <w:rFonts w:cs="Arial"/>
        </w:rPr>
        <w:t xml:space="preserve">, in making </w:t>
      </w:r>
      <w:r w:rsidR="003041E9" w:rsidRPr="00BA770F">
        <w:rPr>
          <w:rFonts w:cs="Arial"/>
        </w:rPr>
        <w:t>said recommen</w:t>
      </w:r>
      <w:r w:rsidR="00CE266F" w:rsidRPr="00BA770F">
        <w:rPr>
          <w:rFonts w:cs="Arial"/>
        </w:rPr>
        <w:t>d</w:t>
      </w:r>
      <w:r w:rsidR="003041E9" w:rsidRPr="00BA770F">
        <w:rPr>
          <w:rFonts w:cs="Arial"/>
        </w:rPr>
        <w:t>ation</w:t>
      </w:r>
      <w:r w:rsidR="006C1C3A" w:rsidRPr="00BA770F">
        <w:rPr>
          <w:rFonts w:cs="Arial"/>
        </w:rPr>
        <w:t>, the Commission was ignoring that individual liab</w:t>
      </w:r>
      <w:r w:rsidR="00A41675" w:rsidRPr="00BA770F">
        <w:rPr>
          <w:rFonts w:cs="Arial"/>
        </w:rPr>
        <w:t>ility could not be established.</w:t>
      </w:r>
      <w:r w:rsidR="00D23FB7" w:rsidRPr="00BA770F">
        <w:rPr>
          <w:rFonts w:cs="Arial"/>
        </w:rPr>
        <w:t xml:space="preserve"> </w:t>
      </w:r>
      <w:r w:rsidR="006C1C3A" w:rsidRPr="00BA770F">
        <w:rPr>
          <w:rFonts w:cs="Arial"/>
        </w:rPr>
        <w:t xml:space="preserve">As regards the key recommendation </w:t>
      </w:r>
      <w:r w:rsidR="005A67F7" w:rsidRPr="00BA770F">
        <w:rPr>
          <w:rFonts w:cs="Arial"/>
        </w:rPr>
        <w:t>in</w:t>
      </w:r>
      <w:r w:rsidR="006C1C3A" w:rsidRPr="00BA770F">
        <w:rPr>
          <w:rFonts w:cs="Arial"/>
        </w:rPr>
        <w:t xml:space="preserve"> the case, i.e.</w:t>
      </w:r>
      <w:r w:rsidR="00A41675" w:rsidRPr="00BA770F">
        <w:rPr>
          <w:rFonts w:cs="Arial"/>
        </w:rPr>
        <w:t>,</w:t>
      </w:r>
      <w:r w:rsidR="006C1C3A" w:rsidRPr="00BA770F">
        <w:rPr>
          <w:rFonts w:cs="Arial"/>
        </w:rPr>
        <w:t xml:space="preserve"> that there </w:t>
      </w:r>
      <w:r w:rsidR="005A67F7" w:rsidRPr="00BA770F">
        <w:rPr>
          <w:rFonts w:cs="Arial"/>
        </w:rPr>
        <w:t xml:space="preserve">must </w:t>
      </w:r>
      <w:r w:rsidR="006C1C3A" w:rsidRPr="00BA770F">
        <w:rPr>
          <w:rFonts w:cs="Arial"/>
        </w:rPr>
        <w:t xml:space="preserve">be an effective remedy concerning convictions </w:t>
      </w:r>
      <w:r w:rsidR="008C75BF" w:rsidRPr="00BA770F">
        <w:rPr>
          <w:rFonts w:cs="Arial"/>
        </w:rPr>
        <w:t xml:space="preserve">that would enable </w:t>
      </w:r>
      <w:r w:rsidR="006C1C3A" w:rsidRPr="00BA770F">
        <w:rPr>
          <w:rFonts w:cs="Arial"/>
        </w:rPr>
        <w:t xml:space="preserve">the exclusionary rule </w:t>
      </w:r>
      <w:r w:rsidR="008C75BF" w:rsidRPr="00BA770F">
        <w:rPr>
          <w:rFonts w:cs="Arial"/>
        </w:rPr>
        <w:t>to be enforced in respect of</w:t>
      </w:r>
      <w:r w:rsidR="006C1C3A" w:rsidRPr="00BA770F">
        <w:rPr>
          <w:rFonts w:cs="Arial"/>
        </w:rPr>
        <w:t xml:space="preserve"> evidence obtained under torture, the State merely indicated that the victims could file a “new </w:t>
      </w:r>
      <w:r w:rsidR="00A41675" w:rsidRPr="00BA770F">
        <w:rPr>
          <w:rFonts w:cs="Arial"/>
        </w:rPr>
        <w:t>motion to reopen the case</w:t>
      </w:r>
      <w:r w:rsidR="006C1C3A" w:rsidRPr="00BA770F">
        <w:rPr>
          <w:rFonts w:cs="Arial"/>
        </w:rPr>
        <w:t xml:space="preserve">,” without making specific comments on the fact that the violation determined by the Commission stemmed specifically from the fact that the Supreme Court of Justice had declared itself incompetent to </w:t>
      </w:r>
      <w:r w:rsidR="00CE266F" w:rsidRPr="00BA770F">
        <w:rPr>
          <w:rFonts w:cs="Arial"/>
        </w:rPr>
        <w:t xml:space="preserve">nullify </w:t>
      </w:r>
      <w:r w:rsidR="00A2185F" w:rsidRPr="00BA770F">
        <w:rPr>
          <w:rFonts w:cs="Arial"/>
        </w:rPr>
        <w:t xml:space="preserve">the Court Martial’s </w:t>
      </w:r>
      <w:r w:rsidR="006C1C3A" w:rsidRPr="00BA770F">
        <w:rPr>
          <w:rFonts w:cs="Arial"/>
        </w:rPr>
        <w:t>decisions</w:t>
      </w:r>
      <w:r w:rsidRPr="00BA770F">
        <w:rPr>
          <w:rFonts w:cs="Arial"/>
        </w:rPr>
        <w:t xml:space="preserve">. </w:t>
      </w:r>
      <w:r w:rsidR="006C1C3A" w:rsidRPr="00BA770F">
        <w:rPr>
          <w:rFonts w:cs="Arial"/>
        </w:rPr>
        <w:t>Lastly, with respect to reparations, the State reporte</w:t>
      </w:r>
      <w:r w:rsidR="00D23FB7" w:rsidRPr="00BA770F">
        <w:rPr>
          <w:rFonts w:cs="Arial"/>
        </w:rPr>
        <w:t xml:space="preserve">d </w:t>
      </w:r>
      <w:r w:rsidR="006C1C3A" w:rsidRPr="00BA770F">
        <w:rPr>
          <w:rFonts w:cs="Arial"/>
        </w:rPr>
        <w:t xml:space="preserve">on </w:t>
      </w:r>
      <w:r w:rsidR="00A2185F" w:rsidRPr="00BA770F">
        <w:rPr>
          <w:rFonts w:cs="Arial"/>
        </w:rPr>
        <w:t xml:space="preserve">reparations received under </w:t>
      </w:r>
      <w:r w:rsidR="006C1C3A" w:rsidRPr="00BA770F">
        <w:rPr>
          <w:rFonts w:cs="Arial"/>
        </w:rPr>
        <w:t>the national program on repa</w:t>
      </w:r>
      <w:r w:rsidR="00A41675" w:rsidRPr="00BA770F">
        <w:rPr>
          <w:rFonts w:cs="Arial"/>
        </w:rPr>
        <w:t>rations for torture victims, a matter</w:t>
      </w:r>
      <w:r w:rsidR="006C1C3A" w:rsidRPr="00BA770F">
        <w:rPr>
          <w:rFonts w:cs="Arial"/>
        </w:rPr>
        <w:t xml:space="preserve"> that is not the subject of the case. The State did not report on reparation measures implemented </w:t>
      </w:r>
      <w:r w:rsidR="00A2185F" w:rsidRPr="00BA770F">
        <w:rPr>
          <w:rFonts w:cs="Arial"/>
        </w:rPr>
        <w:t>as a result of</w:t>
      </w:r>
      <w:r w:rsidR="006C1C3A" w:rsidRPr="00BA770F">
        <w:rPr>
          <w:rFonts w:cs="Arial"/>
        </w:rPr>
        <w:t xml:space="preserve"> violations in the case, specifically the various components of the denial of justice as described in the report on the merits</w:t>
      </w:r>
      <w:r w:rsidRPr="00BA770F">
        <w:rPr>
          <w:rFonts w:cs="Arial"/>
        </w:rPr>
        <w:t xml:space="preserve">. </w:t>
      </w:r>
    </w:p>
    <w:p w:rsidR="00042AAB" w:rsidRPr="00BA770F" w:rsidRDefault="00042AAB" w:rsidP="00042AAB">
      <w:pPr>
        <w:spacing w:after="0" w:line="240" w:lineRule="auto"/>
        <w:jc w:val="both"/>
      </w:pPr>
    </w:p>
    <w:p w:rsidR="00BA770F" w:rsidRPr="00BA770F" w:rsidRDefault="00BA770F" w:rsidP="00BA770F">
      <w:pPr>
        <w:spacing w:after="0" w:line="240" w:lineRule="auto"/>
        <w:ind w:firstLine="720"/>
        <w:jc w:val="both"/>
      </w:pPr>
      <w:r w:rsidRPr="00BA770F">
        <w:t>The State did not request a new extension to fulfill with the recommendations. Under those circumstances, and in view of the need to obtain justice for the victims in the case, the Commission decided to submit it to the Inter-American Court.</w:t>
      </w:r>
    </w:p>
    <w:p w:rsidR="00BA770F" w:rsidRPr="00BA770F" w:rsidRDefault="00BA770F" w:rsidP="00042AAB">
      <w:pPr>
        <w:spacing w:after="0" w:line="240" w:lineRule="auto"/>
        <w:jc w:val="both"/>
      </w:pPr>
    </w:p>
    <w:p w:rsidR="00042AAB" w:rsidRPr="00BA770F" w:rsidRDefault="006C1C3A" w:rsidP="00042AAB">
      <w:pPr>
        <w:spacing w:after="0" w:line="240" w:lineRule="auto"/>
        <w:ind w:firstLine="720"/>
        <w:jc w:val="both"/>
      </w:pPr>
      <w:r w:rsidRPr="00BA770F">
        <w:t>The Inter-American Commission request</w:t>
      </w:r>
      <w:r w:rsidR="00D23FB7" w:rsidRPr="00BA770F">
        <w:t>s</w:t>
      </w:r>
      <w:r w:rsidRPr="00BA770F">
        <w:t xml:space="preserve"> </w:t>
      </w:r>
      <w:r w:rsidR="00CE266F" w:rsidRPr="00BA770F">
        <w:t xml:space="preserve">that </w:t>
      </w:r>
      <w:r w:rsidRPr="00BA770F">
        <w:t xml:space="preserve">the Court </w:t>
      </w:r>
      <w:r w:rsidR="00485F35" w:rsidRPr="00BA770F">
        <w:t>conclude</w:t>
      </w:r>
      <w:r w:rsidRPr="00BA770F">
        <w:t xml:space="preserve"> and declare that</w:t>
      </w:r>
      <w:r w:rsidR="00042AAB" w:rsidRPr="00BA770F">
        <w:t xml:space="preserve">: </w:t>
      </w:r>
    </w:p>
    <w:p w:rsidR="00042AAB" w:rsidRPr="00BA770F" w:rsidRDefault="00042AAB" w:rsidP="00042AAB">
      <w:pPr>
        <w:autoSpaceDE w:val="0"/>
        <w:autoSpaceDN w:val="0"/>
        <w:adjustRightInd w:val="0"/>
        <w:spacing w:after="0" w:line="240" w:lineRule="auto"/>
        <w:ind w:right="480"/>
        <w:jc w:val="both"/>
      </w:pPr>
    </w:p>
    <w:p w:rsidR="00042AAB" w:rsidRPr="00BA770F" w:rsidRDefault="00042AAB" w:rsidP="00042AAB">
      <w:pPr>
        <w:numPr>
          <w:ilvl w:val="0"/>
          <w:numId w:val="2"/>
        </w:numPr>
        <w:tabs>
          <w:tab w:val="left" w:pos="1440"/>
        </w:tabs>
        <w:spacing w:after="0" w:line="240" w:lineRule="auto"/>
        <w:ind w:left="720" w:right="720" w:firstLine="0"/>
        <w:jc w:val="both"/>
      </w:pPr>
      <w:r w:rsidRPr="00BA770F">
        <w:t xml:space="preserve">The Chilean State is responsible for violation of its obligation to investigate torture in accordance with the provisions of articles 8 and 25 of the American Convention, read in conjunction with Article 1(1) thereof and to the detriment of the victims and their next of kin. In application of the principle of </w:t>
      </w:r>
      <w:r w:rsidRPr="00BA770F">
        <w:rPr>
          <w:i/>
        </w:rPr>
        <w:t>iura novit curiae,</w:t>
      </w:r>
      <w:r w:rsidRPr="00BA770F">
        <w:t xml:space="preserve"> the Commission also finds that the State is responsible for violation of articles 1, 6</w:t>
      </w:r>
      <w:r w:rsidR="00A41675" w:rsidRPr="00BA770F">
        <w:t>,</w:t>
      </w:r>
      <w:r w:rsidRPr="00BA770F">
        <w:t xml:space="preserve"> and 8 of the Inter-American Convention to Prevent and Punish Torture, and for violation of its obligation under the American Convention to adopt domestic legal measures (Article 2), to the detriment of the victims and their next of kin.</w:t>
      </w:r>
    </w:p>
    <w:p w:rsidR="00042AAB" w:rsidRPr="00BA770F" w:rsidRDefault="00042AAB" w:rsidP="00042AAB">
      <w:pPr>
        <w:tabs>
          <w:tab w:val="left" w:pos="720"/>
          <w:tab w:val="left" w:pos="1440"/>
        </w:tabs>
        <w:spacing w:after="0" w:line="240" w:lineRule="auto"/>
        <w:ind w:left="720" w:right="720"/>
        <w:jc w:val="both"/>
      </w:pPr>
    </w:p>
    <w:p w:rsidR="00042AAB" w:rsidRPr="00BA770F" w:rsidRDefault="00042AAB" w:rsidP="00042AAB">
      <w:pPr>
        <w:numPr>
          <w:ilvl w:val="0"/>
          <w:numId w:val="2"/>
        </w:numPr>
        <w:tabs>
          <w:tab w:val="left" w:pos="720"/>
          <w:tab w:val="left" w:pos="1440"/>
        </w:tabs>
        <w:spacing w:after="0" w:line="240" w:lineRule="auto"/>
        <w:ind w:left="720" w:right="720" w:firstLine="0"/>
        <w:jc w:val="both"/>
      </w:pPr>
      <w:r w:rsidRPr="00BA770F">
        <w:lastRenderedPageBreak/>
        <w:t xml:space="preserve">The Chilean State is responsible for failing to adopt the domestic legal provisions to ensure the existence of an effective remedy by which to enforce the exclusionary rule in respect of confessions made under torture, pursuant to the provisions of Article 25 and, in application of the principle of </w:t>
      </w:r>
      <w:r w:rsidRPr="00BA770F">
        <w:rPr>
          <w:i/>
        </w:rPr>
        <w:t>iura novit curiae</w:t>
      </w:r>
      <w:r w:rsidRPr="00BA770F">
        <w:t>, Article 2 of the American Convention read in conjunction with its Article 1(1) and Article 10 of the Inter-American Convention to Prevent and Punish Torture, to the detriment of the victims and their next of kin.</w:t>
      </w:r>
    </w:p>
    <w:p w:rsidR="00042AAB" w:rsidRPr="00BA770F" w:rsidRDefault="00042AAB" w:rsidP="00042AAB">
      <w:pPr>
        <w:tabs>
          <w:tab w:val="left" w:pos="8460"/>
        </w:tabs>
        <w:spacing w:after="0" w:line="240" w:lineRule="auto"/>
        <w:ind w:right="720" w:firstLine="720"/>
        <w:jc w:val="both"/>
      </w:pPr>
    </w:p>
    <w:p w:rsidR="00042AAB" w:rsidRPr="00BA770F" w:rsidRDefault="00485F35" w:rsidP="00042AAB">
      <w:pPr>
        <w:spacing w:after="0" w:line="240" w:lineRule="auto"/>
        <w:ind w:firstLine="720"/>
        <w:jc w:val="both"/>
      </w:pPr>
      <w:r w:rsidRPr="00BA770F">
        <w:t>Therefore,</w:t>
      </w:r>
      <w:r w:rsidR="008C75BF" w:rsidRPr="00BA770F">
        <w:t xml:space="preserve"> the Commission </w:t>
      </w:r>
      <w:r w:rsidRPr="00BA770F">
        <w:t>requests that</w:t>
      </w:r>
      <w:r w:rsidR="008C75BF" w:rsidRPr="00BA770F">
        <w:t xml:space="preserve"> the Inter-American Court </w:t>
      </w:r>
      <w:r w:rsidR="00CE266F" w:rsidRPr="00BA770F">
        <w:t>order</w:t>
      </w:r>
      <w:r w:rsidR="008C75BF" w:rsidRPr="00BA770F">
        <w:t xml:space="preserve"> the following reparation measures</w:t>
      </w:r>
      <w:r w:rsidR="00042AAB" w:rsidRPr="00BA770F">
        <w:t>:</w:t>
      </w:r>
      <w:r w:rsidR="007552C3" w:rsidRPr="00BA770F">
        <w:t xml:space="preserve"> </w:t>
      </w:r>
    </w:p>
    <w:p w:rsidR="00042AAB" w:rsidRPr="00BA770F" w:rsidRDefault="00042AAB" w:rsidP="00042AAB">
      <w:pPr>
        <w:spacing w:after="0" w:line="240" w:lineRule="auto"/>
        <w:ind w:firstLine="720"/>
        <w:jc w:val="both"/>
      </w:pPr>
    </w:p>
    <w:p w:rsidR="00042AAB" w:rsidRPr="00BA770F" w:rsidRDefault="00042AAB" w:rsidP="00042AAB">
      <w:pPr>
        <w:numPr>
          <w:ilvl w:val="0"/>
          <w:numId w:val="3"/>
        </w:numPr>
        <w:spacing w:after="0" w:line="240" w:lineRule="auto"/>
        <w:ind w:right="720" w:firstLine="0"/>
        <w:jc w:val="both"/>
      </w:pPr>
      <w:r w:rsidRPr="00BA770F">
        <w:t>Investigate, prosecute</w:t>
      </w:r>
      <w:r w:rsidR="00A41675" w:rsidRPr="00BA770F">
        <w:t>,</w:t>
      </w:r>
      <w:r w:rsidRPr="00BA770F">
        <w:t xml:space="preserve"> and punish the alleged torture committed against the victims in this case.</w:t>
      </w:r>
    </w:p>
    <w:p w:rsidR="00042AAB" w:rsidRPr="00BA770F" w:rsidRDefault="00042AAB" w:rsidP="00042AAB">
      <w:pPr>
        <w:spacing w:after="0" w:line="240" w:lineRule="auto"/>
        <w:ind w:left="720" w:right="720"/>
        <w:jc w:val="both"/>
      </w:pPr>
    </w:p>
    <w:p w:rsidR="00042AAB" w:rsidRPr="00BA770F" w:rsidRDefault="00042AAB" w:rsidP="00042AAB">
      <w:pPr>
        <w:numPr>
          <w:ilvl w:val="0"/>
          <w:numId w:val="3"/>
        </w:numPr>
        <w:spacing w:after="0" w:line="240" w:lineRule="auto"/>
        <w:ind w:right="720" w:firstLine="0"/>
        <w:jc w:val="both"/>
      </w:pPr>
      <w:r w:rsidRPr="00BA770F">
        <w:t>Establish any criminal and/or administrative blame there may be for the failure to investigate the torture suffered by the victims in the present case, which was brought to the attention of the Chilean judicial authorities.</w:t>
      </w:r>
    </w:p>
    <w:p w:rsidR="00042AAB" w:rsidRPr="00BA770F" w:rsidRDefault="00042AAB" w:rsidP="00042AAB">
      <w:pPr>
        <w:spacing w:after="0" w:line="240" w:lineRule="auto"/>
        <w:ind w:left="720" w:right="720"/>
        <w:jc w:val="both"/>
      </w:pPr>
    </w:p>
    <w:p w:rsidR="00042AAB" w:rsidRPr="00BA770F" w:rsidRDefault="00042AAB" w:rsidP="00042AAB">
      <w:pPr>
        <w:numPr>
          <w:ilvl w:val="0"/>
          <w:numId w:val="3"/>
        </w:numPr>
        <w:spacing w:after="0" w:line="240" w:lineRule="auto"/>
        <w:ind w:right="720" w:firstLine="0"/>
        <w:jc w:val="both"/>
      </w:pPr>
      <w:r w:rsidRPr="00BA770F">
        <w:t xml:space="preserve">Adopt the measures necessary to afford an effective judicial recourse for the protection of the violated rights of the victims and their next of kin, particularly with respect to the evidentiary value attached to the confessions made under torture. </w:t>
      </w:r>
    </w:p>
    <w:p w:rsidR="00042AAB" w:rsidRPr="00BA770F" w:rsidRDefault="00042AAB" w:rsidP="00042AAB">
      <w:pPr>
        <w:spacing w:after="0" w:line="240" w:lineRule="auto"/>
        <w:ind w:left="720" w:right="720"/>
        <w:jc w:val="both"/>
      </w:pPr>
    </w:p>
    <w:p w:rsidR="00042AAB" w:rsidRPr="00BA770F" w:rsidRDefault="00042AAB" w:rsidP="00042AAB">
      <w:pPr>
        <w:numPr>
          <w:ilvl w:val="0"/>
          <w:numId w:val="3"/>
        </w:numPr>
        <w:spacing w:after="0" w:line="240" w:lineRule="auto"/>
        <w:ind w:right="720" w:firstLine="0"/>
        <w:jc w:val="both"/>
      </w:pPr>
      <w:r w:rsidRPr="00BA770F">
        <w:t>Make full reparations to the victims and their next of kin, which shall include pecuniary and non-pecuniary damages for the human rights violations herein established.</w:t>
      </w:r>
    </w:p>
    <w:p w:rsidR="00042AAB" w:rsidRPr="00BA770F" w:rsidRDefault="00042AAB" w:rsidP="00042AAB">
      <w:pPr>
        <w:spacing w:after="0" w:line="240" w:lineRule="auto"/>
        <w:ind w:left="720" w:right="720"/>
        <w:jc w:val="both"/>
      </w:pPr>
    </w:p>
    <w:p w:rsidR="00042AAB" w:rsidRPr="00BA770F" w:rsidRDefault="00042AAB" w:rsidP="00042AAB">
      <w:pPr>
        <w:numPr>
          <w:ilvl w:val="0"/>
          <w:numId w:val="3"/>
        </w:numPr>
        <w:spacing w:after="0" w:line="240" w:lineRule="auto"/>
        <w:ind w:right="720" w:firstLine="0"/>
        <w:jc w:val="both"/>
        <w:rPr>
          <w:rFonts w:cs="Arial"/>
        </w:rPr>
      </w:pPr>
      <w:r w:rsidRPr="00BA770F">
        <w:t>Adopt the legislative, administrative</w:t>
      </w:r>
      <w:r w:rsidR="00A41675" w:rsidRPr="00BA770F">
        <w:t>,</w:t>
      </w:r>
      <w:r w:rsidRPr="00BA770F">
        <w:t xml:space="preserve"> and other measures necessary to make Chile’s law</w:t>
      </w:r>
      <w:r w:rsidR="00A41675" w:rsidRPr="00BA770F">
        <w:t>s and practices conform to the i</w:t>
      </w:r>
      <w:r w:rsidRPr="00BA770F">
        <w:t xml:space="preserve">nter-American standards on the subject of torture and judicial protection.  </w:t>
      </w:r>
    </w:p>
    <w:p w:rsidR="00042AAB" w:rsidRPr="00BA770F" w:rsidRDefault="00042AAB" w:rsidP="00042AAB">
      <w:pPr>
        <w:spacing w:after="0" w:line="240" w:lineRule="auto"/>
        <w:ind w:left="720" w:right="720"/>
        <w:rPr>
          <w:rFonts w:cs="Arial"/>
        </w:rPr>
      </w:pPr>
    </w:p>
    <w:p w:rsidR="00042AAB" w:rsidRPr="00BA770F" w:rsidRDefault="00042AAB" w:rsidP="00042AAB">
      <w:pPr>
        <w:numPr>
          <w:ilvl w:val="0"/>
          <w:numId w:val="3"/>
        </w:numPr>
        <w:spacing w:after="0" w:line="240" w:lineRule="auto"/>
        <w:ind w:right="720" w:firstLine="0"/>
        <w:jc w:val="both"/>
      </w:pPr>
      <w:r w:rsidRPr="00BA770F">
        <w:t>Take measures to prevent a repetition of acts similar to those at issue in the present case.</w:t>
      </w:r>
    </w:p>
    <w:p w:rsidR="00042AAB" w:rsidRPr="00920D55" w:rsidRDefault="00042AAB" w:rsidP="00042AAB">
      <w:pPr>
        <w:spacing w:after="0" w:line="240" w:lineRule="auto"/>
        <w:ind w:right="1440"/>
        <w:jc w:val="both"/>
        <w:rPr>
          <w:rFonts w:cs="Arial"/>
        </w:rPr>
      </w:pPr>
    </w:p>
    <w:p w:rsidR="00042AAB" w:rsidRPr="00920D55" w:rsidRDefault="0013762F" w:rsidP="00042AAB">
      <w:pPr>
        <w:autoSpaceDE w:val="0"/>
        <w:autoSpaceDN w:val="0"/>
        <w:adjustRightInd w:val="0"/>
        <w:spacing w:after="0" w:line="240" w:lineRule="auto"/>
        <w:ind w:firstLine="720"/>
        <w:jc w:val="both"/>
        <w:rPr>
          <w:rFonts w:cs="Arial"/>
        </w:rPr>
      </w:pPr>
      <w:r w:rsidRPr="00920D55">
        <w:rPr>
          <w:rFonts w:cs="Arial"/>
        </w:rPr>
        <w:t>In addition to the need to obtain</w:t>
      </w:r>
      <w:r w:rsidR="007552C3" w:rsidRPr="00920D55">
        <w:rPr>
          <w:rFonts w:cs="Arial"/>
        </w:rPr>
        <w:t xml:space="preserve"> justice because of noncompliance with the recommendations made in the report on the merits, the Commission considers that the case </w:t>
      </w:r>
      <w:r w:rsidR="00485F35" w:rsidRPr="00920D55">
        <w:rPr>
          <w:rFonts w:cs="Arial"/>
        </w:rPr>
        <w:t>involves</w:t>
      </w:r>
      <w:r w:rsidRPr="00920D55">
        <w:rPr>
          <w:rFonts w:cs="Arial"/>
        </w:rPr>
        <w:t xml:space="preserve"> issues of</w:t>
      </w:r>
      <w:r w:rsidR="007552C3" w:rsidRPr="00920D55">
        <w:rPr>
          <w:rFonts w:cs="Arial"/>
        </w:rPr>
        <w:t xml:space="preserve"> inter-American </w:t>
      </w:r>
      <w:r w:rsidR="006F6DDD" w:rsidRPr="00920D55">
        <w:rPr>
          <w:rFonts w:cs="Arial"/>
        </w:rPr>
        <w:t>public order (</w:t>
      </w:r>
      <w:r w:rsidRPr="00920D55">
        <w:rPr>
          <w:rStyle w:val="Normal"/>
          <w:i/>
        </w:rPr>
        <w:t>ordre public</w:t>
      </w:r>
      <w:r w:rsidR="006F6DDD" w:rsidRPr="00920D55">
        <w:rPr>
          <w:rStyle w:val="Normal"/>
        </w:rPr>
        <w:t>)</w:t>
      </w:r>
      <w:r w:rsidR="007552C3" w:rsidRPr="00920D55">
        <w:rPr>
          <w:rFonts w:cs="Arial"/>
        </w:rPr>
        <w:t xml:space="preserve">. Specifically, the instant case will </w:t>
      </w:r>
      <w:r w:rsidR="00A2185F">
        <w:rPr>
          <w:rFonts w:cs="Arial"/>
        </w:rPr>
        <w:t>offer</w:t>
      </w:r>
      <w:r w:rsidR="007552C3" w:rsidRPr="00920D55">
        <w:rPr>
          <w:rFonts w:cs="Arial"/>
        </w:rPr>
        <w:t xml:space="preserve"> the Honorable Court </w:t>
      </w:r>
      <w:r w:rsidR="00A2185F">
        <w:rPr>
          <w:rFonts w:cs="Arial"/>
        </w:rPr>
        <w:t xml:space="preserve">the opportunity </w:t>
      </w:r>
      <w:r w:rsidR="007552C3" w:rsidRPr="00920D55">
        <w:rPr>
          <w:rFonts w:cs="Arial"/>
        </w:rPr>
        <w:t xml:space="preserve">to rule on State obligations </w:t>
      </w:r>
      <w:r w:rsidR="00A41675">
        <w:rPr>
          <w:rFonts w:cs="Arial"/>
        </w:rPr>
        <w:t>regarding</w:t>
      </w:r>
      <w:r w:rsidR="00A00C7C" w:rsidRPr="00920D55">
        <w:rPr>
          <w:rFonts w:cs="Arial"/>
        </w:rPr>
        <w:t xml:space="preserve"> judicial protection to guarantee </w:t>
      </w:r>
      <w:r w:rsidR="00A2185F">
        <w:rPr>
          <w:rFonts w:cs="Arial"/>
        </w:rPr>
        <w:t xml:space="preserve">that </w:t>
      </w:r>
      <w:r w:rsidR="00A00C7C" w:rsidRPr="00920D55">
        <w:rPr>
          <w:rFonts w:cs="Arial"/>
        </w:rPr>
        <w:t xml:space="preserve">victims </w:t>
      </w:r>
      <w:r w:rsidR="00A2185F">
        <w:rPr>
          <w:rFonts w:cs="Arial"/>
        </w:rPr>
        <w:t xml:space="preserve">have </w:t>
      </w:r>
      <w:r w:rsidR="00A00C7C" w:rsidRPr="00920D55">
        <w:rPr>
          <w:rFonts w:cs="Arial"/>
        </w:rPr>
        <w:t xml:space="preserve">an effective remedy to ensure that past incidents of torture, even those outside the jurisdiction of the Inter-American Court, </w:t>
      </w:r>
      <w:r w:rsidR="00920D55" w:rsidRPr="00920D55">
        <w:rPr>
          <w:rFonts w:cs="Arial"/>
        </w:rPr>
        <w:t>no longer have consequences</w:t>
      </w:r>
      <w:r w:rsidR="00A00C7C" w:rsidRPr="00920D55">
        <w:rPr>
          <w:rFonts w:cs="Arial"/>
        </w:rPr>
        <w:t>,</w:t>
      </w:r>
      <w:r w:rsidR="00042AAB" w:rsidRPr="00920D55">
        <w:rPr>
          <w:rFonts w:cs="Arial"/>
        </w:rPr>
        <w:t xml:space="preserve"> </w:t>
      </w:r>
      <w:r w:rsidR="00A00C7C" w:rsidRPr="00920D55">
        <w:rPr>
          <w:rFonts w:cs="Arial"/>
        </w:rPr>
        <w:t>specifically, the judicial</w:t>
      </w:r>
      <w:r w:rsidR="00042AAB" w:rsidRPr="00920D55">
        <w:rPr>
          <w:rFonts w:cs="Arial"/>
        </w:rPr>
        <w:t xml:space="preserve"> </w:t>
      </w:r>
      <w:r w:rsidR="00920D55" w:rsidRPr="00920D55">
        <w:rPr>
          <w:rFonts w:cs="Arial"/>
        </w:rPr>
        <w:t>means</w:t>
      </w:r>
      <w:r w:rsidR="00042AAB" w:rsidRPr="00920D55">
        <w:rPr>
          <w:rFonts w:cs="Arial"/>
        </w:rPr>
        <w:t xml:space="preserve"> </w:t>
      </w:r>
      <w:r w:rsidR="00A00C7C" w:rsidRPr="00920D55">
        <w:rPr>
          <w:rFonts w:cs="Arial"/>
        </w:rPr>
        <w:t xml:space="preserve">a State should provide so that protection under the exclusionary rule </w:t>
      </w:r>
      <w:r w:rsidR="00920D55" w:rsidRPr="00920D55">
        <w:rPr>
          <w:rFonts w:cs="Arial"/>
        </w:rPr>
        <w:t>is indeed effective</w:t>
      </w:r>
      <w:r w:rsidR="00042AAB" w:rsidRPr="00920D55">
        <w:rPr>
          <w:rFonts w:cs="Arial"/>
        </w:rPr>
        <w:t xml:space="preserve">.  </w:t>
      </w:r>
    </w:p>
    <w:p w:rsidR="00042AAB" w:rsidRPr="00920D55" w:rsidRDefault="00042AAB" w:rsidP="00042AAB">
      <w:pPr>
        <w:autoSpaceDE w:val="0"/>
        <w:autoSpaceDN w:val="0"/>
        <w:adjustRightInd w:val="0"/>
        <w:spacing w:after="0" w:line="240" w:lineRule="auto"/>
        <w:jc w:val="both"/>
        <w:rPr>
          <w:rFonts w:cs="Arial"/>
        </w:rPr>
      </w:pPr>
    </w:p>
    <w:p w:rsidR="00042AAB" w:rsidRPr="00920D55" w:rsidRDefault="00042AAB" w:rsidP="00042AAB">
      <w:pPr>
        <w:autoSpaceDE w:val="0"/>
        <w:autoSpaceDN w:val="0"/>
        <w:adjustRightInd w:val="0"/>
        <w:spacing w:after="0" w:line="240" w:lineRule="auto"/>
        <w:ind w:firstLine="720"/>
        <w:jc w:val="both"/>
        <w:rPr>
          <w:rFonts w:cs="Arial"/>
        </w:rPr>
      </w:pPr>
      <w:r w:rsidRPr="00920D55">
        <w:rPr>
          <w:rFonts w:cs="Arial"/>
        </w:rPr>
        <w:br w:type="page"/>
      </w:r>
      <w:r w:rsidR="00485F35" w:rsidRPr="00920D55">
        <w:rPr>
          <w:rFonts w:cs="Arial"/>
        </w:rPr>
        <w:lastRenderedPageBreak/>
        <w:t>Because</w:t>
      </w:r>
      <w:r w:rsidR="00A00C7C" w:rsidRPr="00920D55">
        <w:t xml:space="preserve"> these matters </w:t>
      </w:r>
      <w:r w:rsidR="00485F35" w:rsidRPr="00920D55">
        <w:t>have an important impact on</w:t>
      </w:r>
      <w:r w:rsidR="0013762F" w:rsidRPr="00920D55">
        <w:rPr>
          <w:rStyle w:val="Normal"/>
        </w:rPr>
        <w:t xml:space="preserve"> inter-American </w:t>
      </w:r>
      <w:r w:rsidR="00A2185F">
        <w:rPr>
          <w:rStyle w:val="Normal"/>
        </w:rPr>
        <w:t>public order (</w:t>
      </w:r>
      <w:r w:rsidR="0013762F" w:rsidRPr="00920D55">
        <w:rPr>
          <w:rStyle w:val="Normal"/>
          <w:i/>
        </w:rPr>
        <w:t>ordre public</w:t>
      </w:r>
      <w:r w:rsidR="00A2185F">
        <w:rPr>
          <w:rStyle w:val="Normal"/>
        </w:rPr>
        <w:t>)</w:t>
      </w:r>
      <w:r w:rsidR="00A00C7C" w:rsidRPr="00920D55">
        <w:t>, the Commission, pursuant to Article 35.1(f) of the Rules of Procedure of the Inter-American Court, w</w:t>
      </w:r>
      <w:r w:rsidR="00485F35" w:rsidRPr="00920D55">
        <w:t>ould like to offer the following expert testimony</w:t>
      </w:r>
      <w:r w:rsidRPr="00920D55">
        <w:rPr>
          <w:rFonts w:cs="Arial"/>
        </w:rPr>
        <w:t xml:space="preserve">: </w:t>
      </w:r>
    </w:p>
    <w:p w:rsidR="00042AAB" w:rsidRPr="00920D55" w:rsidRDefault="00042AAB" w:rsidP="00042AAB">
      <w:pPr>
        <w:tabs>
          <w:tab w:val="left" w:pos="720"/>
          <w:tab w:val="left" w:pos="9000"/>
        </w:tabs>
        <w:spacing w:after="0" w:line="240" w:lineRule="auto"/>
        <w:ind w:firstLine="720"/>
        <w:jc w:val="both"/>
        <w:rPr>
          <w:rFonts w:cs="Arial"/>
        </w:rPr>
      </w:pPr>
    </w:p>
    <w:p w:rsidR="00042AAB" w:rsidRPr="00920D55" w:rsidRDefault="00042AAB" w:rsidP="00042AAB">
      <w:pPr>
        <w:spacing w:after="0" w:line="240" w:lineRule="auto"/>
        <w:ind w:firstLine="720"/>
        <w:jc w:val="both"/>
        <w:rPr>
          <w:rFonts w:cs="Courier New"/>
        </w:rPr>
      </w:pPr>
      <w:r w:rsidRPr="00920D55">
        <w:rPr>
          <w:rFonts w:cs="Courier New"/>
        </w:rPr>
        <w:t xml:space="preserve">1. </w:t>
      </w:r>
      <w:r w:rsidRPr="00920D55">
        <w:rPr>
          <w:rFonts w:cs="Courier New"/>
        </w:rPr>
        <w:tab/>
      </w:r>
      <w:r w:rsidR="00A00C7C" w:rsidRPr="00920D55">
        <w:rPr>
          <w:rFonts w:cs="Arial"/>
        </w:rPr>
        <w:t xml:space="preserve">An expert, whose name </w:t>
      </w:r>
      <w:r w:rsidR="00485F35" w:rsidRPr="00920D55">
        <w:rPr>
          <w:rFonts w:cs="Arial"/>
        </w:rPr>
        <w:t xml:space="preserve">shall be provided </w:t>
      </w:r>
      <w:r w:rsidR="00A2185F">
        <w:rPr>
          <w:rFonts w:cs="Arial"/>
        </w:rPr>
        <w:t>shortly</w:t>
      </w:r>
      <w:r w:rsidR="00485F35" w:rsidRPr="00920D55">
        <w:rPr>
          <w:rFonts w:cs="Arial"/>
        </w:rPr>
        <w:t>, who will testify about</w:t>
      </w:r>
      <w:r w:rsidR="00A00C7C" w:rsidRPr="00920D55">
        <w:rPr>
          <w:rFonts w:cs="Arial"/>
        </w:rPr>
        <w:t xml:space="preserve"> the obligation to investigate and punish acts of torture. The </w:t>
      </w:r>
      <w:r w:rsidR="00A41675">
        <w:rPr>
          <w:rFonts w:cs="Arial"/>
        </w:rPr>
        <w:t>expert</w:t>
      </w:r>
      <w:r w:rsidR="00A00C7C" w:rsidRPr="00920D55">
        <w:rPr>
          <w:rFonts w:cs="Arial"/>
        </w:rPr>
        <w:t xml:space="preserve"> will refer in particular to the ongoing nature of said obligation. Likewise, he/she will examine compliance with said obligation in the case of acts of torture committed during the dictatorship in Chile.</w:t>
      </w:r>
      <w:r w:rsidRPr="00920D55">
        <w:rPr>
          <w:rFonts w:cs="Courier New"/>
        </w:rPr>
        <w:t xml:space="preserve"> </w:t>
      </w:r>
    </w:p>
    <w:p w:rsidR="00042AAB" w:rsidRPr="00920D55" w:rsidRDefault="00042AAB" w:rsidP="00042AAB">
      <w:pPr>
        <w:spacing w:after="0" w:line="240" w:lineRule="auto"/>
        <w:ind w:firstLine="720"/>
        <w:jc w:val="both"/>
        <w:rPr>
          <w:rFonts w:cs="Courier New"/>
        </w:rPr>
      </w:pPr>
    </w:p>
    <w:p w:rsidR="00042AAB" w:rsidRPr="00920D55" w:rsidRDefault="00042AAB" w:rsidP="00042AAB">
      <w:pPr>
        <w:spacing w:after="0" w:line="240" w:lineRule="auto"/>
        <w:ind w:firstLine="720"/>
        <w:jc w:val="both"/>
      </w:pPr>
      <w:r w:rsidRPr="00920D55">
        <w:rPr>
          <w:rFonts w:cs="Courier New"/>
        </w:rPr>
        <w:t xml:space="preserve">2. </w:t>
      </w:r>
      <w:r w:rsidRPr="00920D55">
        <w:rPr>
          <w:rFonts w:cs="Courier New"/>
        </w:rPr>
        <w:tab/>
      </w:r>
      <w:r w:rsidR="005D77E4" w:rsidRPr="00920D55">
        <w:rPr>
          <w:rFonts w:cs="Arial"/>
        </w:rPr>
        <w:t xml:space="preserve">An expert, </w:t>
      </w:r>
      <w:r w:rsidR="00485F35" w:rsidRPr="00920D55">
        <w:rPr>
          <w:rFonts w:cs="Arial"/>
        </w:rPr>
        <w:t xml:space="preserve">whose name shall be provided </w:t>
      </w:r>
      <w:r w:rsidR="00A2185F">
        <w:rPr>
          <w:rFonts w:cs="Arial"/>
        </w:rPr>
        <w:t>shortly</w:t>
      </w:r>
      <w:r w:rsidR="00485F35" w:rsidRPr="00920D55">
        <w:rPr>
          <w:rFonts w:cs="Arial"/>
        </w:rPr>
        <w:t>, who will testify about</w:t>
      </w:r>
      <w:r w:rsidR="005D77E4" w:rsidRPr="00920D55">
        <w:rPr>
          <w:rFonts w:cs="Arial"/>
        </w:rPr>
        <w:t xml:space="preserve"> international sta</w:t>
      </w:r>
      <w:r w:rsidR="00FC331B" w:rsidRPr="00920D55">
        <w:rPr>
          <w:rFonts w:cs="Arial"/>
        </w:rPr>
        <w:t xml:space="preserve">ndards applicable to the exclusionary rule. The </w:t>
      </w:r>
      <w:r w:rsidR="00142873">
        <w:rPr>
          <w:rFonts w:cs="Arial"/>
        </w:rPr>
        <w:t>expert</w:t>
      </w:r>
      <w:r w:rsidR="00FC331B" w:rsidRPr="00920D55">
        <w:rPr>
          <w:rFonts w:cs="Arial"/>
        </w:rPr>
        <w:t xml:space="preserve"> will refer to the scope and content of this rule as well to the State obligations it entails. In particular, he/</w:t>
      </w:r>
      <w:r w:rsidR="00611B28" w:rsidRPr="00920D55">
        <w:rPr>
          <w:rFonts w:cs="Arial"/>
        </w:rPr>
        <w:t xml:space="preserve">she will elaborate on the judicial remedies that should exist to guarantee that said rule is applied in all types of proceedings, especially criminal proceedings in which a final </w:t>
      </w:r>
      <w:r w:rsidR="000265C7">
        <w:rPr>
          <w:rFonts w:cs="Arial"/>
        </w:rPr>
        <w:t>judgment</w:t>
      </w:r>
      <w:r w:rsidR="00611B28" w:rsidRPr="00920D55">
        <w:rPr>
          <w:rFonts w:cs="Arial"/>
        </w:rPr>
        <w:t xml:space="preserve"> has already been rendered. The </w:t>
      </w:r>
      <w:r w:rsidR="00142873">
        <w:rPr>
          <w:rFonts w:cs="Arial"/>
        </w:rPr>
        <w:t>expert</w:t>
      </w:r>
      <w:r w:rsidR="00611B28" w:rsidRPr="00920D55">
        <w:rPr>
          <w:rFonts w:cs="Arial"/>
        </w:rPr>
        <w:t xml:space="preserve"> will consider the evolution of this subject matter in other human rights systems and, as pertinent, will offer a comparative law perspective</w:t>
      </w:r>
      <w:r w:rsidRPr="00920D55">
        <w:rPr>
          <w:rFonts w:cs="Courier New"/>
        </w:rPr>
        <w:t xml:space="preserve">. </w:t>
      </w:r>
    </w:p>
    <w:p w:rsidR="00042AAB" w:rsidRPr="00920D55" w:rsidRDefault="00042AAB" w:rsidP="00042AAB">
      <w:pPr>
        <w:spacing w:after="0" w:line="240" w:lineRule="auto"/>
        <w:ind w:firstLine="720"/>
      </w:pPr>
    </w:p>
    <w:p w:rsidR="00042AAB" w:rsidRPr="00920D55" w:rsidRDefault="00042AAB" w:rsidP="00042AAB">
      <w:pPr>
        <w:spacing w:after="0" w:line="240" w:lineRule="auto"/>
        <w:jc w:val="both"/>
      </w:pPr>
      <w:r w:rsidRPr="00920D55">
        <w:tab/>
      </w:r>
      <w:r w:rsidR="00611B28" w:rsidRPr="00920D55">
        <w:t xml:space="preserve">The curricula vitae of the proposed </w:t>
      </w:r>
      <w:r w:rsidR="00B065D6" w:rsidRPr="00920D55">
        <w:t>experts</w:t>
      </w:r>
      <w:r w:rsidR="00611B28" w:rsidRPr="00920D55">
        <w:t xml:space="preserve"> will be </w:t>
      </w:r>
      <w:r w:rsidR="00C70403" w:rsidRPr="00920D55">
        <w:t>included</w:t>
      </w:r>
      <w:r w:rsidR="00611B28" w:rsidRPr="00920D55">
        <w:t xml:space="preserve"> </w:t>
      </w:r>
      <w:r w:rsidR="00B065D6" w:rsidRPr="00920D55">
        <w:t xml:space="preserve">in the </w:t>
      </w:r>
      <w:r w:rsidR="000265C7">
        <w:t>annexes</w:t>
      </w:r>
      <w:r w:rsidR="00B065D6" w:rsidRPr="00920D55">
        <w:t xml:space="preserve"> to</w:t>
      </w:r>
      <w:r w:rsidR="00611B28" w:rsidRPr="00920D55">
        <w:t xml:space="preserve"> the report on the merits, No. </w:t>
      </w:r>
      <w:r w:rsidRPr="00920D55">
        <w:t xml:space="preserve">119/13. </w:t>
      </w:r>
    </w:p>
    <w:p w:rsidR="00042AAB" w:rsidRPr="00920D55" w:rsidRDefault="00042AAB" w:rsidP="00042AAB">
      <w:pPr>
        <w:spacing w:after="0" w:line="240" w:lineRule="auto"/>
        <w:jc w:val="both"/>
      </w:pPr>
    </w:p>
    <w:p w:rsidR="00042AAB" w:rsidRPr="00920D55" w:rsidRDefault="00042AAB" w:rsidP="00042AAB">
      <w:pPr>
        <w:pStyle w:val="Default"/>
        <w:jc w:val="both"/>
        <w:rPr>
          <w:rFonts w:ascii="Calibri" w:hAnsi="Calibri"/>
          <w:sz w:val="22"/>
          <w:szCs w:val="22"/>
        </w:rPr>
      </w:pPr>
      <w:r w:rsidRPr="00920D55">
        <w:rPr>
          <w:rFonts w:ascii="Calibri" w:hAnsi="Calibri"/>
          <w:sz w:val="22"/>
          <w:szCs w:val="22"/>
        </w:rPr>
        <w:tab/>
      </w:r>
      <w:r w:rsidR="00611B28" w:rsidRPr="00920D55">
        <w:rPr>
          <w:rFonts w:ascii="Calibri" w:hAnsi="Calibri"/>
          <w:sz w:val="22"/>
          <w:szCs w:val="22"/>
        </w:rPr>
        <w:t xml:space="preserve">The Commission </w:t>
      </w:r>
      <w:r w:rsidR="00B065D6" w:rsidRPr="00920D55">
        <w:rPr>
          <w:rFonts w:ascii="Calibri" w:hAnsi="Calibri"/>
          <w:sz w:val="22"/>
          <w:szCs w:val="22"/>
        </w:rPr>
        <w:t>hereby provides</w:t>
      </w:r>
      <w:r w:rsidR="00611B28" w:rsidRPr="00920D55">
        <w:rPr>
          <w:rFonts w:ascii="Calibri" w:hAnsi="Calibri"/>
          <w:sz w:val="22"/>
          <w:szCs w:val="22"/>
        </w:rPr>
        <w:t xml:space="preserve"> the Honorable Court with the following information on th</w:t>
      </w:r>
      <w:r w:rsidR="005D62E7" w:rsidRPr="00920D55">
        <w:rPr>
          <w:rFonts w:ascii="Calibri" w:hAnsi="Calibri"/>
          <w:sz w:val="22"/>
          <w:szCs w:val="22"/>
        </w:rPr>
        <w:t>ose</w:t>
      </w:r>
      <w:r w:rsidR="00611B28" w:rsidRPr="00920D55">
        <w:rPr>
          <w:rFonts w:ascii="Calibri" w:hAnsi="Calibri"/>
          <w:sz w:val="22"/>
          <w:szCs w:val="22"/>
        </w:rPr>
        <w:t xml:space="preserve"> who will act as petitioners during th</w:t>
      </w:r>
      <w:r w:rsidR="005D62E7" w:rsidRPr="00920D55">
        <w:rPr>
          <w:rFonts w:ascii="Calibri" w:hAnsi="Calibri"/>
          <w:sz w:val="22"/>
          <w:szCs w:val="22"/>
        </w:rPr>
        <w:t>e</w:t>
      </w:r>
      <w:r w:rsidR="00611B28" w:rsidRPr="00920D55">
        <w:rPr>
          <w:rFonts w:ascii="Calibri" w:hAnsi="Calibri"/>
          <w:sz w:val="22"/>
          <w:szCs w:val="22"/>
        </w:rPr>
        <w:t xml:space="preserve"> proceeding</w:t>
      </w:r>
      <w:r w:rsidR="000265C7">
        <w:rPr>
          <w:rFonts w:ascii="Calibri" w:hAnsi="Calibri"/>
          <w:sz w:val="22"/>
          <w:szCs w:val="22"/>
        </w:rPr>
        <w:t>s</w:t>
      </w:r>
      <w:r w:rsidRPr="00920D55">
        <w:rPr>
          <w:rFonts w:ascii="Calibri" w:hAnsi="Calibri"/>
          <w:sz w:val="22"/>
          <w:szCs w:val="22"/>
        </w:rPr>
        <w:t>:</w:t>
      </w:r>
    </w:p>
    <w:p w:rsidR="00042AAB" w:rsidRPr="00920D55" w:rsidRDefault="00042AAB" w:rsidP="00042AAB">
      <w:pPr>
        <w:pStyle w:val="Default"/>
        <w:jc w:val="center"/>
        <w:rPr>
          <w:rFonts w:ascii="Calibri" w:hAnsi="Calibri"/>
          <w:sz w:val="22"/>
          <w:szCs w:val="22"/>
          <w:highlight w:val="green"/>
        </w:rPr>
      </w:pPr>
    </w:p>
    <w:p w:rsidR="00042AAB" w:rsidRPr="00920D55" w:rsidRDefault="00042AAB" w:rsidP="00042AAB">
      <w:pPr>
        <w:pStyle w:val="Default"/>
        <w:jc w:val="center"/>
        <w:rPr>
          <w:rFonts w:ascii="Calibri" w:hAnsi="Calibri"/>
          <w:sz w:val="22"/>
          <w:szCs w:val="22"/>
        </w:rPr>
      </w:pPr>
      <w:r w:rsidRPr="00920D55">
        <w:rPr>
          <w:rFonts w:ascii="Calibri" w:hAnsi="Calibri"/>
          <w:sz w:val="22"/>
          <w:szCs w:val="22"/>
        </w:rPr>
        <w:t xml:space="preserve">CODEPU - Boris Paredes </w:t>
      </w:r>
    </w:p>
    <w:p w:rsidR="00042AAB" w:rsidRPr="00C06CCD" w:rsidRDefault="00C50A5E" w:rsidP="00042AAB">
      <w:pPr>
        <w:pStyle w:val="Default"/>
        <w:jc w:val="center"/>
        <w:rPr>
          <w:rFonts w:ascii="Calibri" w:hAnsi="Calibri"/>
          <w:sz w:val="22"/>
          <w:szCs w:val="22"/>
        </w:rPr>
      </w:pPr>
      <w:r w:rsidRPr="00C06CCD">
        <w:rPr>
          <w:rFonts w:ascii="Calibri" w:hAnsi="Calibri"/>
          <w:sz w:val="22"/>
          <w:szCs w:val="22"/>
          <w:highlight w:val="black"/>
        </w:rPr>
        <w:t>xxxxxxxxxxxxxxxxxxxxxxx</w:t>
      </w:r>
    </w:p>
    <w:p w:rsidR="00042AAB" w:rsidRPr="00C06CCD" w:rsidRDefault="00042AAB" w:rsidP="00042AAB">
      <w:pPr>
        <w:pStyle w:val="Default"/>
        <w:jc w:val="center"/>
        <w:rPr>
          <w:rFonts w:ascii="Calibri" w:hAnsi="Calibri"/>
          <w:sz w:val="22"/>
          <w:szCs w:val="22"/>
        </w:rPr>
      </w:pPr>
      <w:r w:rsidRPr="00C06CCD">
        <w:rPr>
          <w:rFonts w:ascii="Calibri" w:hAnsi="Calibri"/>
          <w:sz w:val="22"/>
          <w:szCs w:val="22"/>
        </w:rPr>
        <w:t xml:space="preserve">Santiago Centro, Chile </w:t>
      </w:r>
    </w:p>
    <w:p w:rsidR="00042AAB" w:rsidRPr="00C06CCD" w:rsidRDefault="00C50A5E" w:rsidP="00042AAB">
      <w:pPr>
        <w:pStyle w:val="Default"/>
        <w:jc w:val="center"/>
        <w:rPr>
          <w:rFonts w:ascii="Calibri" w:hAnsi="Calibri"/>
          <w:sz w:val="22"/>
          <w:szCs w:val="22"/>
        </w:rPr>
      </w:pPr>
      <w:r w:rsidRPr="00C06CCD">
        <w:rPr>
          <w:rFonts w:ascii="Calibri" w:hAnsi="Calibri"/>
          <w:sz w:val="22"/>
          <w:szCs w:val="22"/>
          <w:highlight w:val="black"/>
        </w:rPr>
        <w:t>xxxxxxxxxxxxxxxxxxxxxxxxxxx</w:t>
      </w:r>
    </w:p>
    <w:p w:rsidR="00042AAB" w:rsidRPr="00C06CCD" w:rsidRDefault="00042AAB" w:rsidP="00042AAB">
      <w:pPr>
        <w:pStyle w:val="Default"/>
        <w:jc w:val="center"/>
        <w:rPr>
          <w:rFonts w:ascii="Calibri" w:hAnsi="Calibri"/>
          <w:sz w:val="22"/>
          <w:szCs w:val="22"/>
        </w:rPr>
      </w:pPr>
    </w:p>
    <w:p w:rsidR="00042AAB" w:rsidRPr="00C06CCD" w:rsidRDefault="00763F47" w:rsidP="00042AAB">
      <w:pPr>
        <w:pStyle w:val="Default"/>
        <w:jc w:val="center"/>
        <w:rPr>
          <w:rFonts w:ascii="Calibri" w:hAnsi="Calibri"/>
          <w:sz w:val="22"/>
          <w:szCs w:val="22"/>
        </w:rPr>
      </w:pPr>
      <w:r w:rsidRPr="00C06CCD">
        <w:rPr>
          <w:rFonts w:ascii="Calibri" w:hAnsi="Calibri"/>
          <w:sz w:val="22"/>
          <w:szCs w:val="22"/>
        </w:rPr>
        <w:t>International Federation for</w:t>
      </w:r>
      <w:r w:rsidR="00042AAB" w:rsidRPr="00C06CCD">
        <w:rPr>
          <w:rFonts w:ascii="Calibri" w:hAnsi="Calibri"/>
          <w:sz w:val="22"/>
          <w:szCs w:val="22"/>
        </w:rPr>
        <w:t xml:space="preserve"> </w:t>
      </w:r>
    </w:p>
    <w:p w:rsidR="00042AAB" w:rsidRPr="00C06CCD" w:rsidRDefault="00763F47" w:rsidP="00042AAB">
      <w:pPr>
        <w:pStyle w:val="Default"/>
        <w:jc w:val="center"/>
        <w:rPr>
          <w:rFonts w:ascii="Calibri" w:hAnsi="Calibri"/>
          <w:sz w:val="22"/>
          <w:szCs w:val="22"/>
        </w:rPr>
      </w:pPr>
      <w:r w:rsidRPr="00C06CCD">
        <w:rPr>
          <w:rFonts w:ascii="Calibri" w:hAnsi="Calibri"/>
          <w:sz w:val="22"/>
          <w:szCs w:val="22"/>
        </w:rPr>
        <w:t xml:space="preserve">Human Rights </w:t>
      </w:r>
      <w:r w:rsidR="00042AAB" w:rsidRPr="00C06CCD">
        <w:rPr>
          <w:rFonts w:ascii="Calibri" w:hAnsi="Calibri"/>
          <w:sz w:val="22"/>
          <w:szCs w:val="22"/>
        </w:rPr>
        <w:t xml:space="preserve">- Jimena Reyes </w:t>
      </w:r>
    </w:p>
    <w:p w:rsidR="00042AAB" w:rsidRPr="00C06CCD" w:rsidRDefault="00C50A5E" w:rsidP="00042AAB">
      <w:pPr>
        <w:pStyle w:val="Default"/>
        <w:jc w:val="center"/>
        <w:rPr>
          <w:rFonts w:ascii="Calibri" w:hAnsi="Calibri"/>
          <w:color w:val="auto"/>
          <w:sz w:val="22"/>
          <w:szCs w:val="22"/>
          <w:highlight w:val="black"/>
        </w:rPr>
      </w:pPr>
      <w:r w:rsidRPr="00C06CCD">
        <w:rPr>
          <w:rFonts w:ascii="Calibri" w:hAnsi="Calibri"/>
          <w:sz w:val="22"/>
          <w:szCs w:val="22"/>
          <w:highlight w:val="black"/>
        </w:rPr>
        <w:t>xxxxxxxxxxxxxxxxxxxxxxxxx</w:t>
      </w:r>
    </w:p>
    <w:p w:rsidR="00042AAB" w:rsidRPr="00C06CCD" w:rsidRDefault="00C50A5E" w:rsidP="00042AAB">
      <w:pPr>
        <w:pStyle w:val="Default"/>
        <w:jc w:val="center"/>
        <w:rPr>
          <w:rFonts w:ascii="Calibri" w:hAnsi="Calibri"/>
          <w:color w:val="auto"/>
          <w:sz w:val="22"/>
          <w:szCs w:val="22"/>
          <w:highlight w:val="black"/>
        </w:rPr>
      </w:pPr>
      <w:r w:rsidRPr="00C06CCD">
        <w:rPr>
          <w:rFonts w:ascii="Calibri" w:hAnsi="Calibri"/>
          <w:color w:val="auto"/>
          <w:sz w:val="22"/>
          <w:szCs w:val="22"/>
          <w:highlight w:val="black"/>
        </w:rPr>
        <w:t>xxxxxxxxxxxxxxxxxxxxxxxxx</w:t>
      </w:r>
    </w:p>
    <w:p w:rsidR="00042AAB" w:rsidRPr="00C06CCD" w:rsidRDefault="00C50A5E" w:rsidP="00042AAB">
      <w:pPr>
        <w:pStyle w:val="Default"/>
        <w:jc w:val="center"/>
        <w:rPr>
          <w:rFonts w:ascii="Calibri" w:hAnsi="Calibri"/>
          <w:color w:val="auto"/>
          <w:sz w:val="22"/>
          <w:szCs w:val="22"/>
          <w:highlight w:val="black"/>
        </w:rPr>
      </w:pPr>
      <w:r w:rsidRPr="00C06CCD">
        <w:rPr>
          <w:rFonts w:ascii="Calibri" w:hAnsi="Calibri"/>
          <w:color w:val="auto"/>
          <w:sz w:val="22"/>
          <w:szCs w:val="22"/>
          <w:highlight w:val="black"/>
        </w:rPr>
        <w:t>xxxxxxxxxxxxxxxxxxxxx</w:t>
      </w:r>
    </w:p>
    <w:p w:rsidR="00042AAB" w:rsidRPr="00C06CCD" w:rsidRDefault="00C50A5E" w:rsidP="00042AAB">
      <w:pPr>
        <w:pStyle w:val="Default"/>
        <w:jc w:val="center"/>
        <w:rPr>
          <w:rFonts w:ascii="Calibri" w:hAnsi="Calibri"/>
          <w:color w:val="auto"/>
          <w:sz w:val="22"/>
          <w:szCs w:val="22"/>
        </w:rPr>
      </w:pPr>
      <w:r w:rsidRPr="00C06CCD">
        <w:rPr>
          <w:rFonts w:ascii="Calibri" w:hAnsi="Calibri"/>
          <w:color w:val="auto"/>
          <w:sz w:val="22"/>
          <w:szCs w:val="22"/>
          <w:highlight w:val="black"/>
        </w:rPr>
        <w:t>xxxxxxxxxxxxxxxxxxxxxxxx</w:t>
      </w:r>
    </w:p>
    <w:p w:rsidR="00042AAB" w:rsidRPr="00C06CCD" w:rsidRDefault="00042AAB" w:rsidP="00042AAB">
      <w:pPr>
        <w:pStyle w:val="Default"/>
        <w:jc w:val="both"/>
        <w:rPr>
          <w:rFonts w:ascii="Calibri" w:hAnsi="Calibri"/>
          <w:sz w:val="22"/>
          <w:szCs w:val="22"/>
        </w:rPr>
      </w:pPr>
    </w:p>
    <w:p w:rsidR="00042AAB" w:rsidRPr="00C06CCD" w:rsidRDefault="00042AAB" w:rsidP="00042AAB">
      <w:pPr>
        <w:pStyle w:val="Default"/>
        <w:jc w:val="center"/>
        <w:rPr>
          <w:rFonts w:ascii="Calibri" w:hAnsi="Calibri"/>
          <w:sz w:val="22"/>
          <w:szCs w:val="22"/>
        </w:rPr>
      </w:pPr>
      <w:r w:rsidRPr="00C06CCD">
        <w:rPr>
          <w:rFonts w:ascii="Calibri" w:hAnsi="Calibri"/>
          <w:sz w:val="22"/>
          <w:szCs w:val="22"/>
        </w:rPr>
        <w:t>Ernesto Galaz Cañas</w:t>
      </w:r>
    </w:p>
    <w:p w:rsidR="00042AAB" w:rsidRPr="00C06CCD" w:rsidRDefault="00042AAB" w:rsidP="00042AAB">
      <w:pPr>
        <w:pStyle w:val="Default"/>
        <w:jc w:val="center"/>
        <w:rPr>
          <w:rFonts w:ascii="Calibri" w:hAnsi="Calibri"/>
          <w:sz w:val="22"/>
          <w:szCs w:val="22"/>
        </w:rPr>
      </w:pPr>
      <w:r w:rsidRPr="00C06CCD">
        <w:rPr>
          <w:rFonts w:ascii="Calibri" w:hAnsi="Calibri"/>
          <w:sz w:val="22"/>
          <w:szCs w:val="22"/>
        </w:rPr>
        <w:t>Soledad Rojas Zepeda</w:t>
      </w:r>
    </w:p>
    <w:p w:rsidR="00042AAB" w:rsidRPr="00C06CCD" w:rsidRDefault="00042AAB" w:rsidP="00042AAB">
      <w:pPr>
        <w:pStyle w:val="Default"/>
        <w:jc w:val="center"/>
        <w:rPr>
          <w:rFonts w:ascii="Calibri" w:hAnsi="Calibri"/>
          <w:sz w:val="22"/>
          <w:szCs w:val="22"/>
        </w:rPr>
      </w:pPr>
    </w:p>
    <w:p w:rsidR="00042AAB" w:rsidRPr="00C06CCD" w:rsidRDefault="00042AAB" w:rsidP="00042AAB">
      <w:pPr>
        <w:pStyle w:val="Default"/>
        <w:jc w:val="center"/>
        <w:rPr>
          <w:rFonts w:ascii="Calibri" w:hAnsi="Calibri"/>
          <w:sz w:val="22"/>
          <w:szCs w:val="22"/>
        </w:rPr>
      </w:pPr>
      <w:r w:rsidRPr="00C06CCD">
        <w:rPr>
          <w:rFonts w:ascii="Calibri" w:hAnsi="Calibri"/>
          <w:sz w:val="22"/>
          <w:szCs w:val="22"/>
        </w:rPr>
        <w:t>Paula Donoso Vergara</w:t>
      </w:r>
    </w:p>
    <w:p w:rsidR="00042AAB" w:rsidRPr="00C06CCD" w:rsidRDefault="00042AAB" w:rsidP="00042AAB">
      <w:pPr>
        <w:pStyle w:val="Default"/>
        <w:jc w:val="center"/>
        <w:rPr>
          <w:rFonts w:ascii="Calibri" w:hAnsi="Calibri"/>
          <w:sz w:val="22"/>
          <w:szCs w:val="22"/>
          <w:lang w:val="es-ES"/>
        </w:rPr>
      </w:pPr>
      <w:r w:rsidRPr="00C06CCD">
        <w:rPr>
          <w:rFonts w:ascii="Calibri" w:hAnsi="Calibri"/>
          <w:sz w:val="22"/>
          <w:szCs w:val="22"/>
          <w:lang w:val="es-ES"/>
        </w:rPr>
        <w:t>Montiglio, Rojas, Donoso y Galaz</w:t>
      </w:r>
    </w:p>
    <w:p w:rsidR="00042AAB" w:rsidRPr="00C06CCD" w:rsidRDefault="00042AAB" w:rsidP="00042AAB">
      <w:pPr>
        <w:pStyle w:val="Default"/>
        <w:jc w:val="center"/>
        <w:rPr>
          <w:rFonts w:ascii="Calibri" w:hAnsi="Calibri"/>
          <w:sz w:val="22"/>
          <w:szCs w:val="22"/>
        </w:rPr>
      </w:pPr>
      <w:r w:rsidRPr="00C06CCD">
        <w:rPr>
          <w:rFonts w:ascii="Calibri" w:hAnsi="Calibri"/>
          <w:sz w:val="22"/>
          <w:szCs w:val="22"/>
        </w:rPr>
        <w:t>Abogados y Cía Limitada</w:t>
      </w:r>
    </w:p>
    <w:p w:rsidR="00042AAB" w:rsidRPr="00C06CCD" w:rsidRDefault="00C50A5E" w:rsidP="00042AAB">
      <w:pPr>
        <w:pStyle w:val="Default"/>
        <w:jc w:val="center"/>
        <w:rPr>
          <w:rFonts w:ascii="Calibri" w:hAnsi="Calibri"/>
          <w:sz w:val="22"/>
          <w:szCs w:val="22"/>
        </w:rPr>
      </w:pPr>
      <w:r w:rsidRPr="00C06CCD">
        <w:rPr>
          <w:rFonts w:ascii="Calibri" w:hAnsi="Calibri"/>
          <w:sz w:val="22"/>
          <w:szCs w:val="22"/>
          <w:highlight w:val="black"/>
        </w:rPr>
        <w:t>xxxxxxxxxxxxxxxxxxxxxxxxxxxxxxxxx</w:t>
      </w:r>
    </w:p>
    <w:p w:rsidR="00042AAB" w:rsidRPr="00C06CCD" w:rsidRDefault="00042AAB" w:rsidP="00042AAB">
      <w:pPr>
        <w:pStyle w:val="Default"/>
        <w:jc w:val="center"/>
        <w:rPr>
          <w:rFonts w:ascii="Calibri" w:hAnsi="Calibri"/>
          <w:sz w:val="22"/>
          <w:szCs w:val="22"/>
        </w:rPr>
      </w:pPr>
      <w:r w:rsidRPr="00C06CCD">
        <w:rPr>
          <w:rFonts w:ascii="Calibri" w:hAnsi="Calibri"/>
          <w:sz w:val="22"/>
          <w:szCs w:val="22"/>
        </w:rPr>
        <w:t>Santiago, Chile</w:t>
      </w:r>
    </w:p>
    <w:p w:rsidR="00042AAB" w:rsidRPr="00C06CCD" w:rsidRDefault="00042AAB" w:rsidP="00042AAB">
      <w:pPr>
        <w:spacing w:after="0" w:line="240" w:lineRule="auto"/>
        <w:ind w:firstLine="720"/>
        <w:jc w:val="both"/>
        <w:rPr>
          <w:rFonts w:cs="Arial"/>
        </w:rPr>
      </w:pPr>
    </w:p>
    <w:p w:rsidR="00042AAB" w:rsidRPr="00C06CCD" w:rsidRDefault="00042AAB" w:rsidP="00042AAB">
      <w:pPr>
        <w:spacing w:after="0" w:line="240" w:lineRule="auto"/>
        <w:ind w:firstLine="720"/>
        <w:jc w:val="both"/>
        <w:rPr>
          <w:rFonts w:cs="Arial"/>
        </w:rPr>
      </w:pPr>
      <w:r w:rsidRPr="00C06CCD">
        <w:rPr>
          <w:rFonts w:cs="Arial"/>
        </w:rPr>
        <w:br w:type="page"/>
      </w:r>
      <w:r w:rsidR="0027620B" w:rsidRPr="00C06CCD">
        <w:rPr>
          <w:rFonts w:cs="Arial"/>
        </w:rPr>
        <w:lastRenderedPageBreak/>
        <w:t xml:space="preserve">Finally, the Commission </w:t>
      </w:r>
      <w:r w:rsidR="000265C7" w:rsidRPr="00C06CCD">
        <w:rPr>
          <w:rFonts w:cs="Arial"/>
        </w:rPr>
        <w:t>wishes</w:t>
      </w:r>
      <w:r w:rsidR="0027620B" w:rsidRPr="00C06CCD">
        <w:rPr>
          <w:rFonts w:cs="Arial"/>
        </w:rPr>
        <w:t xml:space="preserve"> to </w:t>
      </w:r>
      <w:r w:rsidR="000265C7" w:rsidRPr="00C06CCD">
        <w:rPr>
          <w:rFonts w:cs="Arial"/>
        </w:rPr>
        <w:t>inform</w:t>
      </w:r>
      <w:r w:rsidR="007552C3" w:rsidRPr="00C06CCD">
        <w:rPr>
          <w:rFonts w:cs="Arial"/>
        </w:rPr>
        <w:t xml:space="preserve"> you </w:t>
      </w:r>
      <w:r w:rsidR="0027620B" w:rsidRPr="00C06CCD">
        <w:rPr>
          <w:rFonts w:cs="Arial"/>
        </w:rPr>
        <w:t>that, by a note dated April 2, 2014, the petitioners</w:t>
      </w:r>
      <w:r w:rsidR="007552C3" w:rsidRPr="00C06CCD">
        <w:rPr>
          <w:rFonts w:cs="Arial"/>
        </w:rPr>
        <w:t xml:space="preserve"> </w:t>
      </w:r>
      <w:r w:rsidR="000265C7" w:rsidRPr="00C06CCD">
        <w:rPr>
          <w:rFonts w:cs="Arial"/>
        </w:rPr>
        <w:t>announced</w:t>
      </w:r>
      <w:r w:rsidR="007552C3" w:rsidRPr="00C06CCD">
        <w:rPr>
          <w:rFonts w:cs="Arial"/>
        </w:rPr>
        <w:t xml:space="preserve"> that the following persons would be additional representatives in the proceedings before the Inter-American Court</w:t>
      </w:r>
      <w:r w:rsidRPr="00C06CCD">
        <w:rPr>
          <w:rFonts w:cs="Arial"/>
        </w:rPr>
        <w:t>:</w:t>
      </w:r>
    </w:p>
    <w:p w:rsidR="00042AAB" w:rsidRPr="00C06CCD" w:rsidRDefault="00042AAB" w:rsidP="00042AAB">
      <w:pPr>
        <w:spacing w:after="0" w:line="240" w:lineRule="auto"/>
        <w:ind w:firstLine="720"/>
        <w:jc w:val="both"/>
        <w:rPr>
          <w:rFonts w:cs="Arial"/>
        </w:rPr>
      </w:pPr>
    </w:p>
    <w:p w:rsidR="00042AAB" w:rsidRPr="00C06CCD" w:rsidRDefault="00042AAB" w:rsidP="00042AAB">
      <w:pPr>
        <w:spacing w:after="0" w:line="240" w:lineRule="auto"/>
        <w:ind w:firstLine="720"/>
        <w:jc w:val="center"/>
        <w:rPr>
          <w:rFonts w:cs="Arial"/>
        </w:rPr>
      </w:pPr>
      <w:r w:rsidRPr="00C06CCD">
        <w:rPr>
          <w:rFonts w:cs="Arial"/>
        </w:rPr>
        <w:t>Ciro Corombara López</w:t>
      </w:r>
    </w:p>
    <w:p w:rsidR="00042AAB" w:rsidRPr="00C06CCD" w:rsidRDefault="00042AAB" w:rsidP="00042AAB">
      <w:pPr>
        <w:spacing w:after="0" w:line="240" w:lineRule="auto"/>
        <w:ind w:firstLine="720"/>
        <w:jc w:val="center"/>
        <w:rPr>
          <w:rFonts w:cs="Arial"/>
        </w:rPr>
      </w:pPr>
      <w:r w:rsidRPr="00C06CCD">
        <w:rPr>
          <w:rFonts w:cs="Arial"/>
        </w:rPr>
        <w:t xml:space="preserve">Branislav Marelic Rokov </w:t>
      </w:r>
    </w:p>
    <w:p w:rsidR="00042AAB" w:rsidRPr="00C06CCD" w:rsidRDefault="00C50A5E" w:rsidP="00042AAB">
      <w:pPr>
        <w:spacing w:after="0" w:line="240" w:lineRule="auto"/>
        <w:ind w:firstLine="720"/>
        <w:jc w:val="center"/>
        <w:rPr>
          <w:rFonts w:cs="Arial"/>
          <w:highlight w:val="black"/>
        </w:rPr>
      </w:pPr>
      <w:r w:rsidRPr="00C06CCD">
        <w:rPr>
          <w:rFonts w:cs="Arial"/>
          <w:highlight w:val="black"/>
        </w:rPr>
        <w:t>xxxxxxxxxxxxxxxxxxxxxxxxxxxxxxxxxxxxxxxxxxxxxxxxx</w:t>
      </w:r>
    </w:p>
    <w:p w:rsidR="00042AAB" w:rsidRPr="00C06CCD" w:rsidRDefault="00C50A5E" w:rsidP="00042AAB">
      <w:pPr>
        <w:spacing w:after="0" w:line="240" w:lineRule="auto"/>
        <w:ind w:firstLine="720"/>
        <w:jc w:val="center"/>
        <w:rPr>
          <w:rFonts w:cs="Arial"/>
          <w:highlight w:val="black"/>
        </w:rPr>
      </w:pPr>
      <w:r w:rsidRPr="00C06CCD">
        <w:rPr>
          <w:rFonts w:cs="Arial"/>
          <w:highlight w:val="black"/>
        </w:rPr>
        <w:t>xxxxxxxxxxxxxxxxxxxxxxxxxxxxxxxxxxxxxxxxxxxxxxxxxxxxxxxxxxx</w:t>
      </w:r>
    </w:p>
    <w:p w:rsidR="00042AAB" w:rsidRPr="00920D55" w:rsidRDefault="00C50A5E" w:rsidP="00042AAB">
      <w:pPr>
        <w:spacing w:after="0" w:line="240" w:lineRule="auto"/>
        <w:ind w:firstLine="720"/>
        <w:jc w:val="center"/>
        <w:rPr>
          <w:rFonts w:cs="Arial"/>
        </w:rPr>
      </w:pPr>
      <w:r w:rsidRPr="00C06CCD">
        <w:rPr>
          <w:rFonts w:cs="Arial"/>
          <w:highlight w:val="black"/>
        </w:rPr>
        <w:t>xxxxxxxxxxxxxxxxxxxxxxxxxxxxxxxxxxxx</w:t>
      </w:r>
    </w:p>
    <w:p w:rsidR="000265C7" w:rsidRDefault="000265C7" w:rsidP="00B065D6">
      <w:pPr>
        <w:tabs>
          <w:tab w:val="left" w:pos="0"/>
        </w:tabs>
        <w:ind w:firstLine="720"/>
        <w:jc w:val="both"/>
        <w:rPr>
          <w:rStyle w:val="Normal"/>
        </w:rPr>
      </w:pPr>
    </w:p>
    <w:p w:rsidR="00B065D6" w:rsidRPr="00920D55" w:rsidRDefault="00B065D6" w:rsidP="00B065D6">
      <w:pPr>
        <w:tabs>
          <w:tab w:val="left" w:pos="0"/>
        </w:tabs>
        <w:ind w:firstLine="720"/>
        <w:jc w:val="both"/>
        <w:rPr>
          <w:rStyle w:val="Normal"/>
        </w:rPr>
      </w:pPr>
      <w:r w:rsidRPr="00920D55">
        <w:rPr>
          <w:rStyle w:val="Normal"/>
        </w:rPr>
        <w:t xml:space="preserve">I would like to take this opportunity to convey my highest regards. </w:t>
      </w:r>
    </w:p>
    <w:p w:rsidR="00B065D6" w:rsidRPr="00920D55" w:rsidRDefault="00B065D6" w:rsidP="00B065D6">
      <w:pPr>
        <w:tabs>
          <w:tab w:val="left" w:pos="0"/>
        </w:tabs>
        <w:ind w:firstLine="720"/>
        <w:jc w:val="both"/>
        <w:rPr>
          <w:rStyle w:val="Normal"/>
        </w:rPr>
      </w:pPr>
    </w:p>
    <w:p w:rsidR="00042AAB" w:rsidRPr="00920D55" w:rsidRDefault="00B065D6" w:rsidP="00B065D6">
      <w:pPr>
        <w:spacing w:after="0" w:line="240" w:lineRule="auto"/>
        <w:ind w:left="5760" w:firstLine="720"/>
        <w:jc w:val="both"/>
        <w:rPr>
          <w:rStyle w:val="Normal"/>
        </w:rPr>
      </w:pPr>
      <w:r w:rsidRPr="00920D55">
        <w:rPr>
          <w:rStyle w:val="Normal"/>
        </w:rPr>
        <w:t>Sincerely</w:t>
      </w:r>
      <w:r w:rsidR="000265C7">
        <w:rPr>
          <w:rStyle w:val="Normal"/>
        </w:rPr>
        <w:t xml:space="preserve"> yours</w:t>
      </w:r>
      <w:r w:rsidRPr="00920D55">
        <w:rPr>
          <w:rStyle w:val="Normal"/>
        </w:rPr>
        <w:t>,</w:t>
      </w:r>
    </w:p>
    <w:p w:rsidR="00B065D6" w:rsidRPr="00920D55" w:rsidRDefault="00B065D6" w:rsidP="00B065D6">
      <w:pPr>
        <w:spacing w:after="0" w:line="240" w:lineRule="auto"/>
        <w:ind w:left="5760"/>
        <w:jc w:val="both"/>
        <w:rPr>
          <w:rFonts w:cs="Arial"/>
        </w:rPr>
      </w:pPr>
    </w:p>
    <w:p w:rsidR="00042AAB" w:rsidRPr="00920D55" w:rsidRDefault="00CE1E7D" w:rsidP="00042AAB">
      <w:pPr>
        <w:spacing w:after="0" w:line="240" w:lineRule="auto"/>
        <w:ind w:left="5040"/>
        <w:jc w:val="center"/>
        <w:rPr>
          <w:rFonts w:cs="Arial"/>
        </w:rPr>
      </w:pPr>
      <w:r w:rsidRPr="00920D55">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37.8pt">
            <v:imagedata r:id="rId7" o:title=""/>
          </v:shape>
        </w:pict>
      </w:r>
    </w:p>
    <w:p w:rsidR="00042AAB" w:rsidRPr="00920D55" w:rsidRDefault="00042AAB" w:rsidP="00042AAB">
      <w:pPr>
        <w:spacing w:after="0" w:line="240" w:lineRule="auto"/>
        <w:ind w:left="5040"/>
        <w:jc w:val="center"/>
        <w:rPr>
          <w:rFonts w:cs="Arial"/>
        </w:rPr>
      </w:pPr>
      <w:r w:rsidRPr="00920D55">
        <w:rPr>
          <w:rFonts w:cs="Arial"/>
        </w:rPr>
        <w:t>Elizabeth Abi-Mershed</w:t>
      </w:r>
    </w:p>
    <w:p w:rsidR="00042AAB" w:rsidRPr="00920D55" w:rsidRDefault="007552C3" w:rsidP="00042AAB">
      <w:pPr>
        <w:tabs>
          <w:tab w:val="left" w:pos="5760"/>
        </w:tabs>
        <w:spacing w:after="0" w:line="240" w:lineRule="auto"/>
        <w:ind w:left="4860"/>
        <w:jc w:val="center"/>
      </w:pPr>
      <w:r w:rsidRPr="00920D55">
        <w:rPr>
          <w:rFonts w:cs="Arial"/>
        </w:rPr>
        <w:t>Assistant Executive Secretary</w:t>
      </w:r>
    </w:p>
    <w:p w:rsidR="00042AAB" w:rsidRPr="00920D55" w:rsidRDefault="00042AAB" w:rsidP="00042AAB">
      <w:pPr>
        <w:spacing w:after="0" w:line="240" w:lineRule="auto"/>
      </w:pPr>
    </w:p>
    <w:p w:rsidR="00DC7C8F" w:rsidRPr="00920D55" w:rsidRDefault="00DC7C8F" w:rsidP="00042AAB">
      <w:pPr>
        <w:spacing w:after="0" w:line="240" w:lineRule="auto"/>
      </w:pPr>
    </w:p>
    <w:sectPr w:rsidR="00DC7C8F" w:rsidRPr="00920D55" w:rsidSect="008E42E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175" w:rsidRDefault="00B46175" w:rsidP="00A343FF">
      <w:pPr>
        <w:spacing w:after="0" w:line="240" w:lineRule="auto"/>
      </w:pPr>
      <w:r>
        <w:separator/>
      </w:r>
    </w:p>
  </w:endnote>
  <w:endnote w:type="continuationSeparator" w:id="0">
    <w:p w:rsidR="00B46175" w:rsidRDefault="00B46175" w:rsidP="00A34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E7D" w:rsidRDefault="00CE1E7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B5E" w:rsidRPr="00A61B5E" w:rsidRDefault="00A61B5E">
    <w:pPr>
      <w:pStyle w:val="Piedepgina"/>
      <w:jc w:val="center"/>
      <w:rPr>
        <w:color w:val="404040"/>
        <w:sz w:val="16"/>
        <w:szCs w:val="16"/>
      </w:rPr>
    </w:pPr>
    <w:r w:rsidRPr="00A61B5E">
      <w:rPr>
        <w:color w:val="404040"/>
        <w:sz w:val="16"/>
        <w:szCs w:val="16"/>
      </w:rPr>
      <w:fldChar w:fldCharType="begin"/>
    </w:r>
    <w:r w:rsidRPr="00A61B5E">
      <w:rPr>
        <w:color w:val="404040"/>
        <w:sz w:val="16"/>
        <w:szCs w:val="16"/>
      </w:rPr>
      <w:instrText xml:space="preserve"> PAGE   \* MERGEFORMAT </w:instrText>
    </w:r>
    <w:r w:rsidRPr="00A61B5E">
      <w:rPr>
        <w:color w:val="404040"/>
        <w:sz w:val="16"/>
        <w:szCs w:val="16"/>
      </w:rPr>
      <w:fldChar w:fldCharType="separate"/>
    </w:r>
    <w:r w:rsidR="00496179">
      <w:rPr>
        <w:noProof/>
        <w:color w:val="404040"/>
        <w:sz w:val="16"/>
        <w:szCs w:val="16"/>
      </w:rPr>
      <w:t>5</w:t>
    </w:r>
    <w:r w:rsidRPr="00A61B5E">
      <w:rPr>
        <w:noProof/>
        <w:color w:val="404040"/>
        <w:sz w:val="16"/>
        <w:szCs w:val="16"/>
      </w:rPr>
      <w:fldChar w:fldCharType="end"/>
    </w:r>
  </w:p>
  <w:p w:rsidR="00F66FEE" w:rsidRDefault="00F66FEE" w:rsidP="008550EF">
    <w:pPr>
      <w:pStyle w:val="Piedepgina"/>
      <w:spacing w:line="360" w:lineRule="auto"/>
      <w:jc w:val="center"/>
      <w:rPr>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248" w:rsidRDefault="008F2248" w:rsidP="008F2248">
    <w:pPr>
      <w:pStyle w:val="Piedepgina"/>
      <w:spacing w:line="360" w:lineRule="auto"/>
    </w:pPr>
    <w:r>
      <w:pict>
        <v:rect id="_x0000_i1027" style="width:0;height:1.5pt" o:hralign="center" o:hrstd="t" o:hr="t" fillcolor="#a0a0a0" stroked="f"/>
      </w:pict>
    </w:r>
  </w:p>
  <w:p w:rsidR="008F2248" w:rsidRDefault="00A7781B" w:rsidP="006E2BD8">
    <w:pPr>
      <w:pStyle w:val="Piedepgina"/>
      <w:jc w:val="center"/>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i1032" type="#_x0000_t75" style="width:407.7pt;height:25.2pt;visibility:visible">
          <v:imagedata r:id="rId1" o:title="footer-es"/>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175" w:rsidRDefault="00B46175" w:rsidP="00A343FF">
      <w:pPr>
        <w:spacing w:after="0" w:line="240" w:lineRule="auto"/>
      </w:pPr>
      <w:r>
        <w:separator/>
      </w:r>
    </w:p>
  </w:footnote>
  <w:footnote w:type="continuationSeparator" w:id="0">
    <w:p w:rsidR="00B46175" w:rsidRDefault="00B46175" w:rsidP="00A343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E7D" w:rsidRDefault="00CE1E7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3FF" w:rsidRDefault="005A5E14" w:rsidP="00DC7C8F">
    <w:pPr>
      <w:pStyle w:val="Encabezado"/>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79.1pt;height:9pt">
          <v:imagedata r:id="rId1" o:title="iachr-peq"/>
        </v:shape>
      </w:pict>
    </w:r>
  </w:p>
  <w:p w:rsidR="00A343FF" w:rsidRDefault="006F0429">
    <w:pPr>
      <w:pStyle w:val="Encabezado"/>
    </w:pPr>
    <w:r>
      <w:pict>
        <v:rect id="_x0000_i1028" style="width:0;height:1.5pt" o:hralign="center" o:hrstd="t" o:hr="t" fillcolor="#a0a0a0" stroked="f"/>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B5E" w:rsidRDefault="00A61B5E" w:rsidP="00A61B5E">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86.3pt;height:36pt">
          <v:imagedata r:id="rId1" o:title="cidh-en"/>
        </v:shape>
      </w:pict>
    </w:r>
    <w:r>
      <w:tab/>
    </w:r>
    <w:r>
      <w:tab/>
    </w:r>
    <w:r w:rsidR="005A328E">
      <w:rPr>
        <w:noProof/>
      </w:rPr>
      <w:pict>
        <v:shape id="_x0000_i1031" type="#_x0000_t75" style="width:112.5pt;height:37.8pt">
          <v:imagedata r:id="rId2" o:title="oea-en"/>
        </v:shape>
      </w:pict>
    </w:r>
  </w:p>
  <w:p w:rsidR="00A61B5E" w:rsidRDefault="00A61B5E" w:rsidP="00A61B5E">
    <w:pPr>
      <w:pStyle w:val="Encabezado"/>
    </w:pPr>
  </w:p>
  <w:p w:rsidR="00A61B5E" w:rsidRDefault="00A61B5E" w:rsidP="00A61B5E">
    <w:pPr>
      <w:pStyle w:val="Encabezado"/>
    </w:pPr>
    <w:r>
      <w:pict>
        <v:rect id="_x0000_i1026"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F6E2D"/>
    <w:multiLevelType w:val="hybridMultilevel"/>
    <w:tmpl w:val="F6F223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5210643E"/>
    <w:multiLevelType w:val="hybridMultilevel"/>
    <w:tmpl w:val="1A7C4672"/>
    <w:lvl w:ilvl="0" w:tplc="D4E8763A">
      <w:start w:val="1"/>
      <w:numFmt w:val="decimal"/>
      <w:lvlText w:val="%1."/>
      <w:lvlJc w:val="left"/>
      <w:pPr>
        <w:tabs>
          <w:tab w:val="num" w:pos="810"/>
        </w:tabs>
        <w:ind w:left="810" w:hanging="360"/>
      </w:pPr>
      <w:rPr>
        <w:rFonts w:hint="default"/>
        <w:b w:val="0"/>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82C3591"/>
    <w:multiLevelType w:val="hybridMultilevel"/>
    <w:tmpl w:val="B032E714"/>
    <w:lvl w:ilvl="0" w:tplc="0409000F">
      <w:start w:val="1"/>
      <w:numFmt w:val="decimal"/>
      <w:lvlText w:val="%1."/>
      <w:lvlJc w:val="left"/>
      <w:pPr>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3"/>
  <w:removePersonalInformation/>
  <w:doNotTrackMoves/>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E1B0F"/>
    <w:rsid w:val="000265C7"/>
    <w:rsid w:val="00042AAB"/>
    <w:rsid w:val="00047B56"/>
    <w:rsid w:val="0006625E"/>
    <w:rsid w:val="0012586C"/>
    <w:rsid w:val="001279D2"/>
    <w:rsid w:val="0013762F"/>
    <w:rsid w:val="00142873"/>
    <w:rsid w:val="00145629"/>
    <w:rsid w:val="00184887"/>
    <w:rsid w:val="001C001D"/>
    <w:rsid w:val="0021669C"/>
    <w:rsid w:val="002303C0"/>
    <w:rsid w:val="00240E8E"/>
    <w:rsid w:val="0027620B"/>
    <w:rsid w:val="00294B17"/>
    <w:rsid w:val="00296B1B"/>
    <w:rsid w:val="002A39B2"/>
    <w:rsid w:val="002D191B"/>
    <w:rsid w:val="003041E9"/>
    <w:rsid w:val="00327FC3"/>
    <w:rsid w:val="00343CED"/>
    <w:rsid w:val="00393310"/>
    <w:rsid w:val="003A4EDE"/>
    <w:rsid w:val="003A545C"/>
    <w:rsid w:val="003B0947"/>
    <w:rsid w:val="003C4836"/>
    <w:rsid w:val="0047146A"/>
    <w:rsid w:val="004722BC"/>
    <w:rsid w:val="00485F35"/>
    <w:rsid w:val="00496179"/>
    <w:rsid w:val="004A4BE0"/>
    <w:rsid w:val="00506951"/>
    <w:rsid w:val="005A328E"/>
    <w:rsid w:val="005A5E14"/>
    <w:rsid w:val="005A67F7"/>
    <w:rsid w:val="005A795B"/>
    <w:rsid w:val="005D62E7"/>
    <w:rsid w:val="005D77E4"/>
    <w:rsid w:val="005F4AAA"/>
    <w:rsid w:val="00604132"/>
    <w:rsid w:val="00611B28"/>
    <w:rsid w:val="00655AB8"/>
    <w:rsid w:val="006B64E3"/>
    <w:rsid w:val="006C1C3A"/>
    <w:rsid w:val="006E2BD8"/>
    <w:rsid w:val="006F0429"/>
    <w:rsid w:val="006F6DDD"/>
    <w:rsid w:val="007007D0"/>
    <w:rsid w:val="007552C3"/>
    <w:rsid w:val="00763F47"/>
    <w:rsid w:val="007B0327"/>
    <w:rsid w:val="007C2CC3"/>
    <w:rsid w:val="007C351D"/>
    <w:rsid w:val="007F5F4E"/>
    <w:rsid w:val="00807BAA"/>
    <w:rsid w:val="008550EF"/>
    <w:rsid w:val="00870DDD"/>
    <w:rsid w:val="008C1767"/>
    <w:rsid w:val="008C75BF"/>
    <w:rsid w:val="008E0BE5"/>
    <w:rsid w:val="008E42E1"/>
    <w:rsid w:val="008E4761"/>
    <w:rsid w:val="008F2248"/>
    <w:rsid w:val="00920D55"/>
    <w:rsid w:val="009B219C"/>
    <w:rsid w:val="009C4D87"/>
    <w:rsid w:val="009E73F0"/>
    <w:rsid w:val="00A00C7C"/>
    <w:rsid w:val="00A2185F"/>
    <w:rsid w:val="00A2502C"/>
    <w:rsid w:val="00A25CA7"/>
    <w:rsid w:val="00A343FF"/>
    <w:rsid w:val="00A41675"/>
    <w:rsid w:val="00A61B5E"/>
    <w:rsid w:val="00A7781B"/>
    <w:rsid w:val="00AE1B0F"/>
    <w:rsid w:val="00B056D9"/>
    <w:rsid w:val="00B065D6"/>
    <w:rsid w:val="00B11A58"/>
    <w:rsid w:val="00B205A7"/>
    <w:rsid w:val="00B30726"/>
    <w:rsid w:val="00B34C9D"/>
    <w:rsid w:val="00B46175"/>
    <w:rsid w:val="00B806AC"/>
    <w:rsid w:val="00B93993"/>
    <w:rsid w:val="00BA770F"/>
    <w:rsid w:val="00C06CCD"/>
    <w:rsid w:val="00C377CB"/>
    <w:rsid w:val="00C402CB"/>
    <w:rsid w:val="00C50A5E"/>
    <w:rsid w:val="00C70403"/>
    <w:rsid w:val="00CB6344"/>
    <w:rsid w:val="00CE1E7D"/>
    <w:rsid w:val="00CE266F"/>
    <w:rsid w:val="00D05BCC"/>
    <w:rsid w:val="00D23FB7"/>
    <w:rsid w:val="00DA5D5F"/>
    <w:rsid w:val="00DB5936"/>
    <w:rsid w:val="00DC7C8F"/>
    <w:rsid w:val="00DF0FE5"/>
    <w:rsid w:val="00E3040C"/>
    <w:rsid w:val="00F25660"/>
    <w:rsid w:val="00F54F60"/>
    <w:rsid w:val="00F66FEE"/>
    <w:rsid w:val="00F70617"/>
    <w:rsid w:val="00FC331B"/>
    <w:rsid w:val="00FC66C2"/>
    <w:rsid w:val="00FD19E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343FF"/>
    <w:pPr>
      <w:tabs>
        <w:tab w:val="center" w:pos="4680"/>
        <w:tab w:val="right" w:pos="9360"/>
      </w:tabs>
      <w:spacing w:after="0" w:line="240" w:lineRule="auto"/>
    </w:pPr>
    <w:rPr>
      <w:lang w:val="x-none" w:eastAsia="x-none"/>
    </w:rPr>
  </w:style>
  <w:style w:type="character" w:customStyle="1" w:styleId="EncabezadoCar">
    <w:name w:val="Encabezado Car"/>
    <w:link w:val="Encabezado"/>
    <w:uiPriority w:val="99"/>
    <w:rsid w:val="00A343FF"/>
    <w:rPr>
      <w:sz w:val="22"/>
      <w:szCs w:val="22"/>
    </w:rPr>
  </w:style>
  <w:style w:type="paragraph" w:styleId="Piedepgina">
    <w:name w:val="footer"/>
    <w:basedOn w:val="Normal"/>
    <w:link w:val="PiedepginaCar"/>
    <w:uiPriority w:val="99"/>
    <w:unhideWhenUsed/>
    <w:rsid w:val="00A343FF"/>
    <w:pPr>
      <w:tabs>
        <w:tab w:val="center" w:pos="4680"/>
        <w:tab w:val="right" w:pos="9360"/>
      </w:tabs>
      <w:spacing w:after="0" w:line="240" w:lineRule="auto"/>
    </w:pPr>
    <w:rPr>
      <w:lang w:val="x-none" w:eastAsia="x-none"/>
    </w:rPr>
  </w:style>
  <w:style w:type="character" w:customStyle="1" w:styleId="PiedepginaCar">
    <w:name w:val="Pie de página Car"/>
    <w:link w:val="Piedepgina"/>
    <w:uiPriority w:val="99"/>
    <w:rsid w:val="00A343FF"/>
    <w:rPr>
      <w:sz w:val="22"/>
      <w:szCs w:val="22"/>
    </w:rPr>
  </w:style>
  <w:style w:type="paragraph" w:styleId="Textodeglobo">
    <w:name w:val="Balloon Text"/>
    <w:basedOn w:val="Normal"/>
    <w:link w:val="TextodegloboCar"/>
    <w:uiPriority w:val="99"/>
    <w:semiHidden/>
    <w:unhideWhenUsed/>
    <w:rsid w:val="00A343FF"/>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A343FF"/>
    <w:rPr>
      <w:rFonts w:ascii="Tahoma" w:hAnsi="Tahoma" w:cs="Tahoma"/>
      <w:sz w:val="16"/>
      <w:szCs w:val="16"/>
    </w:rPr>
  </w:style>
  <w:style w:type="paragraph" w:styleId="NormalWeb">
    <w:name w:val="Normal (Web)"/>
    <w:basedOn w:val="Normal"/>
    <w:uiPriority w:val="99"/>
    <w:semiHidden/>
    <w:unhideWhenUsed/>
    <w:rsid w:val="0047146A"/>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rsid w:val="00042AAB"/>
    <w:pPr>
      <w:autoSpaceDE w:val="0"/>
      <w:autoSpaceDN w:val="0"/>
      <w:adjustRightInd w:val="0"/>
    </w:pPr>
    <w:rPr>
      <w:rFonts w:ascii="Arial" w:eastAsia="Times New Roman" w:hAnsi="Arial" w:cs="Arial"/>
      <w:color w:val="000000"/>
      <w:sz w:val="24"/>
      <w:szCs w:val="24"/>
      <w:lang w:val="en-US" w:eastAsia="en-US"/>
    </w:rPr>
  </w:style>
  <w:style w:type="character" w:styleId="Hipervnculo">
    <w:name w:val="Hyperlink"/>
    <w:rsid w:val="00042A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1670</Words>
  <Characters>9185</Characters>
  <Application>Microsoft Office Word</Application>
  <DocSecurity>0</DocSecurity>
  <Lines>76</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lpstr> </vt:lpstr>
    </vt:vector>
  </TitlesOfParts>
  <LinksUpToDate>false</LinksUpToDate>
  <CharactersWithSpaces>10834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2018-02-08T21:57:00Z</dcterms:created>
  <dcterms:modified xsi:type="dcterms:W3CDTF">2018-02-08T21:57:00Z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IFAAcdeYKKRO1CM41U+P0uVoYc/JnojRsSI3odWrqEjQsbEIT5u/KiT2TrmuUkD3/AjSdFtDZFyWVNHN_x000d_
g8z+cBdcAmyNelVv8XnQ/uFWyLpuHADRS99XOdn84e6ywz9an4TxDK2HHkmj6QbNg8z+cBdcAmyN_x000d_
elVv8XnQ/uFWyLpuHADRS99XOdn84e6ywz9an4Tx4iPTFd3fWjH8bocVBYsWjPFaIJHIkdxkUAQ2_x000d_
jzzqcOvAk7UAdpPUE</vt:lpwstr>
  </property>
  <property fmtid="{D5CDD505-2E9C-101B-9397-08002B2CF9AE}" pid="3" name="MAIL_MSG_ID2">
    <vt:lpwstr>cIyxOcO697Oz+f+S72QhdQI9v8P5V/SBoHvpu3r1d6aBzgloXtpHmPmbIcl_x000d_
cQwHgkZ9AhwMpSkW</vt:lpwstr>
  </property>
  <property fmtid="{D5CDD505-2E9C-101B-9397-08002B2CF9AE}" pid="4" name="RESPONSE_SENDER_NAME">
    <vt:lpwstr>sAAAE9kkUq3pEoIWUC7TjY0RL0nyUQ0/XlzbZK2AwlB3m8A=</vt:lpwstr>
  </property>
  <property fmtid="{D5CDD505-2E9C-101B-9397-08002B2CF9AE}" pid="5" name="EMAIL_OWNER_ADDRESS">
    <vt:lpwstr>sAAA4E8dREqJqIp6VnF5hamP7FrIjGUJs0SlEz76m9YjuqM=</vt:lpwstr>
  </property>
</Properties>
</file>