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F9A" w:rsidRPr="00CA7E5B" w:rsidRDefault="00905F9A" w:rsidP="00905F9A">
      <w:pPr>
        <w:ind w:firstLine="990"/>
        <w:jc w:val="both"/>
        <w:rPr>
          <w:rFonts w:ascii="Calibri" w:hAnsi="Calibri"/>
          <w:sz w:val="22"/>
          <w:szCs w:val="22"/>
          <w:lang w:val="en-US"/>
        </w:rPr>
      </w:pPr>
      <w:bookmarkStart w:id="0" w:name="_GoBack"/>
      <w:bookmarkEnd w:id="0"/>
      <w:r w:rsidRPr="00CA7E5B">
        <w:rPr>
          <w:rFonts w:ascii="Calibri" w:hAnsi="Calibri"/>
          <w:noProof/>
          <w:sz w:val="22"/>
          <w:szCs w:val="22"/>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0;text-align:left;margin-left:36pt;margin-top:45.2pt;width:1in;height:1in;z-index:-2;visibility:visible;mso-position-horizontal-relative:page;mso-position-vertical-relative:page">
            <v:imagedata r:id="rId7" o:title="" croptop="-1680f" cropbottom="-1680f" cropleft="-1680f" cropright="-1680f"/>
            <w10:wrap anchorx="page" anchory="page"/>
          </v:shape>
        </w:pict>
      </w:r>
      <w:r w:rsidRPr="00CA7E5B">
        <w:rPr>
          <w:rFonts w:ascii="Calibri" w:hAnsi="Calibri"/>
          <w:noProof/>
          <w:sz w:val="22"/>
          <w:szCs w:val="22"/>
          <w:lang w:val="es-ES_tradnl"/>
        </w:rPr>
        <w:pict>
          <v:shape id="Imagen 4" o:spid="_x0000_s1028" type="#_x0000_t75" alt="Spanish" style="position:absolute;left:0;text-align:left;margin-left:384pt;margin-top:-18pt;width:90pt;height:74.95pt;z-index:-1;visibility:visible">
            <v:imagedata r:id="rId8" o:title="Spanish"/>
          </v:shape>
        </w:pict>
      </w:r>
      <w:r w:rsidRPr="00CA7E5B">
        <w:rPr>
          <w:rFonts w:ascii="Calibri" w:hAnsi="Calibri"/>
          <w:sz w:val="22"/>
          <w:szCs w:val="22"/>
          <w:lang w:val="en-US"/>
        </w:rPr>
        <w:t>INTER  -  AMERICAN   COMMISSION  ON  HUMAN   RIGHTS</w:t>
      </w:r>
    </w:p>
    <w:p w:rsidR="00905F9A" w:rsidRPr="00CA7E5B" w:rsidRDefault="00905F9A" w:rsidP="00905F9A">
      <w:pPr>
        <w:ind w:firstLine="990"/>
        <w:jc w:val="both"/>
        <w:rPr>
          <w:rFonts w:ascii="Calibri" w:hAnsi="Calibri"/>
          <w:sz w:val="22"/>
          <w:szCs w:val="22"/>
          <w:lang w:val="en-US"/>
        </w:rPr>
      </w:pPr>
      <w:r w:rsidRPr="00CA7E5B">
        <w:rPr>
          <w:rFonts w:ascii="Calibri" w:hAnsi="Calibri"/>
          <w:sz w:val="22"/>
          <w:szCs w:val="22"/>
          <w:lang w:val="en-US"/>
        </w:rPr>
        <w:t>COMISION  INTERAMERICANA  DE  DERECHOS   HUMANOS</w:t>
      </w:r>
    </w:p>
    <w:p w:rsidR="00905F9A" w:rsidRPr="00CA7E5B" w:rsidRDefault="00905F9A" w:rsidP="00905F9A">
      <w:pPr>
        <w:ind w:firstLine="990"/>
        <w:jc w:val="both"/>
        <w:rPr>
          <w:rFonts w:ascii="Calibri" w:hAnsi="Calibri"/>
          <w:sz w:val="22"/>
          <w:szCs w:val="22"/>
          <w:lang w:val="en-US"/>
        </w:rPr>
      </w:pPr>
      <w:r w:rsidRPr="00CA7E5B">
        <w:rPr>
          <w:rFonts w:ascii="Calibri" w:hAnsi="Calibri"/>
          <w:sz w:val="22"/>
          <w:szCs w:val="22"/>
          <w:lang w:val="en-US"/>
        </w:rPr>
        <w:t>COMISSÃO   INTERAMERICANA  DE  DIREITOS   HUMANOS</w:t>
      </w:r>
    </w:p>
    <w:p w:rsidR="00905F9A" w:rsidRPr="00CA7E5B" w:rsidRDefault="00905F9A" w:rsidP="00905F9A">
      <w:pPr>
        <w:ind w:firstLine="990"/>
        <w:jc w:val="both"/>
        <w:rPr>
          <w:rFonts w:ascii="Calibri" w:hAnsi="Calibri"/>
          <w:sz w:val="22"/>
          <w:szCs w:val="22"/>
          <w:lang w:val="en-US"/>
        </w:rPr>
      </w:pPr>
      <w:r w:rsidRPr="00CA7E5B">
        <w:rPr>
          <w:rFonts w:ascii="Calibri" w:hAnsi="Calibri"/>
          <w:sz w:val="22"/>
          <w:szCs w:val="22"/>
          <w:lang w:val="en-US"/>
        </w:rPr>
        <w:t>COMMISSION INTERAMÉRICAINE DES DROITS DE L'HOMME</w:t>
      </w:r>
    </w:p>
    <w:p w:rsidR="00905F9A" w:rsidRPr="00CA7E5B" w:rsidRDefault="00905F9A" w:rsidP="00905F9A">
      <w:pPr>
        <w:jc w:val="both"/>
        <w:rPr>
          <w:rFonts w:ascii="Calibri" w:hAnsi="Calibri"/>
          <w:sz w:val="22"/>
          <w:szCs w:val="22"/>
          <w:lang w:val="en-US"/>
        </w:rPr>
      </w:pPr>
    </w:p>
    <w:p w:rsidR="00905F9A" w:rsidRPr="00CA7E5B" w:rsidRDefault="00905F9A" w:rsidP="00905F9A">
      <w:pPr>
        <w:jc w:val="both"/>
        <w:rPr>
          <w:rFonts w:ascii="Calibri" w:hAnsi="Calibri"/>
          <w:sz w:val="22"/>
          <w:szCs w:val="22"/>
          <w:lang w:val="en-US"/>
        </w:rPr>
      </w:pPr>
      <w:r w:rsidRPr="00CA7E5B">
        <w:rPr>
          <w:rFonts w:ascii="Calibri" w:hAnsi="Calibri"/>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905F9A" w:rsidRPr="00CA7E5B" w:rsidRDefault="00905F9A" w:rsidP="00905F9A">
      <w:pPr>
        <w:jc w:val="both"/>
        <w:outlineLvl w:val="0"/>
        <w:rPr>
          <w:rFonts w:ascii="Calibri" w:hAnsi="Calibri"/>
          <w:b/>
          <w:sz w:val="22"/>
          <w:szCs w:val="22"/>
          <w:lang w:val="en-US"/>
        </w:rPr>
      </w:pPr>
      <w:r w:rsidRPr="00CA7E5B">
        <w:rPr>
          <w:rFonts w:ascii="Calibri" w:hAnsi="Calibri"/>
          <w:b/>
          <w:sz w:val="22"/>
          <w:szCs w:val="22"/>
          <w:lang w:val="en-US"/>
        </w:rPr>
        <w:t>ORGANIZACIÓN DE LOS ESTADOS AMERICANOS</w:t>
      </w:r>
    </w:p>
    <w:p w:rsidR="00905F9A" w:rsidRPr="00A004C5" w:rsidRDefault="00905F9A" w:rsidP="00905F9A">
      <w:pPr>
        <w:jc w:val="both"/>
        <w:outlineLvl w:val="0"/>
        <w:rPr>
          <w:rFonts w:ascii="Calibri" w:hAnsi="Calibri"/>
          <w:sz w:val="22"/>
          <w:szCs w:val="22"/>
          <w:lang w:val="es-ES_tradnl"/>
        </w:rPr>
      </w:pPr>
      <w:r w:rsidRPr="00A004C5">
        <w:rPr>
          <w:rFonts w:ascii="Calibri" w:hAnsi="Calibri"/>
          <w:sz w:val="22"/>
          <w:szCs w:val="22"/>
          <w:lang w:val="es-ES_tradnl"/>
        </w:rPr>
        <w:t>WASHINGTON, D.C. 2 0 0 0 6  E E U U</w:t>
      </w:r>
    </w:p>
    <w:p w:rsidR="00905F9A" w:rsidRPr="00A004C5" w:rsidRDefault="00905F9A" w:rsidP="00905F9A">
      <w:pPr>
        <w:suppressAutoHyphens/>
        <w:jc w:val="both"/>
        <w:rPr>
          <w:rFonts w:ascii="Calibri" w:hAnsi="Calibri" w:cs="Arial"/>
          <w:sz w:val="22"/>
          <w:szCs w:val="22"/>
          <w:lang w:val="es-ES_tradnl"/>
        </w:rPr>
      </w:pPr>
    </w:p>
    <w:p w:rsidR="00492FE9" w:rsidRDefault="00492FE9" w:rsidP="00905F9A">
      <w:pPr>
        <w:suppressAutoHyphens/>
        <w:jc w:val="right"/>
        <w:rPr>
          <w:rFonts w:ascii="Calibri" w:hAnsi="Calibri" w:cs="Arial"/>
          <w:sz w:val="22"/>
          <w:szCs w:val="22"/>
          <w:lang w:val="es-ES_tradnl"/>
        </w:rPr>
      </w:pPr>
    </w:p>
    <w:p w:rsidR="00905F9A" w:rsidRPr="00A004C5" w:rsidRDefault="006E7E6F" w:rsidP="00905F9A">
      <w:pPr>
        <w:suppressAutoHyphens/>
        <w:jc w:val="right"/>
        <w:rPr>
          <w:rFonts w:ascii="Calibri" w:hAnsi="Calibri" w:cs="Arial"/>
          <w:b/>
          <w:sz w:val="22"/>
          <w:szCs w:val="22"/>
          <w:lang w:val="es-ES_tradnl"/>
        </w:rPr>
      </w:pPr>
      <w:r>
        <w:rPr>
          <w:rFonts w:ascii="Calibri" w:hAnsi="Calibri" w:cs="Arial"/>
          <w:sz w:val="22"/>
          <w:szCs w:val="22"/>
          <w:lang w:val="es-ES_tradnl"/>
        </w:rPr>
        <w:t xml:space="preserve">March 17, </w:t>
      </w:r>
      <w:r w:rsidR="00905F9A" w:rsidRPr="00A004C5">
        <w:rPr>
          <w:rFonts w:ascii="Calibri" w:hAnsi="Calibri" w:cs="Arial"/>
          <w:sz w:val="22"/>
          <w:szCs w:val="22"/>
          <w:lang w:val="es-ES_tradnl"/>
        </w:rPr>
        <w:t xml:space="preserve"> 201</w:t>
      </w:r>
      <w:r w:rsidR="0003000B">
        <w:rPr>
          <w:rFonts w:ascii="Calibri" w:hAnsi="Calibri" w:cs="Arial"/>
          <w:sz w:val="22"/>
          <w:szCs w:val="22"/>
          <w:lang w:val="es-ES_tradnl"/>
        </w:rPr>
        <w:t>4</w:t>
      </w:r>
    </w:p>
    <w:p w:rsidR="00492FE9" w:rsidRDefault="00492FE9" w:rsidP="00905F9A">
      <w:pPr>
        <w:tabs>
          <w:tab w:val="left" w:pos="720"/>
          <w:tab w:val="center" w:pos="6480"/>
        </w:tabs>
        <w:jc w:val="both"/>
        <w:outlineLvl w:val="0"/>
        <w:rPr>
          <w:rFonts w:ascii="Calibri" w:hAnsi="Calibri" w:cs="Arial"/>
          <w:b/>
          <w:sz w:val="22"/>
          <w:szCs w:val="22"/>
          <w:lang w:val="es-ES_tradnl"/>
        </w:rPr>
      </w:pPr>
    </w:p>
    <w:p w:rsidR="00905F9A" w:rsidRPr="00A004C5" w:rsidRDefault="00905F9A" w:rsidP="00905F9A">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Ref.:</w:t>
      </w:r>
      <w:bookmarkStart w:id="1" w:name="Peticion_n"/>
      <w:bookmarkEnd w:id="1"/>
      <w:r w:rsidRPr="00A004C5">
        <w:rPr>
          <w:rFonts w:ascii="Calibri" w:hAnsi="Calibri" w:cs="Arial"/>
          <w:b/>
          <w:sz w:val="22"/>
          <w:szCs w:val="22"/>
          <w:lang w:val="es-ES_tradnl"/>
        </w:rPr>
        <w:tab/>
        <w:t>Caso No. 12.</w:t>
      </w:r>
      <w:r w:rsidR="00B67FFD">
        <w:rPr>
          <w:rFonts w:ascii="Calibri" w:hAnsi="Calibri" w:cs="Arial"/>
          <w:b/>
          <w:sz w:val="22"/>
          <w:szCs w:val="22"/>
          <w:lang w:val="es-ES_tradnl"/>
        </w:rPr>
        <w:t>816</w:t>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00B67FFD">
        <w:rPr>
          <w:rFonts w:ascii="Calibri" w:hAnsi="Calibri" w:cs="Arial"/>
          <w:b/>
          <w:sz w:val="22"/>
          <w:szCs w:val="22"/>
          <w:lang w:val="es-ES_tradnl"/>
        </w:rPr>
        <w:t>Adán Guillermo López Lone y otros</w:t>
      </w:r>
    </w:p>
    <w:p w:rsidR="00905F9A" w:rsidRPr="00A004C5" w:rsidRDefault="00905F9A" w:rsidP="00905F9A">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ab/>
        <w:t xml:space="preserve">Honduras </w:t>
      </w:r>
    </w:p>
    <w:p w:rsidR="00905F9A" w:rsidRPr="00A004C5" w:rsidRDefault="00905F9A" w:rsidP="00905F9A">
      <w:pPr>
        <w:tabs>
          <w:tab w:val="left" w:pos="720"/>
          <w:tab w:val="center" w:pos="6480"/>
        </w:tabs>
        <w:jc w:val="both"/>
        <w:rPr>
          <w:rFonts w:ascii="Calibri" w:hAnsi="Calibri" w:cs="Arial"/>
          <w:sz w:val="22"/>
          <w:szCs w:val="22"/>
          <w:lang w:val="es-ES_tradnl"/>
        </w:rPr>
      </w:pPr>
    </w:p>
    <w:p w:rsidR="00DB3970" w:rsidRPr="00DB3970" w:rsidRDefault="00DB3970" w:rsidP="00DB3970">
      <w:pPr>
        <w:tabs>
          <w:tab w:val="left" w:pos="720"/>
          <w:tab w:val="center" w:pos="6480"/>
        </w:tabs>
        <w:jc w:val="both"/>
        <w:rPr>
          <w:rFonts w:ascii="Calibri" w:hAnsi="Calibri" w:cs="Arial"/>
          <w:sz w:val="22"/>
          <w:szCs w:val="22"/>
          <w:lang w:val="en-US"/>
        </w:rPr>
      </w:pPr>
      <w:r w:rsidRPr="00DB3970">
        <w:rPr>
          <w:rFonts w:ascii="Calibri" w:hAnsi="Calibri" w:cs="Arial"/>
          <w:sz w:val="22"/>
          <w:szCs w:val="22"/>
          <w:lang w:val="en-US"/>
        </w:rPr>
        <w:t>Mr. Secretary:</w:t>
      </w:r>
    </w:p>
    <w:p w:rsidR="00DB3970" w:rsidRPr="00DB3970" w:rsidRDefault="00DB3970" w:rsidP="00DB3970">
      <w:pPr>
        <w:tabs>
          <w:tab w:val="left" w:pos="720"/>
          <w:tab w:val="center" w:pos="6480"/>
        </w:tabs>
        <w:jc w:val="both"/>
        <w:rPr>
          <w:rFonts w:ascii="Calibri" w:hAnsi="Calibri" w:cs="Arial"/>
          <w:sz w:val="22"/>
          <w:szCs w:val="22"/>
          <w:lang w:val="en-US"/>
        </w:rPr>
      </w:pPr>
    </w:p>
    <w:p w:rsidR="00F94280" w:rsidRPr="001631F2" w:rsidRDefault="00DB3970" w:rsidP="00DB3970">
      <w:pPr>
        <w:tabs>
          <w:tab w:val="left" w:pos="720"/>
          <w:tab w:val="center" w:pos="6480"/>
        </w:tabs>
        <w:jc w:val="both"/>
        <w:rPr>
          <w:rFonts w:ascii="Calibri" w:hAnsi="Calibri"/>
          <w:sz w:val="22"/>
          <w:szCs w:val="22"/>
          <w:lang w:val="en-US"/>
        </w:rPr>
      </w:pPr>
      <w:r w:rsidRPr="00DB3970">
        <w:rPr>
          <w:rFonts w:ascii="Calibri" w:hAnsi="Calibri" w:cs="Arial"/>
          <w:sz w:val="22"/>
          <w:szCs w:val="22"/>
          <w:lang w:val="en-US"/>
        </w:rPr>
        <w:tab/>
        <w:t xml:space="preserve">I am pleased to address you on behalf of the Inter-American Commission on Human Rights </w:t>
      </w:r>
      <w:r>
        <w:rPr>
          <w:rFonts w:ascii="Calibri" w:hAnsi="Calibri" w:cs="Arial"/>
          <w:sz w:val="22"/>
          <w:szCs w:val="22"/>
          <w:lang w:val="en-US"/>
        </w:rPr>
        <w:t>in order to file Case No. 12.816</w:t>
      </w:r>
      <w:r w:rsidRPr="00DB3970">
        <w:rPr>
          <w:rFonts w:ascii="Calibri" w:hAnsi="Calibri" w:cs="Arial"/>
          <w:sz w:val="22"/>
          <w:szCs w:val="22"/>
          <w:lang w:val="en-US"/>
        </w:rPr>
        <w:t xml:space="preserve"> Adán Guillermo López Lone </w:t>
      </w:r>
      <w:r>
        <w:rPr>
          <w:rFonts w:ascii="Calibri" w:hAnsi="Calibri" w:cs="Arial"/>
          <w:sz w:val="22"/>
          <w:szCs w:val="22"/>
          <w:lang w:val="en-US"/>
        </w:rPr>
        <w:t>et al. v. Honduras</w:t>
      </w:r>
      <w:r w:rsidRPr="00DB3970">
        <w:rPr>
          <w:rFonts w:ascii="Calibri" w:hAnsi="Calibri" w:cs="Arial"/>
          <w:sz w:val="22"/>
          <w:szCs w:val="22"/>
          <w:lang w:val="en-US"/>
        </w:rPr>
        <w:t xml:space="preserve"> (hereinafter “the State”, “the </w:t>
      </w:r>
      <w:r>
        <w:rPr>
          <w:rFonts w:ascii="Calibri" w:hAnsi="Calibri" w:cs="Arial"/>
          <w:sz w:val="22"/>
          <w:szCs w:val="22"/>
          <w:lang w:val="en-US"/>
        </w:rPr>
        <w:t>Honduran</w:t>
      </w:r>
      <w:r w:rsidRPr="00DB3970">
        <w:rPr>
          <w:rFonts w:ascii="Calibri" w:hAnsi="Calibri" w:cs="Arial"/>
          <w:sz w:val="22"/>
          <w:szCs w:val="22"/>
          <w:lang w:val="en-US"/>
        </w:rPr>
        <w:t xml:space="preserve"> State” or “</w:t>
      </w:r>
      <w:r>
        <w:rPr>
          <w:rFonts w:ascii="Calibri" w:hAnsi="Calibri" w:cs="Arial"/>
          <w:sz w:val="22"/>
          <w:szCs w:val="22"/>
          <w:lang w:val="en-US"/>
        </w:rPr>
        <w:t>Honduras</w:t>
      </w:r>
      <w:r w:rsidRPr="00DB3970">
        <w:rPr>
          <w:rFonts w:ascii="Calibri" w:hAnsi="Calibri" w:cs="Arial"/>
          <w:sz w:val="22"/>
          <w:szCs w:val="22"/>
          <w:lang w:val="en-US"/>
        </w:rPr>
        <w:t>”) before the jurisdiction of the Honorable Inter</w:t>
      </w:r>
      <w:r>
        <w:rPr>
          <w:rFonts w:ascii="Calibri" w:hAnsi="Calibri" w:cs="Arial"/>
          <w:sz w:val="22"/>
          <w:szCs w:val="22"/>
          <w:lang w:val="en-US"/>
        </w:rPr>
        <w:t>-American Court of Human Rights.</w:t>
      </w:r>
      <w:r w:rsidR="001631F2" w:rsidRPr="00DB3970">
        <w:rPr>
          <w:lang w:val="en-US"/>
        </w:rPr>
        <w:t xml:space="preserve"> </w:t>
      </w:r>
      <w:r w:rsidR="001631F2" w:rsidRPr="001631F2">
        <w:rPr>
          <w:rFonts w:ascii="Calibri" w:hAnsi="Calibri" w:cs="Arial"/>
          <w:sz w:val="22"/>
          <w:szCs w:val="22"/>
          <w:lang w:val="en-US"/>
        </w:rPr>
        <w:t>The instant case involves the disciplinary proceedings against judges Adán Guillermo López Lone, Luis Alonso Chévez de la Rocha and Ramón Enrique Barrios Maldonado, as well as magistrate Tirza del Carmen Flores Lanza, within the context of the coup that took place in Honduras in June 2009. The victims were members of the “Association Judges for Democracy” which published press releases describing the facts related to the dismissal of former President Zelaya as a coup, in opposition to the official version of the Supreme Court of Justice, which argued that it was a constitutional succession. The Commission concluded that the disciplinary proceedings were initiated with the aim of sanctioning acts or expressions of the victims against the coup. The Commission also noted that the proceedings were carried out in violation of the procedure established in the Constitution which provided that the Supreme Court of Justice was the competent authority to decide on the dismissal of the judges “after the proposal of the Consejo de la Carrera Judicial”. In opposition to that norm, the dismissal took place by means of agreements of the Supreme Court of Justice and the Consejo de la Carrera Judicial only intervened after the decision of the Supreme Court of Justice, as an appeal authority, despite such council was dependent of the Supreme Court.</w:t>
      </w:r>
    </w:p>
    <w:p w:rsidR="00F94280" w:rsidRPr="001631F2" w:rsidRDefault="00F94280" w:rsidP="00F94280">
      <w:pPr>
        <w:autoSpaceDE w:val="0"/>
        <w:autoSpaceDN w:val="0"/>
        <w:adjustRightInd w:val="0"/>
        <w:ind w:left="720"/>
        <w:jc w:val="both"/>
        <w:rPr>
          <w:rFonts w:ascii="Calibri" w:hAnsi="Calibri"/>
          <w:sz w:val="22"/>
          <w:szCs w:val="22"/>
          <w:lang w:val="en-US"/>
        </w:rPr>
      </w:pPr>
    </w:p>
    <w:p w:rsidR="00905F9A" w:rsidRDefault="00F94280" w:rsidP="001631F2">
      <w:pPr>
        <w:autoSpaceDE w:val="0"/>
        <w:autoSpaceDN w:val="0"/>
        <w:adjustRightInd w:val="0"/>
        <w:jc w:val="both"/>
        <w:rPr>
          <w:rFonts w:ascii="Calibri" w:hAnsi="Calibri"/>
          <w:sz w:val="22"/>
          <w:szCs w:val="22"/>
          <w:lang w:val="en-US"/>
        </w:rPr>
      </w:pPr>
      <w:r w:rsidRPr="001631F2">
        <w:rPr>
          <w:rFonts w:ascii="Calibri" w:hAnsi="Calibri"/>
          <w:sz w:val="22"/>
          <w:szCs w:val="22"/>
          <w:lang w:val="en-US"/>
        </w:rPr>
        <w:tab/>
      </w:r>
      <w:r w:rsidR="001631F2" w:rsidRPr="001631F2">
        <w:rPr>
          <w:rFonts w:ascii="Calibri" w:hAnsi="Calibri"/>
          <w:sz w:val="22"/>
          <w:szCs w:val="22"/>
          <w:lang w:val="en-US"/>
        </w:rPr>
        <w:t>The Commission also found irregularities that affected other components of due process. For example, the Supreme Court did not act as an impartial authority, provided that its public positions of legitimate the coup. Neither the victims had the opportunity to present a disqualification of the members of the Consejo de la Carrera Judicial who were called to act on the council directly by its president, with no previous process to guarantee its independence.</w:t>
      </w:r>
    </w:p>
    <w:p w:rsidR="001631F2" w:rsidRPr="001631F2" w:rsidRDefault="001631F2" w:rsidP="001631F2">
      <w:pPr>
        <w:autoSpaceDE w:val="0"/>
        <w:autoSpaceDN w:val="0"/>
        <w:adjustRightInd w:val="0"/>
        <w:jc w:val="both"/>
        <w:rPr>
          <w:rFonts w:ascii="Calibri" w:hAnsi="Calibri" w:cs="Arial"/>
          <w:sz w:val="22"/>
          <w:szCs w:val="22"/>
          <w:lang w:val="en-US"/>
        </w:rPr>
      </w:pPr>
    </w:p>
    <w:p w:rsidR="00905F9A" w:rsidRPr="00CA7E5B" w:rsidRDefault="009262A1" w:rsidP="00905F9A">
      <w:pPr>
        <w:jc w:val="both"/>
        <w:outlineLvl w:val="0"/>
        <w:rPr>
          <w:rFonts w:ascii="Calibri" w:hAnsi="Calibri" w:cs="Arial"/>
          <w:snapToGrid w:val="0"/>
          <w:sz w:val="22"/>
          <w:szCs w:val="22"/>
          <w:lang w:val="es-CO"/>
        </w:rPr>
      </w:pPr>
      <w:r>
        <w:rPr>
          <w:rFonts w:ascii="Calibri" w:hAnsi="Calibri" w:cs="Arial"/>
          <w:snapToGrid w:val="0"/>
          <w:sz w:val="22"/>
          <w:szCs w:val="22"/>
          <w:lang w:val="es-CO"/>
        </w:rPr>
        <w:t>Mr.</w:t>
      </w:r>
    </w:p>
    <w:p w:rsidR="00905F9A" w:rsidRPr="00CA7E5B" w:rsidRDefault="00905F9A" w:rsidP="00905F9A">
      <w:pPr>
        <w:suppressAutoHyphens/>
        <w:jc w:val="both"/>
        <w:rPr>
          <w:rFonts w:ascii="Calibri" w:hAnsi="Calibri" w:cs="Arial"/>
          <w:snapToGrid w:val="0"/>
          <w:sz w:val="22"/>
          <w:szCs w:val="22"/>
          <w:lang w:val="es-CO"/>
        </w:rPr>
      </w:pPr>
      <w:r w:rsidRPr="00CA7E5B">
        <w:rPr>
          <w:rFonts w:ascii="Calibri" w:hAnsi="Calibri" w:cs="Arial"/>
          <w:snapToGrid w:val="0"/>
          <w:sz w:val="22"/>
          <w:szCs w:val="22"/>
          <w:lang w:val="es-CO"/>
        </w:rPr>
        <w:t>Pablo</w:t>
      </w:r>
      <w:r w:rsidR="009262A1">
        <w:rPr>
          <w:rFonts w:ascii="Calibri" w:hAnsi="Calibri" w:cs="Arial"/>
          <w:snapToGrid w:val="0"/>
          <w:sz w:val="22"/>
          <w:szCs w:val="22"/>
          <w:lang w:val="es-CO"/>
        </w:rPr>
        <w:t xml:space="preserve"> Saavedra Alessandri, Secretary</w:t>
      </w:r>
    </w:p>
    <w:p w:rsidR="002F0718" w:rsidRPr="002F0718" w:rsidRDefault="002F0718" w:rsidP="00905F9A">
      <w:pPr>
        <w:suppressAutoHyphens/>
        <w:jc w:val="both"/>
        <w:rPr>
          <w:rFonts w:ascii="Calibri" w:hAnsi="Calibri" w:cs="Arial"/>
          <w:snapToGrid w:val="0"/>
          <w:sz w:val="22"/>
          <w:szCs w:val="22"/>
          <w:lang w:val="en-US"/>
        </w:rPr>
      </w:pPr>
      <w:r w:rsidRPr="002F0718">
        <w:rPr>
          <w:rFonts w:ascii="Calibri" w:hAnsi="Calibri" w:cs="Arial"/>
          <w:snapToGrid w:val="0"/>
          <w:sz w:val="22"/>
          <w:szCs w:val="22"/>
          <w:lang w:val="en-US"/>
        </w:rPr>
        <w:t>Inter-American Court of Human Rights</w:t>
      </w:r>
    </w:p>
    <w:p w:rsidR="00905F9A" w:rsidRPr="00CA7E5B" w:rsidRDefault="00905F9A" w:rsidP="00905F9A">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Apartado 6906-1000</w:t>
      </w:r>
    </w:p>
    <w:p w:rsidR="00905F9A" w:rsidRPr="00CA7E5B" w:rsidRDefault="00905F9A" w:rsidP="00905F9A">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San José, Costa Rica</w:t>
      </w:r>
    </w:p>
    <w:p w:rsidR="00424863" w:rsidRDefault="00424863" w:rsidP="00905F9A">
      <w:pPr>
        <w:rPr>
          <w:rFonts w:ascii="Calibri" w:hAnsi="Calibri" w:cs="Arial"/>
          <w:snapToGrid w:val="0"/>
          <w:sz w:val="22"/>
          <w:szCs w:val="22"/>
          <w:lang w:val="es-ES_tradnl"/>
        </w:rPr>
      </w:pPr>
    </w:p>
    <w:p w:rsidR="00905F9A" w:rsidRPr="00CA7E5B" w:rsidRDefault="00905F9A" w:rsidP="00905F9A">
      <w:pPr>
        <w:autoSpaceDE w:val="0"/>
        <w:autoSpaceDN w:val="0"/>
        <w:adjustRightInd w:val="0"/>
        <w:jc w:val="both"/>
        <w:rPr>
          <w:rFonts w:ascii="Calibri" w:hAnsi="Calibri"/>
          <w:sz w:val="22"/>
          <w:szCs w:val="22"/>
        </w:rPr>
      </w:pPr>
    </w:p>
    <w:p w:rsidR="00245A58" w:rsidRPr="001631F2" w:rsidRDefault="00245A58" w:rsidP="00245A58">
      <w:pPr>
        <w:autoSpaceDE w:val="0"/>
        <w:autoSpaceDN w:val="0"/>
        <w:adjustRightInd w:val="0"/>
        <w:jc w:val="both"/>
        <w:rPr>
          <w:rFonts w:ascii="Calibri" w:hAnsi="Calibri"/>
          <w:sz w:val="22"/>
          <w:szCs w:val="22"/>
          <w:lang w:val="en-US"/>
        </w:rPr>
      </w:pPr>
      <w:r>
        <w:rPr>
          <w:rFonts w:ascii="Calibri" w:hAnsi="Calibri"/>
          <w:sz w:val="22"/>
          <w:szCs w:val="22"/>
        </w:rPr>
        <w:lastRenderedPageBreak/>
        <w:tab/>
      </w:r>
      <w:r w:rsidR="001631F2" w:rsidRPr="001631F2">
        <w:rPr>
          <w:rFonts w:ascii="Calibri" w:hAnsi="Calibri"/>
          <w:sz w:val="22"/>
          <w:szCs w:val="22"/>
          <w:lang w:val="en-US"/>
        </w:rPr>
        <w:t>Moreover, the Commission found that the disciplinary grounds applied to the victims violated the principle of legality and that the decisions adopted were not motivated. Therefore, the Commission found that the decision violated the right to freedom of expression. Such intervention of the disciplinary institutions of the State was directed also to obstruct the victim’s participation in the “Association Judges for Democracy” as a result of their opposition to the coup. In that regard, the State also violated the political rights and the freedom of association respectively. Finally, as a result of the decision of the Consejo de la Carrera Judicial, the victims did not receive effective judicial protection and did not obtain reparation.</w:t>
      </w:r>
    </w:p>
    <w:p w:rsidR="00245A58" w:rsidRPr="001631F2" w:rsidRDefault="00245A58" w:rsidP="005F0341">
      <w:pPr>
        <w:ind w:firstLine="720"/>
        <w:jc w:val="both"/>
        <w:rPr>
          <w:rFonts w:ascii="Calibri" w:hAnsi="Calibri" w:cs="Arial"/>
          <w:sz w:val="22"/>
          <w:szCs w:val="22"/>
          <w:lang w:val="en-US"/>
        </w:rPr>
      </w:pPr>
    </w:p>
    <w:p w:rsidR="005F0341" w:rsidRDefault="001631F2" w:rsidP="001631F2">
      <w:pPr>
        <w:autoSpaceDE w:val="0"/>
        <w:autoSpaceDN w:val="0"/>
        <w:adjustRightInd w:val="0"/>
        <w:ind w:firstLine="720"/>
        <w:jc w:val="both"/>
        <w:rPr>
          <w:rFonts w:ascii="Calibri" w:hAnsi="Calibri" w:cs="Arial"/>
          <w:sz w:val="22"/>
          <w:szCs w:val="22"/>
          <w:lang w:val="en-US"/>
        </w:rPr>
      </w:pPr>
      <w:r w:rsidRPr="001631F2">
        <w:rPr>
          <w:rFonts w:ascii="Calibri" w:hAnsi="Calibri" w:cs="Arial"/>
          <w:sz w:val="22"/>
          <w:szCs w:val="22"/>
          <w:lang w:val="en-US"/>
        </w:rPr>
        <w:t>The State of Honduras ratified the American Convention on Human Rights on September 8, 1977 and accepted the contentious jurisdiction of the Court on September 9, 1981.</w:t>
      </w:r>
    </w:p>
    <w:p w:rsidR="001631F2" w:rsidRPr="001631F2" w:rsidRDefault="001631F2" w:rsidP="005F0341">
      <w:pPr>
        <w:autoSpaceDE w:val="0"/>
        <w:autoSpaceDN w:val="0"/>
        <w:adjustRightInd w:val="0"/>
        <w:jc w:val="both"/>
        <w:rPr>
          <w:rFonts w:ascii="Calibri" w:hAnsi="Calibri"/>
          <w:sz w:val="22"/>
          <w:szCs w:val="22"/>
          <w:lang w:val="en-US"/>
        </w:rPr>
      </w:pPr>
    </w:p>
    <w:p w:rsidR="00905F9A" w:rsidRPr="00003125" w:rsidRDefault="00A71F0F" w:rsidP="00905F9A">
      <w:pPr>
        <w:autoSpaceDE w:val="0"/>
        <w:autoSpaceDN w:val="0"/>
        <w:adjustRightInd w:val="0"/>
        <w:jc w:val="both"/>
        <w:rPr>
          <w:rFonts w:ascii="Calibri" w:hAnsi="Calibri"/>
          <w:sz w:val="22"/>
          <w:szCs w:val="22"/>
          <w:lang w:val="en-US"/>
        </w:rPr>
      </w:pPr>
      <w:r w:rsidRPr="001631F2">
        <w:rPr>
          <w:rFonts w:ascii="Calibri" w:hAnsi="Calibri"/>
          <w:sz w:val="22"/>
          <w:szCs w:val="22"/>
          <w:lang w:val="en-US"/>
        </w:rPr>
        <w:tab/>
      </w:r>
      <w:r w:rsidR="00003125" w:rsidRPr="00003125">
        <w:rPr>
          <w:rFonts w:ascii="Calibri" w:hAnsi="Calibri"/>
          <w:sz w:val="22"/>
          <w:szCs w:val="22"/>
          <w:lang w:val="en-US"/>
        </w:rPr>
        <w:t xml:space="preserve">The Commission has designated Commissioner </w:t>
      </w:r>
      <w:r w:rsidR="00003125">
        <w:rPr>
          <w:rFonts w:ascii="Calibri" w:hAnsi="Calibri"/>
          <w:sz w:val="22"/>
          <w:szCs w:val="22"/>
          <w:lang w:val="en-US"/>
        </w:rPr>
        <w:t xml:space="preserve">Tracy Robinson, </w:t>
      </w:r>
      <w:r w:rsidR="009262A1" w:rsidRPr="009262A1">
        <w:rPr>
          <w:rFonts w:ascii="Calibri" w:hAnsi="Calibri"/>
          <w:sz w:val="22"/>
          <w:szCs w:val="22"/>
          <w:lang w:val="en-US"/>
        </w:rPr>
        <w:t xml:space="preserve">Emilio Álvarez Icaza L., </w:t>
      </w:r>
      <w:r w:rsidR="00003125" w:rsidRPr="00003125">
        <w:rPr>
          <w:rFonts w:ascii="Calibri" w:hAnsi="Calibri"/>
          <w:sz w:val="22"/>
          <w:szCs w:val="22"/>
          <w:lang w:val="en-US"/>
        </w:rPr>
        <w:t>executive secretary,</w:t>
      </w:r>
      <w:r w:rsidR="00003125">
        <w:rPr>
          <w:rFonts w:ascii="Calibri" w:hAnsi="Calibri"/>
          <w:sz w:val="22"/>
          <w:szCs w:val="22"/>
          <w:lang w:val="en-US"/>
        </w:rPr>
        <w:t xml:space="preserve"> and the Special Rapporteur for the freedom of speech Catalina Botero, </w:t>
      </w:r>
      <w:r w:rsidR="00003125" w:rsidRPr="00003125">
        <w:rPr>
          <w:rFonts w:ascii="Calibri" w:hAnsi="Calibri"/>
          <w:sz w:val="22"/>
          <w:szCs w:val="22"/>
          <w:lang w:val="en-US"/>
        </w:rPr>
        <w:t xml:space="preserve">as its delegate. Likewise, Elizabeth Abi-Mershed, Deputy Executive Secretary, Silvia Serrano Guzmán </w:t>
      </w:r>
      <w:r w:rsidR="00003125">
        <w:rPr>
          <w:rFonts w:ascii="Calibri" w:hAnsi="Calibri"/>
          <w:sz w:val="22"/>
          <w:szCs w:val="22"/>
          <w:lang w:val="en-US"/>
        </w:rPr>
        <w:t>Jorge H. Meza Flores and</w:t>
      </w:r>
      <w:r w:rsidR="00003125" w:rsidRPr="00003125">
        <w:rPr>
          <w:rFonts w:ascii="Calibri" w:hAnsi="Calibri"/>
          <w:sz w:val="22"/>
          <w:szCs w:val="22"/>
          <w:lang w:val="en-US"/>
        </w:rPr>
        <w:t xml:space="preserve"> Ona Flores, attorneys of the Executive Secretariat of the IACHR, have been designated to serve as legal advisors.</w:t>
      </w:r>
    </w:p>
    <w:p w:rsidR="00905F9A" w:rsidRPr="00CB3463" w:rsidRDefault="00905F9A" w:rsidP="00905F9A">
      <w:pPr>
        <w:autoSpaceDE w:val="0"/>
        <w:autoSpaceDN w:val="0"/>
        <w:adjustRightInd w:val="0"/>
        <w:jc w:val="both"/>
        <w:rPr>
          <w:rFonts w:ascii="Calibri" w:hAnsi="Calibri" w:cs="Arial"/>
          <w:sz w:val="22"/>
          <w:szCs w:val="22"/>
          <w:lang w:val="en-US"/>
        </w:rPr>
      </w:pPr>
    </w:p>
    <w:p w:rsidR="00CB3463" w:rsidRDefault="00905F9A" w:rsidP="008A1614">
      <w:pPr>
        <w:autoSpaceDE w:val="0"/>
        <w:autoSpaceDN w:val="0"/>
        <w:adjustRightInd w:val="0"/>
        <w:jc w:val="both"/>
        <w:rPr>
          <w:rFonts w:ascii="Calibri" w:hAnsi="Calibri" w:cs="Arial"/>
          <w:sz w:val="22"/>
          <w:szCs w:val="22"/>
          <w:lang w:val="en-US"/>
        </w:rPr>
      </w:pPr>
      <w:r w:rsidRPr="00CB3463">
        <w:rPr>
          <w:rFonts w:ascii="Calibri" w:hAnsi="Calibri" w:cs="Arial"/>
          <w:sz w:val="22"/>
          <w:szCs w:val="22"/>
          <w:lang w:val="en-US"/>
        </w:rPr>
        <w:tab/>
      </w:r>
      <w:r w:rsidR="00CB3463" w:rsidRPr="00CB3463">
        <w:rPr>
          <w:rFonts w:ascii="Calibri" w:hAnsi="Calibri" w:cs="Arial"/>
          <w:sz w:val="22"/>
          <w:szCs w:val="22"/>
          <w:lang w:val="en-US"/>
        </w:rPr>
        <w:t>In accordance with Article 35 of the Rules of Procedure of the Inter-American Court, the Commission is enclosing</w:t>
      </w:r>
      <w:r w:rsidR="00CB3463">
        <w:rPr>
          <w:rFonts w:ascii="Calibri" w:hAnsi="Calibri" w:cs="Arial"/>
          <w:sz w:val="22"/>
          <w:szCs w:val="22"/>
          <w:lang w:val="en-US"/>
        </w:rPr>
        <w:t xml:space="preserve"> a copy of Merits Report No. 103/13</w:t>
      </w:r>
      <w:r w:rsidR="00CB3463" w:rsidRPr="00CB3463">
        <w:rPr>
          <w:rFonts w:ascii="Calibri" w:hAnsi="Calibri" w:cs="Arial"/>
          <w:sz w:val="22"/>
          <w:szCs w:val="22"/>
          <w:lang w:val="en-US"/>
        </w:rPr>
        <w:t>, prepared in compliance with Article 50 of the American Convention, as well as a copy of the entire file before the Inter-American Commission (Appendix I.) and the attachments used to prepare the Report on the Merits (Attachment). The Commission transmitted</w:t>
      </w:r>
      <w:r w:rsidR="00CB3463">
        <w:rPr>
          <w:rFonts w:ascii="Calibri" w:hAnsi="Calibri" w:cs="Arial"/>
          <w:sz w:val="22"/>
          <w:szCs w:val="22"/>
          <w:lang w:val="en-US"/>
        </w:rPr>
        <w:t xml:space="preserve"> the Merits Report</w:t>
      </w:r>
      <w:r w:rsidR="00CB3463" w:rsidRPr="00CB3463">
        <w:rPr>
          <w:rFonts w:ascii="Calibri" w:hAnsi="Calibri" w:cs="Arial"/>
          <w:sz w:val="22"/>
          <w:szCs w:val="22"/>
          <w:lang w:val="en-US"/>
        </w:rPr>
        <w:t xml:space="preserve"> to </w:t>
      </w:r>
      <w:r w:rsidR="00CB3463">
        <w:rPr>
          <w:rFonts w:ascii="Calibri" w:hAnsi="Calibri" w:cs="Arial"/>
          <w:sz w:val="22"/>
          <w:szCs w:val="22"/>
          <w:lang w:val="en-US"/>
        </w:rPr>
        <w:t xml:space="preserve">the State on </w:t>
      </w:r>
      <w:r w:rsidR="009262A1">
        <w:rPr>
          <w:rFonts w:ascii="Calibri" w:hAnsi="Calibri" w:cs="Arial"/>
          <w:sz w:val="22"/>
          <w:szCs w:val="22"/>
          <w:lang w:val="en-US"/>
        </w:rPr>
        <w:t>December 17, 2013</w:t>
      </w:r>
      <w:r w:rsidR="00CB3463">
        <w:rPr>
          <w:rFonts w:ascii="Calibri" w:hAnsi="Calibri" w:cs="Arial"/>
          <w:sz w:val="22"/>
          <w:szCs w:val="22"/>
          <w:lang w:val="en-US"/>
        </w:rPr>
        <w:t>.</w:t>
      </w:r>
    </w:p>
    <w:p w:rsidR="00CB3463" w:rsidRDefault="00CB3463" w:rsidP="008A1614">
      <w:pPr>
        <w:autoSpaceDE w:val="0"/>
        <w:autoSpaceDN w:val="0"/>
        <w:adjustRightInd w:val="0"/>
        <w:jc w:val="both"/>
        <w:rPr>
          <w:rFonts w:ascii="Calibri" w:hAnsi="Calibri" w:cs="Arial"/>
          <w:sz w:val="22"/>
          <w:szCs w:val="22"/>
          <w:lang w:val="en-US"/>
        </w:rPr>
      </w:pPr>
    </w:p>
    <w:p w:rsidR="008A1614" w:rsidRPr="00CB3463" w:rsidRDefault="00CB3463" w:rsidP="00CB3463">
      <w:pPr>
        <w:autoSpaceDE w:val="0"/>
        <w:autoSpaceDN w:val="0"/>
        <w:adjustRightInd w:val="0"/>
        <w:ind w:firstLine="720"/>
        <w:jc w:val="both"/>
        <w:rPr>
          <w:rFonts w:ascii="Calibri" w:hAnsi="Calibri" w:cs="Arial"/>
          <w:sz w:val="22"/>
          <w:szCs w:val="22"/>
          <w:lang w:val="en-US"/>
        </w:rPr>
      </w:pPr>
      <w:r>
        <w:rPr>
          <w:rFonts w:ascii="Calibri" w:hAnsi="Calibri" w:cs="Arial"/>
          <w:sz w:val="22"/>
          <w:szCs w:val="22"/>
          <w:lang w:val="en-US"/>
        </w:rPr>
        <w:t xml:space="preserve">The Report was transmitted to the State </w:t>
      </w:r>
      <w:r w:rsidRPr="00CB3463">
        <w:rPr>
          <w:rFonts w:ascii="Calibri" w:hAnsi="Calibri" w:cs="Arial"/>
          <w:sz w:val="22"/>
          <w:szCs w:val="22"/>
          <w:lang w:val="en-US"/>
        </w:rPr>
        <w:t>granting it two months to provide information on the measures adopted in compliance with the recommendations</w:t>
      </w:r>
      <w:r>
        <w:rPr>
          <w:rFonts w:ascii="Calibri" w:hAnsi="Calibri" w:cs="Arial"/>
          <w:sz w:val="22"/>
          <w:szCs w:val="22"/>
          <w:lang w:val="en-US"/>
        </w:rPr>
        <w:t xml:space="preserve">. </w:t>
      </w:r>
      <w:r w:rsidR="00905F9A" w:rsidRPr="00C720CB">
        <w:rPr>
          <w:rFonts w:ascii="Calibri" w:hAnsi="Calibri" w:cs="Arial"/>
          <w:sz w:val="22"/>
          <w:szCs w:val="22"/>
          <w:lang w:val="es-AR"/>
        </w:rPr>
        <w:t xml:space="preserve">Mediante comunicación recibida el </w:t>
      </w:r>
      <w:r w:rsidR="0053734D">
        <w:rPr>
          <w:rFonts w:ascii="Calibri" w:hAnsi="Calibri" w:cs="Arial"/>
          <w:sz w:val="22"/>
          <w:szCs w:val="22"/>
          <w:lang w:val="es-AR"/>
        </w:rPr>
        <w:t>17</w:t>
      </w:r>
      <w:r w:rsidR="00905F9A" w:rsidRPr="00C720CB">
        <w:rPr>
          <w:rFonts w:ascii="Calibri" w:hAnsi="Calibri" w:cs="Arial"/>
          <w:sz w:val="22"/>
          <w:szCs w:val="22"/>
          <w:lang w:val="es-AR"/>
        </w:rPr>
        <w:t xml:space="preserve"> de </w:t>
      </w:r>
      <w:r w:rsidR="0053734D">
        <w:rPr>
          <w:rFonts w:ascii="Calibri" w:hAnsi="Calibri" w:cs="Arial"/>
          <w:sz w:val="22"/>
          <w:szCs w:val="22"/>
          <w:lang w:val="es-AR"/>
        </w:rPr>
        <w:t>febrero de 2014</w:t>
      </w:r>
      <w:r w:rsidR="00905F9A" w:rsidRPr="00C720CB">
        <w:rPr>
          <w:rFonts w:ascii="Calibri" w:hAnsi="Calibri" w:cs="Arial"/>
          <w:sz w:val="22"/>
          <w:szCs w:val="22"/>
          <w:lang w:val="es-AR"/>
        </w:rPr>
        <w:t>, el Estado hondureño presentó un escrito</w:t>
      </w:r>
      <w:r w:rsidR="008A1614">
        <w:rPr>
          <w:rFonts w:ascii="Calibri" w:hAnsi="Calibri" w:cs="Arial"/>
          <w:sz w:val="22"/>
          <w:szCs w:val="22"/>
          <w:lang w:val="es-AR"/>
        </w:rPr>
        <w:t xml:space="preserve"> en el </w:t>
      </w:r>
      <w:r w:rsidR="008A1614">
        <w:rPr>
          <w:rFonts w:ascii="Calibri" w:hAnsi="Calibri" w:cs="Arial"/>
          <w:sz w:val="22"/>
          <w:szCs w:val="22"/>
        </w:rPr>
        <w:t>cual hizo referencia a los artículos 50 y 51 de la Convención Americana y a una supuesta falta de claridad de su texto. El Estado también indicó que las conclusione</w:t>
      </w:r>
      <w:r w:rsidR="000A090D">
        <w:rPr>
          <w:rFonts w:ascii="Calibri" w:hAnsi="Calibri" w:cs="Arial"/>
          <w:sz w:val="22"/>
          <w:szCs w:val="22"/>
        </w:rPr>
        <w:t>s de la Comisión fueron sesgadas</w:t>
      </w:r>
      <w:r w:rsidR="008A1614">
        <w:rPr>
          <w:rFonts w:ascii="Calibri" w:hAnsi="Calibri" w:cs="Arial"/>
          <w:sz w:val="22"/>
          <w:szCs w:val="22"/>
        </w:rPr>
        <w:t xml:space="preserve">. El Estado hizo referencia genérica al mecanismo de solución amistosa y finalmente señaló que no se habían agotado los recursos internos. El Estado no </w:t>
      </w:r>
      <w:r w:rsidR="000A090D">
        <w:rPr>
          <w:rFonts w:ascii="Calibri" w:hAnsi="Calibri" w:cs="Arial"/>
          <w:sz w:val="22"/>
          <w:szCs w:val="22"/>
        </w:rPr>
        <w:t xml:space="preserve">presentó ninguna información concreta sobre </w:t>
      </w:r>
      <w:r w:rsidR="008A1614">
        <w:rPr>
          <w:rFonts w:ascii="Calibri" w:hAnsi="Calibri" w:cs="Arial"/>
          <w:sz w:val="22"/>
          <w:szCs w:val="22"/>
        </w:rPr>
        <w:t>el cumplimiento de las recomendaciones.</w:t>
      </w:r>
    </w:p>
    <w:p w:rsidR="00786B4E" w:rsidRPr="008A1614" w:rsidRDefault="00786B4E" w:rsidP="008A1614">
      <w:pPr>
        <w:autoSpaceDE w:val="0"/>
        <w:autoSpaceDN w:val="0"/>
        <w:adjustRightInd w:val="0"/>
        <w:jc w:val="both"/>
        <w:rPr>
          <w:rFonts w:ascii="Calibri" w:hAnsi="Calibri" w:cs="Arial"/>
          <w:sz w:val="22"/>
          <w:szCs w:val="22"/>
          <w:lang w:val="es-UY"/>
        </w:rPr>
      </w:pPr>
    </w:p>
    <w:p w:rsidR="00905F9A" w:rsidRPr="00E93527" w:rsidRDefault="00E93527" w:rsidP="00905F9A">
      <w:pPr>
        <w:tabs>
          <w:tab w:val="left" w:pos="0"/>
          <w:tab w:val="left" w:pos="9000"/>
        </w:tabs>
        <w:ind w:firstLine="720"/>
        <w:jc w:val="both"/>
        <w:rPr>
          <w:rFonts w:ascii="Calibri" w:hAnsi="Calibri"/>
          <w:sz w:val="22"/>
          <w:szCs w:val="22"/>
          <w:lang w:val="en-US"/>
        </w:rPr>
      </w:pPr>
      <w:r w:rsidRPr="00E93527">
        <w:rPr>
          <w:rFonts w:ascii="Calibri" w:hAnsi="Calibri"/>
          <w:sz w:val="22"/>
          <w:szCs w:val="22"/>
          <w:lang w:val="en-US"/>
        </w:rPr>
        <w:t xml:space="preserve">Taking into account the aforementioned, </w:t>
      </w:r>
      <w:r>
        <w:rPr>
          <w:rFonts w:ascii="Calibri" w:hAnsi="Calibri"/>
          <w:sz w:val="22"/>
          <w:szCs w:val="22"/>
          <w:lang w:val="en-US"/>
        </w:rPr>
        <w:t xml:space="preserve">the Commission submits the case before the jurisdiction of the Court for </w:t>
      </w:r>
      <w:r w:rsidRPr="00E93527">
        <w:rPr>
          <w:rFonts w:ascii="Calibri" w:hAnsi="Calibri"/>
          <w:sz w:val="22"/>
          <w:szCs w:val="22"/>
          <w:lang w:val="en-US"/>
        </w:rPr>
        <w:t>the need to obtain justice for the victims of this case</w:t>
      </w:r>
      <w:r w:rsidR="00905F9A" w:rsidRPr="00E93527">
        <w:rPr>
          <w:rFonts w:ascii="Calibri" w:hAnsi="Calibri"/>
          <w:sz w:val="22"/>
          <w:szCs w:val="22"/>
          <w:lang w:val="en-US"/>
        </w:rPr>
        <w:t xml:space="preserve">. </w:t>
      </w:r>
    </w:p>
    <w:p w:rsidR="00905F9A" w:rsidRPr="00E93527" w:rsidRDefault="00905F9A" w:rsidP="00905F9A">
      <w:pPr>
        <w:tabs>
          <w:tab w:val="left" w:pos="0"/>
          <w:tab w:val="left" w:pos="9000"/>
        </w:tabs>
        <w:jc w:val="both"/>
        <w:rPr>
          <w:rFonts w:ascii="Calibri" w:hAnsi="Calibri"/>
          <w:sz w:val="22"/>
          <w:szCs w:val="22"/>
          <w:lang w:val="en-US"/>
        </w:rPr>
      </w:pPr>
    </w:p>
    <w:p w:rsidR="00BD3FBE" w:rsidRPr="00BD3FBE" w:rsidRDefault="00905F9A" w:rsidP="00BD3FBE">
      <w:pPr>
        <w:autoSpaceDE w:val="0"/>
        <w:autoSpaceDN w:val="0"/>
        <w:adjustRightInd w:val="0"/>
        <w:jc w:val="both"/>
        <w:rPr>
          <w:rFonts w:ascii="Calibri" w:hAnsi="Calibri" w:cs="Arial"/>
          <w:sz w:val="22"/>
          <w:szCs w:val="22"/>
          <w:lang w:val="es-CR"/>
        </w:rPr>
      </w:pPr>
      <w:r w:rsidRPr="00E93527">
        <w:rPr>
          <w:rFonts w:ascii="Calibri" w:hAnsi="Calibri"/>
          <w:sz w:val="22"/>
          <w:szCs w:val="22"/>
          <w:lang w:val="en-US"/>
        </w:rPr>
        <w:tab/>
      </w:r>
      <w:r w:rsidRPr="00CA7E5B">
        <w:rPr>
          <w:rFonts w:ascii="Calibri" w:hAnsi="Calibri"/>
          <w:sz w:val="22"/>
          <w:szCs w:val="22"/>
          <w:lang w:val="es-AR"/>
        </w:rPr>
        <w:t>En virtud de lo anterior, la CIDH solicita a la Corte que concluya y declare que</w:t>
      </w:r>
      <w:r w:rsidR="00BD3FBE">
        <w:rPr>
          <w:rFonts w:ascii="Calibri" w:hAnsi="Calibri"/>
          <w:sz w:val="22"/>
          <w:szCs w:val="22"/>
        </w:rPr>
        <w:t xml:space="preserve"> </w:t>
      </w:r>
      <w:r w:rsidR="00BD3FBE" w:rsidRPr="00E979BA">
        <w:rPr>
          <w:rFonts w:ascii="Calibri" w:hAnsi="Calibri"/>
          <w:sz w:val="22"/>
          <w:szCs w:val="22"/>
          <w:lang w:val="es-ES_tradnl"/>
        </w:rPr>
        <w:t>el Estado de Honduras es responsable por la violación de los der</w:t>
      </w:r>
      <w:r w:rsidR="00BD3FBE" w:rsidRPr="00E979BA">
        <w:rPr>
          <w:rFonts w:ascii="Calibri" w:hAnsi="Calibri" w:cs="Arial"/>
          <w:sz w:val="22"/>
          <w:szCs w:val="22"/>
          <w:lang w:val="es-ES_tradnl"/>
        </w:rPr>
        <w:t xml:space="preserve">echos a las </w:t>
      </w:r>
      <w:r w:rsidR="00BD3FBE" w:rsidRPr="00731AC5">
        <w:rPr>
          <w:rFonts w:ascii="Calibri" w:hAnsi="Calibri" w:cs="Arial"/>
          <w:sz w:val="22"/>
          <w:szCs w:val="22"/>
          <w:lang w:val="es-CL"/>
        </w:rPr>
        <w:t>garantías</w:t>
      </w:r>
      <w:r w:rsidR="00BD3FBE" w:rsidRPr="00E979BA">
        <w:rPr>
          <w:rFonts w:ascii="Calibri" w:hAnsi="Calibri" w:cs="Arial"/>
          <w:sz w:val="22"/>
          <w:szCs w:val="22"/>
          <w:lang w:val="es-ES_tradnl"/>
        </w:rPr>
        <w:t xml:space="preserve"> judiciales, al principio de legalidad, libertad de expresión, libertad de asociación, derechos políticos y a la protección judicial, </w:t>
      </w:r>
      <w:r w:rsidR="00BD3FBE" w:rsidRPr="00E979BA">
        <w:rPr>
          <w:rFonts w:ascii="Calibri" w:hAnsi="Calibri"/>
          <w:sz w:val="22"/>
          <w:szCs w:val="22"/>
          <w:lang w:val="es-ES_tradnl"/>
        </w:rPr>
        <w:t>consagrados</w:t>
      </w:r>
      <w:r w:rsidR="00BD3FBE" w:rsidRPr="00E979BA">
        <w:rPr>
          <w:rFonts w:ascii="Calibri" w:hAnsi="Calibri" w:cs="Arial"/>
          <w:sz w:val="22"/>
          <w:szCs w:val="22"/>
          <w:lang w:val="es-ES_tradnl"/>
        </w:rPr>
        <w:t xml:space="preserve"> en los artículos 8, 9, 13, 16, 23 y 25 de la Convención Americana, en relación con las obligaciones establecidas en los artículos 1.1 y 2 del mismo instrumento, </w:t>
      </w:r>
      <w:r w:rsidR="00BD3FBE" w:rsidRPr="00E979BA">
        <w:rPr>
          <w:rFonts w:ascii="Calibri" w:hAnsi="Calibri"/>
          <w:sz w:val="22"/>
          <w:szCs w:val="22"/>
          <w:lang w:val="es-ES_tradnl"/>
        </w:rPr>
        <w:t xml:space="preserve">en perjuicio del señor Adán </w:t>
      </w:r>
      <w:r w:rsidR="00BD3FBE" w:rsidRPr="00E979BA">
        <w:rPr>
          <w:rFonts w:ascii="Calibri" w:hAnsi="Calibri" w:cs="Calibri"/>
          <w:sz w:val="22"/>
          <w:szCs w:val="22"/>
          <w:lang w:val="es-ES_tradnl"/>
        </w:rPr>
        <w:t xml:space="preserve">Guillermo López Lone, Ramón Enrique Barrios Maldonado, Luis Alonso Chévez de la Rocha y la señora Tirza del Carmen Flores Lanza. Asimismo, </w:t>
      </w:r>
      <w:r w:rsidR="00632555">
        <w:rPr>
          <w:rFonts w:ascii="Calibri" w:hAnsi="Calibri" w:cs="Calibri"/>
          <w:sz w:val="22"/>
          <w:szCs w:val="22"/>
          <w:lang w:val="es-ES_tradnl"/>
        </w:rPr>
        <w:t xml:space="preserve">que </w:t>
      </w:r>
      <w:r w:rsidR="00BD3FBE" w:rsidRPr="00E979BA">
        <w:rPr>
          <w:rFonts w:ascii="Calibri" w:hAnsi="Calibri" w:cs="Calibri"/>
          <w:sz w:val="22"/>
          <w:szCs w:val="22"/>
          <w:lang w:val="es-ES_tradnl"/>
        </w:rPr>
        <w:t>el Estado de Honduras es responsable por la violación al derecho de reunión consagrado en el artículo 15 de l</w:t>
      </w:r>
      <w:r w:rsidR="00425C45">
        <w:rPr>
          <w:rFonts w:ascii="Calibri" w:hAnsi="Calibri" w:cs="Calibri"/>
          <w:sz w:val="22"/>
          <w:szCs w:val="22"/>
          <w:lang w:val="es-ES_tradnl"/>
        </w:rPr>
        <w:t>a Convención en relación con los</w:t>
      </w:r>
      <w:r w:rsidR="007E589E">
        <w:rPr>
          <w:rFonts w:ascii="Calibri" w:hAnsi="Calibri" w:cs="Calibri"/>
          <w:sz w:val="22"/>
          <w:szCs w:val="22"/>
          <w:lang w:val="es-ES_tradnl"/>
        </w:rPr>
        <w:t xml:space="preserve"> </w:t>
      </w:r>
      <w:r w:rsidR="00BD3FBE" w:rsidRPr="00E979BA">
        <w:rPr>
          <w:rFonts w:ascii="Calibri" w:hAnsi="Calibri" w:cs="Calibri"/>
          <w:sz w:val="22"/>
          <w:szCs w:val="22"/>
          <w:lang w:val="es-ES_tradnl"/>
        </w:rPr>
        <w:t>artículo</w:t>
      </w:r>
      <w:r w:rsidR="007E589E">
        <w:rPr>
          <w:rFonts w:ascii="Calibri" w:hAnsi="Calibri" w:cs="Calibri"/>
          <w:sz w:val="22"/>
          <w:szCs w:val="22"/>
          <w:lang w:val="es-ES_tradnl"/>
        </w:rPr>
        <w:t>s</w:t>
      </w:r>
      <w:r w:rsidR="00BD3FBE" w:rsidRPr="00E979BA">
        <w:rPr>
          <w:rFonts w:ascii="Calibri" w:hAnsi="Calibri" w:cs="Calibri"/>
          <w:sz w:val="22"/>
          <w:szCs w:val="22"/>
          <w:lang w:val="es-ES_tradnl"/>
        </w:rPr>
        <w:t xml:space="preserve"> 1</w:t>
      </w:r>
      <w:r w:rsidR="00EB40A3">
        <w:rPr>
          <w:rFonts w:ascii="Calibri" w:hAnsi="Calibri" w:cs="Calibri"/>
          <w:sz w:val="22"/>
          <w:szCs w:val="22"/>
          <w:lang w:val="es-ES_tradnl"/>
        </w:rPr>
        <w:t>.1</w:t>
      </w:r>
      <w:r w:rsidR="00BD3FBE" w:rsidRPr="00E979BA">
        <w:rPr>
          <w:rFonts w:ascii="Calibri" w:hAnsi="Calibri" w:cs="Calibri"/>
          <w:sz w:val="22"/>
          <w:szCs w:val="22"/>
          <w:lang w:val="es-ES_tradnl"/>
        </w:rPr>
        <w:t xml:space="preserve"> y 2 de</w:t>
      </w:r>
      <w:r w:rsidR="00EB40A3">
        <w:rPr>
          <w:rFonts w:ascii="Calibri" w:hAnsi="Calibri" w:cs="Calibri"/>
          <w:sz w:val="22"/>
          <w:szCs w:val="22"/>
          <w:lang w:val="es-ES_tradnl"/>
        </w:rPr>
        <w:t>l mismo instrumento, en</w:t>
      </w:r>
      <w:r w:rsidR="00BD3FBE" w:rsidRPr="00E979BA">
        <w:rPr>
          <w:rFonts w:ascii="Calibri" w:hAnsi="Calibri" w:cs="Calibri"/>
          <w:sz w:val="22"/>
          <w:szCs w:val="22"/>
          <w:lang w:val="es-ES_tradnl"/>
        </w:rPr>
        <w:t xml:space="preserve"> perjuicio del señor</w:t>
      </w:r>
      <w:r w:rsidR="00E7610A">
        <w:rPr>
          <w:rFonts w:ascii="Calibri" w:hAnsi="Calibri" w:cs="Calibri"/>
          <w:sz w:val="22"/>
          <w:szCs w:val="22"/>
          <w:lang w:val="es-ES_tradnl"/>
        </w:rPr>
        <w:t xml:space="preserve"> Adán</w:t>
      </w:r>
      <w:r w:rsidR="00BD3FBE" w:rsidRPr="00E979BA">
        <w:rPr>
          <w:rFonts w:ascii="Calibri" w:hAnsi="Calibri" w:cs="Calibri"/>
          <w:sz w:val="22"/>
          <w:szCs w:val="22"/>
          <w:lang w:val="es-ES_tradnl"/>
        </w:rPr>
        <w:t xml:space="preserve"> Guillermo López Lone.</w:t>
      </w:r>
    </w:p>
    <w:p w:rsidR="00BD3FBE" w:rsidRDefault="00BD3FBE" w:rsidP="00905F9A">
      <w:pPr>
        <w:tabs>
          <w:tab w:val="left" w:pos="1080"/>
        </w:tabs>
        <w:ind w:firstLine="720"/>
        <w:jc w:val="both"/>
        <w:rPr>
          <w:rFonts w:ascii="Calibri" w:hAnsi="Calibri"/>
          <w:sz w:val="22"/>
          <w:szCs w:val="22"/>
          <w:lang w:val="es-CR"/>
        </w:rPr>
      </w:pPr>
    </w:p>
    <w:p w:rsidR="00905F9A" w:rsidRPr="00CA7E5B" w:rsidRDefault="00905F9A" w:rsidP="00905F9A">
      <w:pPr>
        <w:autoSpaceDE w:val="0"/>
        <w:autoSpaceDN w:val="0"/>
        <w:adjustRightInd w:val="0"/>
        <w:ind w:firstLine="708"/>
        <w:jc w:val="both"/>
        <w:rPr>
          <w:rFonts w:ascii="Calibri" w:hAnsi="Calibri" w:cs="Arial"/>
          <w:sz w:val="22"/>
          <w:szCs w:val="22"/>
          <w:lang w:val="es-CR"/>
        </w:rPr>
      </w:pPr>
      <w:r w:rsidRPr="00CA7E5B">
        <w:rPr>
          <w:rFonts w:ascii="Calibri" w:hAnsi="Calibri"/>
          <w:sz w:val="22"/>
          <w:szCs w:val="22"/>
        </w:rPr>
        <w:t>La Comisión considera necesario que en el presente caso la Corte Interamericana ordene las siguientes medidas de reparación:</w:t>
      </w:r>
    </w:p>
    <w:p w:rsidR="00905F9A" w:rsidRDefault="00905F9A" w:rsidP="00905F9A">
      <w:pPr>
        <w:jc w:val="both"/>
        <w:rPr>
          <w:rFonts w:ascii="Calibri" w:hAnsi="Calibri"/>
          <w:sz w:val="20"/>
          <w:szCs w:val="22"/>
          <w:lang w:val="es-AR"/>
        </w:rPr>
      </w:pPr>
    </w:p>
    <w:p w:rsidR="00EB40A3" w:rsidRPr="00A803D0" w:rsidRDefault="00EB40A3" w:rsidP="00EB40A3">
      <w:pPr>
        <w:pStyle w:val="Sangra3detindependiente"/>
        <w:numPr>
          <w:ilvl w:val="0"/>
          <w:numId w:val="4"/>
        </w:numPr>
        <w:tabs>
          <w:tab w:val="clear" w:pos="720"/>
          <w:tab w:val="left" w:pos="810"/>
          <w:tab w:val="left" w:pos="1080"/>
        </w:tabs>
        <w:spacing w:after="0"/>
        <w:ind w:left="720" w:right="720" w:firstLine="0"/>
        <w:jc w:val="both"/>
        <w:rPr>
          <w:rFonts w:ascii="Calibri" w:hAnsi="Calibri" w:cs="Arial"/>
          <w:sz w:val="20"/>
          <w:szCs w:val="20"/>
          <w:lang w:val="es-ES_tradnl"/>
        </w:rPr>
      </w:pPr>
      <w:r w:rsidRPr="00E979BA">
        <w:rPr>
          <w:rFonts w:ascii="Calibri" w:hAnsi="Calibri" w:cs="Arial"/>
          <w:sz w:val="20"/>
          <w:szCs w:val="20"/>
          <w:lang w:val="es-ES_tradnl"/>
        </w:rPr>
        <w:t>Reincorporar a las v</w:t>
      </w:r>
      <w:r w:rsidRPr="008F01A7">
        <w:rPr>
          <w:rFonts w:ascii="Calibri" w:hAnsi="Calibri" w:cs="Arial"/>
          <w:sz w:val="20"/>
          <w:szCs w:val="20"/>
          <w:lang w:val="es-AR"/>
        </w:rPr>
        <w:t xml:space="preserve">íctimas al Poder Judicial, </w:t>
      </w:r>
      <w:r w:rsidRPr="00E979BA">
        <w:rPr>
          <w:rFonts w:ascii="Calibri" w:hAnsi="Calibri" w:cs="Arial"/>
          <w:sz w:val="20"/>
          <w:szCs w:val="20"/>
          <w:lang w:val="es-ES_tradnl"/>
        </w:rPr>
        <w:t xml:space="preserve">en un cargo similar al que desempeñaban, </w:t>
      </w:r>
      <w:r w:rsidRPr="00E979BA">
        <w:rPr>
          <w:rFonts w:ascii="Calibri" w:hAnsi="Calibri"/>
          <w:sz w:val="20"/>
          <w:szCs w:val="20"/>
          <w:lang w:val="es-ES_tradnl"/>
        </w:rPr>
        <w:t xml:space="preserve">con la misma remuneración, beneficios sociales y rango equiparables a los que les correspondería el </w:t>
      </w:r>
      <w:r w:rsidRPr="00E979BA">
        <w:rPr>
          <w:rFonts w:ascii="Calibri" w:hAnsi="Calibri"/>
          <w:sz w:val="20"/>
          <w:szCs w:val="20"/>
          <w:lang w:val="es-ES_tradnl"/>
        </w:rPr>
        <w:lastRenderedPageBreak/>
        <w:t>día de hoy si no hubieran sido destituidos, por el plazo de tiempo que quedaba pendiente de su mandato</w:t>
      </w:r>
      <w:r w:rsidR="00A803D0">
        <w:rPr>
          <w:rFonts w:ascii="Calibri" w:hAnsi="Calibri"/>
          <w:sz w:val="20"/>
          <w:szCs w:val="20"/>
          <w:lang w:val="es-ES_tradnl"/>
        </w:rPr>
        <w:t>. Si</w:t>
      </w:r>
      <w:r w:rsidRPr="00E979BA">
        <w:rPr>
          <w:rFonts w:ascii="Calibri" w:hAnsi="Calibri"/>
          <w:sz w:val="20"/>
          <w:szCs w:val="20"/>
          <w:lang w:val="es-ES_tradnl"/>
        </w:rPr>
        <w:t xml:space="preserve"> por razones fundadas no es posible la reincorporación, el Estado deberá pagar una indemnización alternativa. </w:t>
      </w:r>
    </w:p>
    <w:p w:rsidR="00A803D0" w:rsidRPr="00E979BA" w:rsidRDefault="00A803D0" w:rsidP="00A803D0">
      <w:pPr>
        <w:pStyle w:val="Sangra3detindependiente"/>
        <w:tabs>
          <w:tab w:val="left" w:pos="810"/>
          <w:tab w:val="left" w:pos="1080"/>
        </w:tabs>
        <w:spacing w:after="0"/>
        <w:ind w:left="720" w:right="720"/>
        <w:jc w:val="both"/>
        <w:rPr>
          <w:rFonts w:ascii="Calibri" w:hAnsi="Calibri" w:cs="Arial"/>
          <w:sz w:val="20"/>
          <w:szCs w:val="20"/>
          <w:lang w:val="es-ES_tradnl"/>
        </w:rPr>
      </w:pPr>
    </w:p>
    <w:p w:rsidR="00A803D0" w:rsidRDefault="00EB40A3" w:rsidP="00A803D0">
      <w:pPr>
        <w:pStyle w:val="Sangra3detindependiente"/>
        <w:numPr>
          <w:ilvl w:val="0"/>
          <w:numId w:val="4"/>
        </w:numPr>
        <w:tabs>
          <w:tab w:val="clear" w:pos="720"/>
          <w:tab w:val="left" w:pos="810"/>
          <w:tab w:val="left" w:pos="1080"/>
        </w:tabs>
        <w:spacing w:after="0"/>
        <w:ind w:left="720" w:right="720" w:firstLine="0"/>
        <w:jc w:val="both"/>
        <w:rPr>
          <w:rFonts w:ascii="Calibri" w:hAnsi="Calibri" w:cs="Arial"/>
          <w:sz w:val="20"/>
          <w:szCs w:val="20"/>
          <w:lang w:val="es-ES_tradnl"/>
        </w:rPr>
      </w:pPr>
      <w:r w:rsidRPr="00E979BA">
        <w:rPr>
          <w:rFonts w:ascii="Calibri" w:hAnsi="Calibri" w:cs="Arial"/>
          <w:sz w:val="20"/>
          <w:szCs w:val="20"/>
          <w:lang w:val="es-ES_tradnl"/>
        </w:rPr>
        <w:t xml:space="preserve">Reparar las consecuencias de las violaciones declaradas en el informe, incluyendo tanto el daño material como el daño inmaterial. </w:t>
      </w:r>
    </w:p>
    <w:p w:rsidR="00A803D0" w:rsidRDefault="00A803D0" w:rsidP="00A803D0">
      <w:pPr>
        <w:pStyle w:val="Sangra3detindependiente"/>
        <w:tabs>
          <w:tab w:val="left" w:pos="810"/>
          <w:tab w:val="left" w:pos="1080"/>
        </w:tabs>
        <w:spacing w:after="0"/>
        <w:ind w:left="0" w:right="720"/>
        <w:jc w:val="both"/>
        <w:rPr>
          <w:rFonts w:ascii="Calibri" w:hAnsi="Calibri" w:cs="Arial"/>
          <w:sz w:val="20"/>
          <w:szCs w:val="20"/>
          <w:lang w:val="es-ES_tradnl"/>
        </w:rPr>
      </w:pPr>
    </w:p>
    <w:p w:rsidR="00EB40A3" w:rsidRPr="00E979BA" w:rsidRDefault="00EB40A3" w:rsidP="00A803D0">
      <w:pPr>
        <w:pStyle w:val="Sangra3detindependiente"/>
        <w:numPr>
          <w:ilvl w:val="0"/>
          <w:numId w:val="4"/>
        </w:numPr>
        <w:tabs>
          <w:tab w:val="clear" w:pos="720"/>
          <w:tab w:val="left" w:pos="810"/>
          <w:tab w:val="left" w:pos="1080"/>
        </w:tabs>
        <w:spacing w:after="0"/>
        <w:ind w:left="720" w:right="720" w:firstLine="0"/>
        <w:jc w:val="both"/>
        <w:rPr>
          <w:rFonts w:ascii="Calibri" w:hAnsi="Calibri" w:cs="Arial"/>
          <w:sz w:val="20"/>
          <w:szCs w:val="20"/>
          <w:lang w:val="es-ES_tradnl"/>
        </w:rPr>
      </w:pPr>
      <w:r w:rsidRPr="00E979BA">
        <w:rPr>
          <w:rFonts w:ascii="Calibri" w:hAnsi="Calibri" w:cs="Arial"/>
          <w:sz w:val="20"/>
          <w:szCs w:val="20"/>
          <w:lang w:val="es-ES_tradnl"/>
        </w:rPr>
        <w:t>Disponer las modificaciones normativas necesarias para asegurar que los procesos disciplinarios contra jueces y juezas sean realizados por autoridades competentes y con garantías suficientes de independencia e imparcialidad.</w:t>
      </w:r>
    </w:p>
    <w:p w:rsidR="00EB40A3" w:rsidRPr="00E979BA" w:rsidRDefault="00EB40A3" w:rsidP="00EB40A3">
      <w:pPr>
        <w:pStyle w:val="Sangra3detindependiente"/>
        <w:tabs>
          <w:tab w:val="left" w:pos="810"/>
          <w:tab w:val="left" w:pos="1080"/>
        </w:tabs>
        <w:ind w:left="720" w:right="720"/>
        <w:rPr>
          <w:rFonts w:ascii="Calibri" w:hAnsi="Calibri" w:cs="Arial"/>
          <w:sz w:val="20"/>
          <w:szCs w:val="20"/>
          <w:lang w:val="es-ES_tradnl"/>
        </w:rPr>
      </w:pPr>
    </w:p>
    <w:p w:rsidR="00EB40A3" w:rsidRPr="008F01A7" w:rsidRDefault="00EB40A3" w:rsidP="00EB40A3">
      <w:pPr>
        <w:pStyle w:val="Sangra3detindependiente"/>
        <w:numPr>
          <w:ilvl w:val="0"/>
          <w:numId w:val="4"/>
        </w:numPr>
        <w:tabs>
          <w:tab w:val="clear" w:pos="720"/>
          <w:tab w:val="left" w:pos="810"/>
          <w:tab w:val="left" w:pos="1080"/>
        </w:tabs>
        <w:spacing w:after="0"/>
        <w:ind w:left="720" w:right="720" w:firstLine="0"/>
        <w:jc w:val="both"/>
        <w:rPr>
          <w:rFonts w:ascii="Calibri" w:hAnsi="Calibri" w:cs="Arial"/>
          <w:sz w:val="20"/>
          <w:szCs w:val="20"/>
          <w:lang w:val="es-AR"/>
        </w:rPr>
      </w:pPr>
      <w:r w:rsidRPr="00E979BA">
        <w:rPr>
          <w:rFonts w:ascii="Calibri" w:hAnsi="Calibri" w:cs="Arial"/>
          <w:sz w:val="20"/>
          <w:szCs w:val="20"/>
          <w:lang w:val="es-ES_tradnl"/>
        </w:rPr>
        <w:t xml:space="preserve">Disponer las modificaciones normativas necesarias para asegurar que las causales disciplinarias de jueces y juezas y las sanciones aplicables, sean compatibles con el principio de legalidad, en los términos desarrollados en el informe. </w:t>
      </w:r>
    </w:p>
    <w:p w:rsidR="00905F9A" w:rsidRPr="00CA7E5B" w:rsidRDefault="00905F9A" w:rsidP="00905F9A">
      <w:pPr>
        <w:autoSpaceDE w:val="0"/>
        <w:autoSpaceDN w:val="0"/>
        <w:adjustRightInd w:val="0"/>
        <w:jc w:val="both"/>
        <w:rPr>
          <w:rFonts w:ascii="Calibri" w:hAnsi="Calibri" w:cs="Arial"/>
          <w:sz w:val="22"/>
          <w:szCs w:val="22"/>
          <w:lang w:val="es-AR"/>
        </w:rPr>
      </w:pPr>
    </w:p>
    <w:p w:rsidR="00AD1260" w:rsidRPr="00AD1260" w:rsidRDefault="00AD1260" w:rsidP="00905F9A">
      <w:pPr>
        <w:tabs>
          <w:tab w:val="left" w:pos="0"/>
          <w:tab w:val="left" w:pos="9000"/>
        </w:tabs>
        <w:ind w:firstLine="720"/>
        <w:jc w:val="both"/>
        <w:rPr>
          <w:rFonts w:ascii="Calibri" w:hAnsi="Calibri"/>
          <w:sz w:val="22"/>
          <w:szCs w:val="22"/>
          <w:lang w:val="en-US"/>
        </w:rPr>
      </w:pPr>
      <w:r w:rsidRPr="00AD1260">
        <w:rPr>
          <w:rFonts w:ascii="Calibri" w:hAnsi="Calibri"/>
          <w:sz w:val="22"/>
          <w:szCs w:val="22"/>
          <w:lang w:val="en-US"/>
        </w:rPr>
        <w:t xml:space="preserve">Apart from the need to obtain justice, the Commission considers the case raises issues of Inter-American public interest. </w:t>
      </w:r>
    </w:p>
    <w:p w:rsidR="00905F9A" w:rsidRPr="00C720CB" w:rsidRDefault="00905F9A" w:rsidP="00905F9A">
      <w:pPr>
        <w:tabs>
          <w:tab w:val="left" w:pos="0"/>
          <w:tab w:val="left" w:pos="9000"/>
        </w:tabs>
        <w:ind w:firstLine="720"/>
        <w:jc w:val="both"/>
        <w:rPr>
          <w:rFonts w:ascii="Calibri" w:hAnsi="Calibri"/>
          <w:sz w:val="22"/>
          <w:szCs w:val="22"/>
          <w:lang w:val="es-AR"/>
        </w:rPr>
      </w:pPr>
    </w:p>
    <w:p w:rsidR="00801024" w:rsidRPr="00CA62A7" w:rsidRDefault="00CA62A7" w:rsidP="00801024">
      <w:pPr>
        <w:autoSpaceDE w:val="0"/>
        <w:autoSpaceDN w:val="0"/>
        <w:adjustRightInd w:val="0"/>
        <w:jc w:val="both"/>
        <w:rPr>
          <w:rFonts w:ascii="Calibri" w:hAnsi="Calibri" w:cs="Arial"/>
          <w:sz w:val="22"/>
          <w:szCs w:val="22"/>
          <w:lang w:val="es-CL"/>
        </w:rPr>
      </w:pPr>
      <w:r>
        <w:rPr>
          <w:rFonts w:ascii="Calibri" w:hAnsi="Calibri"/>
          <w:sz w:val="22"/>
          <w:szCs w:val="22"/>
          <w:lang w:val="es-AR"/>
        </w:rPr>
        <w:tab/>
      </w:r>
      <w:r w:rsidR="00801024" w:rsidRPr="00CA62A7">
        <w:rPr>
          <w:rFonts w:ascii="Calibri" w:hAnsi="Calibri"/>
          <w:sz w:val="22"/>
          <w:szCs w:val="22"/>
          <w:lang w:val="es-AR"/>
        </w:rPr>
        <w:t xml:space="preserve">Específicamente, el presente caso permitirá a la Corte </w:t>
      </w:r>
      <w:r>
        <w:rPr>
          <w:rFonts w:ascii="Calibri" w:hAnsi="Calibri"/>
          <w:sz w:val="22"/>
          <w:szCs w:val="22"/>
          <w:lang w:val="es-AR"/>
        </w:rPr>
        <w:t xml:space="preserve">profundizar </w:t>
      </w:r>
      <w:r w:rsidR="00801024" w:rsidRPr="00CA62A7">
        <w:rPr>
          <w:rFonts w:ascii="Calibri" w:hAnsi="Calibri"/>
          <w:sz w:val="22"/>
          <w:szCs w:val="22"/>
          <w:lang w:val="es-AR"/>
        </w:rPr>
        <w:t>su jurisprudencia sobre el principio de independencia judicial y sus implicaciones en las garantías reforzadas de legalidad y debido proceso en el marco de un proceso sancionatorio en perjuicio de un juez o jueza.</w:t>
      </w:r>
      <w:r>
        <w:rPr>
          <w:rFonts w:ascii="Calibri" w:hAnsi="Calibri"/>
          <w:sz w:val="22"/>
          <w:szCs w:val="22"/>
          <w:lang w:val="es-AR"/>
        </w:rPr>
        <w:t xml:space="preserve"> Particularmente, </w:t>
      </w:r>
      <w:r w:rsidR="00801024" w:rsidRPr="00CA62A7">
        <w:rPr>
          <w:rFonts w:ascii="Calibri" w:hAnsi="Calibri"/>
          <w:sz w:val="22"/>
          <w:szCs w:val="22"/>
          <w:lang w:val="es-AR"/>
        </w:rPr>
        <w:t xml:space="preserve">el presente caso ofrece a la Corte Interamericana la </w:t>
      </w:r>
      <w:r>
        <w:rPr>
          <w:rFonts w:ascii="Calibri" w:hAnsi="Calibri"/>
          <w:sz w:val="22"/>
          <w:szCs w:val="22"/>
          <w:lang w:val="es-AR"/>
        </w:rPr>
        <w:t xml:space="preserve">posibilidad </w:t>
      </w:r>
      <w:r w:rsidR="00801024" w:rsidRPr="00CA62A7">
        <w:rPr>
          <w:rFonts w:ascii="Calibri" w:hAnsi="Calibri"/>
          <w:sz w:val="22"/>
          <w:szCs w:val="22"/>
          <w:lang w:val="es-AR"/>
        </w:rPr>
        <w:t xml:space="preserve">de analizar la importancia que tiene el respeto de tales garantías a la luz del principio de independencia judicial en un contexto de </w:t>
      </w:r>
      <w:r>
        <w:rPr>
          <w:rFonts w:ascii="Calibri" w:hAnsi="Calibri"/>
          <w:sz w:val="22"/>
          <w:szCs w:val="22"/>
          <w:lang w:val="es-AR"/>
        </w:rPr>
        <w:t xml:space="preserve">una crisis democrática resultante de un </w:t>
      </w:r>
      <w:r w:rsidR="00801024" w:rsidRPr="00CA62A7">
        <w:rPr>
          <w:rFonts w:ascii="Calibri" w:hAnsi="Calibri"/>
          <w:sz w:val="22"/>
          <w:szCs w:val="22"/>
          <w:lang w:val="es-AR"/>
        </w:rPr>
        <w:t xml:space="preserve">golpe de Estado. Por otra parte, la Corte podrá profundizar </w:t>
      </w:r>
      <w:r w:rsidR="00801024" w:rsidRPr="00CA62A7">
        <w:rPr>
          <w:rFonts w:ascii="Calibri" w:hAnsi="Calibri" w:cs="Arial"/>
          <w:sz w:val="22"/>
          <w:szCs w:val="22"/>
          <w:lang w:val="es-CO"/>
        </w:rPr>
        <w:t xml:space="preserve">su jurisprudencia en materia de responsabilidades ulteriores al ejercicio de la libertad de expresión, específicamente en cuanto al requisito de estricta legalidad cuando se trata de causales </w:t>
      </w:r>
      <w:r w:rsidR="00CC6E68" w:rsidRPr="00CA62A7">
        <w:rPr>
          <w:rFonts w:ascii="Calibri" w:hAnsi="Calibri" w:cs="Arial"/>
          <w:sz w:val="22"/>
          <w:szCs w:val="22"/>
          <w:lang w:val="es-CO"/>
        </w:rPr>
        <w:t>disciplinaria</w:t>
      </w:r>
      <w:r w:rsidR="00801024" w:rsidRPr="00CA62A7">
        <w:rPr>
          <w:rFonts w:ascii="Calibri" w:hAnsi="Calibri" w:cs="Arial"/>
          <w:sz w:val="22"/>
          <w:szCs w:val="22"/>
          <w:lang w:val="es-CO"/>
        </w:rPr>
        <w:t>, así como a</w:t>
      </w:r>
      <w:r w:rsidR="001D57B5">
        <w:rPr>
          <w:rFonts w:ascii="Calibri" w:hAnsi="Calibri" w:cs="Arial"/>
          <w:sz w:val="22"/>
          <w:szCs w:val="22"/>
          <w:lang w:val="es-CO"/>
        </w:rPr>
        <w:t xml:space="preserve"> la manera en que deben aplicarse </w:t>
      </w:r>
      <w:r w:rsidR="00801024" w:rsidRPr="00CA62A7">
        <w:rPr>
          <w:rFonts w:ascii="Calibri" w:hAnsi="Calibri" w:cs="Arial"/>
          <w:sz w:val="22"/>
          <w:szCs w:val="22"/>
          <w:lang w:val="es-CO"/>
        </w:rPr>
        <w:t xml:space="preserve">los requisitos de idoneidad, necesidad y proporcionalidad. </w:t>
      </w:r>
    </w:p>
    <w:p w:rsidR="00801024" w:rsidRPr="00CA62A7" w:rsidRDefault="00801024" w:rsidP="00801024">
      <w:pPr>
        <w:tabs>
          <w:tab w:val="left" w:pos="720"/>
          <w:tab w:val="left" w:pos="9000"/>
        </w:tabs>
        <w:jc w:val="both"/>
        <w:rPr>
          <w:rFonts w:ascii="Calibri" w:hAnsi="Calibri" w:cs="Arial"/>
          <w:sz w:val="22"/>
          <w:szCs w:val="22"/>
          <w:lang w:val="es-AR"/>
        </w:rPr>
      </w:pPr>
    </w:p>
    <w:p w:rsidR="001631F2" w:rsidRPr="001631F2" w:rsidRDefault="00A04ABF" w:rsidP="001631F2">
      <w:pPr>
        <w:tabs>
          <w:tab w:val="left" w:pos="720"/>
          <w:tab w:val="left" w:pos="9000"/>
        </w:tabs>
        <w:jc w:val="both"/>
        <w:rPr>
          <w:rFonts w:ascii="Calibri" w:hAnsi="Calibri" w:cs="Arial"/>
          <w:sz w:val="22"/>
          <w:szCs w:val="22"/>
          <w:lang w:val="en-US"/>
        </w:rPr>
      </w:pPr>
      <w:r>
        <w:rPr>
          <w:rFonts w:ascii="Calibri" w:hAnsi="Calibri" w:cs="Arial"/>
          <w:sz w:val="22"/>
          <w:szCs w:val="22"/>
          <w:lang w:val="es-AR"/>
        </w:rPr>
        <w:tab/>
      </w:r>
      <w:r w:rsidR="001631F2" w:rsidRPr="001631F2">
        <w:rPr>
          <w:rFonts w:ascii="Calibri" w:hAnsi="Calibri" w:cs="Arial"/>
          <w:sz w:val="22"/>
          <w:szCs w:val="22"/>
          <w:lang w:val="en-US"/>
        </w:rPr>
        <w:t xml:space="preserve">Inasmuch as these issues have a consequential effect on Inter-American public order, as provided under Article 35.1.f of the Rules of Procedure of the Inter-American Court, the Commission proffers the following expert witnesses: </w:t>
      </w:r>
    </w:p>
    <w:p w:rsidR="001631F2" w:rsidRPr="001631F2" w:rsidRDefault="001631F2" w:rsidP="001631F2">
      <w:pPr>
        <w:tabs>
          <w:tab w:val="left" w:pos="720"/>
          <w:tab w:val="left" w:pos="9000"/>
        </w:tabs>
        <w:jc w:val="both"/>
        <w:rPr>
          <w:rFonts w:ascii="Calibri" w:hAnsi="Calibri" w:cs="Arial"/>
          <w:sz w:val="22"/>
          <w:szCs w:val="22"/>
          <w:lang w:val="en-US"/>
        </w:rPr>
      </w:pPr>
    </w:p>
    <w:p w:rsidR="001631F2" w:rsidRPr="001631F2" w:rsidRDefault="001631F2" w:rsidP="001631F2">
      <w:pPr>
        <w:tabs>
          <w:tab w:val="left" w:pos="720"/>
          <w:tab w:val="left" w:pos="990"/>
          <w:tab w:val="left" w:pos="1260"/>
          <w:tab w:val="left" w:pos="9000"/>
        </w:tabs>
        <w:ind w:left="630"/>
        <w:jc w:val="both"/>
        <w:rPr>
          <w:rFonts w:ascii="Calibri" w:hAnsi="Calibri" w:cs="Arial"/>
          <w:sz w:val="22"/>
          <w:szCs w:val="22"/>
          <w:lang w:val="en-US"/>
        </w:rPr>
      </w:pPr>
      <w:r w:rsidRPr="001631F2">
        <w:rPr>
          <w:rFonts w:ascii="Calibri" w:hAnsi="Calibri" w:cs="Arial"/>
          <w:sz w:val="22"/>
          <w:szCs w:val="22"/>
          <w:lang w:val="en-US"/>
        </w:rPr>
        <w:t>1.</w:t>
      </w:r>
      <w:r w:rsidRPr="001631F2">
        <w:rPr>
          <w:rFonts w:ascii="Calibri" w:hAnsi="Calibri" w:cs="Arial"/>
          <w:sz w:val="22"/>
          <w:szCs w:val="22"/>
          <w:lang w:val="en-US"/>
        </w:rPr>
        <w:tab/>
        <w:t xml:space="preserve">xxxxxxxxxxxx, who will provide testimony on due process guarantees and the principle of legality within the ambit of a disciplinary proceeding of dismissal of a judge in light of the principle of judicial independence, taking into account both, the international standards and the developments in comparative law. In particular, the expert will mention the implications of the respect of such guarantees in the context of democratic crisis such as a coup. Finally, the expert will analyze the specific facts of the case. </w:t>
      </w:r>
    </w:p>
    <w:p w:rsidR="001631F2" w:rsidRPr="001631F2" w:rsidRDefault="001631F2" w:rsidP="001631F2">
      <w:pPr>
        <w:tabs>
          <w:tab w:val="left" w:pos="720"/>
          <w:tab w:val="left" w:pos="990"/>
          <w:tab w:val="left" w:pos="1260"/>
          <w:tab w:val="left" w:pos="9000"/>
        </w:tabs>
        <w:ind w:left="630"/>
        <w:jc w:val="both"/>
        <w:rPr>
          <w:rFonts w:ascii="Calibri" w:hAnsi="Calibri" w:cs="Arial"/>
          <w:sz w:val="22"/>
          <w:szCs w:val="22"/>
          <w:lang w:val="en-US"/>
        </w:rPr>
      </w:pPr>
    </w:p>
    <w:p w:rsidR="001631F2" w:rsidRPr="001631F2" w:rsidRDefault="001631F2" w:rsidP="001631F2">
      <w:pPr>
        <w:tabs>
          <w:tab w:val="left" w:pos="720"/>
          <w:tab w:val="left" w:pos="990"/>
          <w:tab w:val="left" w:pos="1260"/>
          <w:tab w:val="left" w:pos="9000"/>
        </w:tabs>
        <w:ind w:left="630"/>
        <w:jc w:val="both"/>
        <w:rPr>
          <w:rFonts w:ascii="Calibri" w:hAnsi="Calibri" w:cs="Arial"/>
          <w:sz w:val="22"/>
          <w:szCs w:val="22"/>
          <w:lang w:val="en-US"/>
        </w:rPr>
      </w:pPr>
      <w:r w:rsidRPr="001631F2">
        <w:rPr>
          <w:rFonts w:ascii="Calibri" w:hAnsi="Calibri" w:cs="Arial"/>
          <w:sz w:val="22"/>
          <w:szCs w:val="22"/>
          <w:lang w:val="en-US"/>
        </w:rPr>
        <w:t>2.</w:t>
      </w:r>
      <w:r w:rsidRPr="001631F2">
        <w:rPr>
          <w:rFonts w:ascii="Calibri" w:hAnsi="Calibri" w:cs="Arial"/>
          <w:sz w:val="22"/>
          <w:szCs w:val="22"/>
          <w:lang w:val="en-US"/>
        </w:rPr>
        <w:tab/>
        <w:t xml:space="preserve">xxxxxxxxxxx, who will provide testimony on the requirements to be taken into consideration when analyzing the subsequent responsibility within a disciplinary proceeding as the one carried out in the instant case. Specifically, the expert will </w:t>
      </w:r>
      <w:r w:rsidR="00AD1260" w:rsidRPr="001631F2">
        <w:rPr>
          <w:rFonts w:ascii="Calibri" w:hAnsi="Calibri" w:cs="Arial"/>
          <w:sz w:val="22"/>
          <w:szCs w:val="22"/>
          <w:lang w:val="en-US"/>
        </w:rPr>
        <w:t>analyze</w:t>
      </w:r>
      <w:r w:rsidRPr="001631F2">
        <w:rPr>
          <w:rFonts w:ascii="Calibri" w:hAnsi="Calibri" w:cs="Arial"/>
          <w:sz w:val="22"/>
          <w:szCs w:val="22"/>
          <w:lang w:val="en-US"/>
        </w:rPr>
        <w:t xml:space="preserve"> the principle of strict legality when disciplinary grounds are used in order to impose a subsequent responsibility, as well as the application of the criteria of suitability, necessity and </w:t>
      </w:r>
      <w:r w:rsidR="00CC6E68" w:rsidRPr="001631F2">
        <w:rPr>
          <w:rFonts w:ascii="Calibri" w:hAnsi="Calibri" w:cs="Arial"/>
          <w:sz w:val="22"/>
          <w:szCs w:val="22"/>
          <w:lang w:val="en-US"/>
        </w:rPr>
        <w:t xml:space="preserve">proportionality. </w:t>
      </w:r>
    </w:p>
    <w:p w:rsidR="001631F2" w:rsidRPr="001631F2" w:rsidRDefault="001631F2" w:rsidP="001631F2">
      <w:pPr>
        <w:tabs>
          <w:tab w:val="left" w:pos="720"/>
          <w:tab w:val="left" w:pos="990"/>
          <w:tab w:val="left" w:pos="1260"/>
          <w:tab w:val="left" w:pos="9000"/>
        </w:tabs>
        <w:ind w:left="630"/>
        <w:jc w:val="both"/>
        <w:rPr>
          <w:rFonts w:ascii="Calibri" w:hAnsi="Calibri" w:cs="Arial"/>
          <w:sz w:val="22"/>
          <w:szCs w:val="22"/>
          <w:lang w:val="en-US"/>
        </w:rPr>
      </w:pPr>
    </w:p>
    <w:p w:rsidR="00801024" w:rsidRDefault="001631F2" w:rsidP="001631F2">
      <w:pPr>
        <w:tabs>
          <w:tab w:val="left" w:pos="720"/>
          <w:tab w:val="left" w:pos="990"/>
          <w:tab w:val="left" w:pos="1260"/>
          <w:tab w:val="left" w:pos="9000"/>
        </w:tabs>
        <w:ind w:left="630"/>
        <w:jc w:val="both"/>
        <w:rPr>
          <w:rFonts w:ascii="Calibri" w:hAnsi="Calibri" w:cs="Arial"/>
          <w:sz w:val="22"/>
          <w:szCs w:val="22"/>
          <w:lang w:val="en-US"/>
        </w:rPr>
      </w:pPr>
      <w:r w:rsidRPr="001631F2">
        <w:rPr>
          <w:rFonts w:ascii="Calibri" w:hAnsi="Calibri" w:cs="Arial"/>
          <w:sz w:val="22"/>
          <w:szCs w:val="22"/>
          <w:lang w:val="en-US"/>
        </w:rPr>
        <w:t>3.</w:t>
      </w:r>
      <w:r w:rsidRPr="001631F2">
        <w:rPr>
          <w:rFonts w:ascii="Calibri" w:hAnsi="Calibri" w:cs="Arial"/>
          <w:sz w:val="22"/>
          <w:szCs w:val="22"/>
          <w:lang w:val="en-US"/>
        </w:rPr>
        <w:tab/>
        <w:t xml:space="preserve">The </w:t>
      </w:r>
      <w:r w:rsidR="00AD1260" w:rsidRPr="001631F2">
        <w:rPr>
          <w:rFonts w:ascii="Calibri" w:hAnsi="Calibri" w:cs="Arial"/>
          <w:sz w:val="22"/>
          <w:szCs w:val="22"/>
          <w:lang w:val="en-US"/>
        </w:rPr>
        <w:t>Commission</w:t>
      </w:r>
      <w:r w:rsidRPr="001631F2">
        <w:rPr>
          <w:rFonts w:ascii="Calibri" w:hAnsi="Calibri" w:cs="Arial"/>
          <w:sz w:val="22"/>
          <w:szCs w:val="22"/>
          <w:lang w:val="en-US"/>
        </w:rPr>
        <w:t xml:space="preserve"> requests the </w:t>
      </w:r>
      <w:r w:rsidR="00AD1260" w:rsidRPr="001631F2">
        <w:rPr>
          <w:rFonts w:ascii="Calibri" w:hAnsi="Calibri" w:cs="Arial"/>
          <w:sz w:val="22"/>
          <w:szCs w:val="22"/>
          <w:lang w:val="en-US"/>
        </w:rPr>
        <w:t>transfer</w:t>
      </w:r>
      <w:r w:rsidRPr="001631F2">
        <w:rPr>
          <w:rFonts w:ascii="Calibri" w:hAnsi="Calibri" w:cs="Arial"/>
          <w:sz w:val="22"/>
          <w:szCs w:val="22"/>
          <w:lang w:val="en-US"/>
        </w:rPr>
        <w:t xml:space="preserve"> of the expert witness declaration on Param Cumaraswamy in the case Quintana Coello y otros vs. Ecuador (12.600).</w:t>
      </w:r>
    </w:p>
    <w:p w:rsidR="001631F2" w:rsidRDefault="001631F2" w:rsidP="001631F2">
      <w:pPr>
        <w:tabs>
          <w:tab w:val="left" w:pos="720"/>
          <w:tab w:val="left" w:pos="9000"/>
        </w:tabs>
        <w:jc w:val="both"/>
        <w:rPr>
          <w:rFonts w:ascii="Calibri" w:hAnsi="Calibri" w:cs="Arial"/>
          <w:sz w:val="22"/>
          <w:szCs w:val="22"/>
          <w:lang w:val="en-US"/>
        </w:rPr>
      </w:pPr>
    </w:p>
    <w:p w:rsidR="001631F2" w:rsidRPr="001631F2" w:rsidRDefault="001631F2" w:rsidP="001631F2">
      <w:pPr>
        <w:tabs>
          <w:tab w:val="left" w:pos="720"/>
          <w:tab w:val="left" w:pos="9000"/>
        </w:tabs>
        <w:jc w:val="both"/>
        <w:rPr>
          <w:rFonts w:ascii="Calibri" w:hAnsi="Calibri" w:cs="Arial"/>
          <w:sz w:val="22"/>
          <w:szCs w:val="22"/>
          <w:lang w:val="en-US"/>
        </w:rPr>
      </w:pPr>
    </w:p>
    <w:p w:rsidR="00905F9A" w:rsidRPr="00CA62A7" w:rsidRDefault="00905F9A" w:rsidP="00905F9A">
      <w:pPr>
        <w:autoSpaceDE w:val="0"/>
        <w:autoSpaceDN w:val="0"/>
        <w:adjustRightInd w:val="0"/>
        <w:ind w:firstLine="708"/>
        <w:jc w:val="both"/>
        <w:rPr>
          <w:rFonts w:ascii="Calibri" w:hAnsi="Calibri" w:cs="Arial"/>
          <w:sz w:val="22"/>
          <w:szCs w:val="22"/>
          <w:lang w:val="es-PE"/>
        </w:rPr>
      </w:pPr>
      <w:r w:rsidRPr="00CA62A7">
        <w:rPr>
          <w:rFonts w:ascii="Calibri" w:hAnsi="Calibri" w:cs="Arial"/>
          <w:sz w:val="22"/>
          <w:szCs w:val="22"/>
          <w:lang w:val="es-PE"/>
        </w:rPr>
        <w:t xml:space="preserve">Conjuntamente con los anexos al Informe </w:t>
      </w:r>
      <w:r w:rsidR="00801024" w:rsidRPr="00CA62A7">
        <w:rPr>
          <w:rFonts w:ascii="Calibri" w:hAnsi="Calibri" w:cs="Arial"/>
          <w:sz w:val="22"/>
          <w:szCs w:val="22"/>
          <w:lang w:val="es-PE"/>
        </w:rPr>
        <w:t>103</w:t>
      </w:r>
      <w:r w:rsidRPr="00CA62A7">
        <w:rPr>
          <w:rFonts w:ascii="Calibri" w:hAnsi="Calibri" w:cs="Arial"/>
          <w:sz w:val="22"/>
          <w:szCs w:val="22"/>
          <w:lang w:val="es-PE"/>
        </w:rPr>
        <w:t>/13,</w:t>
      </w:r>
      <w:r w:rsidR="00801024" w:rsidRPr="00CA62A7">
        <w:rPr>
          <w:rFonts w:ascii="Calibri" w:hAnsi="Calibri" w:cs="Arial"/>
          <w:sz w:val="22"/>
          <w:szCs w:val="22"/>
          <w:lang w:val="es-PE"/>
        </w:rPr>
        <w:t xml:space="preserve"> la Comisión remitirá el CV de los/las peritos/as pr</w:t>
      </w:r>
      <w:r w:rsidR="00CA40D7" w:rsidRPr="00CA62A7">
        <w:rPr>
          <w:rFonts w:ascii="Calibri" w:hAnsi="Calibri" w:cs="Arial"/>
          <w:sz w:val="22"/>
          <w:szCs w:val="22"/>
          <w:lang w:val="es-PE"/>
        </w:rPr>
        <w:t>o</w:t>
      </w:r>
      <w:r w:rsidR="00801024" w:rsidRPr="00CA62A7">
        <w:rPr>
          <w:rFonts w:ascii="Calibri" w:hAnsi="Calibri" w:cs="Arial"/>
          <w:sz w:val="22"/>
          <w:szCs w:val="22"/>
          <w:lang w:val="es-PE"/>
        </w:rPr>
        <w:t>puestos/as</w:t>
      </w:r>
      <w:r w:rsidRPr="00CA62A7">
        <w:rPr>
          <w:rFonts w:ascii="Calibri" w:hAnsi="Calibri" w:cs="Arial"/>
          <w:sz w:val="22"/>
          <w:szCs w:val="22"/>
          <w:lang w:val="es-PE"/>
        </w:rPr>
        <w:t>.</w:t>
      </w:r>
    </w:p>
    <w:p w:rsidR="00905F9A" w:rsidRPr="00CA7E5B" w:rsidRDefault="00905F9A" w:rsidP="00905F9A">
      <w:pPr>
        <w:autoSpaceDE w:val="0"/>
        <w:autoSpaceDN w:val="0"/>
        <w:adjustRightInd w:val="0"/>
        <w:jc w:val="both"/>
        <w:rPr>
          <w:rFonts w:ascii="Calibri" w:hAnsi="Calibri" w:cs="Arial"/>
          <w:sz w:val="22"/>
          <w:szCs w:val="22"/>
          <w:lang w:val="es-PE"/>
        </w:rPr>
      </w:pPr>
    </w:p>
    <w:p w:rsidR="007C4082" w:rsidRPr="00AD1260" w:rsidRDefault="00AD1260" w:rsidP="007C4082">
      <w:pPr>
        <w:autoSpaceDE w:val="0"/>
        <w:autoSpaceDN w:val="0"/>
        <w:adjustRightInd w:val="0"/>
        <w:ind w:firstLine="708"/>
        <w:jc w:val="both"/>
        <w:rPr>
          <w:rFonts w:ascii="Calibri" w:hAnsi="Calibri" w:cs="Arial"/>
          <w:sz w:val="22"/>
          <w:szCs w:val="22"/>
          <w:lang w:val="en-US"/>
        </w:rPr>
      </w:pPr>
      <w:r w:rsidRPr="00AD1260">
        <w:rPr>
          <w:rFonts w:ascii="Calibri" w:hAnsi="Calibri" w:cs="Arial"/>
          <w:sz w:val="22"/>
          <w:szCs w:val="22"/>
          <w:lang w:val="en-US"/>
        </w:rPr>
        <w:t xml:space="preserve">Finally, the petitioners expressed the victims’ interest in the submission of the present case to the Inter-American Court and informed that the following shall be representatives of the victims: </w:t>
      </w:r>
      <w:r w:rsidR="00477065" w:rsidRPr="00AD1260">
        <w:rPr>
          <w:rFonts w:ascii="Calibri" w:hAnsi="Calibri" w:cs="Arial"/>
          <w:sz w:val="22"/>
          <w:szCs w:val="22"/>
          <w:lang w:val="en-US"/>
        </w:rPr>
        <w:t xml:space="preserve"> </w:t>
      </w:r>
      <w:r>
        <w:rPr>
          <w:rFonts w:ascii="Calibri" w:hAnsi="Calibri" w:cs="Arial"/>
          <w:sz w:val="22"/>
          <w:szCs w:val="22"/>
          <w:lang w:val="en-US"/>
        </w:rPr>
        <w:t xml:space="preserve">the </w:t>
      </w:r>
      <w:r w:rsidR="00477065" w:rsidRPr="00AD1260">
        <w:rPr>
          <w:rFonts w:ascii="Calibri" w:hAnsi="Calibri" w:cs="Arial"/>
          <w:sz w:val="22"/>
          <w:szCs w:val="22"/>
          <w:lang w:val="en-US"/>
        </w:rPr>
        <w:t>Asocia</w:t>
      </w:r>
      <w:r>
        <w:rPr>
          <w:rFonts w:ascii="Calibri" w:hAnsi="Calibri" w:cs="Arial"/>
          <w:sz w:val="22"/>
          <w:szCs w:val="22"/>
          <w:lang w:val="en-US"/>
        </w:rPr>
        <w:t>ción Jueces por la Democracia and the</w:t>
      </w:r>
      <w:r w:rsidR="00B0466F" w:rsidRPr="00AD1260">
        <w:rPr>
          <w:rFonts w:ascii="Calibri" w:hAnsi="Calibri" w:cs="Arial"/>
          <w:sz w:val="22"/>
          <w:szCs w:val="22"/>
          <w:lang w:val="en-US"/>
        </w:rPr>
        <w:t xml:space="preserve"> Centro por la Justicia y el Derecho Internacional (CEJIL)</w:t>
      </w:r>
      <w:r w:rsidR="00CC6E68">
        <w:rPr>
          <w:rFonts w:ascii="Calibri" w:hAnsi="Calibri" w:cs="Arial"/>
          <w:sz w:val="22"/>
          <w:szCs w:val="22"/>
          <w:lang w:val="en-US"/>
        </w:rPr>
        <w:t xml:space="preserve">. Their email is: </w:t>
      </w:r>
      <w:r w:rsidR="00975633" w:rsidRPr="00975633">
        <w:rPr>
          <w:rFonts w:ascii="Calibri" w:hAnsi="Calibri" w:cs="Arial"/>
          <w:sz w:val="22"/>
          <w:szCs w:val="22"/>
          <w:highlight w:val="black"/>
          <w:lang w:val="en-US"/>
        </w:rPr>
        <w:t>xxxxxxxxxxxxxxxxxxxxxxxxxxxxxxxxx</w:t>
      </w:r>
    </w:p>
    <w:p w:rsidR="001F6F6D" w:rsidRDefault="001F6F6D" w:rsidP="00905F9A">
      <w:pPr>
        <w:autoSpaceDE w:val="0"/>
        <w:autoSpaceDN w:val="0"/>
        <w:adjustRightInd w:val="0"/>
        <w:jc w:val="center"/>
        <w:rPr>
          <w:rFonts w:ascii="Calibri" w:eastAsia="Times New Roman" w:hAnsi="Calibri" w:cs="Arial"/>
          <w:sz w:val="22"/>
          <w:szCs w:val="22"/>
          <w:lang w:val="en-US" w:eastAsia="en-US"/>
        </w:rPr>
      </w:pPr>
    </w:p>
    <w:p w:rsidR="00822DCB" w:rsidRDefault="00822DCB" w:rsidP="00905F9A">
      <w:pPr>
        <w:autoSpaceDE w:val="0"/>
        <w:autoSpaceDN w:val="0"/>
        <w:adjustRightInd w:val="0"/>
        <w:jc w:val="center"/>
        <w:rPr>
          <w:rFonts w:ascii="Calibri" w:eastAsia="Times New Roman" w:hAnsi="Calibri" w:cs="Arial"/>
          <w:sz w:val="22"/>
          <w:szCs w:val="22"/>
          <w:lang w:val="en-US" w:eastAsia="en-US"/>
        </w:rPr>
      </w:pPr>
    </w:p>
    <w:p w:rsidR="00822DCB" w:rsidRPr="00AD1260" w:rsidRDefault="00822DCB" w:rsidP="00905F9A">
      <w:pPr>
        <w:autoSpaceDE w:val="0"/>
        <w:autoSpaceDN w:val="0"/>
        <w:adjustRightInd w:val="0"/>
        <w:jc w:val="center"/>
        <w:rPr>
          <w:rFonts w:ascii="Calibri" w:eastAsia="Times New Roman" w:hAnsi="Calibri" w:cs="Arial"/>
          <w:sz w:val="22"/>
          <w:szCs w:val="22"/>
          <w:lang w:val="en-US" w:eastAsia="en-US"/>
        </w:rPr>
      </w:pPr>
    </w:p>
    <w:p w:rsidR="00905F9A" w:rsidRPr="00B33739" w:rsidRDefault="00492FE9" w:rsidP="00905F9A">
      <w:pPr>
        <w:jc w:val="both"/>
        <w:rPr>
          <w:rFonts w:ascii="Calibri" w:hAnsi="Calibri" w:cs="Arial"/>
          <w:i/>
          <w:color w:val="A6A6A6"/>
          <w:sz w:val="22"/>
          <w:szCs w:val="22"/>
          <w:lang w:val="en-US"/>
        </w:rPr>
      </w:pPr>
      <w:r w:rsidRPr="00B33739">
        <w:rPr>
          <w:rFonts w:ascii="Calibri" w:hAnsi="Calibri" w:cs="Arial"/>
          <w:sz w:val="22"/>
          <w:szCs w:val="22"/>
          <w:lang w:val="en-US"/>
        </w:rPr>
        <w:tab/>
      </w:r>
      <w:r w:rsidRPr="00B33739">
        <w:rPr>
          <w:rFonts w:ascii="Calibri" w:hAnsi="Calibri" w:cs="Arial"/>
          <w:sz w:val="22"/>
          <w:szCs w:val="22"/>
          <w:lang w:val="en-US"/>
        </w:rPr>
        <w:tab/>
      </w:r>
      <w:r w:rsidRPr="00B33739">
        <w:rPr>
          <w:rFonts w:ascii="Calibri" w:hAnsi="Calibri" w:cs="Arial"/>
          <w:sz w:val="22"/>
          <w:szCs w:val="22"/>
          <w:lang w:val="en-US"/>
        </w:rPr>
        <w:tab/>
      </w:r>
      <w:r w:rsidRPr="00B33739">
        <w:rPr>
          <w:rFonts w:ascii="Calibri" w:hAnsi="Calibri" w:cs="Arial"/>
          <w:sz w:val="22"/>
          <w:szCs w:val="22"/>
          <w:lang w:val="en-US"/>
        </w:rPr>
        <w:tab/>
      </w:r>
      <w:r w:rsidRPr="00B33739">
        <w:rPr>
          <w:rFonts w:ascii="Calibri" w:hAnsi="Calibri" w:cs="Arial"/>
          <w:sz w:val="22"/>
          <w:szCs w:val="22"/>
          <w:lang w:val="en-US"/>
        </w:rPr>
        <w:tab/>
      </w:r>
      <w:r w:rsidRPr="00B33739">
        <w:rPr>
          <w:rFonts w:ascii="Calibri" w:hAnsi="Calibri" w:cs="Arial"/>
          <w:sz w:val="22"/>
          <w:szCs w:val="22"/>
          <w:lang w:val="en-US"/>
        </w:rPr>
        <w:tab/>
      </w:r>
      <w:r w:rsidRPr="00B33739">
        <w:rPr>
          <w:rFonts w:ascii="Calibri" w:hAnsi="Calibri" w:cs="Arial"/>
          <w:color w:val="A6A6A6"/>
          <w:sz w:val="22"/>
          <w:szCs w:val="22"/>
          <w:lang w:val="en-US"/>
        </w:rPr>
        <w:tab/>
      </w:r>
      <w:r w:rsidRPr="00B33739">
        <w:rPr>
          <w:rFonts w:ascii="Calibri" w:hAnsi="Calibri" w:cs="Arial"/>
          <w:color w:val="A6A6A6"/>
          <w:sz w:val="22"/>
          <w:szCs w:val="22"/>
          <w:lang w:val="en-US"/>
        </w:rPr>
        <w:tab/>
      </w:r>
      <w:r w:rsidR="00B33739" w:rsidRPr="00B33739">
        <w:rPr>
          <w:rFonts w:ascii="Calibri" w:hAnsi="Calibri" w:cs="Arial"/>
          <w:i/>
          <w:color w:val="A6A6A6"/>
          <w:sz w:val="22"/>
          <w:szCs w:val="22"/>
          <w:lang w:val="en-US"/>
        </w:rPr>
        <w:t xml:space="preserve">Signed in the original  </w:t>
      </w:r>
    </w:p>
    <w:p w:rsidR="00905F9A" w:rsidRPr="00CA7E5B" w:rsidRDefault="00905F9A" w:rsidP="00905F9A">
      <w:pPr>
        <w:tabs>
          <w:tab w:val="left" w:pos="5760"/>
        </w:tabs>
        <w:rPr>
          <w:rFonts w:ascii="Calibri" w:hAnsi="Calibri" w:cs="Arial"/>
          <w:sz w:val="22"/>
          <w:szCs w:val="22"/>
          <w:lang w:val="es-ES_tradnl"/>
        </w:rPr>
      </w:pPr>
      <w:r w:rsidRPr="00B33739">
        <w:rPr>
          <w:rFonts w:ascii="Calibri" w:hAnsi="Calibri" w:cs="Arial"/>
          <w:sz w:val="22"/>
          <w:szCs w:val="22"/>
          <w:lang w:val="en-US"/>
        </w:rPr>
        <w:tab/>
      </w:r>
      <w:r w:rsidRPr="00CA7E5B">
        <w:rPr>
          <w:rFonts w:ascii="Calibri" w:hAnsi="Calibri" w:cs="Arial"/>
          <w:sz w:val="22"/>
          <w:szCs w:val="22"/>
          <w:lang w:val="es-ES_tradnl"/>
        </w:rPr>
        <w:t xml:space="preserve">Mario López Garelli </w:t>
      </w:r>
    </w:p>
    <w:p w:rsidR="00905F9A" w:rsidRPr="00AD1260" w:rsidRDefault="00CC6E68" w:rsidP="00905F9A">
      <w:pPr>
        <w:tabs>
          <w:tab w:val="left" w:pos="5760"/>
        </w:tabs>
        <w:rPr>
          <w:rFonts w:ascii="Calibri" w:hAnsi="Calibri" w:cs="Arial"/>
          <w:sz w:val="22"/>
          <w:szCs w:val="22"/>
          <w:lang w:val="en-US"/>
        </w:rPr>
      </w:pPr>
      <w:r>
        <w:rPr>
          <w:rFonts w:ascii="Calibri" w:hAnsi="Calibri" w:cs="Arial"/>
          <w:sz w:val="22"/>
          <w:szCs w:val="22"/>
          <w:lang w:val="en-US"/>
        </w:rPr>
        <w:t xml:space="preserve">                                                                                                </w:t>
      </w:r>
      <w:r w:rsidR="00AD1260" w:rsidRPr="00AD1260">
        <w:rPr>
          <w:rFonts w:ascii="Calibri" w:hAnsi="Calibri" w:cs="Arial"/>
          <w:sz w:val="22"/>
          <w:szCs w:val="22"/>
          <w:lang w:val="en-US"/>
        </w:rPr>
        <w:t>By authorization of the Executive Secretary</w:t>
      </w:r>
    </w:p>
    <w:p w:rsidR="00905F9A" w:rsidRPr="00AD1260" w:rsidRDefault="00905F9A" w:rsidP="00905F9A">
      <w:pPr>
        <w:rPr>
          <w:lang w:val="en-US"/>
        </w:rPr>
      </w:pPr>
    </w:p>
    <w:p w:rsidR="00BC200F" w:rsidRPr="00AD1260" w:rsidRDefault="00BC200F">
      <w:pPr>
        <w:rPr>
          <w:lang w:val="en-US"/>
        </w:rPr>
      </w:pPr>
    </w:p>
    <w:sectPr w:rsidR="00BC200F" w:rsidRPr="00AD1260" w:rsidSect="00905F9A">
      <w:footerReference w:type="even" r:id="rId9"/>
      <w:pgSz w:w="12240" w:h="15840" w:code="1"/>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978" w:rsidRDefault="00357978">
      <w:r>
        <w:separator/>
      </w:r>
    </w:p>
  </w:endnote>
  <w:endnote w:type="continuationSeparator" w:id="0">
    <w:p w:rsidR="00357978" w:rsidRDefault="0035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E79" w:rsidRDefault="00E04E79" w:rsidP="00905F9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04E79" w:rsidRDefault="00E04E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978" w:rsidRDefault="00357978">
      <w:r>
        <w:separator/>
      </w:r>
    </w:p>
  </w:footnote>
  <w:footnote w:type="continuationSeparator" w:id="0">
    <w:p w:rsidR="00357978" w:rsidRDefault="003579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
    <w:nsid w:val="5210643E"/>
    <w:multiLevelType w:val="hybridMultilevel"/>
    <w:tmpl w:val="1A7C4672"/>
    <w:lvl w:ilvl="0" w:tplc="D4E8763A">
      <w:start w:val="1"/>
      <w:numFmt w:val="decimal"/>
      <w:lvlText w:val="%1."/>
      <w:lvlJc w:val="left"/>
      <w:pPr>
        <w:tabs>
          <w:tab w:val="num" w:pos="810"/>
        </w:tabs>
        <w:ind w:left="81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6BE5E6A"/>
    <w:multiLevelType w:val="hybridMultilevel"/>
    <w:tmpl w:val="99A4964C"/>
    <w:lvl w:ilvl="0" w:tplc="B95E0210">
      <w:start w:val="1"/>
      <w:numFmt w:val="decimal"/>
      <w:lvlText w:val="%1."/>
      <w:lvlJc w:val="left"/>
      <w:pPr>
        <w:tabs>
          <w:tab w:val="num" w:pos="720"/>
        </w:tabs>
        <w:ind w:firstLine="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5F9A"/>
    <w:rsid w:val="00003125"/>
    <w:rsid w:val="00005D5C"/>
    <w:rsid w:val="00010993"/>
    <w:rsid w:val="0001235B"/>
    <w:rsid w:val="000137A2"/>
    <w:rsid w:val="00014A38"/>
    <w:rsid w:val="00021E98"/>
    <w:rsid w:val="000244A3"/>
    <w:rsid w:val="00025019"/>
    <w:rsid w:val="00025BD4"/>
    <w:rsid w:val="00026D69"/>
    <w:rsid w:val="0003000B"/>
    <w:rsid w:val="00031814"/>
    <w:rsid w:val="00057DB3"/>
    <w:rsid w:val="000830BA"/>
    <w:rsid w:val="00083DAE"/>
    <w:rsid w:val="000942CB"/>
    <w:rsid w:val="000A090D"/>
    <w:rsid w:val="000A7E13"/>
    <w:rsid w:val="000A7E87"/>
    <w:rsid w:val="000B4727"/>
    <w:rsid w:val="000C0B54"/>
    <w:rsid w:val="000C15D7"/>
    <w:rsid w:val="000C2599"/>
    <w:rsid w:val="000D1A7E"/>
    <w:rsid w:val="000D77EF"/>
    <w:rsid w:val="000E04E8"/>
    <w:rsid w:val="000E3154"/>
    <w:rsid w:val="000E56CF"/>
    <w:rsid w:val="000E7BDC"/>
    <w:rsid w:val="000F079F"/>
    <w:rsid w:val="000F14A2"/>
    <w:rsid w:val="00104455"/>
    <w:rsid w:val="00106206"/>
    <w:rsid w:val="0011084B"/>
    <w:rsid w:val="00113F49"/>
    <w:rsid w:val="0011766A"/>
    <w:rsid w:val="00124555"/>
    <w:rsid w:val="00125A0B"/>
    <w:rsid w:val="00130466"/>
    <w:rsid w:val="00147A6B"/>
    <w:rsid w:val="001534C2"/>
    <w:rsid w:val="00154D3D"/>
    <w:rsid w:val="00154EFB"/>
    <w:rsid w:val="00161397"/>
    <w:rsid w:val="00161615"/>
    <w:rsid w:val="001631F2"/>
    <w:rsid w:val="00165C07"/>
    <w:rsid w:val="00172D45"/>
    <w:rsid w:val="001761C1"/>
    <w:rsid w:val="00176ED7"/>
    <w:rsid w:val="00182A90"/>
    <w:rsid w:val="00185BF4"/>
    <w:rsid w:val="00186B4E"/>
    <w:rsid w:val="00187323"/>
    <w:rsid w:val="00190965"/>
    <w:rsid w:val="001A06D5"/>
    <w:rsid w:val="001A2247"/>
    <w:rsid w:val="001A2DB0"/>
    <w:rsid w:val="001A7463"/>
    <w:rsid w:val="001B0149"/>
    <w:rsid w:val="001C077F"/>
    <w:rsid w:val="001C3C72"/>
    <w:rsid w:val="001C5004"/>
    <w:rsid w:val="001D57B5"/>
    <w:rsid w:val="001D67A2"/>
    <w:rsid w:val="001E098F"/>
    <w:rsid w:val="001E14C8"/>
    <w:rsid w:val="001E69CF"/>
    <w:rsid w:val="001F3456"/>
    <w:rsid w:val="001F3AFF"/>
    <w:rsid w:val="001F6F6D"/>
    <w:rsid w:val="001F7ABF"/>
    <w:rsid w:val="00203D92"/>
    <w:rsid w:val="002063BF"/>
    <w:rsid w:val="00210F9E"/>
    <w:rsid w:val="00211FFC"/>
    <w:rsid w:val="00212A04"/>
    <w:rsid w:val="0021303A"/>
    <w:rsid w:val="00226EA4"/>
    <w:rsid w:val="0022777E"/>
    <w:rsid w:val="00236948"/>
    <w:rsid w:val="00241B4C"/>
    <w:rsid w:val="0024217E"/>
    <w:rsid w:val="00243B7C"/>
    <w:rsid w:val="00245A58"/>
    <w:rsid w:val="00246EA0"/>
    <w:rsid w:val="00254319"/>
    <w:rsid w:val="00270841"/>
    <w:rsid w:val="002745D8"/>
    <w:rsid w:val="00274990"/>
    <w:rsid w:val="002860A4"/>
    <w:rsid w:val="002923FC"/>
    <w:rsid w:val="00293881"/>
    <w:rsid w:val="00295494"/>
    <w:rsid w:val="002C067C"/>
    <w:rsid w:val="002C68EB"/>
    <w:rsid w:val="002D3BC5"/>
    <w:rsid w:val="002D5EDB"/>
    <w:rsid w:val="002D6EDF"/>
    <w:rsid w:val="002E3F11"/>
    <w:rsid w:val="002F0718"/>
    <w:rsid w:val="002F71A0"/>
    <w:rsid w:val="002F7846"/>
    <w:rsid w:val="00300421"/>
    <w:rsid w:val="0030200F"/>
    <w:rsid w:val="00302DEF"/>
    <w:rsid w:val="00303E67"/>
    <w:rsid w:val="0030408A"/>
    <w:rsid w:val="003138DC"/>
    <w:rsid w:val="003146F2"/>
    <w:rsid w:val="003159A4"/>
    <w:rsid w:val="0031798E"/>
    <w:rsid w:val="00323285"/>
    <w:rsid w:val="003247A7"/>
    <w:rsid w:val="00325DCE"/>
    <w:rsid w:val="00330303"/>
    <w:rsid w:val="0033531D"/>
    <w:rsid w:val="00340864"/>
    <w:rsid w:val="00346832"/>
    <w:rsid w:val="003501CC"/>
    <w:rsid w:val="00356B91"/>
    <w:rsid w:val="00357978"/>
    <w:rsid w:val="00362931"/>
    <w:rsid w:val="003649F4"/>
    <w:rsid w:val="003653D9"/>
    <w:rsid w:val="00370184"/>
    <w:rsid w:val="003854AE"/>
    <w:rsid w:val="00386D58"/>
    <w:rsid w:val="003873FE"/>
    <w:rsid w:val="003943C6"/>
    <w:rsid w:val="00396C81"/>
    <w:rsid w:val="003A7E21"/>
    <w:rsid w:val="003B65D5"/>
    <w:rsid w:val="003C0BFE"/>
    <w:rsid w:val="003C1305"/>
    <w:rsid w:val="003C1938"/>
    <w:rsid w:val="003D0BBB"/>
    <w:rsid w:val="003E1519"/>
    <w:rsid w:val="003E5331"/>
    <w:rsid w:val="003E7F0A"/>
    <w:rsid w:val="00403232"/>
    <w:rsid w:val="004147CD"/>
    <w:rsid w:val="00415B0A"/>
    <w:rsid w:val="00424863"/>
    <w:rsid w:val="00425C45"/>
    <w:rsid w:val="00425FFF"/>
    <w:rsid w:val="004339FD"/>
    <w:rsid w:val="0044557F"/>
    <w:rsid w:val="0044588C"/>
    <w:rsid w:val="00446F12"/>
    <w:rsid w:val="00451412"/>
    <w:rsid w:val="0045741A"/>
    <w:rsid w:val="004600BC"/>
    <w:rsid w:val="004630CE"/>
    <w:rsid w:val="004720D4"/>
    <w:rsid w:val="00474984"/>
    <w:rsid w:val="00477065"/>
    <w:rsid w:val="00483904"/>
    <w:rsid w:val="00483FBB"/>
    <w:rsid w:val="00492FE9"/>
    <w:rsid w:val="00495D9D"/>
    <w:rsid w:val="004A3369"/>
    <w:rsid w:val="004A57F7"/>
    <w:rsid w:val="004B03C7"/>
    <w:rsid w:val="004B2911"/>
    <w:rsid w:val="004B4023"/>
    <w:rsid w:val="004B5234"/>
    <w:rsid w:val="004C5360"/>
    <w:rsid w:val="004D12DC"/>
    <w:rsid w:val="004D581A"/>
    <w:rsid w:val="004E6788"/>
    <w:rsid w:val="00500446"/>
    <w:rsid w:val="005073BB"/>
    <w:rsid w:val="00522D5A"/>
    <w:rsid w:val="0053734D"/>
    <w:rsid w:val="0054322E"/>
    <w:rsid w:val="0054324D"/>
    <w:rsid w:val="0054667E"/>
    <w:rsid w:val="005604E8"/>
    <w:rsid w:val="005705F4"/>
    <w:rsid w:val="00577820"/>
    <w:rsid w:val="00581193"/>
    <w:rsid w:val="005A0FD2"/>
    <w:rsid w:val="005B239F"/>
    <w:rsid w:val="005B3935"/>
    <w:rsid w:val="005B39FF"/>
    <w:rsid w:val="005D2269"/>
    <w:rsid w:val="005F0341"/>
    <w:rsid w:val="005F13E1"/>
    <w:rsid w:val="005F2756"/>
    <w:rsid w:val="005F633A"/>
    <w:rsid w:val="00602E62"/>
    <w:rsid w:val="00603360"/>
    <w:rsid w:val="006078B9"/>
    <w:rsid w:val="00632555"/>
    <w:rsid w:val="00655E69"/>
    <w:rsid w:val="006563E8"/>
    <w:rsid w:val="0065714B"/>
    <w:rsid w:val="0065781A"/>
    <w:rsid w:val="00675349"/>
    <w:rsid w:val="00680F7B"/>
    <w:rsid w:val="00681ECF"/>
    <w:rsid w:val="00683524"/>
    <w:rsid w:val="006855CF"/>
    <w:rsid w:val="006900E0"/>
    <w:rsid w:val="006944A6"/>
    <w:rsid w:val="00694677"/>
    <w:rsid w:val="00694EED"/>
    <w:rsid w:val="006A2EDA"/>
    <w:rsid w:val="006A350D"/>
    <w:rsid w:val="006A370D"/>
    <w:rsid w:val="006A4FB0"/>
    <w:rsid w:val="006A5A60"/>
    <w:rsid w:val="006B3045"/>
    <w:rsid w:val="006B3C0C"/>
    <w:rsid w:val="006B405A"/>
    <w:rsid w:val="006C1C4A"/>
    <w:rsid w:val="006C246D"/>
    <w:rsid w:val="006C39FE"/>
    <w:rsid w:val="006D07B8"/>
    <w:rsid w:val="006D166E"/>
    <w:rsid w:val="006D1819"/>
    <w:rsid w:val="006D737F"/>
    <w:rsid w:val="006E174A"/>
    <w:rsid w:val="006E3791"/>
    <w:rsid w:val="006E6488"/>
    <w:rsid w:val="006E7E6F"/>
    <w:rsid w:val="006F5369"/>
    <w:rsid w:val="006F5666"/>
    <w:rsid w:val="006F6DAF"/>
    <w:rsid w:val="00702976"/>
    <w:rsid w:val="00702E9C"/>
    <w:rsid w:val="0070615F"/>
    <w:rsid w:val="007148BF"/>
    <w:rsid w:val="007172BC"/>
    <w:rsid w:val="007220CF"/>
    <w:rsid w:val="00722371"/>
    <w:rsid w:val="00723EEB"/>
    <w:rsid w:val="00732F34"/>
    <w:rsid w:val="0074666B"/>
    <w:rsid w:val="00764381"/>
    <w:rsid w:val="00777E7D"/>
    <w:rsid w:val="007807FB"/>
    <w:rsid w:val="00782588"/>
    <w:rsid w:val="00786B4E"/>
    <w:rsid w:val="007935BC"/>
    <w:rsid w:val="007A0B8B"/>
    <w:rsid w:val="007A3F62"/>
    <w:rsid w:val="007B15FE"/>
    <w:rsid w:val="007B25E0"/>
    <w:rsid w:val="007B51B9"/>
    <w:rsid w:val="007B6E35"/>
    <w:rsid w:val="007C4082"/>
    <w:rsid w:val="007C6D4B"/>
    <w:rsid w:val="007D0D25"/>
    <w:rsid w:val="007D2E4F"/>
    <w:rsid w:val="007D5429"/>
    <w:rsid w:val="007D5FCC"/>
    <w:rsid w:val="007D75DB"/>
    <w:rsid w:val="007E589E"/>
    <w:rsid w:val="007F59BA"/>
    <w:rsid w:val="007F7BFF"/>
    <w:rsid w:val="00801024"/>
    <w:rsid w:val="00814DAA"/>
    <w:rsid w:val="00822DCB"/>
    <w:rsid w:val="008242FF"/>
    <w:rsid w:val="00834FE4"/>
    <w:rsid w:val="00837C4D"/>
    <w:rsid w:val="00851CFC"/>
    <w:rsid w:val="008605EC"/>
    <w:rsid w:val="008643A2"/>
    <w:rsid w:val="00864670"/>
    <w:rsid w:val="00865354"/>
    <w:rsid w:val="0086587C"/>
    <w:rsid w:val="008662B2"/>
    <w:rsid w:val="008764B1"/>
    <w:rsid w:val="00880318"/>
    <w:rsid w:val="0088280A"/>
    <w:rsid w:val="0088504B"/>
    <w:rsid w:val="00890868"/>
    <w:rsid w:val="008910D9"/>
    <w:rsid w:val="00891538"/>
    <w:rsid w:val="00895920"/>
    <w:rsid w:val="008969AF"/>
    <w:rsid w:val="008A1614"/>
    <w:rsid w:val="008A2350"/>
    <w:rsid w:val="008A24EE"/>
    <w:rsid w:val="008A4F40"/>
    <w:rsid w:val="008A667F"/>
    <w:rsid w:val="008A7B60"/>
    <w:rsid w:val="008B1AF2"/>
    <w:rsid w:val="008C1A06"/>
    <w:rsid w:val="008C3D17"/>
    <w:rsid w:val="008D717A"/>
    <w:rsid w:val="008E1A6A"/>
    <w:rsid w:val="008E3780"/>
    <w:rsid w:val="008E39BD"/>
    <w:rsid w:val="008E5903"/>
    <w:rsid w:val="008F212C"/>
    <w:rsid w:val="009047DE"/>
    <w:rsid w:val="00905107"/>
    <w:rsid w:val="00905F9A"/>
    <w:rsid w:val="00906BE0"/>
    <w:rsid w:val="00920CFE"/>
    <w:rsid w:val="00921F5E"/>
    <w:rsid w:val="009262A1"/>
    <w:rsid w:val="0093143E"/>
    <w:rsid w:val="00931A56"/>
    <w:rsid w:val="009338BC"/>
    <w:rsid w:val="00942B05"/>
    <w:rsid w:val="00943F0B"/>
    <w:rsid w:val="009575C6"/>
    <w:rsid w:val="00961A74"/>
    <w:rsid w:val="00962080"/>
    <w:rsid w:val="00966162"/>
    <w:rsid w:val="00971537"/>
    <w:rsid w:val="00975633"/>
    <w:rsid w:val="0097791A"/>
    <w:rsid w:val="009944C9"/>
    <w:rsid w:val="009A3BDB"/>
    <w:rsid w:val="009A5B78"/>
    <w:rsid w:val="009A7890"/>
    <w:rsid w:val="009A79A3"/>
    <w:rsid w:val="009B0AB8"/>
    <w:rsid w:val="009C4824"/>
    <w:rsid w:val="009C6D53"/>
    <w:rsid w:val="009D568D"/>
    <w:rsid w:val="009F7623"/>
    <w:rsid w:val="00A015B0"/>
    <w:rsid w:val="00A02BF1"/>
    <w:rsid w:val="00A03CE3"/>
    <w:rsid w:val="00A04ABF"/>
    <w:rsid w:val="00A1121B"/>
    <w:rsid w:val="00A123FA"/>
    <w:rsid w:val="00A13CE4"/>
    <w:rsid w:val="00A1454F"/>
    <w:rsid w:val="00A148C1"/>
    <w:rsid w:val="00A1722B"/>
    <w:rsid w:val="00A177F7"/>
    <w:rsid w:val="00A17B9C"/>
    <w:rsid w:val="00A20588"/>
    <w:rsid w:val="00A30081"/>
    <w:rsid w:val="00A4029A"/>
    <w:rsid w:val="00A41141"/>
    <w:rsid w:val="00A42F39"/>
    <w:rsid w:val="00A52739"/>
    <w:rsid w:val="00A57092"/>
    <w:rsid w:val="00A61C40"/>
    <w:rsid w:val="00A71E24"/>
    <w:rsid w:val="00A71F0F"/>
    <w:rsid w:val="00A74C98"/>
    <w:rsid w:val="00A803D0"/>
    <w:rsid w:val="00A8194C"/>
    <w:rsid w:val="00A93D93"/>
    <w:rsid w:val="00AA0751"/>
    <w:rsid w:val="00AA1BD7"/>
    <w:rsid w:val="00AA569D"/>
    <w:rsid w:val="00AD1260"/>
    <w:rsid w:val="00AD6C2E"/>
    <w:rsid w:val="00AD6CEB"/>
    <w:rsid w:val="00AF352B"/>
    <w:rsid w:val="00B0466F"/>
    <w:rsid w:val="00B132B2"/>
    <w:rsid w:val="00B1390B"/>
    <w:rsid w:val="00B33739"/>
    <w:rsid w:val="00B44682"/>
    <w:rsid w:val="00B447B8"/>
    <w:rsid w:val="00B51EA4"/>
    <w:rsid w:val="00B617BA"/>
    <w:rsid w:val="00B62E0B"/>
    <w:rsid w:val="00B630A7"/>
    <w:rsid w:val="00B64FFF"/>
    <w:rsid w:val="00B65939"/>
    <w:rsid w:val="00B67FFD"/>
    <w:rsid w:val="00B70D0C"/>
    <w:rsid w:val="00B71547"/>
    <w:rsid w:val="00B71706"/>
    <w:rsid w:val="00B76910"/>
    <w:rsid w:val="00B840B6"/>
    <w:rsid w:val="00B86088"/>
    <w:rsid w:val="00BA75D6"/>
    <w:rsid w:val="00BB1370"/>
    <w:rsid w:val="00BB4C74"/>
    <w:rsid w:val="00BB55C3"/>
    <w:rsid w:val="00BC200F"/>
    <w:rsid w:val="00BC6676"/>
    <w:rsid w:val="00BC68C0"/>
    <w:rsid w:val="00BC7AF4"/>
    <w:rsid w:val="00BD08FA"/>
    <w:rsid w:val="00BD1B7C"/>
    <w:rsid w:val="00BD3FBE"/>
    <w:rsid w:val="00BD440E"/>
    <w:rsid w:val="00BD70EA"/>
    <w:rsid w:val="00BD79DA"/>
    <w:rsid w:val="00BF1F5D"/>
    <w:rsid w:val="00BF22E6"/>
    <w:rsid w:val="00BF2728"/>
    <w:rsid w:val="00C17ACB"/>
    <w:rsid w:val="00C21829"/>
    <w:rsid w:val="00C40AAD"/>
    <w:rsid w:val="00C43563"/>
    <w:rsid w:val="00C45825"/>
    <w:rsid w:val="00C463DE"/>
    <w:rsid w:val="00C473EC"/>
    <w:rsid w:val="00C52AE0"/>
    <w:rsid w:val="00C631FB"/>
    <w:rsid w:val="00C6623D"/>
    <w:rsid w:val="00C74751"/>
    <w:rsid w:val="00C768A8"/>
    <w:rsid w:val="00C82495"/>
    <w:rsid w:val="00C96134"/>
    <w:rsid w:val="00C97402"/>
    <w:rsid w:val="00CA1344"/>
    <w:rsid w:val="00CA40D7"/>
    <w:rsid w:val="00CA62A7"/>
    <w:rsid w:val="00CB3463"/>
    <w:rsid w:val="00CB7021"/>
    <w:rsid w:val="00CC0210"/>
    <w:rsid w:val="00CC3C1B"/>
    <w:rsid w:val="00CC4821"/>
    <w:rsid w:val="00CC6E68"/>
    <w:rsid w:val="00CD5A59"/>
    <w:rsid w:val="00CE7CE3"/>
    <w:rsid w:val="00CE7CE5"/>
    <w:rsid w:val="00CF19DF"/>
    <w:rsid w:val="00CF7509"/>
    <w:rsid w:val="00D02D68"/>
    <w:rsid w:val="00D04DF2"/>
    <w:rsid w:val="00D30101"/>
    <w:rsid w:val="00D436E3"/>
    <w:rsid w:val="00D50DDA"/>
    <w:rsid w:val="00D51461"/>
    <w:rsid w:val="00D57941"/>
    <w:rsid w:val="00D66F88"/>
    <w:rsid w:val="00D675F8"/>
    <w:rsid w:val="00D67B81"/>
    <w:rsid w:val="00D76041"/>
    <w:rsid w:val="00D8234D"/>
    <w:rsid w:val="00D8435A"/>
    <w:rsid w:val="00D8470F"/>
    <w:rsid w:val="00D92908"/>
    <w:rsid w:val="00D95A12"/>
    <w:rsid w:val="00D97615"/>
    <w:rsid w:val="00DA1DBE"/>
    <w:rsid w:val="00DA3ECD"/>
    <w:rsid w:val="00DA4825"/>
    <w:rsid w:val="00DB0DF8"/>
    <w:rsid w:val="00DB3970"/>
    <w:rsid w:val="00DB6302"/>
    <w:rsid w:val="00DD2DC0"/>
    <w:rsid w:val="00DE0263"/>
    <w:rsid w:val="00DE6936"/>
    <w:rsid w:val="00DF0C07"/>
    <w:rsid w:val="00E027A5"/>
    <w:rsid w:val="00E04E79"/>
    <w:rsid w:val="00E11F54"/>
    <w:rsid w:val="00E24C89"/>
    <w:rsid w:val="00E25D0F"/>
    <w:rsid w:val="00E3379F"/>
    <w:rsid w:val="00E41D0C"/>
    <w:rsid w:val="00E454D7"/>
    <w:rsid w:val="00E50423"/>
    <w:rsid w:val="00E50786"/>
    <w:rsid w:val="00E54781"/>
    <w:rsid w:val="00E60A76"/>
    <w:rsid w:val="00E617E8"/>
    <w:rsid w:val="00E62FCC"/>
    <w:rsid w:val="00E7423A"/>
    <w:rsid w:val="00E7610A"/>
    <w:rsid w:val="00E81F07"/>
    <w:rsid w:val="00E92CDF"/>
    <w:rsid w:val="00E93527"/>
    <w:rsid w:val="00EA1DA6"/>
    <w:rsid w:val="00EA1FAF"/>
    <w:rsid w:val="00EA34C4"/>
    <w:rsid w:val="00EA6628"/>
    <w:rsid w:val="00EA71DB"/>
    <w:rsid w:val="00EB3346"/>
    <w:rsid w:val="00EB40A3"/>
    <w:rsid w:val="00ED346E"/>
    <w:rsid w:val="00ED66D0"/>
    <w:rsid w:val="00EE0C0F"/>
    <w:rsid w:val="00EF02DA"/>
    <w:rsid w:val="00EF1B42"/>
    <w:rsid w:val="00F07419"/>
    <w:rsid w:val="00F105CC"/>
    <w:rsid w:val="00F2358F"/>
    <w:rsid w:val="00F3171D"/>
    <w:rsid w:val="00F317DF"/>
    <w:rsid w:val="00F34BEA"/>
    <w:rsid w:val="00F66840"/>
    <w:rsid w:val="00F66DB3"/>
    <w:rsid w:val="00F70C53"/>
    <w:rsid w:val="00F7188A"/>
    <w:rsid w:val="00F73AC2"/>
    <w:rsid w:val="00F74404"/>
    <w:rsid w:val="00F77360"/>
    <w:rsid w:val="00F80D3E"/>
    <w:rsid w:val="00F86854"/>
    <w:rsid w:val="00F94280"/>
    <w:rsid w:val="00FA057A"/>
    <w:rsid w:val="00FB2B10"/>
    <w:rsid w:val="00FB672F"/>
    <w:rsid w:val="00FE53B0"/>
    <w:rsid w:val="00FE75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5F9A"/>
    <w:rPr>
      <w:rFonts w:eastAsia="MS Mincho"/>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905F9A"/>
    <w:pPr>
      <w:spacing w:after="120"/>
    </w:pPr>
  </w:style>
  <w:style w:type="paragraph" w:styleId="Piedepgina">
    <w:name w:val="footer"/>
    <w:basedOn w:val="Normal"/>
    <w:rsid w:val="00905F9A"/>
    <w:pPr>
      <w:tabs>
        <w:tab w:val="center" w:pos="4153"/>
        <w:tab w:val="right" w:pos="8306"/>
      </w:tabs>
    </w:pPr>
  </w:style>
  <w:style w:type="character" w:styleId="Nmerodepgina">
    <w:name w:val="page number"/>
    <w:basedOn w:val="Fuentedeprrafopredeter"/>
    <w:rsid w:val="00905F9A"/>
  </w:style>
  <w:style w:type="paragraph" w:styleId="Sangra3detindependiente">
    <w:name w:val="Body Text Indent 3"/>
    <w:basedOn w:val="Normal"/>
    <w:link w:val="Sangra3detindependienteCar"/>
    <w:semiHidden/>
    <w:rsid w:val="00EB40A3"/>
    <w:pPr>
      <w:spacing w:after="120"/>
      <w:ind w:left="360"/>
    </w:pPr>
    <w:rPr>
      <w:sz w:val="16"/>
      <w:szCs w:val="16"/>
      <w:lang w:val="en-US" w:eastAsia="en-US"/>
    </w:rPr>
  </w:style>
  <w:style w:type="character" w:customStyle="1" w:styleId="Sangra3detindependienteCar">
    <w:name w:val="Sangría 3 de t. independiente Car"/>
    <w:link w:val="Sangra3detindependiente"/>
    <w:semiHidden/>
    <w:locked/>
    <w:rsid w:val="00EB40A3"/>
    <w:rPr>
      <w:rFonts w:eastAsia="MS Mincho"/>
      <w:sz w:val="16"/>
      <w:szCs w:val="16"/>
      <w:lang w:val="en-US" w:eastAsia="en-US" w:bidi="ar-SA"/>
    </w:rPr>
  </w:style>
  <w:style w:type="character" w:styleId="Hipervnculo">
    <w:name w:val="Hyperlink"/>
    <w:rsid w:val="001F6F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1594</Words>
  <Characters>8772</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2018-02-08T22:06:00Z</cp:lastPrinted>
  <dcterms:created xsi:type="dcterms:W3CDTF">2018-02-08T22:06:00Z</dcterms:created>
  <dcterms:modified xsi:type="dcterms:W3CDTF">2018-02-08T22:06:00Z</dcterms:modified>
</cp:coreProperties>
</file>