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E98" w:rsidRPr="00271E98" w:rsidRDefault="00271E98" w:rsidP="00271E98">
      <w:pPr>
        <w:ind w:left="540" w:firstLine="180"/>
        <w:jc w:val="both"/>
        <w:rPr>
          <w:rFonts w:ascii="Calibri" w:hAnsi="Calibri" w:cs="Arial"/>
          <w:sz w:val="22"/>
          <w:szCs w:val="22"/>
          <w:lang w:val="en-US"/>
        </w:rPr>
      </w:pPr>
      <w:bookmarkStart w:id="0" w:name="_GoBack"/>
      <w:bookmarkEnd w:id="0"/>
      <w:r w:rsidRPr="00271E98">
        <w:rPr>
          <w:rFonts w:ascii="Calibri" w:hAnsi="Calibri" w:cs="Arial"/>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0.05pt;margin-top:36.2pt;width:63pt;height:63pt;z-index:-2;mso-wrap-edited:f;mso-position-horizontal-relative:page;mso-position-vertical-relative:page" wrapcoords="240 720 240 20880 21360 20880 21360 720 240 720" fillcolor="window">
            <v:imagedata r:id="rId7" o:title="" croptop="-1680f" cropbottom="-1680f" cropleft="-1680f" cropright="-1680f"/>
            <w10:wrap type="tight" anchorx="page" anchory="page"/>
          </v:shape>
        </w:pict>
      </w:r>
      <w:r w:rsidRPr="00271E98">
        <w:rPr>
          <w:rFonts w:ascii="Calibri" w:hAnsi="Calibri" w:cs="Arial"/>
          <w:noProof/>
          <w:sz w:val="22"/>
          <w:szCs w:val="22"/>
          <w:lang w:val="en-US" w:eastAsia="en-US"/>
        </w:rPr>
        <w:pict>
          <v:shape id="_x0000_s1028" type="#_x0000_t75" style="position:absolute;left:0;text-align:left;margin-left:400.05pt;margin-top:.2pt;width:81pt;height:67.4pt;z-index:-1" wrapcoords="-182 0 -182 21382 21600 21382 21600 0 -182 0">
            <v:imagedata r:id="rId8" o:title="CIDH_spa"/>
            <w10:wrap type="through"/>
          </v:shape>
        </w:pict>
      </w:r>
      <w:r w:rsidRPr="00271E98">
        <w:rPr>
          <w:rFonts w:ascii="Calibri" w:hAnsi="Calibri" w:cs="Arial"/>
          <w:sz w:val="22"/>
          <w:szCs w:val="22"/>
          <w:lang w:val="en-US"/>
        </w:rPr>
        <w:t>INTER  -  AMERICAN   COMMISSION  ON  HUMAN  RIGHTS</w:t>
      </w:r>
    </w:p>
    <w:p w:rsidR="00271E98" w:rsidRPr="00271E98" w:rsidRDefault="00271E98" w:rsidP="00271E98">
      <w:pPr>
        <w:ind w:left="1980" w:firstLine="180"/>
        <w:jc w:val="both"/>
        <w:rPr>
          <w:rFonts w:ascii="Calibri" w:hAnsi="Calibri" w:cs="Arial"/>
          <w:sz w:val="22"/>
          <w:szCs w:val="22"/>
          <w:lang w:val="en-US"/>
        </w:rPr>
      </w:pPr>
      <w:r w:rsidRPr="00271E98">
        <w:rPr>
          <w:rFonts w:ascii="Calibri" w:hAnsi="Calibri" w:cs="Arial"/>
          <w:sz w:val="22"/>
          <w:szCs w:val="22"/>
          <w:lang w:val="en-US"/>
        </w:rPr>
        <w:t>COMISION  INTERAMERICANA  DE  DERECHOS   HUMANOS</w:t>
      </w:r>
    </w:p>
    <w:p w:rsidR="00271E98" w:rsidRPr="00271E98" w:rsidRDefault="00271E98" w:rsidP="00271E98">
      <w:pPr>
        <w:ind w:left="540" w:firstLine="180"/>
        <w:jc w:val="both"/>
        <w:rPr>
          <w:rFonts w:ascii="Calibri" w:hAnsi="Calibri" w:cs="Arial"/>
          <w:sz w:val="22"/>
          <w:szCs w:val="22"/>
          <w:lang w:val="en-US"/>
        </w:rPr>
      </w:pPr>
      <w:r w:rsidRPr="00271E98">
        <w:rPr>
          <w:rFonts w:ascii="Calibri" w:hAnsi="Calibri" w:cs="Arial"/>
          <w:sz w:val="22"/>
          <w:szCs w:val="22"/>
          <w:lang w:val="en-US"/>
        </w:rPr>
        <w:t>COMISSÃO   INTERAMERICANA  DE  DIREITOS   HUMANOS</w:t>
      </w:r>
    </w:p>
    <w:p w:rsidR="00271E98" w:rsidRPr="00271E98" w:rsidRDefault="00271E98" w:rsidP="00271E98">
      <w:pPr>
        <w:ind w:left="720"/>
        <w:jc w:val="both"/>
        <w:rPr>
          <w:rFonts w:ascii="Calibri" w:hAnsi="Calibri" w:cs="Arial"/>
          <w:sz w:val="22"/>
          <w:szCs w:val="22"/>
          <w:lang w:val="en-US"/>
        </w:rPr>
      </w:pPr>
      <w:r w:rsidRPr="00271E98">
        <w:rPr>
          <w:rFonts w:ascii="Calibri" w:hAnsi="Calibri" w:cs="Arial"/>
          <w:sz w:val="22"/>
          <w:szCs w:val="22"/>
          <w:lang w:val="en-US"/>
        </w:rPr>
        <w:t xml:space="preserve">  COMMISSION INTERAMÉRICAINE DES DROITS DE L'HOMME</w:t>
      </w:r>
    </w:p>
    <w:p w:rsidR="00271E98" w:rsidRPr="00271E98" w:rsidRDefault="00271E98" w:rsidP="00271E98">
      <w:pPr>
        <w:jc w:val="both"/>
        <w:rPr>
          <w:rFonts w:ascii="Calibri" w:hAnsi="Calibri" w:cs="Arial"/>
          <w:sz w:val="22"/>
          <w:szCs w:val="22"/>
          <w:lang w:val="en-US"/>
        </w:rPr>
      </w:pPr>
    </w:p>
    <w:p w:rsidR="00271E98" w:rsidRPr="00271E98" w:rsidRDefault="00271E98" w:rsidP="00271E98">
      <w:pPr>
        <w:jc w:val="both"/>
        <w:rPr>
          <w:rFonts w:ascii="Calibri" w:hAnsi="Calibri" w:cs="Arial"/>
          <w:sz w:val="22"/>
          <w:szCs w:val="22"/>
          <w:lang w:val="en-US"/>
        </w:rPr>
      </w:pPr>
      <w:r w:rsidRPr="00271E98">
        <w:rPr>
          <w:rFonts w:ascii="Calibri" w:hAnsi="Calibri" w:cs="Arial"/>
          <w:noProof/>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271E98" w:rsidRPr="00271E98" w:rsidRDefault="00271E98" w:rsidP="00271E98">
      <w:pPr>
        <w:jc w:val="both"/>
        <w:rPr>
          <w:rFonts w:ascii="Calibri" w:hAnsi="Calibri" w:cs="Arial"/>
          <w:b/>
          <w:sz w:val="22"/>
          <w:szCs w:val="22"/>
          <w:lang w:val="en-US"/>
        </w:rPr>
      </w:pPr>
      <w:r w:rsidRPr="00271E98">
        <w:rPr>
          <w:rFonts w:ascii="Calibri" w:hAnsi="Calibri" w:cs="Arial"/>
          <w:b/>
          <w:sz w:val="22"/>
          <w:szCs w:val="22"/>
          <w:lang w:val="en-US"/>
        </w:rPr>
        <w:t>ORGANIZACIÓN DE LOS ESTADOS AMERICANOS</w:t>
      </w:r>
    </w:p>
    <w:p w:rsidR="00271E98" w:rsidRPr="00271E98" w:rsidRDefault="00271E98" w:rsidP="00271E98">
      <w:pPr>
        <w:jc w:val="both"/>
        <w:rPr>
          <w:rFonts w:ascii="Calibri" w:hAnsi="Calibri" w:cs="Arial"/>
          <w:b/>
          <w:sz w:val="22"/>
          <w:szCs w:val="22"/>
        </w:rPr>
      </w:pPr>
      <w:r w:rsidRPr="00271E98">
        <w:rPr>
          <w:rFonts w:ascii="Calibri" w:hAnsi="Calibri" w:cs="Arial"/>
          <w:b/>
          <w:sz w:val="22"/>
          <w:szCs w:val="22"/>
        </w:rPr>
        <w:t>WASHINGTON, D.C. 2 0 0 0 6  EEUU</w:t>
      </w:r>
    </w:p>
    <w:p w:rsidR="00271E98" w:rsidRPr="00271E98" w:rsidRDefault="00271E98" w:rsidP="00271E98">
      <w:pPr>
        <w:rPr>
          <w:rFonts w:ascii="Calibri" w:hAnsi="Calibri"/>
          <w:sz w:val="22"/>
          <w:szCs w:val="22"/>
        </w:rPr>
      </w:pPr>
    </w:p>
    <w:p w:rsidR="00271E98" w:rsidRPr="00271E98" w:rsidRDefault="00A53FE9" w:rsidP="00271E98">
      <w:pPr>
        <w:suppressAutoHyphens/>
        <w:jc w:val="right"/>
        <w:rPr>
          <w:rFonts w:ascii="Calibri" w:hAnsi="Calibri" w:cs="Arial"/>
          <w:sz w:val="22"/>
          <w:szCs w:val="22"/>
          <w:lang w:val="es-PE"/>
        </w:rPr>
      </w:pPr>
      <w:r>
        <w:rPr>
          <w:rFonts w:ascii="Calibri" w:hAnsi="Calibri" w:cs="Arial"/>
          <w:sz w:val="22"/>
          <w:szCs w:val="22"/>
          <w:lang w:val="es-PE"/>
        </w:rPr>
        <w:t xml:space="preserve">March 5, </w:t>
      </w:r>
      <w:r w:rsidR="00271E98" w:rsidRPr="00271E98">
        <w:rPr>
          <w:rFonts w:ascii="Calibri" w:hAnsi="Calibri" w:cs="Arial"/>
          <w:sz w:val="22"/>
          <w:szCs w:val="22"/>
          <w:lang w:val="es-PE"/>
        </w:rPr>
        <w:t>201</w:t>
      </w:r>
      <w:r w:rsidR="00261807">
        <w:rPr>
          <w:rFonts w:ascii="Calibri" w:hAnsi="Calibri" w:cs="Arial"/>
          <w:sz w:val="22"/>
          <w:szCs w:val="22"/>
          <w:lang w:val="es-PE"/>
        </w:rPr>
        <w:t>4</w:t>
      </w:r>
    </w:p>
    <w:p w:rsidR="00271E98" w:rsidRPr="00271E98" w:rsidRDefault="00271E98" w:rsidP="00271E98">
      <w:pPr>
        <w:tabs>
          <w:tab w:val="left" w:pos="720"/>
          <w:tab w:val="center" w:pos="6480"/>
        </w:tabs>
        <w:jc w:val="both"/>
        <w:rPr>
          <w:rFonts w:ascii="Calibri" w:hAnsi="Calibri" w:cs="Arial"/>
          <w:b/>
          <w:sz w:val="22"/>
          <w:szCs w:val="22"/>
          <w:lang w:val="es-ES_tradnl"/>
        </w:rPr>
      </w:pPr>
      <w:r w:rsidRPr="00271E98">
        <w:rPr>
          <w:rFonts w:ascii="Calibri" w:hAnsi="Calibri" w:cs="Arial"/>
          <w:b/>
          <w:sz w:val="22"/>
          <w:szCs w:val="22"/>
          <w:lang w:val="es-ES_tradnl"/>
        </w:rPr>
        <w:t>Ref.:</w:t>
      </w:r>
      <w:bookmarkStart w:id="1" w:name="Peticion_n"/>
      <w:bookmarkEnd w:id="1"/>
      <w:r w:rsidR="00A53FE9">
        <w:rPr>
          <w:rFonts w:ascii="Calibri" w:hAnsi="Calibri" w:cs="Arial"/>
          <w:b/>
          <w:sz w:val="22"/>
          <w:szCs w:val="22"/>
          <w:lang w:val="es-ES_tradnl"/>
        </w:rPr>
        <w:tab/>
        <w:t>Case</w:t>
      </w:r>
      <w:r w:rsidRPr="00271E98">
        <w:rPr>
          <w:rFonts w:ascii="Calibri" w:hAnsi="Calibri" w:cs="Arial"/>
          <w:b/>
          <w:sz w:val="22"/>
          <w:szCs w:val="22"/>
          <w:lang w:val="es-ES_tradnl"/>
        </w:rPr>
        <w:t xml:space="preserve"> No. 12.77</w:t>
      </w:r>
      <w:r w:rsidR="00B11897">
        <w:rPr>
          <w:rFonts w:ascii="Calibri" w:hAnsi="Calibri" w:cs="Arial"/>
          <w:b/>
          <w:sz w:val="22"/>
          <w:szCs w:val="22"/>
          <w:lang w:val="es-ES_tradnl"/>
        </w:rPr>
        <w:t>7</w:t>
      </w:r>
      <w:r w:rsidRPr="00271E98">
        <w:rPr>
          <w:rFonts w:ascii="Calibri" w:hAnsi="Calibri" w:cs="Arial"/>
          <w:b/>
          <w:i/>
          <w:sz w:val="22"/>
          <w:szCs w:val="22"/>
          <w:lang w:val="es-ES_tradnl"/>
        </w:rPr>
        <w:t xml:space="preserve"> </w:t>
      </w:r>
    </w:p>
    <w:p w:rsidR="00271E98" w:rsidRPr="00271E98" w:rsidRDefault="00B11897" w:rsidP="00271E98">
      <w:pPr>
        <w:tabs>
          <w:tab w:val="left" w:pos="720"/>
          <w:tab w:val="center" w:pos="6480"/>
        </w:tabs>
        <w:ind w:left="720"/>
        <w:jc w:val="both"/>
        <w:rPr>
          <w:rFonts w:ascii="Calibri" w:hAnsi="Calibri" w:cs="Arial"/>
          <w:b/>
          <w:sz w:val="22"/>
          <w:szCs w:val="22"/>
          <w:lang w:val="es-ES_tradnl"/>
        </w:rPr>
      </w:pPr>
      <w:r>
        <w:rPr>
          <w:rFonts w:ascii="Calibri" w:hAnsi="Calibri" w:cs="Arial"/>
          <w:b/>
          <w:sz w:val="22"/>
          <w:szCs w:val="22"/>
          <w:lang w:val="es-ES_tradnl"/>
        </w:rPr>
        <w:t>Claudina I. Velásquez Paiz y otros</w:t>
      </w:r>
    </w:p>
    <w:p w:rsidR="00271E98" w:rsidRPr="00271E98" w:rsidRDefault="00271E98" w:rsidP="00271E98">
      <w:pPr>
        <w:tabs>
          <w:tab w:val="left" w:pos="720"/>
          <w:tab w:val="center" w:pos="6480"/>
        </w:tabs>
        <w:ind w:left="720"/>
        <w:jc w:val="both"/>
        <w:rPr>
          <w:rFonts w:ascii="Calibri" w:hAnsi="Calibri" w:cs="Arial"/>
          <w:b/>
          <w:sz w:val="22"/>
          <w:szCs w:val="22"/>
          <w:lang w:val="es-ES_tradnl"/>
        </w:rPr>
      </w:pPr>
      <w:r w:rsidRPr="00271E98">
        <w:rPr>
          <w:rFonts w:ascii="Calibri" w:hAnsi="Calibri" w:cs="Arial"/>
          <w:b/>
          <w:sz w:val="22"/>
          <w:szCs w:val="22"/>
          <w:lang w:val="es-ES_tradnl"/>
        </w:rPr>
        <w:t>Guatemala</w:t>
      </w:r>
    </w:p>
    <w:p w:rsidR="00271E98" w:rsidRPr="00271E98" w:rsidRDefault="00271E98" w:rsidP="00271E98">
      <w:pPr>
        <w:tabs>
          <w:tab w:val="left" w:pos="720"/>
          <w:tab w:val="center" w:pos="6480"/>
        </w:tabs>
        <w:jc w:val="both"/>
        <w:rPr>
          <w:rFonts w:ascii="Calibri" w:hAnsi="Calibri" w:cs="Arial"/>
          <w:sz w:val="22"/>
          <w:szCs w:val="22"/>
        </w:rPr>
      </w:pPr>
    </w:p>
    <w:p w:rsidR="005E5C10" w:rsidRPr="009433F4" w:rsidRDefault="005E5C10" w:rsidP="005E5C10">
      <w:pPr>
        <w:tabs>
          <w:tab w:val="left" w:pos="720"/>
          <w:tab w:val="center" w:pos="6480"/>
        </w:tabs>
        <w:jc w:val="both"/>
        <w:rPr>
          <w:rFonts w:ascii="Calibri" w:hAnsi="Calibri" w:cs="Arial"/>
          <w:sz w:val="22"/>
          <w:szCs w:val="22"/>
          <w:lang w:val="es-PE"/>
        </w:rPr>
      </w:pPr>
      <w:r>
        <w:rPr>
          <w:rFonts w:ascii="Calibri" w:hAnsi="Calibri" w:cs="Arial"/>
          <w:sz w:val="22"/>
          <w:szCs w:val="22"/>
          <w:lang w:val="es-PE"/>
        </w:rPr>
        <w:t>Mr. Secretary:</w:t>
      </w:r>
    </w:p>
    <w:p w:rsidR="00271E98" w:rsidRPr="00271E98" w:rsidRDefault="00271E98" w:rsidP="00271E98">
      <w:pPr>
        <w:rPr>
          <w:rFonts w:ascii="Calibri" w:hAnsi="Calibri" w:cs="Arial"/>
          <w:sz w:val="22"/>
          <w:szCs w:val="22"/>
          <w:lang w:val="es-CO"/>
        </w:rPr>
      </w:pPr>
    </w:p>
    <w:p w:rsidR="00C51521" w:rsidRPr="00A53FE9" w:rsidRDefault="00152FB3" w:rsidP="00150B05">
      <w:pPr>
        <w:ind w:firstLine="720"/>
        <w:jc w:val="both"/>
        <w:rPr>
          <w:rFonts w:ascii="Calibri" w:hAnsi="Calibri" w:cs="Arial"/>
          <w:sz w:val="22"/>
          <w:szCs w:val="22"/>
          <w:lang w:val="en-US"/>
        </w:rPr>
      </w:pPr>
      <w:r w:rsidRPr="00152FB3">
        <w:rPr>
          <w:rFonts w:ascii="Calibri" w:hAnsi="Calibri"/>
          <w:sz w:val="22"/>
          <w:szCs w:val="22"/>
          <w:lang w:val="en-US"/>
        </w:rPr>
        <w:t xml:space="preserve">I am pleased to address you on behalf of the Inter-American Commission on Human Rights </w:t>
      </w:r>
      <w:r>
        <w:rPr>
          <w:rFonts w:ascii="Calibri" w:hAnsi="Calibri"/>
          <w:sz w:val="22"/>
          <w:szCs w:val="22"/>
          <w:lang w:val="en-US"/>
        </w:rPr>
        <w:t>in order to file Case No. 12.777</w:t>
      </w:r>
      <w:r w:rsidRPr="00152FB3">
        <w:rPr>
          <w:rFonts w:ascii="Calibri" w:hAnsi="Calibri"/>
          <w:sz w:val="22"/>
          <w:szCs w:val="22"/>
          <w:lang w:val="en-US"/>
        </w:rPr>
        <w:t xml:space="preserve"> </w:t>
      </w:r>
      <w:r>
        <w:rPr>
          <w:rFonts w:ascii="Calibri" w:hAnsi="Calibri"/>
          <w:sz w:val="22"/>
          <w:szCs w:val="22"/>
          <w:lang w:val="en-US"/>
        </w:rPr>
        <w:t>Claudina I. Vel</w:t>
      </w:r>
      <w:r w:rsidRPr="00152FB3">
        <w:rPr>
          <w:rFonts w:ascii="Calibri" w:hAnsi="Calibri"/>
          <w:sz w:val="22"/>
          <w:szCs w:val="22"/>
          <w:lang w:val="en-US"/>
        </w:rPr>
        <w:t xml:space="preserve">ásquez Paiz et al. v. </w:t>
      </w:r>
      <w:r>
        <w:rPr>
          <w:rFonts w:ascii="Calibri" w:hAnsi="Calibri"/>
          <w:sz w:val="22"/>
          <w:szCs w:val="22"/>
          <w:lang w:val="en-US"/>
        </w:rPr>
        <w:t>Guatemala</w:t>
      </w:r>
      <w:r w:rsidRPr="00152FB3">
        <w:rPr>
          <w:rFonts w:ascii="Calibri" w:hAnsi="Calibri"/>
          <w:sz w:val="22"/>
          <w:szCs w:val="22"/>
          <w:lang w:val="en-US"/>
        </w:rPr>
        <w:t xml:space="preserve"> (hereinafter “the State”, “the </w:t>
      </w:r>
      <w:r>
        <w:rPr>
          <w:rFonts w:ascii="Calibri" w:hAnsi="Calibri"/>
          <w:sz w:val="22"/>
          <w:szCs w:val="22"/>
          <w:lang w:val="en-US"/>
        </w:rPr>
        <w:t>Guatemalan</w:t>
      </w:r>
      <w:r w:rsidRPr="00152FB3">
        <w:rPr>
          <w:rFonts w:ascii="Calibri" w:hAnsi="Calibri"/>
          <w:sz w:val="22"/>
          <w:szCs w:val="22"/>
          <w:lang w:val="en-US"/>
        </w:rPr>
        <w:t xml:space="preserve"> State” or “</w:t>
      </w:r>
      <w:r>
        <w:rPr>
          <w:rFonts w:ascii="Calibri" w:hAnsi="Calibri"/>
          <w:sz w:val="22"/>
          <w:szCs w:val="22"/>
          <w:lang w:val="en-US"/>
        </w:rPr>
        <w:t>Guatemala</w:t>
      </w:r>
      <w:r w:rsidRPr="00152FB3">
        <w:rPr>
          <w:rFonts w:ascii="Calibri" w:hAnsi="Calibri"/>
          <w:sz w:val="22"/>
          <w:szCs w:val="22"/>
          <w:lang w:val="en-US"/>
        </w:rPr>
        <w:t xml:space="preserve">”) before the jurisdiction of the Honorable Inter-American Court of Human Rights. </w:t>
      </w:r>
      <w:r w:rsidR="00A53FE9" w:rsidRPr="00A53FE9">
        <w:rPr>
          <w:rFonts w:ascii="Calibri" w:hAnsi="Calibri" w:cs="Arial"/>
          <w:sz w:val="22"/>
          <w:szCs w:val="22"/>
          <w:lang w:val="en-US"/>
        </w:rPr>
        <w:t>The present case concerns the Guatemalan State’s international responsibility for failure to comply with its duty to protect Claudina Isabel Velásquez Paiz. When she did not come home, her parents went to the authorities to file a complaint concerning her disappearance, but were unable to do so because they were told that they would have to wait 24 hours before reporting the disappearance.   The State thus failed to take immediate and exhaustive measures to find and protect Claudina Isabel Velásquez Paiz within the first few hours of learning of her disappearance, even though the State authorities were aware of a milieu of violence against women that clearly placed the victim in imminent danger.  The lifeless body of Claudina Isabel Velásquez Paiz was discovered the next day, August 13, 2005, bearing marks indicating that the victim had been subjected to extreme violence, including sexual violence</w:t>
      </w:r>
      <w:r w:rsidR="00C51521" w:rsidRPr="00A53FE9">
        <w:rPr>
          <w:rFonts w:ascii="Calibri" w:hAnsi="Calibri" w:cs="Arial"/>
          <w:sz w:val="22"/>
          <w:szCs w:val="22"/>
          <w:lang w:val="en-US"/>
        </w:rPr>
        <w:t xml:space="preserve">. </w:t>
      </w:r>
      <w:r w:rsidR="00A53FE9">
        <w:rPr>
          <w:rFonts w:ascii="Calibri" w:hAnsi="Calibri" w:cs="Arial"/>
          <w:sz w:val="22"/>
          <w:szCs w:val="22"/>
          <w:lang w:val="en-US"/>
        </w:rPr>
        <w:t xml:space="preserve"> </w:t>
      </w:r>
    </w:p>
    <w:p w:rsidR="00C51521" w:rsidRPr="00A53FE9" w:rsidRDefault="00C51521" w:rsidP="00150B05">
      <w:pPr>
        <w:autoSpaceDE w:val="0"/>
        <w:autoSpaceDN w:val="0"/>
        <w:adjustRightInd w:val="0"/>
        <w:jc w:val="both"/>
        <w:rPr>
          <w:rFonts w:ascii="Calibri" w:hAnsi="Calibri" w:cs="Arial"/>
          <w:sz w:val="22"/>
          <w:szCs w:val="22"/>
          <w:lang w:val="en-US"/>
        </w:rPr>
      </w:pPr>
    </w:p>
    <w:p w:rsidR="00C51521" w:rsidRPr="00A53FE9" w:rsidRDefault="00150B05" w:rsidP="00150B05">
      <w:pPr>
        <w:autoSpaceDE w:val="0"/>
        <w:autoSpaceDN w:val="0"/>
        <w:adjustRightInd w:val="0"/>
        <w:jc w:val="both"/>
        <w:rPr>
          <w:rFonts w:ascii="Calibri" w:hAnsi="Calibri" w:cs="Arial"/>
          <w:sz w:val="22"/>
          <w:szCs w:val="22"/>
          <w:lang w:val="en-US"/>
        </w:rPr>
      </w:pPr>
      <w:r w:rsidRPr="00A53FE9">
        <w:rPr>
          <w:rFonts w:ascii="Calibri" w:hAnsi="Calibri" w:cs="Arial"/>
          <w:sz w:val="22"/>
          <w:szCs w:val="22"/>
          <w:lang w:val="en-US"/>
        </w:rPr>
        <w:tab/>
      </w:r>
      <w:r w:rsidR="00A53FE9" w:rsidRPr="00A53FE9">
        <w:rPr>
          <w:rFonts w:ascii="Calibri" w:hAnsi="Calibri" w:cs="Arial"/>
          <w:sz w:val="22"/>
          <w:szCs w:val="22"/>
          <w:lang w:val="en-US"/>
        </w:rPr>
        <w:t>The Guatemalan State’s international responsibility was also incurred by virtue of the fact that it failed to conduct a serious investigation into the disappearance of Claudina Isabel Velásquez Paiz, the violence she suffered and her murder.  The Commission found that from the outset, the investigation was riddled with problems, such as the mishandling and analysis of the evidence gathered; problems with managing and preserving the crime scene, and with the tests run on the evidence; irregularities in the autopsy report; a failure to do a thorough examination of various parts of the victim’s body to confirm a possible rape; irregularities in the fingerprinting of the victim, and the failure to take statements from important witnesses.  The Commission also found that the considerable delay in the instant case was the fault of the State, caused mainly by a repeated reshuffling of the prosecutors assigned to the case; these changes were disruptive to the investigation; inquiries and proceedings were either not completed on time or were never examined by the new prosecutors assigned to the case</w:t>
      </w:r>
      <w:r w:rsidR="00A53FE9">
        <w:rPr>
          <w:rFonts w:ascii="Calibri" w:hAnsi="Calibri" w:cs="Arial"/>
          <w:sz w:val="22"/>
          <w:szCs w:val="22"/>
          <w:lang w:val="en-US"/>
        </w:rPr>
        <w:t xml:space="preserve">. </w:t>
      </w:r>
    </w:p>
    <w:p w:rsidR="00435BB8" w:rsidRPr="00A53FE9" w:rsidRDefault="00435BB8" w:rsidP="00150B05">
      <w:pPr>
        <w:pStyle w:val="Prrafodelista"/>
        <w:rPr>
          <w:rFonts w:ascii="Calibri" w:hAnsi="Calibri"/>
          <w:sz w:val="22"/>
          <w:szCs w:val="22"/>
        </w:rPr>
      </w:pPr>
    </w:p>
    <w:p w:rsidR="00257D5D" w:rsidRPr="00152FB3" w:rsidRDefault="00152FB3" w:rsidP="00257D5D">
      <w:pPr>
        <w:jc w:val="both"/>
        <w:rPr>
          <w:rFonts w:ascii="Calibri" w:hAnsi="Calibri" w:cs="Arial"/>
          <w:snapToGrid w:val="0"/>
          <w:sz w:val="22"/>
          <w:szCs w:val="22"/>
          <w:lang w:val="en-US"/>
        </w:rPr>
      </w:pPr>
      <w:r>
        <w:rPr>
          <w:rFonts w:ascii="Calibri" w:hAnsi="Calibri" w:cs="Arial"/>
          <w:snapToGrid w:val="0"/>
          <w:sz w:val="22"/>
          <w:szCs w:val="22"/>
          <w:lang w:val="en-US"/>
        </w:rPr>
        <w:t>Mr.</w:t>
      </w:r>
    </w:p>
    <w:p w:rsidR="00257D5D" w:rsidRPr="00152FB3" w:rsidRDefault="00257D5D" w:rsidP="00257D5D">
      <w:pPr>
        <w:suppressAutoHyphens/>
        <w:rPr>
          <w:rFonts w:ascii="Calibri" w:hAnsi="Calibri" w:cs="Arial"/>
          <w:snapToGrid w:val="0"/>
          <w:sz w:val="22"/>
          <w:szCs w:val="22"/>
          <w:lang w:val="en-US"/>
        </w:rPr>
      </w:pPr>
      <w:r w:rsidRPr="00152FB3">
        <w:rPr>
          <w:rFonts w:ascii="Calibri" w:hAnsi="Calibri" w:cs="Arial"/>
          <w:snapToGrid w:val="0"/>
          <w:sz w:val="22"/>
          <w:szCs w:val="22"/>
          <w:lang w:val="en-US"/>
        </w:rPr>
        <w:t>Pablo Saavedra Alessa</w:t>
      </w:r>
      <w:r w:rsidR="00152FB3">
        <w:rPr>
          <w:rFonts w:ascii="Calibri" w:hAnsi="Calibri" w:cs="Arial"/>
          <w:snapToGrid w:val="0"/>
          <w:sz w:val="22"/>
          <w:szCs w:val="22"/>
          <w:lang w:val="en-US"/>
        </w:rPr>
        <w:t>ndri, Secretary</w:t>
      </w:r>
    </w:p>
    <w:p w:rsidR="00152FB3" w:rsidRPr="00152FB3" w:rsidRDefault="00152FB3" w:rsidP="00257D5D">
      <w:pPr>
        <w:suppressAutoHyphens/>
        <w:rPr>
          <w:rFonts w:ascii="Calibri" w:hAnsi="Calibri" w:cs="Arial"/>
          <w:snapToGrid w:val="0"/>
          <w:sz w:val="22"/>
          <w:szCs w:val="22"/>
          <w:lang w:val="en-US"/>
        </w:rPr>
      </w:pPr>
      <w:r w:rsidRPr="00152FB3">
        <w:rPr>
          <w:rFonts w:ascii="Calibri" w:hAnsi="Calibri" w:cs="Arial"/>
          <w:snapToGrid w:val="0"/>
          <w:sz w:val="22"/>
          <w:szCs w:val="22"/>
          <w:lang w:val="en-US"/>
        </w:rPr>
        <w:t>Inter-American Court of Human Rights</w:t>
      </w:r>
    </w:p>
    <w:p w:rsidR="00257D5D" w:rsidRPr="00271E98" w:rsidRDefault="00257D5D" w:rsidP="00257D5D">
      <w:pPr>
        <w:suppressAutoHyphens/>
        <w:rPr>
          <w:rFonts w:ascii="Calibri" w:hAnsi="Calibri" w:cs="Arial"/>
          <w:snapToGrid w:val="0"/>
          <w:sz w:val="22"/>
          <w:szCs w:val="22"/>
          <w:lang w:val="es-ES_tradnl"/>
        </w:rPr>
      </w:pPr>
      <w:r w:rsidRPr="00271E98">
        <w:rPr>
          <w:rFonts w:ascii="Calibri" w:hAnsi="Calibri" w:cs="Arial"/>
          <w:snapToGrid w:val="0"/>
          <w:sz w:val="22"/>
          <w:szCs w:val="22"/>
          <w:lang w:val="es-ES_tradnl"/>
        </w:rPr>
        <w:t>Apartado 6906-1000</w:t>
      </w:r>
    </w:p>
    <w:p w:rsidR="00257D5D" w:rsidRPr="00271E98" w:rsidRDefault="00257D5D" w:rsidP="00257D5D">
      <w:pPr>
        <w:suppressAutoHyphens/>
        <w:rPr>
          <w:rFonts w:ascii="Calibri" w:hAnsi="Calibri" w:cs="Arial"/>
          <w:snapToGrid w:val="0"/>
          <w:sz w:val="22"/>
          <w:szCs w:val="22"/>
          <w:lang w:val="es-ES_tradnl"/>
        </w:rPr>
      </w:pPr>
      <w:r w:rsidRPr="00271E98">
        <w:rPr>
          <w:rFonts w:ascii="Calibri" w:hAnsi="Calibri" w:cs="Arial"/>
          <w:snapToGrid w:val="0"/>
          <w:sz w:val="22"/>
          <w:szCs w:val="22"/>
          <w:lang w:val="es-ES_tradnl"/>
        </w:rPr>
        <w:t>San José, Costa Rica</w:t>
      </w:r>
    </w:p>
    <w:p w:rsidR="00257D5D" w:rsidRPr="00271E98" w:rsidRDefault="00257D5D" w:rsidP="00257D5D">
      <w:pPr>
        <w:suppressAutoHyphens/>
        <w:rPr>
          <w:rFonts w:ascii="Calibri" w:hAnsi="Calibri" w:cs="Arial"/>
          <w:snapToGrid w:val="0"/>
          <w:sz w:val="22"/>
          <w:szCs w:val="22"/>
          <w:lang w:val="es-ES_tradnl"/>
        </w:rPr>
      </w:pPr>
    </w:p>
    <w:p w:rsidR="00257D5D" w:rsidRPr="00271E98" w:rsidRDefault="00257D5D" w:rsidP="00257D5D">
      <w:pPr>
        <w:suppressAutoHyphens/>
        <w:rPr>
          <w:rFonts w:ascii="Calibri" w:hAnsi="Calibri"/>
          <w:sz w:val="22"/>
          <w:szCs w:val="22"/>
        </w:rPr>
      </w:pPr>
      <w:r w:rsidRPr="00271E98">
        <w:rPr>
          <w:rFonts w:ascii="Calibri" w:hAnsi="Calibri" w:cs="Arial"/>
          <w:snapToGrid w:val="0"/>
          <w:sz w:val="22"/>
          <w:szCs w:val="22"/>
          <w:lang w:val="es-ES_tradnl"/>
        </w:rPr>
        <w:t>Anexos</w:t>
      </w:r>
    </w:p>
    <w:p w:rsidR="00257D5D" w:rsidRPr="00150B05" w:rsidRDefault="00257D5D" w:rsidP="00150B05">
      <w:pPr>
        <w:pStyle w:val="Prrafodelista"/>
        <w:rPr>
          <w:rFonts w:ascii="Calibri" w:hAnsi="Calibri"/>
          <w:sz w:val="22"/>
          <w:szCs w:val="22"/>
          <w:lang w:val="es-ES"/>
        </w:rPr>
      </w:pPr>
    </w:p>
    <w:p w:rsidR="00C51521" w:rsidRPr="00A53FE9" w:rsidRDefault="007B497B" w:rsidP="00150B05">
      <w:pPr>
        <w:autoSpaceDE w:val="0"/>
        <w:autoSpaceDN w:val="0"/>
        <w:adjustRightInd w:val="0"/>
        <w:jc w:val="both"/>
        <w:rPr>
          <w:rFonts w:ascii="Calibri" w:hAnsi="Calibri" w:cs="Arial"/>
          <w:sz w:val="22"/>
          <w:szCs w:val="22"/>
          <w:lang w:val="en-US"/>
        </w:rPr>
      </w:pPr>
      <w:r>
        <w:rPr>
          <w:rFonts w:ascii="Calibri" w:hAnsi="Calibri"/>
          <w:sz w:val="22"/>
          <w:szCs w:val="22"/>
        </w:rPr>
        <w:lastRenderedPageBreak/>
        <w:tab/>
      </w:r>
      <w:r w:rsidR="00A53FE9" w:rsidRPr="00A53FE9">
        <w:rPr>
          <w:rFonts w:ascii="Calibri" w:hAnsi="Calibri"/>
          <w:sz w:val="22"/>
          <w:szCs w:val="22"/>
          <w:lang w:val="en-US"/>
        </w:rPr>
        <w:t>Furthermore, the case was also plagued by discriminatory stereotypes that took a serious toll on the diligence with which the investigation was conducted. The Commission found that the failure to protect Claudina Isabel Velásquez Paiz and the failure to properly investigate her death are a clear reflection of the underlying discrimination against women in Guatemala</w:t>
      </w:r>
      <w:r w:rsidR="00C51521" w:rsidRPr="00A53FE9">
        <w:rPr>
          <w:rFonts w:ascii="Calibri" w:hAnsi="Calibri" w:cs="Arial"/>
          <w:sz w:val="22"/>
          <w:szCs w:val="22"/>
          <w:lang w:val="en-US"/>
        </w:rPr>
        <w:t xml:space="preserve">. </w:t>
      </w:r>
    </w:p>
    <w:p w:rsidR="00271E98" w:rsidRPr="00A53FE9" w:rsidRDefault="00271E98" w:rsidP="00271E98">
      <w:pPr>
        <w:ind w:firstLine="720"/>
        <w:jc w:val="both"/>
        <w:rPr>
          <w:rFonts w:ascii="Calibri" w:hAnsi="Calibri"/>
          <w:iCs/>
          <w:sz w:val="22"/>
          <w:szCs w:val="22"/>
          <w:lang w:val="en-US"/>
        </w:rPr>
      </w:pPr>
    </w:p>
    <w:p w:rsidR="00A53FE9" w:rsidRDefault="00A53FE9" w:rsidP="00271E98">
      <w:pPr>
        <w:ind w:firstLine="720"/>
        <w:jc w:val="both"/>
        <w:rPr>
          <w:rFonts w:ascii="Calibri" w:hAnsi="Calibri" w:cs="Arial"/>
          <w:sz w:val="22"/>
          <w:szCs w:val="22"/>
          <w:lang w:val="en-US"/>
        </w:rPr>
      </w:pPr>
      <w:r w:rsidRPr="00A53FE9">
        <w:rPr>
          <w:rFonts w:ascii="Calibri" w:hAnsi="Calibri" w:cs="Arial"/>
          <w:sz w:val="22"/>
          <w:szCs w:val="22"/>
          <w:lang w:val="en-US"/>
        </w:rPr>
        <w:t>The State of Guatemala ratified the American Convention on Human Rights on May 25, 1978, and accepted the Court’s contentious jurisdiction on March 9, 1987.</w:t>
      </w:r>
    </w:p>
    <w:p w:rsidR="00A53FE9" w:rsidRDefault="00A53FE9" w:rsidP="00271E98">
      <w:pPr>
        <w:ind w:firstLine="720"/>
        <w:jc w:val="both"/>
        <w:rPr>
          <w:rFonts w:ascii="Calibri" w:hAnsi="Calibri" w:cs="Arial"/>
          <w:sz w:val="22"/>
          <w:szCs w:val="22"/>
          <w:lang w:val="en-US"/>
        </w:rPr>
      </w:pPr>
    </w:p>
    <w:p w:rsidR="00152FB3" w:rsidRDefault="00152FB3" w:rsidP="00271E98">
      <w:pPr>
        <w:ind w:firstLine="720"/>
        <w:jc w:val="both"/>
        <w:rPr>
          <w:rFonts w:ascii="Calibri" w:hAnsi="Calibri"/>
          <w:sz w:val="22"/>
          <w:szCs w:val="22"/>
          <w:lang w:val="en-US"/>
        </w:rPr>
      </w:pPr>
      <w:r w:rsidRPr="00003125">
        <w:rPr>
          <w:rFonts w:ascii="Calibri" w:hAnsi="Calibri"/>
          <w:sz w:val="22"/>
          <w:szCs w:val="22"/>
          <w:lang w:val="en-US"/>
        </w:rPr>
        <w:t xml:space="preserve">The Commission has designated Commissioner </w:t>
      </w:r>
      <w:r>
        <w:rPr>
          <w:rFonts w:ascii="Calibri" w:hAnsi="Calibri"/>
          <w:sz w:val="22"/>
          <w:szCs w:val="22"/>
          <w:lang w:val="en-US"/>
        </w:rPr>
        <w:t xml:space="preserve">James Cavallaro and </w:t>
      </w:r>
      <w:r w:rsidRPr="00152FB3">
        <w:rPr>
          <w:rFonts w:ascii="Calibri" w:hAnsi="Calibri"/>
          <w:sz w:val="22"/>
          <w:szCs w:val="22"/>
          <w:lang w:val="en-US"/>
        </w:rPr>
        <w:t xml:space="preserve">Emilio Álvarez Icaza L., </w:t>
      </w:r>
      <w:r w:rsidRPr="00003125">
        <w:rPr>
          <w:rFonts w:ascii="Calibri" w:hAnsi="Calibri"/>
          <w:sz w:val="22"/>
          <w:szCs w:val="22"/>
          <w:lang w:val="en-US"/>
        </w:rPr>
        <w:t>executive secretary,</w:t>
      </w:r>
      <w:r>
        <w:rPr>
          <w:rFonts w:ascii="Calibri" w:hAnsi="Calibri"/>
          <w:sz w:val="22"/>
          <w:szCs w:val="22"/>
          <w:lang w:val="en-US"/>
        </w:rPr>
        <w:t xml:space="preserve"> </w:t>
      </w:r>
      <w:r w:rsidRPr="00003125">
        <w:rPr>
          <w:rFonts w:ascii="Calibri" w:hAnsi="Calibri"/>
          <w:sz w:val="22"/>
          <w:szCs w:val="22"/>
          <w:lang w:val="en-US"/>
        </w:rPr>
        <w:t xml:space="preserve">as its delegate. Likewise, Elizabeth Abi-Mershed, Deputy Executive Secretary, Silvia Serrano Guzmán </w:t>
      </w:r>
      <w:r>
        <w:rPr>
          <w:rFonts w:ascii="Calibri" w:hAnsi="Calibri"/>
          <w:sz w:val="22"/>
          <w:szCs w:val="22"/>
          <w:lang w:val="en-US"/>
        </w:rPr>
        <w:t>Jorge H. Meza Flores and</w:t>
      </w:r>
      <w:r w:rsidRPr="00003125">
        <w:rPr>
          <w:rFonts w:ascii="Calibri" w:hAnsi="Calibri"/>
          <w:sz w:val="22"/>
          <w:szCs w:val="22"/>
          <w:lang w:val="en-US"/>
        </w:rPr>
        <w:t xml:space="preserve"> Ona Flores, attorneys of the Executive Secretariat of the IACHR, have been designated to serve as legal advisors.</w:t>
      </w:r>
    </w:p>
    <w:p w:rsidR="00271E98" w:rsidRPr="00271E98" w:rsidRDefault="00271E98" w:rsidP="00271E98">
      <w:pPr>
        <w:ind w:firstLine="720"/>
        <w:jc w:val="both"/>
        <w:rPr>
          <w:rFonts w:ascii="Calibri" w:hAnsi="Calibri"/>
          <w:sz w:val="22"/>
          <w:szCs w:val="22"/>
          <w:lang w:val="es-AR"/>
        </w:rPr>
      </w:pPr>
    </w:p>
    <w:p w:rsidR="00271E98" w:rsidRPr="00A53FE9" w:rsidRDefault="00152FB3" w:rsidP="008E6E00">
      <w:pPr>
        <w:autoSpaceDE w:val="0"/>
        <w:autoSpaceDN w:val="0"/>
        <w:adjustRightInd w:val="0"/>
        <w:ind w:firstLine="720"/>
        <w:jc w:val="both"/>
        <w:rPr>
          <w:rFonts w:ascii="Calibri" w:hAnsi="Calibri" w:cs="Arial"/>
          <w:snapToGrid w:val="0"/>
          <w:sz w:val="22"/>
          <w:szCs w:val="22"/>
          <w:lang w:val="en-US"/>
        </w:rPr>
      </w:pPr>
      <w:r w:rsidRPr="00CB3463">
        <w:rPr>
          <w:rFonts w:ascii="Calibri" w:hAnsi="Calibri" w:cs="Arial"/>
          <w:sz w:val="22"/>
          <w:szCs w:val="22"/>
          <w:lang w:val="en-US"/>
        </w:rPr>
        <w:t>In accordance with Article 35 of the Rules of Procedure of the Inter-American Court, the Commission is enclosing</w:t>
      </w:r>
      <w:r>
        <w:rPr>
          <w:rFonts w:ascii="Calibri" w:hAnsi="Calibri" w:cs="Arial"/>
          <w:sz w:val="22"/>
          <w:szCs w:val="22"/>
          <w:lang w:val="en-US"/>
        </w:rPr>
        <w:t xml:space="preserve"> a copy of Merits Report No. 53/13</w:t>
      </w:r>
      <w:r w:rsidRPr="00CB3463">
        <w:rPr>
          <w:rFonts w:ascii="Calibri" w:hAnsi="Calibri" w:cs="Arial"/>
          <w:sz w:val="22"/>
          <w:szCs w:val="22"/>
          <w:lang w:val="en-US"/>
        </w:rPr>
        <w:t>, prepared in compliance with Article 50 of the American Convention, as well as a copy of the entire file before the Inter-American Commission (Appendix I.) and the attachments used to prepare the Report on the Merits (Attachment). The Commission transmitted</w:t>
      </w:r>
      <w:r>
        <w:rPr>
          <w:rFonts w:ascii="Calibri" w:hAnsi="Calibri" w:cs="Arial"/>
          <w:sz w:val="22"/>
          <w:szCs w:val="22"/>
          <w:lang w:val="en-US"/>
        </w:rPr>
        <w:t xml:space="preserve"> the Merits Report</w:t>
      </w:r>
      <w:r w:rsidRPr="00CB3463">
        <w:rPr>
          <w:rFonts w:ascii="Calibri" w:hAnsi="Calibri" w:cs="Arial"/>
          <w:sz w:val="22"/>
          <w:szCs w:val="22"/>
          <w:lang w:val="en-US"/>
        </w:rPr>
        <w:t xml:space="preserve"> to </w:t>
      </w:r>
      <w:r>
        <w:rPr>
          <w:rFonts w:ascii="Calibri" w:hAnsi="Calibri" w:cs="Arial"/>
          <w:sz w:val="22"/>
          <w:szCs w:val="22"/>
          <w:lang w:val="en-US"/>
        </w:rPr>
        <w:t xml:space="preserve">the State on </w:t>
      </w:r>
      <w:r w:rsidR="008E6E00">
        <w:rPr>
          <w:rFonts w:ascii="Calibri" w:hAnsi="Calibri" w:cs="Arial"/>
          <w:sz w:val="22"/>
          <w:szCs w:val="22"/>
          <w:lang w:val="en-US"/>
        </w:rPr>
        <w:t>December 5</w:t>
      </w:r>
      <w:r>
        <w:rPr>
          <w:rFonts w:ascii="Calibri" w:hAnsi="Calibri" w:cs="Arial"/>
          <w:sz w:val="22"/>
          <w:szCs w:val="22"/>
          <w:lang w:val="en-US"/>
        </w:rPr>
        <w:t>, 2013</w:t>
      </w:r>
      <w:r w:rsidR="008E6E00">
        <w:rPr>
          <w:rFonts w:ascii="Calibri" w:hAnsi="Calibri" w:cs="Arial"/>
          <w:sz w:val="22"/>
          <w:szCs w:val="22"/>
          <w:lang w:val="en-US"/>
        </w:rPr>
        <w:t xml:space="preserve">, </w:t>
      </w:r>
      <w:r w:rsidR="008E6E00" w:rsidRPr="00CB3463">
        <w:rPr>
          <w:rFonts w:ascii="Calibri" w:hAnsi="Calibri" w:cs="Arial"/>
          <w:sz w:val="22"/>
          <w:szCs w:val="22"/>
          <w:lang w:val="en-US"/>
        </w:rPr>
        <w:t>granting it two months to provide information on the measures adopted in compliance with the recommendations</w:t>
      </w:r>
      <w:r w:rsidR="008E6E00">
        <w:rPr>
          <w:rFonts w:ascii="Calibri" w:hAnsi="Calibri" w:cs="Arial"/>
          <w:sz w:val="22"/>
          <w:szCs w:val="22"/>
          <w:lang w:val="en-US"/>
        </w:rPr>
        <w:t>.</w:t>
      </w:r>
      <w:r w:rsidR="00271E98" w:rsidRPr="008E6E00">
        <w:rPr>
          <w:rFonts w:ascii="Calibri" w:hAnsi="Calibri"/>
          <w:sz w:val="22"/>
          <w:szCs w:val="22"/>
          <w:lang w:val="en-US"/>
        </w:rPr>
        <w:t xml:space="preserve"> </w:t>
      </w:r>
      <w:r w:rsidR="00A53FE9" w:rsidRPr="00A53FE9">
        <w:rPr>
          <w:rFonts w:ascii="Calibri" w:hAnsi="Calibri"/>
          <w:sz w:val="22"/>
          <w:szCs w:val="22"/>
          <w:lang w:val="en-US"/>
        </w:rPr>
        <w:t xml:space="preserve">On February 5, 2014, the State filed a brief in which it argued that it bears no international responsibility for the violations declared in the merits report and therefore need not comply with the recommendations regarding reparations for the victim’s next of kin.  </w:t>
      </w:r>
    </w:p>
    <w:p w:rsidR="00271E98" w:rsidRPr="00A53FE9" w:rsidRDefault="00271E98" w:rsidP="00271E98">
      <w:pPr>
        <w:ind w:firstLine="720"/>
        <w:jc w:val="both"/>
        <w:rPr>
          <w:rFonts w:ascii="Calibri" w:hAnsi="Calibri"/>
          <w:sz w:val="22"/>
          <w:szCs w:val="22"/>
          <w:lang w:val="en-US"/>
        </w:rPr>
      </w:pPr>
    </w:p>
    <w:p w:rsidR="00271E98" w:rsidRDefault="008E6E00" w:rsidP="008E6E00">
      <w:pPr>
        <w:tabs>
          <w:tab w:val="left" w:pos="0"/>
          <w:tab w:val="left" w:pos="9000"/>
        </w:tabs>
        <w:ind w:firstLine="720"/>
        <w:jc w:val="both"/>
        <w:rPr>
          <w:rFonts w:ascii="Calibri" w:hAnsi="Calibri"/>
          <w:sz w:val="22"/>
          <w:szCs w:val="22"/>
          <w:lang w:val="es-AR"/>
        </w:rPr>
      </w:pPr>
      <w:r w:rsidRPr="00E93527">
        <w:rPr>
          <w:rFonts w:ascii="Calibri" w:hAnsi="Calibri"/>
          <w:sz w:val="22"/>
          <w:szCs w:val="22"/>
          <w:lang w:val="en-US"/>
        </w:rPr>
        <w:t xml:space="preserve">Taking into account the aforementioned, </w:t>
      </w:r>
      <w:r>
        <w:rPr>
          <w:rFonts w:ascii="Calibri" w:hAnsi="Calibri"/>
          <w:sz w:val="22"/>
          <w:szCs w:val="22"/>
          <w:lang w:val="en-US"/>
        </w:rPr>
        <w:t xml:space="preserve">the Commission submits the case before the jurisdiction of the Court for </w:t>
      </w:r>
      <w:r w:rsidRPr="00E93527">
        <w:rPr>
          <w:rFonts w:ascii="Calibri" w:hAnsi="Calibri"/>
          <w:sz w:val="22"/>
          <w:szCs w:val="22"/>
          <w:lang w:val="en-US"/>
        </w:rPr>
        <w:t>the need to obtain justice for the victims of this case</w:t>
      </w:r>
      <w:r>
        <w:rPr>
          <w:rFonts w:ascii="Calibri" w:hAnsi="Calibri"/>
          <w:sz w:val="22"/>
          <w:szCs w:val="22"/>
          <w:lang w:val="en-US"/>
        </w:rPr>
        <w:t xml:space="preserve"> and insofar as the lake of fulfillment of the recommendations by the State of Guatemala.</w:t>
      </w:r>
    </w:p>
    <w:p w:rsidR="008E6E00" w:rsidRPr="008E6E00" w:rsidRDefault="008E6E00" w:rsidP="008E6E00">
      <w:pPr>
        <w:tabs>
          <w:tab w:val="left" w:pos="0"/>
          <w:tab w:val="left" w:pos="9000"/>
        </w:tabs>
        <w:ind w:firstLine="720"/>
        <w:jc w:val="both"/>
        <w:rPr>
          <w:rFonts w:ascii="Calibri" w:hAnsi="Calibri"/>
          <w:sz w:val="22"/>
          <w:szCs w:val="22"/>
        </w:rPr>
      </w:pPr>
    </w:p>
    <w:p w:rsidR="00A53FE9" w:rsidRPr="00A53FE9" w:rsidRDefault="00A53FE9" w:rsidP="008E3183">
      <w:pPr>
        <w:autoSpaceDE w:val="0"/>
        <w:autoSpaceDN w:val="0"/>
        <w:adjustRightInd w:val="0"/>
        <w:ind w:firstLine="720"/>
        <w:jc w:val="both"/>
        <w:rPr>
          <w:sz w:val="22"/>
          <w:szCs w:val="22"/>
          <w:lang w:val="en-US"/>
        </w:rPr>
      </w:pPr>
      <w:r w:rsidRPr="00A53FE9">
        <w:rPr>
          <w:rFonts w:ascii="Calibri" w:hAnsi="Calibri" w:cs="Arial"/>
          <w:sz w:val="22"/>
          <w:szCs w:val="22"/>
          <w:lang w:val="en-US"/>
        </w:rPr>
        <w:t xml:space="preserve">The Inter-American Commission </w:t>
      </w:r>
      <w:r w:rsidR="001E5995">
        <w:rPr>
          <w:rFonts w:ascii="Calibri" w:hAnsi="Calibri" w:cs="Arial"/>
          <w:sz w:val="22"/>
          <w:szCs w:val="22"/>
          <w:lang w:val="en-US"/>
        </w:rPr>
        <w:t xml:space="preserve">request to the Court to state that the State of Guatemala is responsible for violation of: </w:t>
      </w:r>
    </w:p>
    <w:p w:rsidR="00A53FE9" w:rsidRPr="00A53FE9" w:rsidRDefault="00A53FE9" w:rsidP="00A53FE9">
      <w:pPr>
        <w:autoSpaceDE w:val="0"/>
        <w:autoSpaceDN w:val="0"/>
        <w:adjustRightInd w:val="0"/>
        <w:ind w:left="720" w:right="480"/>
        <w:jc w:val="both"/>
        <w:rPr>
          <w:sz w:val="22"/>
          <w:szCs w:val="22"/>
          <w:lang w:val="en-US"/>
        </w:rPr>
      </w:pPr>
    </w:p>
    <w:p w:rsidR="00A53FE9" w:rsidRPr="003E74F1" w:rsidRDefault="00A53FE9" w:rsidP="00A53FE9">
      <w:pPr>
        <w:pStyle w:val="Prrafodelista"/>
        <w:numPr>
          <w:ilvl w:val="0"/>
          <w:numId w:val="5"/>
        </w:numPr>
        <w:ind w:left="1080" w:right="450"/>
        <w:jc w:val="both"/>
        <w:rPr>
          <w:rFonts w:ascii="Calibri" w:hAnsi="Calibri"/>
          <w:sz w:val="22"/>
          <w:szCs w:val="22"/>
        </w:rPr>
      </w:pPr>
      <w:r w:rsidRPr="003E74F1">
        <w:rPr>
          <w:rFonts w:ascii="Calibri" w:hAnsi="Calibri"/>
          <w:sz w:val="22"/>
          <w:szCs w:val="22"/>
        </w:rPr>
        <w:t>the rights to life and humane treatment recognized in Articles 4, 5 and 11 of the American Convention, all in connection with its obligations under Article 1(1) of that treaty and Article 7 of the Convention of Belém do Pará.</w:t>
      </w:r>
    </w:p>
    <w:p w:rsidR="00A53FE9" w:rsidRPr="003E74F1" w:rsidRDefault="00A53FE9" w:rsidP="00A53FE9">
      <w:pPr>
        <w:pStyle w:val="Prrafodelista"/>
        <w:ind w:left="1080" w:right="450" w:hanging="360"/>
        <w:jc w:val="both"/>
        <w:rPr>
          <w:rFonts w:ascii="Calibri" w:hAnsi="Calibri" w:cs="Arial"/>
          <w:sz w:val="22"/>
          <w:szCs w:val="22"/>
        </w:rPr>
      </w:pPr>
    </w:p>
    <w:p w:rsidR="00A53FE9" w:rsidRPr="003E74F1" w:rsidRDefault="00A53FE9" w:rsidP="00A53FE9">
      <w:pPr>
        <w:pStyle w:val="Prrafodelista"/>
        <w:numPr>
          <w:ilvl w:val="0"/>
          <w:numId w:val="5"/>
        </w:numPr>
        <w:ind w:left="1080" w:right="450"/>
        <w:jc w:val="both"/>
        <w:rPr>
          <w:rFonts w:ascii="Calibri" w:hAnsi="Calibri" w:cs="Arial"/>
          <w:sz w:val="22"/>
          <w:szCs w:val="22"/>
        </w:rPr>
      </w:pPr>
      <w:r w:rsidRPr="003E74F1">
        <w:rPr>
          <w:rFonts w:ascii="Calibri" w:hAnsi="Calibri"/>
          <w:color w:val="000000"/>
          <w:sz w:val="22"/>
          <w:szCs w:val="22"/>
        </w:rPr>
        <w:t>the State violated Claudina Isabel Velásquez Paiz’s rights under Article 7 of the Convention of Belém do Pará, in relation to Article 24 of the American Convention, in conjunction with the general obligation to respect and ensure rights established in Article 1(1) of the latter treaty</w:t>
      </w:r>
    </w:p>
    <w:p w:rsidR="00A53FE9" w:rsidRPr="00A53FE9" w:rsidRDefault="00A53FE9" w:rsidP="00A53FE9">
      <w:pPr>
        <w:ind w:left="1080" w:right="450" w:hanging="360"/>
        <w:jc w:val="both"/>
        <w:rPr>
          <w:rFonts w:ascii="Calibri" w:hAnsi="Calibri" w:cs="Arial"/>
          <w:sz w:val="22"/>
          <w:szCs w:val="22"/>
          <w:lang w:val="en-US"/>
        </w:rPr>
      </w:pPr>
    </w:p>
    <w:p w:rsidR="00A53FE9" w:rsidRPr="003E74F1" w:rsidRDefault="00A53FE9" w:rsidP="00A53FE9">
      <w:pPr>
        <w:pStyle w:val="Prrafodelista"/>
        <w:numPr>
          <w:ilvl w:val="0"/>
          <w:numId w:val="5"/>
        </w:numPr>
        <w:ind w:left="1080" w:right="450"/>
        <w:jc w:val="both"/>
        <w:rPr>
          <w:rFonts w:ascii="Calibri" w:hAnsi="Calibri" w:cs="Arial"/>
          <w:sz w:val="22"/>
          <w:szCs w:val="22"/>
        </w:rPr>
      </w:pPr>
      <w:r w:rsidRPr="003E74F1">
        <w:rPr>
          <w:rFonts w:ascii="Calibri" w:hAnsi="Calibri"/>
          <w:sz w:val="22"/>
          <w:szCs w:val="22"/>
        </w:rPr>
        <w:t>the State violated the right to have one’s integrity respected, as recognized in Article 5(1) of the American Convention, in relation to the obligations established in Article 1(1) thereof, to the detriment of Jorge Rolando Velásquez Durán, Elsa Claudina Paiz Vidal de Velásquez, and Pablo Andrés Velásquez Paiz, as well as the right to a fair trial and judicial protection recognized at Articles 8(1) and 25 of the American Convention, in conjunction with the obligations under Article 1(1) thereof and Article 7 of the Convention of Belém do Pará.</w:t>
      </w:r>
    </w:p>
    <w:p w:rsidR="00A53FE9" w:rsidRPr="00A53FE9" w:rsidRDefault="00A53FE9" w:rsidP="00A53FE9">
      <w:pPr>
        <w:autoSpaceDE w:val="0"/>
        <w:autoSpaceDN w:val="0"/>
        <w:adjustRightInd w:val="0"/>
        <w:ind w:right="480"/>
        <w:jc w:val="both"/>
        <w:rPr>
          <w:rFonts w:ascii="Calibri" w:hAnsi="Calibri" w:cs="Arial"/>
          <w:sz w:val="22"/>
          <w:szCs w:val="22"/>
          <w:lang w:val="en-US"/>
        </w:rPr>
      </w:pPr>
    </w:p>
    <w:p w:rsidR="00A53FE9" w:rsidRPr="00A53FE9" w:rsidRDefault="00A53FE9" w:rsidP="00A53FE9">
      <w:pPr>
        <w:autoSpaceDE w:val="0"/>
        <w:autoSpaceDN w:val="0"/>
        <w:adjustRightInd w:val="0"/>
        <w:ind w:right="480" w:firstLine="720"/>
        <w:jc w:val="both"/>
        <w:rPr>
          <w:rFonts w:ascii="Calibri" w:hAnsi="Calibri" w:cs="Arial"/>
          <w:sz w:val="22"/>
          <w:szCs w:val="22"/>
          <w:lang w:val="en-US"/>
        </w:rPr>
      </w:pPr>
      <w:r w:rsidRPr="00A53FE9">
        <w:rPr>
          <w:rFonts w:ascii="Calibri" w:hAnsi="Calibri" w:cs="Arial"/>
          <w:sz w:val="22"/>
          <w:szCs w:val="22"/>
          <w:lang w:val="en-US"/>
        </w:rPr>
        <w:t>Based on these findings, the Commission recommended that the State:</w:t>
      </w:r>
    </w:p>
    <w:p w:rsidR="00A53FE9" w:rsidRPr="00A53FE9" w:rsidRDefault="00A53FE9" w:rsidP="00A53FE9">
      <w:pPr>
        <w:tabs>
          <w:tab w:val="left" w:pos="1080"/>
        </w:tabs>
        <w:autoSpaceDE w:val="0"/>
        <w:autoSpaceDN w:val="0"/>
        <w:adjustRightInd w:val="0"/>
        <w:ind w:left="720" w:right="720"/>
        <w:jc w:val="both"/>
        <w:rPr>
          <w:rFonts w:ascii="Calibri" w:hAnsi="Calibri" w:cs="Arial"/>
          <w:sz w:val="20"/>
          <w:lang w:val="en-US"/>
        </w:rPr>
      </w:pPr>
    </w:p>
    <w:p w:rsidR="00A53FE9" w:rsidRPr="00A53FE9" w:rsidRDefault="00A53FE9" w:rsidP="00A53FE9">
      <w:pPr>
        <w:numPr>
          <w:ilvl w:val="0"/>
          <w:numId w:val="6"/>
        </w:numPr>
        <w:tabs>
          <w:tab w:val="left" w:pos="1080"/>
          <w:tab w:val="left" w:pos="8190"/>
        </w:tabs>
        <w:ind w:right="450"/>
        <w:jc w:val="both"/>
        <w:rPr>
          <w:rFonts w:ascii="Calibri" w:hAnsi="Calibri"/>
          <w:color w:val="000000"/>
          <w:sz w:val="22"/>
          <w:szCs w:val="22"/>
          <w:lang w:val="en-US"/>
        </w:rPr>
      </w:pPr>
      <w:r w:rsidRPr="00A53FE9">
        <w:rPr>
          <w:rFonts w:ascii="Calibri" w:hAnsi="Calibri"/>
          <w:sz w:val="22"/>
          <w:szCs w:val="22"/>
          <w:lang w:val="en-US"/>
        </w:rPr>
        <w:lastRenderedPageBreak/>
        <w:t>Complete a timely, immediate, serious and impartial investigation to solve the murder of Claudina Isabel Velásquez Paiz and identify, prosecute and, as appropriate, punish those responsible.</w:t>
      </w:r>
    </w:p>
    <w:p w:rsidR="00A53FE9" w:rsidRPr="00A53FE9" w:rsidRDefault="00A53FE9" w:rsidP="00A53FE9">
      <w:pPr>
        <w:tabs>
          <w:tab w:val="left" w:pos="1080"/>
          <w:tab w:val="left" w:pos="8190"/>
        </w:tabs>
        <w:ind w:left="1080" w:right="450" w:hanging="360"/>
        <w:jc w:val="center"/>
        <w:rPr>
          <w:rFonts w:ascii="Calibri" w:hAnsi="Calibri"/>
          <w:sz w:val="22"/>
          <w:szCs w:val="22"/>
          <w:lang w:val="en-US"/>
        </w:rPr>
      </w:pPr>
    </w:p>
    <w:p w:rsidR="00A53FE9" w:rsidRPr="00A53FE9" w:rsidRDefault="00A53FE9" w:rsidP="00A53FE9">
      <w:pPr>
        <w:numPr>
          <w:ilvl w:val="0"/>
          <w:numId w:val="6"/>
        </w:numPr>
        <w:tabs>
          <w:tab w:val="left" w:pos="1080"/>
          <w:tab w:val="left" w:pos="8190"/>
        </w:tabs>
        <w:ind w:right="450"/>
        <w:jc w:val="both"/>
        <w:rPr>
          <w:rFonts w:ascii="Calibri" w:hAnsi="Calibri"/>
          <w:sz w:val="22"/>
          <w:szCs w:val="22"/>
          <w:lang w:val="en-US"/>
        </w:rPr>
      </w:pPr>
      <w:r w:rsidRPr="00A53FE9">
        <w:rPr>
          <w:rFonts w:ascii="Calibri" w:hAnsi="Calibri"/>
          <w:sz w:val="22"/>
          <w:szCs w:val="22"/>
          <w:lang w:val="en-US"/>
        </w:rPr>
        <w:t xml:space="preserve">Adopt and/or, as appropriate, adapt investigation protocols and expert witness services used in all crimes connected with the disappearance, rape or murder of women, in accordance with international standards on such matters and with a gender-aware perspective. </w:t>
      </w:r>
    </w:p>
    <w:p w:rsidR="00A53FE9" w:rsidRPr="00A53FE9" w:rsidRDefault="00A53FE9" w:rsidP="00A53FE9">
      <w:pPr>
        <w:tabs>
          <w:tab w:val="left" w:pos="1080"/>
          <w:tab w:val="left" w:pos="8190"/>
        </w:tabs>
        <w:ind w:left="1080" w:right="450" w:hanging="360"/>
        <w:jc w:val="both"/>
        <w:rPr>
          <w:rFonts w:ascii="Calibri" w:hAnsi="Calibri"/>
          <w:sz w:val="22"/>
          <w:szCs w:val="22"/>
          <w:lang w:val="en-US"/>
        </w:rPr>
      </w:pPr>
    </w:p>
    <w:p w:rsidR="00A53FE9" w:rsidRPr="00A53FE9" w:rsidRDefault="00A53FE9" w:rsidP="00A53FE9">
      <w:pPr>
        <w:numPr>
          <w:ilvl w:val="0"/>
          <w:numId w:val="6"/>
        </w:numPr>
        <w:tabs>
          <w:tab w:val="left" w:pos="1080"/>
          <w:tab w:val="left" w:pos="8190"/>
        </w:tabs>
        <w:ind w:right="450"/>
        <w:jc w:val="both"/>
        <w:rPr>
          <w:rFonts w:ascii="Calibri" w:hAnsi="Calibri"/>
          <w:sz w:val="22"/>
          <w:szCs w:val="22"/>
          <w:lang w:val="en-US"/>
        </w:rPr>
      </w:pPr>
      <w:r w:rsidRPr="00A53FE9">
        <w:rPr>
          <w:rFonts w:ascii="Calibri" w:hAnsi="Calibri"/>
          <w:sz w:val="22"/>
          <w:szCs w:val="22"/>
          <w:lang w:val="en-US"/>
        </w:rPr>
        <w:t xml:space="preserve">Make full reparations to the next of kin of Claudina Isabel Velásquez Paiz for the human rights violations herein established. </w:t>
      </w:r>
    </w:p>
    <w:p w:rsidR="00A53FE9" w:rsidRPr="00A53FE9" w:rsidRDefault="00A53FE9" w:rsidP="00A53FE9">
      <w:pPr>
        <w:tabs>
          <w:tab w:val="left" w:pos="1080"/>
          <w:tab w:val="left" w:pos="8190"/>
        </w:tabs>
        <w:ind w:left="1080" w:right="450" w:hanging="360"/>
        <w:jc w:val="both"/>
        <w:rPr>
          <w:rFonts w:ascii="Calibri" w:hAnsi="Calibri" w:cs="Arial"/>
          <w:sz w:val="22"/>
          <w:szCs w:val="22"/>
          <w:lang w:val="en-US"/>
        </w:rPr>
      </w:pPr>
    </w:p>
    <w:p w:rsidR="00A53FE9" w:rsidRPr="00A53FE9" w:rsidRDefault="00A53FE9" w:rsidP="00A53FE9">
      <w:pPr>
        <w:numPr>
          <w:ilvl w:val="0"/>
          <w:numId w:val="6"/>
        </w:numPr>
        <w:tabs>
          <w:tab w:val="left" w:pos="1080"/>
          <w:tab w:val="left" w:pos="8190"/>
        </w:tabs>
        <w:ind w:right="450"/>
        <w:jc w:val="both"/>
        <w:rPr>
          <w:rFonts w:ascii="Calibri" w:hAnsi="Calibri"/>
          <w:sz w:val="22"/>
          <w:szCs w:val="22"/>
          <w:lang w:val="en-US"/>
        </w:rPr>
      </w:pPr>
      <w:r w:rsidRPr="00A53FE9">
        <w:rPr>
          <w:rFonts w:ascii="Calibri" w:hAnsi="Calibri" w:cs="Arial"/>
          <w:sz w:val="22"/>
          <w:szCs w:val="22"/>
          <w:lang w:val="en-US"/>
        </w:rPr>
        <w:t>As a measure of non-repetition, introduce a comprehensive and coordinated State policy, backed by sufficient public funds, for prevention of violence against women.</w:t>
      </w:r>
    </w:p>
    <w:p w:rsidR="00A53FE9" w:rsidRPr="00A53FE9" w:rsidRDefault="00A53FE9" w:rsidP="00A53FE9">
      <w:pPr>
        <w:tabs>
          <w:tab w:val="left" w:pos="1080"/>
          <w:tab w:val="left" w:pos="8190"/>
        </w:tabs>
        <w:ind w:left="1080" w:right="450" w:hanging="360"/>
        <w:jc w:val="both"/>
        <w:rPr>
          <w:rFonts w:ascii="Calibri" w:hAnsi="Calibri"/>
          <w:sz w:val="22"/>
          <w:szCs w:val="22"/>
          <w:lang w:val="en-US"/>
        </w:rPr>
      </w:pPr>
    </w:p>
    <w:p w:rsidR="00A53FE9" w:rsidRPr="00A53FE9" w:rsidRDefault="00A53FE9" w:rsidP="00A53FE9">
      <w:pPr>
        <w:numPr>
          <w:ilvl w:val="0"/>
          <w:numId w:val="6"/>
        </w:numPr>
        <w:tabs>
          <w:tab w:val="left" w:pos="1080"/>
          <w:tab w:val="left" w:pos="8190"/>
        </w:tabs>
        <w:ind w:right="450"/>
        <w:jc w:val="both"/>
        <w:rPr>
          <w:rFonts w:ascii="Calibri" w:hAnsi="Calibri"/>
          <w:sz w:val="22"/>
          <w:szCs w:val="22"/>
          <w:lang w:val="en-US"/>
        </w:rPr>
      </w:pPr>
      <w:r w:rsidRPr="00A53FE9">
        <w:rPr>
          <w:rFonts w:ascii="Calibri" w:hAnsi="Calibri" w:cs="Arial"/>
          <w:sz w:val="22"/>
          <w:szCs w:val="22"/>
          <w:lang w:val="en-US"/>
        </w:rPr>
        <w:t>Bolster the institutional capacity to combat impunity in cases of violence against women, through effective criminal investigations conducted from a gender perspective and that have constant judicial follow up, thereby ensuring proper punishment and redress.</w:t>
      </w:r>
    </w:p>
    <w:p w:rsidR="00A53FE9" w:rsidRPr="003E74F1" w:rsidRDefault="00A53FE9" w:rsidP="00A53FE9">
      <w:pPr>
        <w:pStyle w:val="Prrafodelista"/>
        <w:tabs>
          <w:tab w:val="left" w:pos="1080"/>
          <w:tab w:val="left" w:pos="8190"/>
        </w:tabs>
        <w:ind w:left="1080" w:right="450" w:hanging="360"/>
        <w:rPr>
          <w:sz w:val="22"/>
          <w:szCs w:val="22"/>
        </w:rPr>
      </w:pPr>
    </w:p>
    <w:p w:rsidR="00A53FE9" w:rsidRPr="00A53FE9" w:rsidRDefault="00A53FE9" w:rsidP="00A53FE9">
      <w:pPr>
        <w:numPr>
          <w:ilvl w:val="0"/>
          <w:numId w:val="6"/>
        </w:numPr>
        <w:tabs>
          <w:tab w:val="left" w:pos="1080"/>
          <w:tab w:val="left" w:pos="8190"/>
        </w:tabs>
        <w:ind w:right="450"/>
        <w:jc w:val="both"/>
        <w:rPr>
          <w:rFonts w:ascii="Calibri" w:hAnsi="Calibri"/>
          <w:sz w:val="22"/>
          <w:szCs w:val="22"/>
          <w:lang w:val="en-US"/>
        </w:rPr>
      </w:pPr>
      <w:r w:rsidRPr="00A53FE9">
        <w:rPr>
          <w:rFonts w:ascii="Calibri" w:hAnsi="Calibri"/>
          <w:sz w:val="22"/>
          <w:szCs w:val="22"/>
          <w:lang w:val="en-US"/>
        </w:rPr>
        <w:t xml:space="preserve">Implement a system of production of disaggregated statistics, which will allow the design and evaluation of public policies in relation to the prevention, sanction and elimination of violence against women. </w:t>
      </w:r>
    </w:p>
    <w:p w:rsidR="00A53FE9" w:rsidRPr="003E74F1" w:rsidRDefault="00A53FE9" w:rsidP="00A53FE9">
      <w:pPr>
        <w:pStyle w:val="Prrafodelista"/>
        <w:tabs>
          <w:tab w:val="left" w:pos="1080"/>
          <w:tab w:val="left" w:pos="8190"/>
        </w:tabs>
        <w:ind w:left="1080" w:right="450" w:hanging="360"/>
        <w:rPr>
          <w:rFonts w:ascii="Calibri" w:hAnsi="Calibri" w:cs="Arial"/>
          <w:sz w:val="22"/>
          <w:szCs w:val="22"/>
        </w:rPr>
      </w:pPr>
    </w:p>
    <w:p w:rsidR="00A53FE9" w:rsidRPr="00A53FE9" w:rsidRDefault="00A53FE9" w:rsidP="00A53FE9">
      <w:pPr>
        <w:numPr>
          <w:ilvl w:val="0"/>
          <w:numId w:val="6"/>
        </w:numPr>
        <w:tabs>
          <w:tab w:val="left" w:pos="1080"/>
          <w:tab w:val="left" w:pos="8190"/>
        </w:tabs>
        <w:ind w:right="450"/>
        <w:jc w:val="both"/>
        <w:rPr>
          <w:rFonts w:ascii="Calibri" w:hAnsi="Calibri"/>
          <w:sz w:val="22"/>
          <w:szCs w:val="22"/>
          <w:lang w:val="en-US"/>
        </w:rPr>
      </w:pPr>
      <w:r w:rsidRPr="00A53FE9">
        <w:rPr>
          <w:rFonts w:ascii="Calibri" w:hAnsi="Calibri" w:cs="Arial"/>
          <w:sz w:val="22"/>
          <w:szCs w:val="22"/>
          <w:lang w:val="en-US"/>
        </w:rPr>
        <w:t xml:space="preserve">Introduce reforms in the State’s educational programs, starting in the early, formative years, so as to promote respect for women as equals and observance of their rights to nonviolence and nondiscrimination. </w:t>
      </w:r>
    </w:p>
    <w:p w:rsidR="00A53FE9" w:rsidRPr="00A53FE9" w:rsidRDefault="00A53FE9" w:rsidP="00A53FE9">
      <w:pPr>
        <w:tabs>
          <w:tab w:val="left" w:pos="1080"/>
          <w:tab w:val="left" w:pos="8190"/>
        </w:tabs>
        <w:ind w:left="1080" w:right="450" w:hanging="360"/>
        <w:jc w:val="both"/>
        <w:rPr>
          <w:rFonts w:ascii="Calibri" w:hAnsi="Calibri"/>
          <w:sz w:val="22"/>
          <w:szCs w:val="22"/>
          <w:lang w:val="en-US"/>
        </w:rPr>
      </w:pPr>
    </w:p>
    <w:p w:rsidR="00A53FE9" w:rsidRPr="00A53FE9" w:rsidRDefault="00A53FE9" w:rsidP="00A53FE9">
      <w:pPr>
        <w:numPr>
          <w:ilvl w:val="0"/>
          <w:numId w:val="6"/>
        </w:numPr>
        <w:tabs>
          <w:tab w:val="left" w:pos="1080"/>
          <w:tab w:val="left" w:pos="8190"/>
        </w:tabs>
        <w:ind w:right="450"/>
        <w:jc w:val="both"/>
        <w:rPr>
          <w:rFonts w:ascii="Calibri" w:hAnsi="Calibri"/>
          <w:sz w:val="22"/>
          <w:szCs w:val="22"/>
          <w:lang w:val="en-US"/>
        </w:rPr>
      </w:pPr>
      <w:r w:rsidRPr="00A53FE9">
        <w:rPr>
          <w:rFonts w:ascii="Calibri" w:hAnsi="Calibri" w:cs="Arial"/>
          <w:sz w:val="22"/>
          <w:szCs w:val="22"/>
          <w:lang w:val="en-US"/>
        </w:rPr>
        <w:t xml:space="preserve">Adopt comprehensive public policies and institutional programs designed to eliminate discriminatory stereotypes about the role of women and to promote the eradication of discriminatory socio-cultural patterns that prevent women’s full access to justice; this should include training programs for public officials in all sectors of government, including education, the various sectors involved in the administration of justice, the police, as well as comprehensive policies on prevention.  </w:t>
      </w:r>
    </w:p>
    <w:p w:rsidR="00271E98" w:rsidRPr="00A53FE9" w:rsidRDefault="00271E98" w:rsidP="00D30018">
      <w:pPr>
        <w:ind w:left="540" w:right="540"/>
        <w:jc w:val="both"/>
        <w:rPr>
          <w:rFonts w:ascii="Calibri" w:hAnsi="Calibri"/>
          <w:sz w:val="22"/>
          <w:szCs w:val="22"/>
          <w:lang w:val="en-US"/>
        </w:rPr>
      </w:pPr>
      <w:r w:rsidRPr="00A53FE9">
        <w:rPr>
          <w:rFonts w:ascii="Calibri" w:hAnsi="Calibri"/>
          <w:sz w:val="22"/>
          <w:szCs w:val="22"/>
          <w:lang w:val="en-US"/>
        </w:rPr>
        <w:t xml:space="preserve"> </w:t>
      </w:r>
    </w:p>
    <w:p w:rsidR="00B7760F" w:rsidRPr="00D30018" w:rsidRDefault="008E6E00" w:rsidP="00D30018">
      <w:pPr>
        <w:tabs>
          <w:tab w:val="left" w:pos="8640"/>
        </w:tabs>
        <w:ind w:firstLine="720"/>
        <w:jc w:val="both"/>
        <w:rPr>
          <w:rFonts w:ascii="Calibri" w:hAnsi="Calibri"/>
          <w:sz w:val="22"/>
          <w:szCs w:val="22"/>
          <w:lang w:val="es-AR"/>
        </w:rPr>
      </w:pPr>
      <w:r w:rsidRPr="00AD1260">
        <w:rPr>
          <w:rFonts w:ascii="Calibri" w:hAnsi="Calibri"/>
          <w:sz w:val="22"/>
          <w:szCs w:val="22"/>
          <w:lang w:val="en-US"/>
        </w:rPr>
        <w:t>Apart from the need to obtain justice, the Commission considers the case raises issues of Inter-American public interest</w:t>
      </w:r>
      <w:r w:rsidR="00271E98" w:rsidRPr="008E6E00">
        <w:rPr>
          <w:rFonts w:ascii="Calibri" w:hAnsi="Calibri"/>
          <w:sz w:val="22"/>
          <w:szCs w:val="22"/>
          <w:lang w:val="en-US"/>
        </w:rPr>
        <w:t xml:space="preserve">. </w:t>
      </w:r>
      <w:r w:rsidR="00B7760F" w:rsidRPr="00E24F71">
        <w:rPr>
          <w:rFonts w:ascii="Calibri" w:hAnsi="Calibri" w:cs="Arial"/>
          <w:sz w:val="22"/>
          <w:szCs w:val="22"/>
          <w:lang w:val="es-CL"/>
        </w:rPr>
        <w:t>Si bien la Corte Interamericana ya se ha pronunciado sobre el alcance de los deberes de protección e investigación de los Estados en circunstancias similares, la Comisión considera que el presente caso ofrece a la Honorable Corte la oportunidad de profundizar en la estrecha relación que existe entre violencia contra la mujer y discriminación, así como entre discriminación y la falta de investigación seria y diligente de dichos actos de violencia. Este tema podrá ser abordado a partir del contexto particular de violencia contra la mujer en Guatemala así como de la situación estructural de impunidad que persiste en estos casos en dicho país.</w:t>
      </w:r>
    </w:p>
    <w:p w:rsidR="00A53FE9" w:rsidRDefault="00A53FE9" w:rsidP="00A53FE9">
      <w:pPr>
        <w:autoSpaceDE w:val="0"/>
        <w:autoSpaceDN w:val="0"/>
        <w:adjustRightInd w:val="0"/>
        <w:ind w:right="480" w:firstLine="720"/>
        <w:jc w:val="both"/>
        <w:rPr>
          <w:rFonts w:ascii="Calibri" w:hAnsi="Calibri" w:cs="Arial"/>
          <w:i/>
          <w:sz w:val="22"/>
          <w:szCs w:val="22"/>
          <w:lang w:val="es-AR"/>
        </w:rPr>
      </w:pPr>
    </w:p>
    <w:p w:rsidR="00A53FE9" w:rsidRPr="00A53FE9" w:rsidRDefault="00A53FE9" w:rsidP="008E3183">
      <w:pPr>
        <w:autoSpaceDE w:val="0"/>
        <w:autoSpaceDN w:val="0"/>
        <w:adjustRightInd w:val="0"/>
        <w:ind w:firstLine="720"/>
        <w:jc w:val="both"/>
        <w:rPr>
          <w:rFonts w:ascii="Calibri" w:hAnsi="Calibri" w:cs="Arial"/>
          <w:sz w:val="22"/>
          <w:szCs w:val="22"/>
          <w:lang w:val="en-US"/>
        </w:rPr>
      </w:pPr>
      <w:r w:rsidRPr="00A53FE9">
        <w:rPr>
          <w:rFonts w:ascii="Calibri" w:hAnsi="Calibri" w:cs="Arial"/>
          <w:sz w:val="22"/>
          <w:szCs w:val="22"/>
          <w:lang w:val="en-US"/>
        </w:rPr>
        <w:lastRenderedPageBreak/>
        <w:t xml:space="preserve">Because these questions significantly affect inter-American </w:t>
      </w:r>
      <w:r w:rsidR="008E6E00">
        <w:rPr>
          <w:rFonts w:ascii="Calibri" w:hAnsi="Calibri" w:cs="Arial"/>
          <w:sz w:val="22"/>
          <w:szCs w:val="22"/>
          <w:lang w:val="en-US"/>
        </w:rPr>
        <w:t xml:space="preserve">public </w:t>
      </w:r>
      <w:r w:rsidR="008E6E00" w:rsidRPr="00A53FE9">
        <w:rPr>
          <w:rFonts w:ascii="Calibri" w:hAnsi="Calibri" w:cs="Arial"/>
          <w:sz w:val="22"/>
          <w:szCs w:val="22"/>
          <w:lang w:val="en-US"/>
        </w:rPr>
        <w:t>order</w:t>
      </w:r>
      <w:r w:rsidRPr="00A53FE9">
        <w:rPr>
          <w:rFonts w:ascii="Calibri" w:hAnsi="Calibri" w:cs="Arial"/>
          <w:sz w:val="22"/>
          <w:szCs w:val="22"/>
          <w:lang w:val="en-US"/>
        </w:rPr>
        <w:t xml:space="preserve">, under Article 35(1)(f) of the Rules of Procedure of the Inter-American Court the Commission takes the liberty of offering the following expert testimony: </w:t>
      </w:r>
    </w:p>
    <w:p w:rsidR="00A53FE9" w:rsidRPr="00A53FE9" w:rsidRDefault="00A53FE9" w:rsidP="008E3183">
      <w:pPr>
        <w:tabs>
          <w:tab w:val="left" w:pos="720"/>
          <w:tab w:val="left" w:pos="9000"/>
        </w:tabs>
        <w:ind w:firstLine="720"/>
        <w:jc w:val="both"/>
        <w:rPr>
          <w:rFonts w:ascii="Calibri" w:hAnsi="Calibri" w:cs="Arial"/>
          <w:sz w:val="22"/>
          <w:szCs w:val="22"/>
          <w:lang w:val="en-US"/>
        </w:rPr>
      </w:pPr>
    </w:p>
    <w:p w:rsidR="00A53FE9" w:rsidRPr="00A53FE9" w:rsidRDefault="00A53FE9" w:rsidP="008E3183">
      <w:pPr>
        <w:ind w:firstLine="720"/>
        <w:jc w:val="both"/>
        <w:rPr>
          <w:rFonts w:ascii="Calibri" w:hAnsi="Calibri" w:cs="Courier New"/>
          <w:sz w:val="22"/>
          <w:szCs w:val="22"/>
          <w:lang w:val="en-US"/>
        </w:rPr>
      </w:pPr>
      <w:r w:rsidRPr="00A53FE9">
        <w:rPr>
          <w:rFonts w:ascii="Calibri" w:hAnsi="Calibri" w:cs="Courier New"/>
          <w:sz w:val="22"/>
          <w:szCs w:val="22"/>
          <w:lang w:val="en-US"/>
        </w:rPr>
        <w:t xml:space="preserve">1. xxxxxxxxxxxx, who will testify to the importance of examining structural contexts of violence against when analyzing the States’ international obligations, specifically the duty to guarantee the rights protected under the Convention.  Therefore, the expert witness will address the impact that the presence of such contexts has on the determination of a State’s international responsibility.  The expert will take into account the Guatemalan context and the facts of the present case.       </w:t>
      </w:r>
    </w:p>
    <w:p w:rsidR="00A53FE9" w:rsidRPr="00A53FE9" w:rsidRDefault="00A53FE9" w:rsidP="008E3183">
      <w:pPr>
        <w:ind w:firstLine="720"/>
        <w:jc w:val="both"/>
        <w:rPr>
          <w:rFonts w:ascii="Calibri" w:hAnsi="Calibri" w:cs="Courier New"/>
          <w:sz w:val="22"/>
          <w:szCs w:val="22"/>
          <w:lang w:val="en-US"/>
        </w:rPr>
      </w:pPr>
    </w:p>
    <w:p w:rsidR="00A53FE9" w:rsidRPr="00A53FE9" w:rsidRDefault="00A53FE9" w:rsidP="008E3183">
      <w:pPr>
        <w:ind w:firstLine="720"/>
        <w:jc w:val="both"/>
        <w:rPr>
          <w:rFonts w:ascii="Calibri" w:hAnsi="Calibri" w:cs="Courier New"/>
          <w:sz w:val="22"/>
          <w:szCs w:val="22"/>
          <w:lang w:val="en-US"/>
        </w:rPr>
      </w:pPr>
      <w:r w:rsidRPr="00A53FE9">
        <w:rPr>
          <w:rFonts w:ascii="Calibri" w:hAnsi="Calibri" w:cs="Courier New"/>
          <w:sz w:val="22"/>
          <w:szCs w:val="22"/>
          <w:lang w:val="en-US"/>
        </w:rPr>
        <w:t xml:space="preserve">2. xxxxxxxxxxxx, who will testify to the international standards that establish the correlation between violence against women, impunity and discrimination.  The expert will elaborate upon the special obligations incumbent upon a State in a context of discrimination and violence against women.  Furthermore, the expert will address the State’s deficient responses in terms of protection and investigation, and how they perpetuate the existing discrimination.  Here, specific reference will be made to the existence of discriminatory stereotypes and their impact on cases such as this.  The expert will also make reference to how this correlation is addressed in other systems for the protection of human rights and may make specific reference to the facts of this case.  </w:t>
      </w:r>
    </w:p>
    <w:p w:rsidR="00271E98" w:rsidRPr="00271E98" w:rsidRDefault="00271E98" w:rsidP="00D30018">
      <w:pPr>
        <w:pStyle w:val="Default"/>
        <w:jc w:val="both"/>
        <w:rPr>
          <w:rFonts w:ascii="Calibri" w:hAnsi="Calibri"/>
          <w:sz w:val="22"/>
          <w:szCs w:val="22"/>
          <w:lang w:val="es-ES"/>
        </w:rPr>
      </w:pPr>
    </w:p>
    <w:p w:rsidR="00271E98" w:rsidRPr="008E6E00" w:rsidRDefault="00271E98" w:rsidP="008E6E00">
      <w:pPr>
        <w:pStyle w:val="Default"/>
        <w:jc w:val="both"/>
        <w:rPr>
          <w:rFonts w:ascii="Calibri" w:hAnsi="Calibri"/>
          <w:sz w:val="22"/>
          <w:szCs w:val="22"/>
        </w:rPr>
      </w:pPr>
      <w:r w:rsidRPr="00271E98">
        <w:rPr>
          <w:rFonts w:ascii="Calibri" w:hAnsi="Calibri"/>
          <w:sz w:val="22"/>
          <w:szCs w:val="22"/>
          <w:lang w:val="es-ES_tradnl"/>
        </w:rPr>
        <w:tab/>
      </w:r>
      <w:r w:rsidR="008E6E00" w:rsidRPr="00AD1260">
        <w:rPr>
          <w:rFonts w:ascii="Calibri" w:hAnsi="Calibri"/>
          <w:sz w:val="22"/>
          <w:szCs w:val="22"/>
        </w:rPr>
        <w:t xml:space="preserve">Finally, the petitioners expressed the victims’ interest in the submission of the present case to the Inter-American Court and informed that the following shall be representatives of the victims:  </w:t>
      </w:r>
    </w:p>
    <w:p w:rsidR="00271E98" w:rsidRPr="00271E98" w:rsidRDefault="00F940D4" w:rsidP="00D30018">
      <w:pPr>
        <w:autoSpaceDE w:val="0"/>
        <w:autoSpaceDN w:val="0"/>
        <w:adjustRightInd w:val="0"/>
        <w:jc w:val="center"/>
        <w:rPr>
          <w:rFonts w:ascii="Calibri" w:hAnsi="Calibri" w:cs="Arial"/>
          <w:sz w:val="22"/>
          <w:szCs w:val="22"/>
          <w:lang w:val="es-ES_tradnl" w:eastAsia="en-US"/>
        </w:rPr>
      </w:pPr>
      <w:r>
        <w:rPr>
          <w:rFonts w:ascii="Calibri" w:hAnsi="Calibri" w:cs="Arial"/>
          <w:sz w:val="22"/>
          <w:szCs w:val="22"/>
          <w:lang w:val="es-ES_tradnl" w:eastAsia="en-US"/>
        </w:rPr>
        <w:t>Jorge Rolando Velásquez Durán y Carlos Pop Ac</w:t>
      </w:r>
    </w:p>
    <w:p w:rsidR="00271E98" w:rsidRPr="00271E98" w:rsidRDefault="00710D57" w:rsidP="00D30018">
      <w:pPr>
        <w:autoSpaceDE w:val="0"/>
        <w:autoSpaceDN w:val="0"/>
        <w:adjustRightInd w:val="0"/>
        <w:jc w:val="center"/>
        <w:rPr>
          <w:rFonts w:ascii="Calibri" w:hAnsi="Calibri" w:cs="Arial"/>
          <w:sz w:val="22"/>
          <w:szCs w:val="22"/>
          <w:lang w:val="es-ES_tradnl" w:eastAsia="en-US"/>
        </w:rPr>
      </w:pPr>
      <w:r w:rsidRPr="00710D57">
        <w:rPr>
          <w:rFonts w:ascii="Calibri" w:hAnsi="Calibri" w:cs="Arial"/>
          <w:sz w:val="22"/>
          <w:szCs w:val="22"/>
          <w:highlight w:val="black"/>
          <w:lang w:val="es-ES_tradnl" w:eastAsia="en-US"/>
        </w:rPr>
        <w:t>xxxxxxxxxxxxxxxxxxxxxxxxxxxx</w:t>
      </w:r>
    </w:p>
    <w:p w:rsidR="00271E98" w:rsidRPr="00271E98" w:rsidRDefault="00271E98" w:rsidP="00D30018">
      <w:pPr>
        <w:ind w:firstLine="720"/>
        <w:jc w:val="both"/>
        <w:rPr>
          <w:rFonts w:ascii="Calibri" w:hAnsi="Calibri" w:cs="Arial"/>
          <w:sz w:val="22"/>
          <w:szCs w:val="22"/>
          <w:lang w:val="es-ES_tradnl"/>
        </w:rPr>
      </w:pPr>
    </w:p>
    <w:p w:rsidR="00271E98" w:rsidRPr="00271E98" w:rsidRDefault="00271E98" w:rsidP="00D30018">
      <w:pPr>
        <w:ind w:firstLine="720"/>
        <w:jc w:val="both"/>
        <w:rPr>
          <w:rFonts w:ascii="Calibri" w:hAnsi="Calibri" w:cs="Arial"/>
          <w:sz w:val="22"/>
          <w:szCs w:val="22"/>
          <w:lang w:val="es-ES_tradnl"/>
        </w:rPr>
      </w:pPr>
    </w:p>
    <w:p w:rsidR="00271E98" w:rsidRPr="00271E98" w:rsidRDefault="00271E98" w:rsidP="00D30018">
      <w:pPr>
        <w:ind w:left="5040"/>
        <w:jc w:val="center"/>
        <w:rPr>
          <w:rFonts w:ascii="Calibri" w:hAnsi="Calibri" w:cs="Arial"/>
          <w:sz w:val="22"/>
          <w:szCs w:val="22"/>
          <w:lang w:val="es-CO"/>
        </w:rPr>
      </w:pPr>
    </w:p>
    <w:p w:rsidR="00FE35D0" w:rsidRDefault="00FE35D0" w:rsidP="00FE35D0">
      <w:pPr>
        <w:tabs>
          <w:tab w:val="left" w:pos="0"/>
        </w:tabs>
        <w:ind w:left="5040" w:firstLine="720"/>
        <w:rPr>
          <w:rFonts w:ascii="Calibri" w:hAnsi="Calibri" w:cs="Arial"/>
          <w:i/>
          <w:color w:val="808080"/>
          <w:sz w:val="18"/>
          <w:szCs w:val="22"/>
          <w:lang w:val="en-US"/>
        </w:rPr>
      </w:pPr>
      <w:r>
        <w:rPr>
          <w:i/>
          <w:color w:val="808080"/>
          <w:sz w:val="20"/>
        </w:rPr>
        <w:t xml:space="preserve">   Signed in the original</w:t>
      </w:r>
    </w:p>
    <w:p w:rsidR="00271E98" w:rsidRPr="00271E98" w:rsidRDefault="00271E98" w:rsidP="00D30018">
      <w:pPr>
        <w:ind w:left="5040"/>
        <w:jc w:val="center"/>
        <w:rPr>
          <w:rFonts w:ascii="Calibri" w:hAnsi="Calibri" w:cs="Arial"/>
          <w:sz w:val="22"/>
          <w:szCs w:val="22"/>
          <w:lang w:val="es-CO"/>
        </w:rPr>
      </w:pPr>
    </w:p>
    <w:p w:rsidR="00271E98" w:rsidRPr="00271E98" w:rsidRDefault="00271E98" w:rsidP="00D30018">
      <w:pPr>
        <w:ind w:left="5040"/>
        <w:jc w:val="center"/>
        <w:rPr>
          <w:rFonts w:ascii="Calibri" w:hAnsi="Calibri" w:cs="Arial"/>
          <w:sz w:val="22"/>
          <w:szCs w:val="22"/>
          <w:lang w:val="es-CO"/>
        </w:rPr>
      </w:pPr>
      <w:r w:rsidRPr="00271E98">
        <w:rPr>
          <w:rFonts w:ascii="Calibri" w:hAnsi="Calibri" w:cs="Arial"/>
          <w:sz w:val="22"/>
          <w:szCs w:val="22"/>
          <w:lang w:val="es-CO"/>
        </w:rPr>
        <w:t xml:space="preserve">Elizabeth Abi-Mershed </w:t>
      </w:r>
    </w:p>
    <w:p w:rsidR="00271E98" w:rsidRPr="00271E98" w:rsidRDefault="008E6E00" w:rsidP="00D30018">
      <w:pPr>
        <w:tabs>
          <w:tab w:val="left" w:pos="5760"/>
        </w:tabs>
        <w:ind w:left="5040"/>
        <w:jc w:val="center"/>
        <w:rPr>
          <w:rFonts w:ascii="Calibri" w:hAnsi="Calibri" w:cs="Arial"/>
          <w:sz w:val="22"/>
          <w:szCs w:val="22"/>
        </w:rPr>
      </w:pPr>
      <w:r>
        <w:rPr>
          <w:rFonts w:ascii="Calibri" w:hAnsi="Calibri" w:cs="Arial"/>
          <w:sz w:val="22"/>
          <w:szCs w:val="22"/>
        </w:rPr>
        <w:t xml:space="preserve">Deputy </w:t>
      </w:r>
      <w:r w:rsidRPr="00AD1260">
        <w:rPr>
          <w:rFonts w:ascii="Calibri" w:hAnsi="Calibri" w:cs="Arial"/>
          <w:sz w:val="22"/>
          <w:szCs w:val="22"/>
          <w:lang w:val="en-US"/>
        </w:rPr>
        <w:t>Executive Secretary</w:t>
      </w:r>
    </w:p>
    <w:p w:rsidR="00271E98" w:rsidRPr="00271E98" w:rsidRDefault="00271E98" w:rsidP="00D30018">
      <w:pPr>
        <w:rPr>
          <w:rFonts w:ascii="Calibri" w:hAnsi="Calibri"/>
          <w:sz w:val="22"/>
          <w:szCs w:val="22"/>
        </w:rPr>
      </w:pPr>
    </w:p>
    <w:p w:rsidR="00271E98" w:rsidRPr="00271E98" w:rsidRDefault="00271E98" w:rsidP="00D30018">
      <w:pPr>
        <w:rPr>
          <w:rFonts w:ascii="Calibri" w:hAnsi="Calibri"/>
          <w:sz w:val="22"/>
          <w:szCs w:val="22"/>
        </w:rPr>
      </w:pPr>
    </w:p>
    <w:p w:rsidR="00271E98" w:rsidRPr="00271E98" w:rsidRDefault="00271E98" w:rsidP="00D30018">
      <w:pPr>
        <w:rPr>
          <w:rFonts w:ascii="Calibri" w:hAnsi="Calibri"/>
          <w:sz w:val="22"/>
          <w:szCs w:val="22"/>
        </w:rPr>
      </w:pPr>
    </w:p>
    <w:p w:rsidR="00BC200F" w:rsidRPr="00271E98" w:rsidRDefault="00BC200F" w:rsidP="00D30018">
      <w:pPr>
        <w:rPr>
          <w:rFonts w:ascii="Calibri" w:hAnsi="Calibri"/>
          <w:sz w:val="22"/>
          <w:szCs w:val="22"/>
        </w:rPr>
      </w:pPr>
    </w:p>
    <w:sectPr w:rsidR="00BC200F" w:rsidRPr="00271E98" w:rsidSect="002368D3">
      <w:headerReference w:type="default" r:id="rId9"/>
      <w:pgSz w:w="12240" w:h="15840" w:code="1"/>
      <w:pgMar w:top="720" w:right="1800" w:bottom="90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1F8" w:rsidRDefault="00BA31F8">
      <w:r>
        <w:separator/>
      </w:r>
    </w:p>
  </w:endnote>
  <w:endnote w:type="continuationSeparator" w:id="0">
    <w:p w:rsidR="00BA31F8" w:rsidRDefault="00BA3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1F8" w:rsidRDefault="00BA31F8">
      <w:r>
        <w:separator/>
      </w:r>
    </w:p>
  </w:footnote>
  <w:footnote w:type="continuationSeparator" w:id="0">
    <w:p w:rsidR="00BA31F8" w:rsidRDefault="00BA31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D3F" w:rsidRDefault="00336D3F">
    <w:pPr>
      <w:pStyle w:val="Encabezado"/>
    </w:pPr>
  </w:p>
  <w:p w:rsidR="00336D3F" w:rsidRDefault="00336D3F" w:rsidP="002368D3">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DF238E">
      <w:rPr>
        <w:rStyle w:val="Nmerodepgina"/>
        <w:noProof/>
      </w:rPr>
      <w:t>4</w:t>
    </w:r>
    <w:r>
      <w:rPr>
        <w:rStyle w:val="Nmerodepgina"/>
      </w:rPr>
      <w:fldChar w:fldCharType="end"/>
    </w:r>
  </w:p>
  <w:p w:rsidR="00336D3F" w:rsidRDefault="00336D3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310AB"/>
    <w:multiLevelType w:val="hybridMultilevel"/>
    <w:tmpl w:val="9710A6A4"/>
    <w:lvl w:ilvl="0" w:tplc="5030BEF0">
      <w:start w:val="2"/>
      <w:numFmt w:val="bullet"/>
      <w:lvlText w:val="-"/>
      <w:lvlJc w:val="left"/>
      <w:pPr>
        <w:ind w:left="720" w:hanging="360"/>
      </w:pPr>
      <w:rPr>
        <w:rFonts w:ascii="Calibri" w:eastAsia="MS Mincho"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404869"/>
    <w:multiLevelType w:val="hybridMultilevel"/>
    <w:tmpl w:val="23A282AC"/>
    <w:lvl w:ilvl="0" w:tplc="0409000F">
      <w:start w:val="1"/>
      <w:numFmt w:val="decimal"/>
      <w:lvlText w:val="%1."/>
      <w:lvlJc w:val="left"/>
      <w:pPr>
        <w:tabs>
          <w:tab w:val="num" w:pos="1080"/>
        </w:tabs>
        <w:ind w:left="1080" w:hanging="360"/>
      </w:pPr>
      <w:rPr>
        <w:rFonts w:cs="Times New Roman" w:hint="default"/>
      </w:rPr>
    </w:lvl>
    <w:lvl w:ilvl="1" w:tplc="8D125AA8">
      <w:start w:val="1"/>
      <w:numFmt w:val="bullet"/>
      <w:lvlText w:val=""/>
      <w:lvlJc w:val="left"/>
      <w:pPr>
        <w:tabs>
          <w:tab w:val="num" w:pos="1800"/>
        </w:tabs>
        <w:ind w:left="1800" w:hanging="360"/>
      </w:pPr>
      <w:rPr>
        <w:rFonts w:ascii="Symbol" w:hAnsi="Symbol" w:hint="default"/>
        <w:sz w:val="16"/>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4D1E2BE0"/>
    <w:multiLevelType w:val="hybridMultilevel"/>
    <w:tmpl w:val="6DE2E466"/>
    <w:lvl w:ilvl="0" w:tplc="EF1465F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210643E"/>
    <w:multiLevelType w:val="hybridMultilevel"/>
    <w:tmpl w:val="1A7C4672"/>
    <w:lvl w:ilvl="0" w:tplc="D4E8763A">
      <w:start w:val="1"/>
      <w:numFmt w:val="decimal"/>
      <w:lvlText w:val="%1."/>
      <w:lvlJc w:val="left"/>
      <w:pPr>
        <w:tabs>
          <w:tab w:val="num" w:pos="810"/>
        </w:tabs>
        <w:ind w:left="81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63806C81"/>
    <w:multiLevelType w:val="hybridMultilevel"/>
    <w:tmpl w:val="F3CC5FEE"/>
    <w:lvl w:ilvl="0" w:tplc="E1180202">
      <w:start w:val="1"/>
      <w:numFmt w:val="decimal"/>
      <w:lvlText w:val="%1."/>
      <w:lvlJc w:val="left"/>
      <w:pPr>
        <w:tabs>
          <w:tab w:val="num" w:pos="720"/>
        </w:tabs>
        <w:ind w:left="720" w:hanging="360"/>
      </w:pPr>
      <w:rPr>
        <w:rFonts w:ascii="Univers" w:hAnsi="Univers" w:hint="default"/>
        <w:b w:val="0"/>
        <w:i w:val="0"/>
      </w:rPr>
    </w:lvl>
    <w:lvl w:ilvl="1" w:tplc="00190409">
      <w:start w:val="1"/>
      <w:numFmt w:val="decimal"/>
      <w:lvlText w:val="%2."/>
      <w:lvlJc w:val="left"/>
      <w:pPr>
        <w:tabs>
          <w:tab w:val="num" w:pos="1440"/>
        </w:tabs>
        <w:ind w:left="1440" w:hanging="360"/>
      </w:pPr>
    </w:lvl>
    <w:lvl w:ilvl="2" w:tplc="001B0409">
      <w:start w:val="1"/>
      <w:numFmt w:val="decimal"/>
      <w:lvlText w:val="%3."/>
      <w:lvlJc w:val="left"/>
      <w:pPr>
        <w:tabs>
          <w:tab w:val="num" w:pos="2160"/>
        </w:tabs>
        <w:ind w:left="2160" w:hanging="360"/>
      </w:pPr>
    </w:lvl>
    <w:lvl w:ilvl="3" w:tplc="000F0409">
      <w:start w:val="1"/>
      <w:numFmt w:val="decimal"/>
      <w:lvlText w:val="%4."/>
      <w:lvlJc w:val="left"/>
      <w:pPr>
        <w:tabs>
          <w:tab w:val="num" w:pos="2880"/>
        </w:tabs>
        <w:ind w:left="2880" w:hanging="360"/>
      </w:pPr>
    </w:lvl>
    <w:lvl w:ilvl="4" w:tplc="00190409">
      <w:start w:val="1"/>
      <w:numFmt w:val="decimal"/>
      <w:lvlText w:val="%5."/>
      <w:lvlJc w:val="left"/>
      <w:pPr>
        <w:tabs>
          <w:tab w:val="num" w:pos="3600"/>
        </w:tabs>
        <w:ind w:left="3600" w:hanging="360"/>
      </w:pPr>
    </w:lvl>
    <w:lvl w:ilvl="5" w:tplc="001B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lvl>
    <w:lvl w:ilvl="7" w:tplc="00190409">
      <w:start w:val="1"/>
      <w:numFmt w:val="decimal"/>
      <w:lvlText w:val="%8."/>
      <w:lvlJc w:val="left"/>
      <w:pPr>
        <w:tabs>
          <w:tab w:val="num" w:pos="5760"/>
        </w:tabs>
        <w:ind w:left="5760" w:hanging="360"/>
      </w:pPr>
    </w:lvl>
    <w:lvl w:ilvl="8" w:tplc="001B0409">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0"/>
  </w:num>
  <w:num w:numId="6">
    <w:abstractNumId w:val="1"/>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1E98"/>
    <w:rsid w:val="00005D5C"/>
    <w:rsid w:val="00010993"/>
    <w:rsid w:val="0001235B"/>
    <w:rsid w:val="000137A2"/>
    <w:rsid w:val="00014A38"/>
    <w:rsid w:val="00021E98"/>
    <w:rsid w:val="000244A3"/>
    <w:rsid w:val="00025019"/>
    <w:rsid w:val="00025BD4"/>
    <w:rsid w:val="00031814"/>
    <w:rsid w:val="00037D6C"/>
    <w:rsid w:val="00057DB3"/>
    <w:rsid w:val="00082BD2"/>
    <w:rsid w:val="000942CB"/>
    <w:rsid w:val="000A7E13"/>
    <w:rsid w:val="000A7E87"/>
    <w:rsid w:val="000B4727"/>
    <w:rsid w:val="000C0B54"/>
    <w:rsid w:val="000C15D7"/>
    <w:rsid w:val="000C2599"/>
    <w:rsid w:val="000D1A7E"/>
    <w:rsid w:val="000E3154"/>
    <w:rsid w:val="000E56CF"/>
    <w:rsid w:val="000E7BDC"/>
    <w:rsid w:val="000F079F"/>
    <w:rsid w:val="000F14A2"/>
    <w:rsid w:val="000F7E72"/>
    <w:rsid w:val="00104455"/>
    <w:rsid w:val="00106206"/>
    <w:rsid w:val="0011084B"/>
    <w:rsid w:val="00124555"/>
    <w:rsid w:val="00125A0B"/>
    <w:rsid w:val="00130466"/>
    <w:rsid w:val="00147A6B"/>
    <w:rsid w:val="00150B05"/>
    <w:rsid w:val="00152ECE"/>
    <w:rsid w:val="00152FB3"/>
    <w:rsid w:val="001534C2"/>
    <w:rsid w:val="00154D3D"/>
    <w:rsid w:val="00154EFB"/>
    <w:rsid w:val="00161397"/>
    <w:rsid w:val="00161615"/>
    <w:rsid w:val="00165C07"/>
    <w:rsid w:val="001761C1"/>
    <w:rsid w:val="00186B4E"/>
    <w:rsid w:val="00187323"/>
    <w:rsid w:val="00190965"/>
    <w:rsid w:val="001A2DB0"/>
    <w:rsid w:val="001A7463"/>
    <w:rsid w:val="001B0149"/>
    <w:rsid w:val="001C077F"/>
    <w:rsid w:val="001C3C72"/>
    <w:rsid w:val="001C5004"/>
    <w:rsid w:val="001D67A2"/>
    <w:rsid w:val="001E098F"/>
    <w:rsid w:val="001E5995"/>
    <w:rsid w:val="001E69CF"/>
    <w:rsid w:val="001F3456"/>
    <w:rsid w:val="001F7ABF"/>
    <w:rsid w:val="00203D92"/>
    <w:rsid w:val="002063BF"/>
    <w:rsid w:val="00210F9E"/>
    <w:rsid w:val="00211FFC"/>
    <w:rsid w:val="00212A04"/>
    <w:rsid w:val="0021303A"/>
    <w:rsid w:val="002151E7"/>
    <w:rsid w:val="00226EA4"/>
    <w:rsid w:val="0022777E"/>
    <w:rsid w:val="002368D3"/>
    <w:rsid w:val="00236948"/>
    <w:rsid w:val="00241B4C"/>
    <w:rsid w:val="0024217E"/>
    <w:rsid w:val="00243B7C"/>
    <w:rsid w:val="00246EA0"/>
    <w:rsid w:val="00254319"/>
    <w:rsid w:val="00257D5D"/>
    <w:rsid w:val="00261807"/>
    <w:rsid w:val="00270841"/>
    <w:rsid w:val="00271E98"/>
    <w:rsid w:val="002745D8"/>
    <w:rsid w:val="00274990"/>
    <w:rsid w:val="002860A4"/>
    <w:rsid w:val="002923FC"/>
    <w:rsid w:val="00293881"/>
    <w:rsid w:val="00295494"/>
    <w:rsid w:val="002C68EB"/>
    <w:rsid w:val="002D5EDB"/>
    <w:rsid w:val="002F71A0"/>
    <w:rsid w:val="002F7846"/>
    <w:rsid w:val="0030200F"/>
    <w:rsid w:val="00302DEF"/>
    <w:rsid w:val="00303E67"/>
    <w:rsid w:val="003138DC"/>
    <w:rsid w:val="003146F2"/>
    <w:rsid w:val="0031798E"/>
    <w:rsid w:val="003228E3"/>
    <w:rsid w:val="00323285"/>
    <w:rsid w:val="003247A7"/>
    <w:rsid w:val="00325DCE"/>
    <w:rsid w:val="00330303"/>
    <w:rsid w:val="0033531D"/>
    <w:rsid w:val="00336D3F"/>
    <w:rsid w:val="00346832"/>
    <w:rsid w:val="003501CC"/>
    <w:rsid w:val="00356B91"/>
    <w:rsid w:val="003649F4"/>
    <w:rsid w:val="003653D9"/>
    <w:rsid w:val="00370184"/>
    <w:rsid w:val="003854AE"/>
    <w:rsid w:val="00386D58"/>
    <w:rsid w:val="003873FE"/>
    <w:rsid w:val="003943C6"/>
    <w:rsid w:val="00396C81"/>
    <w:rsid w:val="00397079"/>
    <w:rsid w:val="003A7E21"/>
    <w:rsid w:val="003B3C7B"/>
    <w:rsid w:val="003B65D5"/>
    <w:rsid w:val="003C1305"/>
    <w:rsid w:val="003C1938"/>
    <w:rsid w:val="003D0BBB"/>
    <w:rsid w:val="003E1519"/>
    <w:rsid w:val="003E5331"/>
    <w:rsid w:val="003E7F0A"/>
    <w:rsid w:val="00403232"/>
    <w:rsid w:val="00415B0A"/>
    <w:rsid w:val="00425FFF"/>
    <w:rsid w:val="004339FD"/>
    <w:rsid w:val="00435BB8"/>
    <w:rsid w:val="0044588C"/>
    <w:rsid w:val="00446F12"/>
    <w:rsid w:val="00451412"/>
    <w:rsid w:val="0045741A"/>
    <w:rsid w:val="004600BC"/>
    <w:rsid w:val="004720D4"/>
    <w:rsid w:val="00474984"/>
    <w:rsid w:val="00481B42"/>
    <w:rsid w:val="00483904"/>
    <w:rsid w:val="00495D9D"/>
    <w:rsid w:val="004A57F7"/>
    <w:rsid w:val="004B0753"/>
    <w:rsid w:val="004B2911"/>
    <w:rsid w:val="004B5234"/>
    <w:rsid w:val="004C10EA"/>
    <w:rsid w:val="004C5360"/>
    <w:rsid w:val="004D12DC"/>
    <w:rsid w:val="004D581A"/>
    <w:rsid w:val="004E6788"/>
    <w:rsid w:val="00500446"/>
    <w:rsid w:val="005073BB"/>
    <w:rsid w:val="00522D5A"/>
    <w:rsid w:val="0054322E"/>
    <w:rsid w:val="0054324D"/>
    <w:rsid w:val="005604E8"/>
    <w:rsid w:val="005705F4"/>
    <w:rsid w:val="00577820"/>
    <w:rsid w:val="005A0FD2"/>
    <w:rsid w:val="005B239F"/>
    <w:rsid w:val="005B3935"/>
    <w:rsid w:val="005B39FF"/>
    <w:rsid w:val="005D105A"/>
    <w:rsid w:val="005D2269"/>
    <w:rsid w:val="005E5C10"/>
    <w:rsid w:val="005F13E1"/>
    <w:rsid w:val="005F2756"/>
    <w:rsid w:val="005F633A"/>
    <w:rsid w:val="00602E62"/>
    <w:rsid w:val="00603360"/>
    <w:rsid w:val="006078B9"/>
    <w:rsid w:val="0065714B"/>
    <w:rsid w:val="0065781A"/>
    <w:rsid w:val="00672338"/>
    <w:rsid w:val="00675349"/>
    <w:rsid w:val="00681ECF"/>
    <w:rsid w:val="006855CF"/>
    <w:rsid w:val="006900E0"/>
    <w:rsid w:val="00694677"/>
    <w:rsid w:val="00694EED"/>
    <w:rsid w:val="006A2EDA"/>
    <w:rsid w:val="006A350D"/>
    <w:rsid w:val="006A370D"/>
    <w:rsid w:val="006A4FB0"/>
    <w:rsid w:val="006A5A60"/>
    <w:rsid w:val="006B3045"/>
    <w:rsid w:val="006B3C0C"/>
    <w:rsid w:val="006C1C4A"/>
    <w:rsid w:val="006C246D"/>
    <w:rsid w:val="006C39FE"/>
    <w:rsid w:val="006D07B8"/>
    <w:rsid w:val="006F5666"/>
    <w:rsid w:val="006F6DAF"/>
    <w:rsid w:val="00702E9C"/>
    <w:rsid w:val="0070615F"/>
    <w:rsid w:val="00710D57"/>
    <w:rsid w:val="007148BF"/>
    <w:rsid w:val="007220CF"/>
    <w:rsid w:val="00722371"/>
    <w:rsid w:val="00723EEB"/>
    <w:rsid w:val="00730FE5"/>
    <w:rsid w:val="00732F34"/>
    <w:rsid w:val="00764381"/>
    <w:rsid w:val="007745D6"/>
    <w:rsid w:val="007807FB"/>
    <w:rsid w:val="00782588"/>
    <w:rsid w:val="007935BC"/>
    <w:rsid w:val="007A0B8B"/>
    <w:rsid w:val="007B15FE"/>
    <w:rsid w:val="007B497B"/>
    <w:rsid w:val="007B51B9"/>
    <w:rsid w:val="007B6E35"/>
    <w:rsid w:val="007C6D4B"/>
    <w:rsid w:val="007D0D25"/>
    <w:rsid w:val="007D5429"/>
    <w:rsid w:val="007D75DB"/>
    <w:rsid w:val="007F32F1"/>
    <w:rsid w:val="007F59BA"/>
    <w:rsid w:val="007F771B"/>
    <w:rsid w:val="007F7BFF"/>
    <w:rsid w:val="00814DAA"/>
    <w:rsid w:val="00821554"/>
    <w:rsid w:val="008242FF"/>
    <w:rsid w:val="00834FE4"/>
    <w:rsid w:val="00851CFC"/>
    <w:rsid w:val="00864670"/>
    <w:rsid w:val="00865354"/>
    <w:rsid w:val="0086587C"/>
    <w:rsid w:val="008662B2"/>
    <w:rsid w:val="008764B1"/>
    <w:rsid w:val="0088280A"/>
    <w:rsid w:val="00890868"/>
    <w:rsid w:val="00891538"/>
    <w:rsid w:val="00895920"/>
    <w:rsid w:val="008969AF"/>
    <w:rsid w:val="008A2350"/>
    <w:rsid w:val="008A24EE"/>
    <w:rsid w:val="008A4F40"/>
    <w:rsid w:val="008A667F"/>
    <w:rsid w:val="008A7B60"/>
    <w:rsid w:val="008B1AF2"/>
    <w:rsid w:val="008C1A06"/>
    <w:rsid w:val="008D717A"/>
    <w:rsid w:val="008E1A6A"/>
    <w:rsid w:val="008E3183"/>
    <w:rsid w:val="008E3780"/>
    <w:rsid w:val="008E5903"/>
    <w:rsid w:val="008E6E00"/>
    <w:rsid w:val="008F212C"/>
    <w:rsid w:val="009047DE"/>
    <w:rsid w:val="00905107"/>
    <w:rsid w:val="00920CFE"/>
    <w:rsid w:val="00921F5E"/>
    <w:rsid w:val="0093143E"/>
    <w:rsid w:val="00931A56"/>
    <w:rsid w:val="00942B05"/>
    <w:rsid w:val="00943F0B"/>
    <w:rsid w:val="0095706D"/>
    <w:rsid w:val="009575C6"/>
    <w:rsid w:val="00961A74"/>
    <w:rsid w:val="00962080"/>
    <w:rsid w:val="00966162"/>
    <w:rsid w:val="00971537"/>
    <w:rsid w:val="0097791A"/>
    <w:rsid w:val="009A3BDB"/>
    <w:rsid w:val="009A7890"/>
    <w:rsid w:val="009B0AB8"/>
    <w:rsid w:val="009C4824"/>
    <w:rsid w:val="009C6D53"/>
    <w:rsid w:val="009D568D"/>
    <w:rsid w:val="009F7623"/>
    <w:rsid w:val="00A015B0"/>
    <w:rsid w:val="00A02BF1"/>
    <w:rsid w:val="00A03CE3"/>
    <w:rsid w:val="00A1121B"/>
    <w:rsid w:val="00A123FA"/>
    <w:rsid w:val="00A1454F"/>
    <w:rsid w:val="00A148C1"/>
    <w:rsid w:val="00A177F7"/>
    <w:rsid w:val="00A20588"/>
    <w:rsid w:val="00A32109"/>
    <w:rsid w:val="00A41141"/>
    <w:rsid w:val="00A52739"/>
    <w:rsid w:val="00A53FE9"/>
    <w:rsid w:val="00A57092"/>
    <w:rsid w:val="00A61C40"/>
    <w:rsid w:val="00A71E24"/>
    <w:rsid w:val="00A8194C"/>
    <w:rsid w:val="00A93D93"/>
    <w:rsid w:val="00AA1BD7"/>
    <w:rsid w:val="00AA569D"/>
    <w:rsid w:val="00AD6C2E"/>
    <w:rsid w:val="00AD6CEB"/>
    <w:rsid w:val="00AF352B"/>
    <w:rsid w:val="00B11897"/>
    <w:rsid w:val="00B132B2"/>
    <w:rsid w:val="00B1390B"/>
    <w:rsid w:val="00B44682"/>
    <w:rsid w:val="00B447B8"/>
    <w:rsid w:val="00B51EA4"/>
    <w:rsid w:val="00B617BA"/>
    <w:rsid w:val="00B62E0B"/>
    <w:rsid w:val="00B630A7"/>
    <w:rsid w:val="00B64FFF"/>
    <w:rsid w:val="00B65939"/>
    <w:rsid w:val="00B70D0C"/>
    <w:rsid w:val="00B71547"/>
    <w:rsid w:val="00B71706"/>
    <w:rsid w:val="00B76910"/>
    <w:rsid w:val="00B7760F"/>
    <w:rsid w:val="00B840B6"/>
    <w:rsid w:val="00B86088"/>
    <w:rsid w:val="00BA31F8"/>
    <w:rsid w:val="00BA75D6"/>
    <w:rsid w:val="00BB1370"/>
    <w:rsid w:val="00BB55C3"/>
    <w:rsid w:val="00BC200F"/>
    <w:rsid w:val="00BC6676"/>
    <w:rsid w:val="00BC68C0"/>
    <w:rsid w:val="00BC7AF4"/>
    <w:rsid w:val="00BD08FA"/>
    <w:rsid w:val="00BD1B7C"/>
    <w:rsid w:val="00BD440E"/>
    <w:rsid w:val="00BD70EA"/>
    <w:rsid w:val="00BD79DA"/>
    <w:rsid w:val="00BF1F5D"/>
    <w:rsid w:val="00BF22E6"/>
    <w:rsid w:val="00C21829"/>
    <w:rsid w:val="00C340C8"/>
    <w:rsid w:val="00C40AAD"/>
    <w:rsid w:val="00C43563"/>
    <w:rsid w:val="00C45825"/>
    <w:rsid w:val="00C51521"/>
    <w:rsid w:val="00C52AE0"/>
    <w:rsid w:val="00C631FB"/>
    <w:rsid w:val="00C6623D"/>
    <w:rsid w:val="00C74751"/>
    <w:rsid w:val="00C768A8"/>
    <w:rsid w:val="00C82495"/>
    <w:rsid w:val="00C96134"/>
    <w:rsid w:val="00C97402"/>
    <w:rsid w:val="00CA1344"/>
    <w:rsid w:val="00CB7021"/>
    <w:rsid w:val="00CC0210"/>
    <w:rsid w:val="00CC3C1B"/>
    <w:rsid w:val="00CC4821"/>
    <w:rsid w:val="00CD5A59"/>
    <w:rsid w:val="00CE7CE5"/>
    <w:rsid w:val="00CF19DF"/>
    <w:rsid w:val="00CF7509"/>
    <w:rsid w:val="00D02D68"/>
    <w:rsid w:val="00D04DF2"/>
    <w:rsid w:val="00D30018"/>
    <w:rsid w:val="00D30101"/>
    <w:rsid w:val="00D436E3"/>
    <w:rsid w:val="00D51461"/>
    <w:rsid w:val="00D57941"/>
    <w:rsid w:val="00D675F8"/>
    <w:rsid w:val="00D67B81"/>
    <w:rsid w:val="00D76041"/>
    <w:rsid w:val="00D8234D"/>
    <w:rsid w:val="00D8435A"/>
    <w:rsid w:val="00D8470F"/>
    <w:rsid w:val="00D95A12"/>
    <w:rsid w:val="00D97615"/>
    <w:rsid w:val="00DA4825"/>
    <w:rsid w:val="00DB0DF8"/>
    <w:rsid w:val="00DB6302"/>
    <w:rsid w:val="00DD2DC0"/>
    <w:rsid w:val="00DE0263"/>
    <w:rsid w:val="00DE6936"/>
    <w:rsid w:val="00DF238E"/>
    <w:rsid w:val="00E027A5"/>
    <w:rsid w:val="00E079D7"/>
    <w:rsid w:val="00E11F54"/>
    <w:rsid w:val="00E24C89"/>
    <w:rsid w:val="00E24F71"/>
    <w:rsid w:val="00E3379F"/>
    <w:rsid w:val="00E41D0C"/>
    <w:rsid w:val="00E454D7"/>
    <w:rsid w:val="00E50423"/>
    <w:rsid w:val="00E50786"/>
    <w:rsid w:val="00E60A76"/>
    <w:rsid w:val="00E617E8"/>
    <w:rsid w:val="00E62FCC"/>
    <w:rsid w:val="00E92CDF"/>
    <w:rsid w:val="00EA1DA6"/>
    <w:rsid w:val="00EA1FAF"/>
    <w:rsid w:val="00EA34C4"/>
    <w:rsid w:val="00EA6628"/>
    <w:rsid w:val="00EA71DB"/>
    <w:rsid w:val="00EB3346"/>
    <w:rsid w:val="00EE0C0F"/>
    <w:rsid w:val="00EF1B42"/>
    <w:rsid w:val="00F07419"/>
    <w:rsid w:val="00F317DF"/>
    <w:rsid w:val="00F34BEA"/>
    <w:rsid w:val="00F46C3B"/>
    <w:rsid w:val="00F6104F"/>
    <w:rsid w:val="00F66840"/>
    <w:rsid w:val="00F70C53"/>
    <w:rsid w:val="00F7188A"/>
    <w:rsid w:val="00F74404"/>
    <w:rsid w:val="00F77360"/>
    <w:rsid w:val="00F80D3E"/>
    <w:rsid w:val="00F940D4"/>
    <w:rsid w:val="00FA057A"/>
    <w:rsid w:val="00FB2B10"/>
    <w:rsid w:val="00FB672F"/>
    <w:rsid w:val="00FC2E0C"/>
    <w:rsid w:val="00FE35D0"/>
    <w:rsid w:val="00FE75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1E98"/>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271E98"/>
    <w:pPr>
      <w:tabs>
        <w:tab w:val="center" w:pos="4320"/>
        <w:tab w:val="right" w:pos="8640"/>
      </w:tabs>
    </w:pPr>
  </w:style>
  <w:style w:type="character" w:styleId="Nmerodepgina">
    <w:name w:val="page number"/>
    <w:basedOn w:val="Fuentedeprrafopredeter"/>
    <w:rsid w:val="00271E98"/>
  </w:style>
  <w:style w:type="paragraph" w:customStyle="1" w:styleId="Default">
    <w:name w:val="Default"/>
    <w:rsid w:val="00271E98"/>
    <w:pPr>
      <w:autoSpaceDE w:val="0"/>
      <w:autoSpaceDN w:val="0"/>
      <w:adjustRightInd w:val="0"/>
    </w:pPr>
    <w:rPr>
      <w:rFonts w:ascii="Arial" w:hAnsi="Arial" w:cs="Arial"/>
      <w:color w:val="000000"/>
      <w:sz w:val="24"/>
      <w:szCs w:val="24"/>
      <w:lang w:val="en-US" w:eastAsia="en-US"/>
    </w:rPr>
  </w:style>
  <w:style w:type="paragraph" w:styleId="Textoindependiente3">
    <w:name w:val="Body Text 3"/>
    <w:basedOn w:val="Normal"/>
    <w:rsid w:val="00271E98"/>
    <w:pPr>
      <w:spacing w:after="120"/>
    </w:pPr>
    <w:rPr>
      <w:noProof/>
      <w:sz w:val="16"/>
      <w:szCs w:val="16"/>
      <w:lang w:val="es-ES_tradnl" w:eastAsia="en-US"/>
    </w:rPr>
  </w:style>
  <w:style w:type="paragraph" w:styleId="Sangradetextonormal">
    <w:name w:val="Body Text Indent"/>
    <w:basedOn w:val="Normal"/>
    <w:rsid w:val="00271E98"/>
    <w:pPr>
      <w:spacing w:after="120"/>
      <w:ind w:left="360"/>
    </w:pPr>
    <w:rPr>
      <w:lang w:val="en-US" w:eastAsia="en-US"/>
    </w:rPr>
  </w:style>
  <w:style w:type="paragraph" w:styleId="Textonotapie">
    <w:name w:val="footnote text"/>
    <w:basedOn w:val="Normal"/>
    <w:semiHidden/>
    <w:rsid w:val="00271E98"/>
    <w:rPr>
      <w:sz w:val="20"/>
      <w:szCs w:val="20"/>
      <w:lang w:val="en-US" w:eastAsia="en-US"/>
    </w:rPr>
  </w:style>
  <w:style w:type="character" w:styleId="Refdenotaalpie">
    <w:name w:val="footnote reference"/>
    <w:semiHidden/>
    <w:rsid w:val="00271E98"/>
    <w:rPr>
      <w:vertAlign w:val="superscript"/>
    </w:rPr>
  </w:style>
  <w:style w:type="paragraph" w:styleId="Prrafodelista">
    <w:name w:val="List Paragraph"/>
    <w:basedOn w:val="Normal"/>
    <w:uiPriority w:val="99"/>
    <w:qFormat/>
    <w:rsid w:val="00C51521"/>
    <w:pPr>
      <w:ind w:left="720"/>
      <w:contextualSpacing/>
    </w:pPr>
    <w:rPr>
      <w:rFonts w:eastAsia="MS Mincho"/>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76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1634</Words>
  <Characters>8992</Characters>
  <Application>Microsoft Office Word</Application>
  <DocSecurity>0</DocSecurity>
  <Lines>74</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10605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2018-02-08T22:18:00Z</cp:lastPrinted>
  <dcterms:created xsi:type="dcterms:W3CDTF">2018-02-08T22:18:00Z</dcterms:created>
  <dcterms:modified xsi:type="dcterms:W3CDTF">2018-02-08T22:18:00Z</dcterms:modified>
</cp:coreProperties>
</file>