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1C9" w:rsidRPr="00427E3D" w:rsidRDefault="00A451C9" w:rsidP="00A451C9">
      <w:pPr>
        <w:ind w:left="540" w:firstLine="180"/>
        <w:jc w:val="both"/>
        <w:rPr>
          <w:rFonts w:ascii="Calibri" w:hAnsi="Calibri" w:cs="Arial"/>
          <w:lang w:val="en-US"/>
        </w:rPr>
      </w:pPr>
      <w:bookmarkStart w:id="0" w:name="_GoBack"/>
      <w:bookmarkEnd w:id="0"/>
      <w:r w:rsidRPr="00427E3D">
        <w:rPr>
          <w:rFonts w:ascii="Calibri" w:hAnsi="Calibri"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427E3D">
        <w:rPr>
          <w:rFonts w:ascii="Calibri" w:hAnsi="Calibri" w:cs="Arial"/>
          <w:noProof/>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427E3D">
        <w:rPr>
          <w:rFonts w:ascii="Calibri" w:hAnsi="Calibri" w:cs="Arial"/>
          <w:lang w:val="en-US"/>
        </w:rPr>
        <w:t>INTER  -</w:t>
      </w:r>
      <w:proofErr w:type="gramEnd"/>
      <w:r w:rsidRPr="00427E3D">
        <w:rPr>
          <w:rFonts w:ascii="Calibri" w:hAnsi="Calibri" w:cs="Arial"/>
          <w:lang w:val="en-US"/>
        </w:rPr>
        <w:t xml:space="preserve">  AMERICAN   COMMISSION  ON  HUMAN  RIGHTS</w:t>
      </w:r>
    </w:p>
    <w:p w:rsidR="00A451C9" w:rsidRPr="00427E3D" w:rsidRDefault="00A451C9" w:rsidP="00A451C9">
      <w:pPr>
        <w:ind w:left="1980" w:firstLine="180"/>
        <w:jc w:val="both"/>
        <w:rPr>
          <w:rFonts w:ascii="Calibri" w:hAnsi="Calibri" w:cs="Arial"/>
          <w:lang w:val="en-US"/>
        </w:rPr>
      </w:pPr>
      <w:proofErr w:type="gramStart"/>
      <w:r w:rsidRPr="00427E3D">
        <w:rPr>
          <w:rFonts w:ascii="Calibri" w:hAnsi="Calibri" w:cs="Arial"/>
          <w:lang w:val="en-US"/>
        </w:rPr>
        <w:t>COMISION  INTERAMERICANA</w:t>
      </w:r>
      <w:proofErr w:type="gramEnd"/>
      <w:r w:rsidRPr="00427E3D">
        <w:rPr>
          <w:rFonts w:ascii="Calibri" w:hAnsi="Calibri" w:cs="Arial"/>
          <w:lang w:val="en-US"/>
        </w:rPr>
        <w:t xml:space="preserve">  DE  DERECHOS   HUMANOS</w:t>
      </w:r>
    </w:p>
    <w:p w:rsidR="00A451C9" w:rsidRPr="00427E3D" w:rsidRDefault="00A451C9" w:rsidP="00A451C9">
      <w:pPr>
        <w:ind w:left="540" w:firstLine="180"/>
        <w:jc w:val="both"/>
        <w:rPr>
          <w:rFonts w:ascii="Calibri" w:hAnsi="Calibri" w:cs="Arial"/>
          <w:lang w:val="en-US"/>
        </w:rPr>
      </w:pPr>
      <w:r w:rsidRPr="00427E3D">
        <w:rPr>
          <w:rFonts w:ascii="Calibri" w:hAnsi="Calibri" w:cs="Arial"/>
          <w:lang w:val="en-US"/>
        </w:rPr>
        <w:t xml:space="preserve">COMISSÃO   </w:t>
      </w:r>
      <w:proofErr w:type="gramStart"/>
      <w:r w:rsidRPr="00427E3D">
        <w:rPr>
          <w:rFonts w:ascii="Calibri" w:hAnsi="Calibri" w:cs="Arial"/>
          <w:lang w:val="en-US"/>
        </w:rPr>
        <w:t>INTERAMERICANA  DE</w:t>
      </w:r>
      <w:proofErr w:type="gramEnd"/>
      <w:r w:rsidRPr="00427E3D">
        <w:rPr>
          <w:rFonts w:ascii="Calibri" w:hAnsi="Calibri" w:cs="Arial"/>
          <w:lang w:val="en-US"/>
        </w:rPr>
        <w:t xml:space="preserve">  DIREITOS   HUMANOS</w:t>
      </w:r>
    </w:p>
    <w:p w:rsidR="00A451C9" w:rsidRPr="00427E3D" w:rsidRDefault="00A451C9" w:rsidP="00A451C9">
      <w:pPr>
        <w:ind w:left="720"/>
        <w:jc w:val="both"/>
        <w:rPr>
          <w:rFonts w:ascii="Calibri" w:hAnsi="Calibri" w:cs="Arial"/>
          <w:lang w:val="en-US"/>
        </w:rPr>
      </w:pPr>
      <w:r w:rsidRPr="00427E3D">
        <w:rPr>
          <w:rFonts w:ascii="Calibri" w:hAnsi="Calibri" w:cs="Arial"/>
          <w:lang w:val="en-US"/>
        </w:rPr>
        <w:t xml:space="preserve">  COMMISSION INTERAMÉRICAINE DES DROITS DE L'HOMME</w:t>
      </w:r>
    </w:p>
    <w:p w:rsidR="00A451C9" w:rsidRPr="00427E3D" w:rsidRDefault="00A451C9" w:rsidP="00A451C9">
      <w:pPr>
        <w:jc w:val="both"/>
        <w:rPr>
          <w:rFonts w:ascii="Calibri" w:hAnsi="Calibri" w:cs="Arial"/>
          <w:lang w:val="en-US"/>
        </w:rPr>
      </w:pPr>
    </w:p>
    <w:p w:rsidR="00A451C9" w:rsidRPr="00B35C11" w:rsidRDefault="00A451C9" w:rsidP="00A451C9">
      <w:pPr>
        <w:jc w:val="both"/>
        <w:rPr>
          <w:rFonts w:ascii="Cambria" w:hAnsi="Cambria" w:cs="Arial"/>
          <w:sz w:val="22"/>
          <w:szCs w:val="22"/>
          <w:lang w:val="en-US"/>
        </w:rPr>
      </w:pPr>
      <w:r w:rsidRPr="00B35C11">
        <w:rPr>
          <w:rFonts w:ascii="Cambria" w:hAnsi="Cambria"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451C9" w:rsidRPr="00B35C11" w:rsidRDefault="00A451C9" w:rsidP="00A451C9">
      <w:pPr>
        <w:jc w:val="both"/>
        <w:rPr>
          <w:rFonts w:ascii="Cambria" w:hAnsi="Cambria" w:cs="Arial"/>
          <w:b/>
          <w:sz w:val="22"/>
          <w:szCs w:val="22"/>
          <w:lang w:val="en-US"/>
        </w:rPr>
      </w:pPr>
      <w:r w:rsidRPr="00B35C11">
        <w:rPr>
          <w:rFonts w:ascii="Cambria" w:hAnsi="Cambria" w:cs="Arial"/>
          <w:b/>
          <w:sz w:val="22"/>
          <w:szCs w:val="22"/>
          <w:lang w:val="en-US"/>
        </w:rPr>
        <w:t>ORGANIZACIÓN DE LOS ESTADOS AMERICANOS</w:t>
      </w:r>
    </w:p>
    <w:p w:rsidR="00A451C9" w:rsidRPr="00B35C11" w:rsidRDefault="00A451C9" w:rsidP="00A451C9">
      <w:pPr>
        <w:jc w:val="both"/>
        <w:rPr>
          <w:rFonts w:ascii="Cambria" w:hAnsi="Cambria" w:cs="Arial"/>
          <w:b/>
          <w:sz w:val="22"/>
          <w:szCs w:val="22"/>
        </w:rPr>
      </w:pPr>
      <w:r w:rsidRPr="00B35C11">
        <w:rPr>
          <w:rFonts w:ascii="Cambria" w:hAnsi="Cambria" w:cs="Arial"/>
          <w:b/>
          <w:sz w:val="22"/>
          <w:szCs w:val="22"/>
        </w:rPr>
        <w:t>WASHINGTON, D.C. 2 0 0 0 6  EEUU</w:t>
      </w:r>
    </w:p>
    <w:p w:rsidR="00A451C9" w:rsidRPr="00B35C11" w:rsidRDefault="00A451C9" w:rsidP="00A451C9">
      <w:pPr>
        <w:rPr>
          <w:rFonts w:ascii="Cambria" w:hAnsi="Cambria"/>
          <w:sz w:val="22"/>
          <w:szCs w:val="22"/>
        </w:rPr>
      </w:pPr>
    </w:p>
    <w:p w:rsidR="00A451C9" w:rsidRPr="00B35C11" w:rsidRDefault="0054517D" w:rsidP="00A451C9">
      <w:pPr>
        <w:suppressAutoHyphens/>
        <w:jc w:val="right"/>
        <w:rPr>
          <w:rFonts w:ascii="Cambria" w:hAnsi="Cambria" w:cs="Arial"/>
          <w:sz w:val="22"/>
          <w:szCs w:val="22"/>
          <w:lang w:val="es-PE"/>
        </w:rPr>
      </w:pPr>
      <w:r w:rsidRPr="00B35C11">
        <w:rPr>
          <w:rFonts w:ascii="Cambria" w:hAnsi="Cambria" w:cs="Arial"/>
          <w:sz w:val="22"/>
          <w:szCs w:val="22"/>
          <w:lang w:val="es-PE"/>
        </w:rPr>
        <w:t xml:space="preserve">January </w:t>
      </w:r>
      <w:r w:rsidR="00A451C9" w:rsidRPr="00B35C11">
        <w:rPr>
          <w:rFonts w:ascii="Cambria" w:hAnsi="Cambria" w:cs="Arial"/>
          <w:sz w:val="22"/>
          <w:szCs w:val="22"/>
          <w:lang w:val="es-PE"/>
        </w:rPr>
        <w:t>19</w:t>
      </w:r>
      <w:r w:rsidRPr="00B35C11">
        <w:rPr>
          <w:rFonts w:ascii="Cambria" w:hAnsi="Cambria" w:cs="Arial"/>
          <w:sz w:val="22"/>
          <w:szCs w:val="22"/>
          <w:lang w:val="es-PE"/>
        </w:rPr>
        <w:t>,</w:t>
      </w:r>
      <w:r w:rsidR="00A451C9" w:rsidRPr="00B35C11">
        <w:rPr>
          <w:rFonts w:ascii="Cambria" w:hAnsi="Cambria" w:cs="Arial"/>
          <w:sz w:val="22"/>
          <w:szCs w:val="22"/>
          <w:lang w:val="es-PE"/>
        </w:rPr>
        <w:t xml:space="preserve"> 2014</w:t>
      </w:r>
    </w:p>
    <w:p w:rsidR="00364CD0" w:rsidRPr="00B35C11" w:rsidRDefault="00364CD0" w:rsidP="00A451C9">
      <w:pPr>
        <w:tabs>
          <w:tab w:val="left" w:pos="720"/>
          <w:tab w:val="center" w:pos="6480"/>
        </w:tabs>
        <w:jc w:val="both"/>
        <w:rPr>
          <w:rFonts w:ascii="Cambria" w:hAnsi="Cambria" w:cs="Arial"/>
          <w:b/>
          <w:sz w:val="22"/>
          <w:szCs w:val="22"/>
          <w:lang w:val="en-US"/>
        </w:rPr>
      </w:pPr>
    </w:p>
    <w:p w:rsidR="00A451C9" w:rsidRPr="00B35C11" w:rsidRDefault="00A451C9" w:rsidP="00A451C9">
      <w:pPr>
        <w:tabs>
          <w:tab w:val="left" w:pos="720"/>
          <w:tab w:val="center" w:pos="6480"/>
        </w:tabs>
        <w:jc w:val="both"/>
        <w:rPr>
          <w:rFonts w:ascii="Cambria" w:hAnsi="Cambria" w:cs="Arial"/>
          <w:b/>
          <w:sz w:val="22"/>
          <w:szCs w:val="22"/>
          <w:lang w:val="en-US"/>
        </w:rPr>
      </w:pPr>
      <w:r w:rsidRPr="00B35C11">
        <w:rPr>
          <w:rFonts w:ascii="Cambria" w:hAnsi="Cambria" w:cs="Arial"/>
          <w:b/>
          <w:sz w:val="22"/>
          <w:szCs w:val="22"/>
          <w:lang w:val="en-US"/>
        </w:rPr>
        <w:t>Ref.:</w:t>
      </w:r>
      <w:bookmarkStart w:id="1" w:name="Peticion_n"/>
      <w:bookmarkEnd w:id="1"/>
      <w:r w:rsidRPr="00B35C11">
        <w:rPr>
          <w:rFonts w:ascii="Cambria" w:hAnsi="Cambria" w:cs="Arial"/>
          <w:b/>
          <w:sz w:val="22"/>
          <w:szCs w:val="22"/>
          <w:lang w:val="en-US"/>
        </w:rPr>
        <w:tab/>
        <w:t>Caso No. 11.568</w:t>
      </w:r>
      <w:r w:rsidRPr="00B35C11">
        <w:rPr>
          <w:rFonts w:ascii="Cambria" w:hAnsi="Cambria" w:cs="Arial"/>
          <w:b/>
          <w:i/>
          <w:sz w:val="22"/>
          <w:szCs w:val="22"/>
          <w:lang w:val="en-US"/>
        </w:rPr>
        <w:t xml:space="preserve"> </w:t>
      </w:r>
    </w:p>
    <w:p w:rsidR="00A451C9" w:rsidRPr="00B35C11" w:rsidRDefault="00A451C9" w:rsidP="00A451C9">
      <w:pPr>
        <w:tabs>
          <w:tab w:val="left" w:pos="720"/>
          <w:tab w:val="center" w:pos="6480"/>
        </w:tabs>
        <w:ind w:left="720"/>
        <w:jc w:val="both"/>
        <w:rPr>
          <w:rFonts w:ascii="Cambria" w:hAnsi="Cambria" w:cs="Arial"/>
          <w:b/>
          <w:sz w:val="22"/>
          <w:szCs w:val="22"/>
          <w:lang w:val="en-US"/>
        </w:rPr>
      </w:pPr>
      <w:r w:rsidRPr="00B35C11">
        <w:rPr>
          <w:rFonts w:ascii="Cambria" w:hAnsi="Cambria" w:cs="Arial"/>
          <w:b/>
          <w:sz w:val="22"/>
          <w:szCs w:val="22"/>
          <w:lang w:val="en-US"/>
        </w:rPr>
        <w:t xml:space="preserve">Luis Antonio Galindo Cárdenas </w:t>
      </w:r>
      <w:r w:rsidR="00D51657" w:rsidRPr="00B35C11">
        <w:rPr>
          <w:rFonts w:ascii="Cambria" w:hAnsi="Cambria" w:cs="Arial"/>
          <w:b/>
          <w:sz w:val="22"/>
          <w:szCs w:val="22"/>
          <w:lang w:val="en-US"/>
        </w:rPr>
        <w:t>y familiares</w:t>
      </w:r>
    </w:p>
    <w:p w:rsidR="00A451C9" w:rsidRPr="00B35C11" w:rsidRDefault="00A451C9" w:rsidP="00A451C9">
      <w:pPr>
        <w:tabs>
          <w:tab w:val="left" w:pos="720"/>
          <w:tab w:val="center" w:pos="6480"/>
        </w:tabs>
        <w:ind w:left="720"/>
        <w:jc w:val="both"/>
        <w:rPr>
          <w:rFonts w:ascii="Cambria" w:hAnsi="Cambria" w:cs="Arial"/>
          <w:b/>
          <w:sz w:val="22"/>
          <w:szCs w:val="22"/>
          <w:lang w:val="es-ES_tradnl"/>
        </w:rPr>
      </w:pPr>
      <w:r w:rsidRPr="00B35C11">
        <w:rPr>
          <w:rFonts w:ascii="Cambria" w:hAnsi="Cambria" w:cs="Arial"/>
          <w:b/>
          <w:sz w:val="22"/>
          <w:szCs w:val="22"/>
          <w:lang w:val="es-ES_tradnl"/>
        </w:rPr>
        <w:t>Perú</w:t>
      </w:r>
    </w:p>
    <w:p w:rsidR="00A451C9" w:rsidRPr="00B35C11" w:rsidRDefault="00A451C9" w:rsidP="00A451C9">
      <w:pPr>
        <w:tabs>
          <w:tab w:val="left" w:pos="720"/>
          <w:tab w:val="center" w:pos="6480"/>
        </w:tabs>
        <w:jc w:val="both"/>
        <w:rPr>
          <w:rFonts w:ascii="Cambria" w:hAnsi="Cambria" w:cs="Arial"/>
          <w:sz w:val="22"/>
          <w:szCs w:val="22"/>
        </w:rPr>
      </w:pPr>
    </w:p>
    <w:p w:rsidR="00A451C9" w:rsidRPr="00B35C11" w:rsidRDefault="00A451C9" w:rsidP="00A451C9">
      <w:pPr>
        <w:tabs>
          <w:tab w:val="left" w:pos="720"/>
          <w:tab w:val="center" w:pos="6480"/>
        </w:tabs>
        <w:jc w:val="both"/>
        <w:rPr>
          <w:rFonts w:ascii="Cambria" w:hAnsi="Cambria" w:cs="Arial"/>
          <w:sz w:val="22"/>
          <w:szCs w:val="22"/>
          <w:lang w:val="es-PE"/>
        </w:rPr>
      </w:pPr>
      <w:r w:rsidRPr="00B35C11">
        <w:rPr>
          <w:rFonts w:ascii="Cambria" w:hAnsi="Cambria" w:cs="Arial"/>
          <w:sz w:val="22"/>
          <w:szCs w:val="22"/>
          <w:lang w:val="es-PE"/>
        </w:rPr>
        <w:t>Señor Secretario:</w:t>
      </w:r>
    </w:p>
    <w:p w:rsidR="00A451C9" w:rsidRPr="00B35C11" w:rsidRDefault="00A451C9" w:rsidP="00A451C9">
      <w:pPr>
        <w:rPr>
          <w:rFonts w:ascii="Cambria" w:hAnsi="Cambria" w:cs="Arial"/>
          <w:sz w:val="22"/>
          <w:szCs w:val="22"/>
          <w:lang w:val="es-CO"/>
        </w:rPr>
      </w:pPr>
    </w:p>
    <w:p w:rsidR="00BD1EC8" w:rsidRPr="00B35C11" w:rsidRDefault="00A451C9" w:rsidP="00A451C9">
      <w:pPr>
        <w:jc w:val="both"/>
        <w:rPr>
          <w:rFonts w:ascii="Cambria" w:hAnsi="Cambria"/>
          <w:sz w:val="22"/>
          <w:szCs w:val="22"/>
        </w:rPr>
      </w:pPr>
      <w:r w:rsidRPr="00B35C11">
        <w:rPr>
          <w:rFonts w:ascii="Cambria" w:hAnsi="Cambria"/>
          <w:sz w:val="22"/>
          <w:szCs w:val="22"/>
        </w:rPr>
        <w:tab/>
        <w:t>Tengo el agrado de dirigirme a usted en nombre de la Comisión Interamericana de Derechos Humanos con el objeto</w:t>
      </w:r>
      <w:r w:rsidRPr="00B35C11">
        <w:rPr>
          <w:rFonts w:ascii="Cambria" w:hAnsi="Cambria" w:cs="Arial"/>
          <w:sz w:val="22"/>
          <w:szCs w:val="22"/>
          <w:lang w:val="es-CO"/>
        </w:rPr>
        <w:t xml:space="preserve"> de someter a la jurisdicción de la Honorable Corte Interamericana de Derechos Humanos, el caso No.</w:t>
      </w:r>
      <w:r w:rsidRPr="00B35C11">
        <w:rPr>
          <w:rFonts w:ascii="Cambria" w:hAnsi="Cambria"/>
          <w:sz w:val="22"/>
          <w:szCs w:val="22"/>
        </w:rPr>
        <w:t xml:space="preserve"> </w:t>
      </w:r>
      <w:bookmarkStart w:id="2" w:name="Peticion_n1"/>
      <w:bookmarkEnd w:id="2"/>
      <w:r w:rsidRPr="00B35C11">
        <w:rPr>
          <w:rFonts w:ascii="Cambria" w:hAnsi="Cambria" w:cs="Arial"/>
          <w:sz w:val="22"/>
          <w:szCs w:val="22"/>
        </w:rPr>
        <w:t>1</w:t>
      </w:r>
      <w:r w:rsidR="005F3455" w:rsidRPr="00B35C11">
        <w:rPr>
          <w:rFonts w:ascii="Cambria" w:hAnsi="Cambria" w:cs="Arial"/>
          <w:sz w:val="22"/>
          <w:szCs w:val="22"/>
        </w:rPr>
        <w:t>1</w:t>
      </w:r>
      <w:r w:rsidRPr="00B35C11">
        <w:rPr>
          <w:rFonts w:ascii="Cambria" w:hAnsi="Cambria" w:cs="Arial"/>
          <w:sz w:val="22"/>
          <w:szCs w:val="22"/>
        </w:rPr>
        <w:t>.</w:t>
      </w:r>
      <w:r w:rsidR="005F3455" w:rsidRPr="00B35C11">
        <w:rPr>
          <w:rFonts w:ascii="Cambria" w:hAnsi="Cambria" w:cs="Arial"/>
          <w:sz w:val="22"/>
          <w:szCs w:val="22"/>
        </w:rPr>
        <w:t>568</w:t>
      </w:r>
      <w:r w:rsidRPr="00B35C11">
        <w:rPr>
          <w:rFonts w:ascii="Cambria" w:hAnsi="Cambria" w:cs="Arial"/>
          <w:sz w:val="22"/>
          <w:szCs w:val="22"/>
        </w:rPr>
        <w:t xml:space="preserve"> – </w:t>
      </w:r>
      <w:r w:rsidR="005F3455" w:rsidRPr="00B35C11">
        <w:rPr>
          <w:rFonts w:ascii="Cambria" w:hAnsi="Cambria" w:cs="Arial"/>
          <w:sz w:val="22"/>
          <w:szCs w:val="22"/>
        </w:rPr>
        <w:t>Luis Antonio Galindo Cárdenas y familiares r</w:t>
      </w:r>
      <w:r w:rsidRPr="00B35C11">
        <w:rPr>
          <w:rFonts w:ascii="Cambria" w:hAnsi="Cambria" w:cs="Arial"/>
          <w:sz w:val="22"/>
          <w:szCs w:val="22"/>
        </w:rPr>
        <w:t xml:space="preserve">especto de la República de Perú (en adelante “el Estado”, “el Estado peruano” o “Perú”), </w:t>
      </w:r>
      <w:r w:rsidRPr="00B35C11">
        <w:rPr>
          <w:rFonts w:ascii="Cambria" w:hAnsi="Cambria"/>
          <w:iCs/>
          <w:sz w:val="22"/>
          <w:szCs w:val="22"/>
          <w:lang w:val="es-ES_tradnl"/>
        </w:rPr>
        <w:t>relacionado con</w:t>
      </w:r>
      <w:r w:rsidRPr="00B35C11">
        <w:rPr>
          <w:rFonts w:ascii="Cambria" w:hAnsi="Cambria"/>
          <w:sz w:val="22"/>
          <w:szCs w:val="22"/>
        </w:rPr>
        <w:t xml:space="preserve"> </w:t>
      </w:r>
      <w:r w:rsidR="008D5805" w:rsidRPr="00B35C11">
        <w:rPr>
          <w:rFonts w:ascii="Cambria" w:hAnsi="Cambria"/>
          <w:sz w:val="22"/>
          <w:szCs w:val="22"/>
        </w:rPr>
        <w:t>la detención ilegal y arbitraria del entonces Vocal Provisional de la Corte Superior de Justicia de Huánuco, Luis Antonio Galindo Cárdenas, el 16 de octubre de 1994 tras presentarse voluntariamente a la Base Militar de Yanac</w:t>
      </w:r>
      <w:r w:rsidR="00364CD0" w:rsidRPr="00B35C11">
        <w:rPr>
          <w:rFonts w:ascii="Cambria" w:hAnsi="Cambria"/>
          <w:sz w:val="22"/>
          <w:szCs w:val="22"/>
        </w:rPr>
        <w:t>,</w:t>
      </w:r>
      <w:r w:rsidR="008D5805" w:rsidRPr="00B35C11">
        <w:rPr>
          <w:rFonts w:ascii="Cambria" w:hAnsi="Cambria"/>
          <w:sz w:val="22"/>
          <w:szCs w:val="22"/>
        </w:rPr>
        <w:t xml:space="preserve"> a solicitud del Jefe de Comando Político Militar quien ejercía las acciones de gobierno en la zona conforme a la legislación de emergencia</w:t>
      </w:r>
      <w:r w:rsidR="00A11A31" w:rsidRPr="00B35C11">
        <w:rPr>
          <w:rFonts w:ascii="Cambria" w:hAnsi="Cambria"/>
          <w:sz w:val="22"/>
          <w:szCs w:val="22"/>
        </w:rPr>
        <w:t xml:space="preserve"> vigente.</w:t>
      </w:r>
      <w:r w:rsidR="008D5805" w:rsidRPr="00B35C11">
        <w:rPr>
          <w:rFonts w:ascii="Cambria" w:hAnsi="Cambria"/>
          <w:sz w:val="22"/>
          <w:szCs w:val="22"/>
        </w:rPr>
        <w:t xml:space="preserve"> En dicha Base Militar, el señor Galindo Cárdenas permaneció privado de libertad durante 31 días</w:t>
      </w:r>
      <w:r w:rsidR="00600A5E" w:rsidRPr="00B35C11">
        <w:rPr>
          <w:rFonts w:ascii="Cambria" w:hAnsi="Cambria"/>
          <w:sz w:val="22"/>
          <w:szCs w:val="22"/>
        </w:rPr>
        <w:t xml:space="preserve">. No fue informada </w:t>
      </w:r>
      <w:r w:rsidR="007449DB" w:rsidRPr="00B35C11">
        <w:rPr>
          <w:rFonts w:ascii="Cambria" w:hAnsi="Cambria"/>
          <w:sz w:val="22"/>
          <w:szCs w:val="22"/>
        </w:rPr>
        <w:t>la Corte Superior de Justicia de Huá</w:t>
      </w:r>
      <w:r w:rsidR="00364CD0" w:rsidRPr="00B35C11">
        <w:rPr>
          <w:rFonts w:ascii="Cambria" w:hAnsi="Cambria"/>
          <w:sz w:val="22"/>
          <w:szCs w:val="22"/>
        </w:rPr>
        <w:t>nuco</w:t>
      </w:r>
      <w:r w:rsidR="00353C05" w:rsidRPr="00B35C11">
        <w:rPr>
          <w:rFonts w:ascii="Cambria" w:hAnsi="Cambria"/>
          <w:sz w:val="22"/>
          <w:szCs w:val="22"/>
        </w:rPr>
        <w:t>,</w:t>
      </w:r>
      <w:r w:rsidR="00364CD0" w:rsidRPr="00B35C11">
        <w:rPr>
          <w:rFonts w:ascii="Cambria" w:hAnsi="Cambria"/>
          <w:sz w:val="22"/>
          <w:szCs w:val="22"/>
        </w:rPr>
        <w:t xml:space="preserve"> </w:t>
      </w:r>
      <w:r w:rsidR="00353C05" w:rsidRPr="00B35C11">
        <w:rPr>
          <w:rFonts w:ascii="Cambria" w:hAnsi="Cambria"/>
          <w:sz w:val="22"/>
          <w:szCs w:val="22"/>
        </w:rPr>
        <w:t>ni</w:t>
      </w:r>
      <w:r w:rsidR="00364CD0" w:rsidRPr="00B35C11">
        <w:rPr>
          <w:rFonts w:ascii="Cambria" w:hAnsi="Cambria"/>
          <w:sz w:val="22"/>
          <w:szCs w:val="22"/>
        </w:rPr>
        <w:t xml:space="preserve"> fue sometido a </w:t>
      </w:r>
      <w:r w:rsidR="007449DB" w:rsidRPr="00B35C11">
        <w:rPr>
          <w:rFonts w:ascii="Cambria" w:hAnsi="Cambria"/>
          <w:sz w:val="22"/>
          <w:szCs w:val="22"/>
        </w:rPr>
        <w:t>ningún otro tipo de control judicial</w:t>
      </w:r>
      <w:r w:rsidR="00282A62" w:rsidRPr="00B35C11">
        <w:rPr>
          <w:rFonts w:ascii="Cambria" w:hAnsi="Cambria"/>
          <w:sz w:val="22"/>
          <w:szCs w:val="22"/>
        </w:rPr>
        <w:t xml:space="preserve">. </w:t>
      </w:r>
      <w:r w:rsidR="007449DB" w:rsidRPr="00B35C11">
        <w:rPr>
          <w:rFonts w:ascii="Cambria" w:hAnsi="Cambria"/>
          <w:sz w:val="22"/>
          <w:szCs w:val="22"/>
        </w:rPr>
        <w:t xml:space="preserve"> </w:t>
      </w:r>
      <w:r w:rsidR="00282A62" w:rsidRPr="00B35C11">
        <w:rPr>
          <w:rFonts w:ascii="Cambria" w:hAnsi="Cambria"/>
          <w:sz w:val="22"/>
          <w:szCs w:val="22"/>
        </w:rPr>
        <w:t>Fu</w:t>
      </w:r>
      <w:r w:rsidR="00364CD0" w:rsidRPr="00B35C11">
        <w:rPr>
          <w:rFonts w:ascii="Cambria" w:hAnsi="Cambria"/>
          <w:sz w:val="22"/>
          <w:szCs w:val="22"/>
        </w:rPr>
        <w:t xml:space="preserve">e </w:t>
      </w:r>
      <w:r w:rsidR="00EA4C4C" w:rsidRPr="00B35C11">
        <w:rPr>
          <w:rFonts w:ascii="Cambria" w:hAnsi="Cambria"/>
          <w:sz w:val="22"/>
          <w:szCs w:val="22"/>
        </w:rPr>
        <w:t xml:space="preserve">inicialmente incomunicado y posteriormente </w:t>
      </w:r>
      <w:r w:rsidR="00364CD0" w:rsidRPr="00B35C11">
        <w:rPr>
          <w:rFonts w:ascii="Cambria" w:hAnsi="Cambria"/>
          <w:sz w:val="22"/>
          <w:szCs w:val="22"/>
        </w:rPr>
        <w:t xml:space="preserve">se le impusieron </w:t>
      </w:r>
      <w:r w:rsidR="001C430E" w:rsidRPr="00B35C11">
        <w:rPr>
          <w:rFonts w:ascii="Cambria" w:hAnsi="Cambria"/>
          <w:sz w:val="22"/>
          <w:szCs w:val="22"/>
        </w:rPr>
        <w:t>serias</w:t>
      </w:r>
      <w:r w:rsidR="009A1F5F" w:rsidRPr="00B35C11">
        <w:rPr>
          <w:rFonts w:ascii="Cambria" w:hAnsi="Cambria"/>
          <w:sz w:val="22"/>
          <w:szCs w:val="22"/>
        </w:rPr>
        <w:t xml:space="preserve"> limitaciones en la comunicación</w:t>
      </w:r>
      <w:r w:rsidR="00364CD0" w:rsidRPr="00B35C11">
        <w:rPr>
          <w:rFonts w:ascii="Cambria" w:hAnsi="Cambria"/>
          <w:sz w:val="22"/>
          <w:szCs w:val="22"/>
        </w:rPr>
        <w:t>.</w:t>
      </w:r>
      <w:r w:rsidR="008D5805" w:rsidRPr="00B35C11">
        <w:rPr>
          <w:rFonts w:ascii="Cambria" w:hAnsi="Cambria"/>
          <w:sz w:val="22"/>
          <w:szCs w:val="22"/>
        </w:rPr>
        <w:t xml:space="preserve"> </w:t>
      </w:r>
    </w:p>
    <w:p w:rsidR="00BD1EC8" w:rsidRPr="00B35C11" w:rsidRDefault="00BD1EC8" w:rsidP="00A451C9">
      <w:pPr>
        <w:jc w:val="both"/>
        <w:rPr>
          <w:rFonts w:ascii="Cambria" w:hAnsi="Cambria"/>
          <w:sz w:val="22"/>
          <w:szCs w:val="22"/>
        </w:rPr>
      </w:pPr>
    </w:p>
    <w:p w:rsidR="000E373A" w:rsidRPr="00B35C11" w:rsidRDefault="00BD1EC8" w:rsidP="00A451C9">
      <w:pPr>
        <w:jc w:val="both"/>
        <w:rPr>
          <w:rFonts w:ascii="Cambria" w:hAnsi="Cambria"/>
          <w:sz w:val="22"/>
          <w:szCs w:val="22"/>
        </w:rPr>
      </w:pPr>
      <w:r w:rsidRPr="00B35C11">
        <w:rPr>
          <w:rFonts w:ascii="Cambria" w:hAnsi="Cambria"/>
          <w:sz w:val="22"/>
          <w:szCs w:val="22"/>
        </w:rPr>
        <w:tab/>
      </w:r>
      <w:r w:rsidR="00EE527B" w:rsidRPr="00B35C11">
        <w:rPr>
          <w:rFonts w:ascii="Cambria" w:hAnsi="Cambria"/>
          <w:sz w:val="22"/>
          <w:szCs w:val="22"/>
        </w:rPr>
        <w:t>La Comisión también</w:t>
      </w:r>
      <w:r w:rsidR="002B4C0D" w:rsidRPr="00B35C11">
        <w:rPr>
          <w:rFonts w:ascii="Cambria" w:hAnsi="Cambria"/>
          <w:sz w:val="22"/>
          <w:szCs w:val="22"/>
        </w:rPr>
        <w:t xml:space="preserve"> encontró que el señor Galindo C</w:t>
      </w:r>
      <w:r w:rsidR="00EE527B" w:rsidRPr="00B35C11">
        <w:rPr>
          <w:rFonts w:ascii="Cambria" w:hAnsi="Cambria"/>
          <w:sz w:val="22"/>
          <w:szCs w:val="22"/>
        </w:rPr>
        <w:t xml:space="preserve">árdenas no fue informado de las razones de su detención </w:t>
      </w:r>
      <w:r w:rsidR="002E5443" w:rsidRPr="00B35C11">
        <w:rPr>
          <w:rFonts w:ascii="Cambria" w:hAnsi="Cambria"/>
          <w:sz w:val="22"/>
          <w:szCs w:val="22"/>
        </w:rPr>
        <w:t xml:space="preserve">ni de los cargos que se le imputaban, ni contó con posibilidades de ejercer adecuadamente su defensa. </w:t>
      </w:r>
      <w:r w:rsidR="003D7FC2" w:rsidRPr="00B35C11">
        <w:rPr>
          <w:rFonts w:ascii="Cambria" w:hAnsi="Cambria"/>
          <w:sz w:val="22"/>
          <w:szCs w:val="22"/>
        </w:rPr>
        <w:t>Las circunstancias propias de su detención impidieron que el señor Galindo Cárdenas solicitara una revisión jud</w:t>
      </w:r>
      <w:r w:rsidR="00E81376" w:rsidRPr="00B35C11">
        <w:rPr>
          <w:rFonts w:ascii="Cambria" w:hAnsi="Cambria"/>
          <w:sz w:val="22"/>
          <w:szCs w:val="22"/>
        </w:rPr>
        <w:t xml:space="preserve">icial efectiva de la privación de libertad. </w:t>
      </w:r>
      <w:r w:rsidR="0003621F" w:rsidRPr="00B35C11">
        <w:rPr>
          <w:rFonts w:ascii="Cambria" w:hAnsi="Cambria"/>
          <w:sz w:val="22"/>
          <w:szCs w:val="22"/>
        </w:rPr>
        <w:t>T</w:t>
      </w:r>
      <w:r w:rsidR="000E373A" w:rsidRPr="00B35C11">
        <w:rPr>
          <w:rFonts w:ascii="Cambria" w:hAnsi="Cambria"/>
          <w:sz w:val="22"/>
          <w:szCs w:val="22"/>
        </w:rPr>
        <w:t>odas estas circunstancias, que tuvieron como objeto suprimir la resistencia del señor Galindo Cárdenas para que se acogi</w:t>
      </w:r>
      <w:r w:rsidR="0003621F" w:rsidRPr="00B35C11">
        <w:rPr>
          <w:rFonts w:ascii="Cambria" w:hAnsi="Cambria"/>
          <w:sz w:val="22"/>
          <w:szCs w:val="22"/>
        </w:rPr>
        <w:t xml:space="preserve">era a la Ley de Arrepentimiento, </w:t>
      </w:r>
      <w:r w:rsidR="00376EF5" w:rsidRPr="00B35C11">
        <w:rPr>
          <w:rFonts w:ascii="Cambria" w:hAnsi="Cambria"/>
          <w:sz w:val="22"/>
          <w:szCs w:val="22"/>
        </w:rPr>
        <w:t xml:space="preserve">llevaron a la Comisión </w:t>
      </w:r>
      <w:r w:rsidR="0018000B" w:rsidRPr="00B35C11">
        <w:rPr>
          <w:rFonts w:ascii="Cambria" w:hAnsi="Cambria"/>
          <w:sz w:val="22"/>
          <w:szCs w:val="22"/>
        </w:rPr>
        <w:t xml:space="preserve">a </w:t>
      </w:r>
      <w:r w:rsidR="000E373A" w:rsidRPr="00B35C11">
        <w:rPr>
          <w:rFonts w:ascii="Cambria" w:hAnsi="Cambria"/>
          <w:sz w:val="22"/>
          <w:szCs w:val="22"/>
        </w:rPr>
        <w:t>encontr</w:t>
      </w:r>
      <w:r w:rsidR="0018000B" w:rsidRPr="00B35C11">
        <w:rPr>
          <w:rFonts w:ascii="Cambria" w:hAnsi="Cambria"/>
          <w:sz w:val="22"/>
          <w:szCs w:val="22"/>
        </w:rPr>
        <w:t>ar</w:t>
      </w:r>
      <w:r w:rsidR="000E373A" w:rsidRPr="00B35C11">
        <w:rPr>
          <w:rFonts w:ascii="Cambria" w:hAnsi="Cambria"/>
          <w:sz w:val="22"/>
          <w:szCs w:val="22"/>
        </w:rPr>
        <w:t xml:space="preserve"> que la violación de las garantías procesales y sustantivas ya mencionadas, así como las condiciones de detención, en su conjunto, constituyeron tratos crueles, inhumanos y degradantes en perjuicio de la víctima. </w:t>
      </w:r>
    </w:p>
    <w:p w:rsidR="003E06F5" w:rsidRPr="00B35C11" w:rsidRDefault="003E06F5" w:rsidP="00A451C9">
      <w:pPr>
        <w:jc w:val="both"/>
        <w:rPr>
          <w:rFonts w:ascii="Cambria" w:hAnsi="Cambria" w:cs="Arial"/>
          <w:sz w:val="22"/>
          <w:szCs w:val="22"/>
          <w:lang w:val="es-CR"/>
        </w:rPr>
      </w:pPr>
    </w:p>
    <w:p w:rsidR="00BD1EC8" w:rsidRPr="00B35C11" w:rsidRDefault="00BD1EC8" w:rsidP="00A451C9">
      <w:pPr>
        <w:jc w:val="both"/>
        <w:rPr>
          <w:rFonts w:ascii="Cambria" w:hAnsi="Cambria" w:cs="Arial"/>
          <w:sz w:val="22"/>
          <w:szCs w:val="22"/>
          <w:lang w:val="es-CR"/>
        </w:rPr>
      </w:pPr>
      <w:r w:rsidRPr="00B35C11">
        <w:rPr>
          <w:rFonts w:ascii="Cambria" w:hAnsi="Cambria" w:cs="Arial"/>
          <w:sz w:val="22"/>
          <w:szCs w:val="22"/>
          <w:lang w:val="es-CR"/>
        </w:rPr>
        <w:tab/>
      </w:r>
      <w:r w:rsidR="00B434F1" w:rsidRPr="00B35C11">
        <w:rPr>
          <w:rFonts w:ascii="Cambria" w:hAnsi="Cambria" w:cs="Arial"/>
          <w:sz w:val="22"/>
          <w:szCs w:val="22"/>
          <w:lang w:val="es-CR"/>
        </w:rPr>
        <w:t>La</w:t>
      </w:r>
      <w:r w:rsidRPr="00B35C11">
        <w:rPr>
          <w:rFonts w:ascii="Cambria" w:hAnsi="Cambria" w:cs="Arial"/>
          <w:sz w:val="22"/>
          <w:szCs w:val="22"/>
          <w:lang w:val="es-CR"/>
        </w:rPr>
        <w:t xml:space="preserve"> Comisión</w:t>
      </w:r>
      <w:r w:rsidR="00B434F1" w:rsidRPr="00B35C11">
        <w:rPr>
          <w:rFonts w:ascii="Cambria" w:hAnsi="Cambria" w:cs="Arial"/>
          <w:sz w:val="22"/>
          <w:szCs w:val="22"/>
          <w:lang w:val="es-CR"/>
        </w:rPr>
        <w:t xml:space="preserve"> también</w:t>
      </w:r>
      <w:r w:rsidRPr="00B35C11">
        <w:rPr>
          <w:rFonts w:ascii="Cambria" w:hAnsi="Cambria" w:cs="Arial"/>
          <w:sz w:val="22"/>
          <w:szCs w:val="22"/>
          <w:lang w:val="es-CR"/>
        </w:rPr>
        <w:t xml:space="preserve"> concluyó que el Estado peruano incurrió en responsabilidad bajo el principio de legalidad y la prohibición de irretroactividad, por </w:t>
      </w:r>
      <w:r w:rsidR="005A1592" w:rsidRPr="00B35C11">
        <w:rPr>
          <w:rFonts w:ascii="Cambria" w:hAnsi="Cambria" w:cs="Arial"/>
          <w:sz w:val="22"/>
          <w:szCs w:val="22"/>
          <w:lang w:val="es-CR"/>
        </w:rPr>
        <w:t>haber criminalizado el ejercicio de la</w:t>
      </w:r>
      <w:r w:rsidR="004614D2" w:rsidRPr="00B35C11">
        <w:rPr>
          <w:rFonts w:ascii="Cambria" w:hAnsi="Cambria" w:cs="Arial"/>
          <w:sz w:val="22"/>
          <w:szCs w:val="22"/>
          <w:lang w:val="es-CR"/>
        </w:rPr>
        <w:t xml:space="preserve"> abogacía, en particular, de la</w:t>
      </w:r>
      <w:r w:rsidR="005A1592" w:rsidRPr="00B35C11">
        <w:rPr>
          <w:rFonts w:ascii="Cambria" w:hAnsi="Cambria" w:cs="Arial"/>
          <w:sz w:val="22"/>
          <w:szCs w:val="22"/>
          <w:lang w:val="es-CR"/>
        </w:rPr>
        <w:t xml:space="preserve"> defensa técnica</w:t>
      </w:r>
      <w:r w:rsidR="002B6290" w:rsidRPr="00B35C11">
        <w:rPr>
          <w:rFonts w:ascii="Cambria" w:hAnsi="Cambria" w:cs="Arial"/>
          <w:sz w:val="22"/>
          <w:szCs w:val="22"/>
          <w:lang w:val="es-CR"/>
        </w:rPr>
        <w:t>,</w:t>
      </w:r>
      <w:r w:rsidR="005A1592" w:rsidRPr="00B35C11">
        <w:rPr>
          <w:rFonts w:ascii="Cambria" w:hAnsi="Cambria" w:cs="Arial"/>
          <w:sz w:val="22"/>
          <w:szCs w:val="22"/>
          <w:lang w:val="es-CR"/>
        </w:rPr>
        <w:t xml:space="preserve"> mediante la </w:t>
      </w:r>
      <w:r w:rsidRPr="00B35C11">
        <w:rPr>
          <w:rFonts w:ascii="Cambria" w:hAnsi="Cambria" w:cs="Arial"/>
          <w:sz w:val="22"/>
          <w:szCs w:val="22"/>
          <w:lang w:val="es-CR"/>
        </w:rPr>
        <w:t>aplicación</w:t>
      </w:r>
      <w:r w:rsidR="000E7B3E" w:rsidRPr="00B35C11">
        <w:rPr>
          <w:rFonts w:ascii="Cambria" w:hAnsi="Cambria" w:cs="Arial"/>
          <w:sz w:val="22"/>
          <w:szCs w:val="22"/>
          <w:lang w:val="es-CR"/>
        </w:rPr>
        <w:t xml:space="preserve"> </w:t>
      </w:r>
      <w:r w:rsidR="004852AF" w:rsidRPr="00B35C11">
        <w:rPr>
          <w:rFonts w:ascii="Cambria" w:hAnsi="Cambria" w:cs="Arial"/>
          <w:sz w:val="22"/>
          <w:szCs w:val="22"/>
          <w:lang w:val="es-CR"/>
        </w:rPr>
        <w:t>arbitraria</w:t>
      </w:r>
      <w:r w:rsidRPr="00B35C11">
        <w:rPr>
          <w:rFonts w:ascii="Cambria" w:hAnsi="Cambria" w:cs="Arial"/>
          <w:sz w:val="22"/>
          <w:szCs w:val="22"/>
          <w:lang w:val="es-CR"/>
        </w:rPr>
        <w:t xml:space="preserve"> del artículo 4 del Decreto Ley 25475 relacionado co</w:t>
      </w:r>
      <w:r w:rsidR="00A11A31" w:rsidRPr="00B35C11">
        <w:rPr>
          <w:rFonts w:ascii="Cambria" w:hAnsi="Cambria" w:cs="Arial"/>
          <w:sz w:val="22"/>
          <w:szCs w:val="22"/>
          <w:lang w:val="es-CR"/>
        </w:rPr>
        <w:t>n actos de colaboración con el terrorismo</w:t>
      </w:r>
      <w:r w:rsidR="0085672B" w:rsidRPr="00B35C11">
        <w:rPr>
          <w:rFonts w:ascii="Cambria" w:hAnsi="Cambria" w:cs="Arial"/>
          <w:sz w:val="22"/>
          <w:szCs w:val="22"/>
          <w:lang w:val="es-CR"/>
        </w:rPr>
        <w:t>.</w:t>
      </w:r>
      <w:r w:rsidR="00305791" w:rsidRPr="00B35C11">
        <w:rPr>
          <w:rFonts w:ascii="Cambria" w:hAnsi="Cambria" w:cs="Arial"/>
          <w:sz w:val="22"/>
          <w:szCs w:val="22"/>
          <w:lang w:val="es-CR"/>
        </w:rPr>
        <w:t xml:space="preserve"> </w:t>
      </w:r>
    </w:p>
    <w:p w:rsidR="00B434F1" w:rsidRPr="00B35C11" w:rsidRDefault="00B434F1" w:rsidP="00A451C9">
      <w:pPr>
        <w:jc w:val="both"/>
        <w:rPr>
          <w:rFonts w:ascii="Cambria" w:hAnsi="Cambria" w:cs="Arial"/>
          <w:sz w:val="22"/>
          <w:szCs w:val="22"/>
          <w:lang w:val="es-CR"/>
        </w:rPr>
      </w:pPr>
    </w:p>
    <w:p w:rsidR="00364CD0" w:rsidRPr="00B35C11" w:rsidRDefault="00364CD0" w:rsidP="00A451C9">
      <w:pPr>
        <w:jc w:val="both"/>
        <w:rPr>
          <w:rFonts w:ascii="Cambria" w:hAnsi="Cambria" w:cs="Arial"/>
          <w:sz w:val="22"/>
          <w:szCs w:val="22"/>
          <w:lang w:val="es-CR"/>
        </w:rPr>
      </w:pPr>
    </w:p>
    <w:p w:rsidR="00427E3D" w:rsidRPr="00B35C11" w:rsidRDefault="00427E3D" w:rsidP="00427E3D">
      <w:pPr>
        <w:jc w:val="both"/>
        <w:rPr>
          <w:rFonts w:ascii="Cambria" w:hAnsi="Cambria" w:cs="Arial"/>
          <w:snapToGrid w:val="0"/>
          <w:sz w:val="22"/>
          <w:szCs w:val="22"/>
          <w:lang w:val="es-CO"/>
        </w:rPr>
      </w:pPr>
      <w:r w:rsidRPr="00B35C11">
        <w:rPr>
          <w:rFonts w:ascii="Cambria" w:hAnsi="Cambria" w:cs="Arial"/>
          <w:snapToGrid w:val="0"/>
          <w:sz w:val="22"/>
          <w:szCs w:val="22"/>
          <w:lang w:val="es-CO"/>
        </w:rPr>
        <w:t>Señor</w:t>
      </w:r>
    </w:p>
    <w:p w:rsidR="00427E3D" w:rsidRPr="00B35C11" w:rsidRDefault="00427E3D" w:rsidP="00427E3D">
      <w:pPr>
        <w:suppressAutoHyphens/>
        <w:rPr>
          <w:rFonts w:ascii="Cambria" w:hAnsi="Cambria" w:cs="Arial"/>
          <w:snapToGrid w:val="0"/>
          <w:sz w:val="22"/>
          <w:szCs w:val="22"/>
          <w:lang w:val="es-CO"/>
        </w:rPr>
      </w:pPr>
      <w:r w:rsidRPr="00B35C11">
        <w:rPr>
          <w:rFonts w:ascii="Cambria" w:hAnsi="Cambria" w:cs="Arial"/>
          <w:snapToGrid w:val="0"/>
          <w:sz w:val="22"/>
          <w:szCs w:val="22"/>
          <w:lang w:val="es-CO"/>
        </w:rPr>
        <w:t>Pablo Saavedra Alessandri, Secretario</w:t>
      </w:r>
    </w:p>
    <w:p w:rsidR="00427E3D" w:rsidRPr="00B35C11" w:rsidRDefault="00427E3D" w:rsidP="00427E3D">
      <w:pPr>
        <w:suppressAutoHyphens/>
        <w:rPr>
          <w:rFonts w:ascii="Cambria" w:hAnsi="Cambria" w:cs="Arial"/>
          <w:snapToGrid w:val="0"/>
          <w:sz w:val="22"/>
          <w:szCs w:val="22"/>
          <w:lang w:val="es-ES_tradnl"/>
        </w:rPr>
      </w:pPr>
      <w:r w:rsidRPr="00B35C11">
        <w:rPr>
          <w:rFonts w:ascii="Cambria" w:hAnsi="Cambria" w:cs="Arial"/>
          <w:snapToGrid w:val="0"/>
          <w:sz w:val="22"/>
          <w:szCs w:val="22"/>
          <w:lang w:val="es-ES_tradnl"/>
        </w:rPr>
        <w:t>Corte Interamericana de Derechos Humanos</w:t>
      </w:r>
    </w:p>
    <w:p w:rsidR="00427E3D" w:rsidRPr="00B35C11" w:rsidRDefault="00427E3D" w:rsidP="00427E3D">
      <w:pPr>
        <w:suppressAutoHyphens/>
        <w:rPr>
          <w:rFonts w:ascii="Cambria" w:hAnsi="Cambria" w:cs="Arial"/>
          <w:snapToGrid w:val="0"/>
          <w:sz w:val="22"/>
          <w:szCs w:val="22"/>
          <w:lang w:val="es-ES_tradnl"/>
        </w:rPr>
      </w:pPr>
      <w:r w:rsidRPr="00B35C11">
        <w:rPr>
          <w:rFonts w:ascii="Cambria" w:hAnsi="Cambria" w:cs="Arial"/>
          <w:snapToGrid w:val="0"/>
          <w:sz w:val="22"/>
          <w:szCs w:val="22"/>
          <w:lang w:val="es-ES_tradnl"/>
        </w:rPr>
        <w:t>Apartado 6906-1000</w:t>
      </w:r>
    </w:p>
    <w:p w:rsidR="00427E3D" w:rsidRPr="00B35C11" w:rsidRDefault="00427E3D" w:rsidP="00427E3D">
      <w:pPr>
        <w:suppressAutoHyphens/>
        <w:rPr>
          <w:rFonts w:ascii="Cambria" w:hAnsi="Cambria" w:cs="Arial"/>
          <w:snapToGrid w:val="0"/>
          <w:sz w:val="22"/>
          <w:szCs w:val="22"/>
          <w:lang w:val="es-ES_tradnl"/>
        </w:rPr>
      </w:pPr>
      <w:r w:rsidRPr="00B35C11">
        <w:rPr>
          <w:rFonts w:ascii="Cambria" w:hAnsi="Cambria" w:cs="Arial"/>
          <w:snapToGrid w:val="0"/>
          <w:sz w:val="22"/>
          <w:szCs w:val="22"/>
          <w:lang w:val="es-ES_tradnl"/>
        </w:rPr>
        <w:t>San José, Costa Rica</w:t>
      </w:r>
    </w:p>
    <w:p w:rsidR="00427E3D" w:rsidRPr="00B35C11" w:rsidRDefault="00427E3D" w:rsidP="00427E3D">
      <w:pPr>
        <w:suppressAutoHyphens/>
        <w:rPr>
          <w:rFonts w:ascii="Cambria" w:hAnsi="Cambria" w:cs="Arial"/>
          <w:snapToGrid w:val="0"/>
          <w:sz w:val="22"/>
          <w:szCs w:val="22"/>
          <w:lang w:val="es-ES_tradnl"/>
        </w:rPr>
      </w:pPr>
    </w:p>
    <w:p w:rsidR="00427E3D" w:rsidRPr="00B35C11" w:rsidRDefault="00427E3D" w:rsidP="00427E3D">
      <w:pPr>
        <w:suppressAutoHyphens/>
        <w:rPr>
          <w:rFonts w:ascii="Cambria" w:hAnsi="Cambria"/>
          <w:sz w:val="22"/>
          <w:szCs w:val="22"/>
        </w:rPr>
      </w:pPr>
      <w:r w:rsidRPr="00B35C11">
        <w:rPr>
          <w:rFonts w:ascii="Cambria" w:hAnsi="Cambria" w:cs="Arial"/>
          <w:snapToGrid w:val="0"/>
          <w:sz w:val="22"/>
          <w:szCs w:val="22"/>
          <w:lang w:val="es-ES_tradnl"/>
        </w:rPr>
        <w:t>Anexos</w:t>
      </w:r>
    </w:p>
    <w:p w:rsidR="00B434F1" w:rsidRPr="00B35C11" w:rsidRDefault="00B434F1" w:rsidP="00A451C9">
      <w:pPr>
        <w:jc w:val="both"/>
        <w:rPr>
          <w:rFonts w:ascii="Cambria" w:hAnsi="Cambria" w:cs="Arial"/>
          <w:sz w:val="22"/>
          <w:szCs w:val="22"/>
          <w:lang w:val="es-CR"/>
        </w:rPr>
      </w:pPr>
      <w:r w:rsidRPr="00B35C11">
        <w:rPr>
          <w:rFonts w:ascii="Cambria" w:hAnsi="Cambria" w:cs="Arial"/>
          <w:sz w:val="22"/>
          <w:szCs w:val="22"/>
          <w:lang w:val="es-CR"/>
        </w:rPr>
        <w:tab/>
        <w:t>Tal como la Comisión concluyó en su informe de fondo, todas estas violaciones se encuentran en situación de impunidad pues el Estado</w:t>
      </w:r>
      <w:r w:rsidR="0085672B" w:rsidRPr="00B35C11">
        <w:rPr>
          <w:rFonts w:ascii="Cambria" w:hAnsi="Cambria" w:cs="Arial"/>
          <w:sz w:val="22"/>
          <w:szCs w:val="22"/>
          <w:lang w:val="es-CR"/>
        </w:rPr>
        <w:t xml:space="preserve"> no inició </w:t>
      </w:r>
      <w:r w:rsidRPr="00B35C11">
        <w:rPr>
          <w:rFonts w:ascii="Cambria" w:hAnsi="Cambria" w:cs="Arial"/>
          <w:sz w:val="22"/>
          <w:szCs w:val="22"/>
          <w:lang w:val="es-CR"/>
        </w:rPr>
        <w:t>una investig</w:t>
      </w:r>
      <w:r w:rsidR="00E60765" w:rsidRPr="00B35C11">
        <w:rPr>
          <w:rFonts w:ascii="Cambria" w:hAnsi="Cambria" w:cs="Arial"/>
          <w:sz w:val="22"/>
          <w:szCs w:val="22"/>
          <w:lang w:val="es-CR"/>
        </w:rPr>
        <w:t>ación sobre los hechos del caso, cuando las autoridades tomaron conocimiento de los mismos.</w:t>
      </w:r>
      <w:r w:rsidRPr="00B35C11">
        <w:rPr>
          <w:rFonts w:ascii="Cambria" w:hAnsi="Cambria" w:cs="Arial"/>
          <w:sz w:val="22"/>
          <w:szCs w:val="22"/>
          <w:lang w:val="es-CR"/>
        </w:rPr>
        <w:t xml:space="preserve"> Tal como se </w:t>
      </w:r>
      <w:r w:rsidR="0014092D" w:rsidRPr="00B35C11">
        <w:rPr>
          <w:rFonts w:ascii="Cambria" w:hAnsi="Cambria" w:cs="Arial"/>
          <w:sz w:val="22"/>
          <w:szCs w:val="22"/>
          <w:lang w:val="es-CR"/>
        </w:rPr>
        <w:t xml:space="preserve">indica más adelante, la </w:t>
      </w:r>
      <w:r w:rsidR="0014092D" w:rsidRPr="00B35C11">
        <w:rPr>
          <w:rFonts w:ascii="Cambria" w:hAnsi="Cambria" w:cs="Arial"/>
          <w:sz w:val="22"/>
          <w:szCs w:val="22"/>
          <w:lang w:val="es-CR"/>
        </w:rPr>
        <w:lastRenderedPageBreak/>
        <w:t>investigación tuvo inicio a partir del año 2012 con ocasión al informe de fondo de la Comisión Interamericana y a la fecha no existen avances signi</w:t>
      </w:r>
      <w:r w:rsidR="001A38C6" w:rsidRPr="00B35C11">
        <w:rPr>
          <w:rFonts w:ascii="Cambria" w:hAnsi="Cambria" w:cs="Arial"/>
          <w:sz w:val="22"/>
          <w:szCs w:val="22"/>
          <w:lang w:val="es-CR"/>
        </w:rPr>
        <w:t>f</w:t>
      </w:r>
      <w:r w:rsidR="0014092D" w:rsidRPr="00B35C11">
        <w:rPr>
          <w:rFonts w:ascii="Cambria" w:hAnsi="Cambria" w:cs="Arial"/>
          <w:sz w:val="22"/>
          <w:szCs w:val="22"/>
          <w:lang w:val="es-CR"/>
        </w:rPr>
        <w:t>i</w:t>
      </w:r>
      <w:r w:rsidR="001A38C6" w:rsidRPr="00B35C11">
        <w:rPr>
          <w:rFonts w:ascii="Cambria" w:hAnsi="Cambria" w:cs="Arial"/>
          <w:sz w:val="22"/>
          <w:szCs w:val="22"/>
          <w:lang w:val="es-CR"/>
        </w:rPr>
        <w:t>c</w:t>
      </w:r>
      <w:r w:rsidR="0014092D" w:rsidRPr="00B35C11">
        <w:rPr>
          <w:rFonts w:ascii="Cambria" w:hAnsi="Cambria" w:cs="Arial"/>
          <w:sz w:val="22"/>
          <w:szCs w:val="22"/>
          <w:lang w:val="es-CR"/>
        </w:rPr>
        <w:t xml:space="preserve">ativos. </w:t>
      </w:r>
    </w:p>
    <w:p w:rsidR="00A11A31" w:rsidRPr="00B35C11" w:rsidRDefault="00A11A31" w:rsidP="00A451C9">
      <w:pPr>
        <w:jc w:val="both"/>
        <w:rPr>
          <w:rFonts w:ascii="Cambria" w:hAnsi="Cambria" w:cs="Arial"/>
          <w:sz w:val="22"/>
          <w:szCs w:val="22"/>
          <w:lang w:val="es-CR"/>
        </w:rPr>
      </w:pPr>
    </w:p>
    <w:p w:rsidR="00A451C9" w:rsidRPr="00B35C11" w:rsidRDefault="00A451C9" w:rsidP="00A451C9">
      <w:pPr>
        <w:jc w:val="both"/>
        <w:rPr>
          <w:rFonts w:ascii="Cambria" w:hAnsi="Cambria" w:cs="Arial"/>
          <w:sz w:val="22"/>
          <w:szCs w:val="22"/>
        </w:rPr>
      </w:pPr>
      <w:r w:rsidRPr="00B35C11">
        <w:rPr>
          <w:rFonts w:ascii="Cambria" w:hAnsi="Cambria" w:cs="Arial"/>
          <w:sz w:val="22"/>
          <w:szCs w:val="22"/>
          <w:lang w:val="es-CR"/>
        </w:rPr>
        <w:tab/>
      </w:r>
      <w:r w:rsidRPr="00B35C11">
        <w:rPr>
          <w:rFonts w:ascii="Cambria" w:hAnsi="Cambria" w:cs="Arial"/>
          <w:sz w:val="22"/>
          <w:szCs w:val="22"/>
        </w:rPr>
        <w:t xml:space="preserve">El Estado ratificó la Convención Americana sobre Derechos Humanos el 12 de julio de 1978 y aceptó la competencia contenciosa de la Corte el 21 de enero de 1981. </w:t>
      </w:r>
    </w:p>
    <w:p w:rsidR="00A451C9" w:rsidRPr="00B35C11" w:rsidRDefault="00A451C9" w:rsidP="00A451C9">
      <w:pPr>
        <w:jc w:val="both"/>
        <w:rPr>
          <w:rFonts w:ascii="Cambria" w:hAnsi="Cambria" w:cs="Arial"/>
          <w:sz w:val="22"/>
          <w:szCs w:val="22"/>
        </w:rPr>
      </w:pPr>
    </w:p>
    <w:p w:rsidR="00A451C9" w:rsidRPr="00B35C11" w:rsidRDefault="003E06F5" w:rsidP="00A451C9">
      <w:pPr>
        <w:jc w:val="both"/>
        <w:rPr>
          <w:rFonts w:ascii="Cambria" w:hAnsi="Cambria" w:cs="Arial"/>
          <w:sz w:val="22"/>
          <w:szCs w:val="22"/>
        </w:rPr>
      </w:pPr>
      <w:r w:rsidRPr="00B35C11">
        <w:rPr>
          <w:rFonts w:ascii="Cambria" w:hAnsi="Cambria"/>
          <w:sz w:val="22"/>
          <w:szCs w:val="22"/>
        </w:rPr>
        <w:tab/>
      </w:r>
      <w:r w:rsidR="00A451C9" w:rsidRPr="00B35C11">
        <w:rPr>
          <w:rFonts w:ascii="Cambria" w:hAnsi="Cambria"/>
          <w:sz w:val="22"/>
          <w:szCs w:val="22"/>
        </w:rPr>
        <w:t>La Comisión ha designado al Comisionado José de Jesús Orozco Henríquez y al Secretario Ejecutivo Emilio Álvarez Icaza L. como sus delegados. Asimismo, Elizabeth Abi-Mershed, Secretaria Ejecutiva Adjunta, y Silvia Serrano</w:t>
      </w:r>
      <w:r w:rsidRPr="00B35C11">
        <w:rPr>
          <w:rFonts w:ascii="Cambria" w:hAnsi="Cambria"/>
          <w:sz w:val="22"/>
          <w:szCs w:val="22"/>
        </w:rPr>
        <w:t xml:space="preserve"> Guzmán y Nerea Aparicio, </w:t>
      </w:r>
      <w:r w:rsidR="00A451C9" w:rsidRPr="00B35C11">
        <w:rPr>
          <w:rFonts w:ascii="Cambria" w:hAnsi="Cambria"/>
          <w:sz w:val="22"/>
          <w:szCs w:val="22"/>
        </w:rPr>
        <w:t>abogadas de la Secretaría Ejecutiva de la CIDH, actuarán como asesoras legales.</w:t>
      </w:r>
    </w:p>
    <w:p w:rsidR="00A451C9" w:rsidRPr="00B35C11" w:rsidRDefault="00A451C9" w:rsidP="00A451C9">
      <w:pPr>
        <w:jc w:val="both"/>
        <w:rPr>
          <w:rFonts w:ascii="Cambria" w:hAnsi="Cambria" w:cs="Arial"/>
          <w:snapToGrid w:val="0"/>
          <w:sz w:val="22"/>
          <w:szCs w:val="22"/>
        </w:rPr>
      </w:pPr>
    </w:p>
    <w:p w:rsidR="00A451C9" w:rsidRPr="00B35C11" w:rsidRDefault="00A451C9" w:rsidP="00A451C9">
      <w:pPr>
        <w:ind w:firstLine="720"/>
        <w:jc w:val="both"/>
        <w:rPr>
          <w:rFonts w:ascii="Cambria" w:hAnsi="Cambria"/>
          <w:sz w:val="22"/>
          <w:szCs w:val="22"/>
          <w:lang w:val="es-AR"/>
        </w:rPr>
      </w:pPr>
      <w:r w:rsidRPr="00B35C11">
        <w:rPr>
          <w:rFonts w:ascii="Cambria" w:hAnsi="Cambria" w:cs="Arial"/>
          <w:sz w:val="22"/>
          <w:szCs w:val="22"/>
        </w:rPr>
        <w:t xml:space="preserve">De conformidad con el artículo 35 del Reglamento de la Corte Interamericana, la Comisión adjunta </w:t>
      </w:r>
      <w:r w:rsidRPr="00B35C11">
        <w:rPr>
          <w:rFonts w:ascii="Cambria" w:hAnsi="Cambria"/>
          <w:sz w:val="22"/>
          <w:szCs w:val="22"/>
          <w:lang w:val="es-CO"/>
        </w:rPr>
        <w:t xml:space="preserve">copia del </w:t>
      </w:r>
      <w:r w:rsidR="00037988" w:rsidRPr="00B35C11">
        <w:rPr>
          <w:rFonts w:ascii="Cambria" w:hAnsi="Cambria"/>
          <w:sz w:val="22"/>
          <w:szCs w:val="22"/>
        </w:rPr>
        <w:t>informe 57</w:t>
      </w:r>
      <w:r w:rsidRPr="00B35C11">
        <w:rPr>
          <w:rFonts w:ascii="Cambria" w:hAnsi="Cambria"/>
          <w:sz w:val="22"/>
          <w:szCs w:val="22"/>
        </w:rPr>
        <w:t>/1</w:t>
      </w:r>
      <w:r w:rsidR="00037988" w:rsidRPr="00B35C11">
        <w:rPr>
          <w:rFonts w:ascii="Cambria" w:hAnsi="Cambria"/>
          <w:sz w:val="22"/>
          <w:szCs w:val="22"/>
        </w:rPr>
        <w:t>2</w:t>
      </w:r>
      <w:r w:rsidRPr="00B35C11">
        <w:rPr>
          <w:rFonts w:ascii="Cambria" w:hAnsi="Cambria"/>
          <w:sz w:val="22"/>
          <w:szCs w:val="22"/>
        </w:rPr>
        <w:t xml:space="preserve"> elaborado en observancia del artículo 50 de la Convención, así como copia de la totalidad del expediente ante la Comisión Interamericana (Apéndice I) y los anexos utilizados</w:t>
      </w:r>
      <w:r w:rsidR="006F78AD" w:rsidRPr="00B35C11">
        <w:rPr>
          <w:rFonts w:ascii="Cambria" w:hAnsi="Cambria"/>
          <w:sz w:val="22"/>
          <w:szCs w:val="22"/>
        </w:rPr>
        <w:t xml:space="preserve"> en la elaboración del informe 57</w:t>
      </w:r>
      <w:r w:rsidRPr="00B35C11">
        <w:rPr>
          <w:rFonts w:ascii="Cambria" w:hAnsi="Cambria"/>
          <w:sz w:val="22"/>
          <w:szCs w:val="22"/>
        </w:rPr>
        <w:t>/1</w:t>
      </w:r>
      <w:r w:rsidR="006F78AD" w:rsidRPr="00B35C11">
        <w:rPr>
          <w:rFonts w:ascii="Cambria" w:hAnsi="Cambria"/>
          <w:sz w:val="22"/>
          <w:szCs w:val="22"/>
        </w:rPr>
        <w:t>2</w:t>
      </w:r>
      <w:r w:rsidRPr="00B35C11">
        <w:rPr>
          <w:rFonts w:ascii="Cambria" w:hAnsi="Cambria"/>
          <w:sz w:val="22"/>
          <w:szCs w:val="22"/>
        </w:rPr>
        <w:t xml:space="preserve"> (Anexos). Dicho informe de fondo </w:t>
      </w:r>
      <w:r w:rsidRPr="00B35C11">
        <w:rPr>
          <w:rFonts w:ascii="Cambria" w:hAnsi="Cambria"/>
          <w:sz w:val="22"/>
          <w:szCs w:val="22"/>
          <w:lang w:val="es-AR"/>
        </w:rPr>
        <w:t xml:space="preserve">fue notificado al Estado de Perú mediante comunicación de </w:t>
      </w:r>
      <w:r w:rsidR="006F78AD" w:rsidRPr="00B35C11">
        <w:rPr>
          <w:rFonts w:ascii="Cambria" w:hAnsi="Cambria"/>
          <w:sz w:val="22"/>
          <w:szCs w:val="22"/>
          <w:lang w:val="es-AR"/>
        </w:rPr>
        <w:t>19 de abril de 2012</w:t>
      </w:r>
      <w:r w:rsidRPr="00B35C11">
        <w:rPr>
          <w:rFonts w:ascii="Cambria" w:hAnsi="Cambria"/>
          <w:sz w:val="22"/>
          <w:szCs w:val="22"/>
          <w:lang w:val="es-AR"/>
        </w:rPr>
        <w:t xml:space="preserve">, otorgándole un plazo de dos meses para informar sobre el cumplimiento de las recomendaciones. </w:t>
      </w:r>
    </w:p>
    <w:p w:rsidR="00A451C9" w:rsidRPr="00B35C11" w:rsidRDefault="00A451C9" w:rsidP="00A451C9">
      <w:pPr>
        <w:ind w:firstLine="720"/>
        <w:jc w:val="both"/>
        <w:rPr>
          <w:rFonts w:ascii="Cambria" w:hAnsi="Cambria"/>
          <w:sz w:val="22"/>
          <w:szCs w:val="22"/>
          <w:lang w:val="es-AR"/>
        </w:rPr>
      </w:pPr>
    </w:p>
    <w:p w:rsidR="00A451C9" w:rsidRPr="00B35C11" w:rsidRDefault="00513AC1" w:rsidP="00A451C9">
      <w:pPr>
        <w:ind w:firstLine="720"/>
        <w:jc w:val="both"/>
        <w:rPr>
          <w:rFonts w:ascii="Cambria" w:hAnsi="Cambria"/>
          <w:sz w:val="22"/>
          <w:szCs w:val="22"/>
          <w:lang w:val="es-AR"/>
        </w:rPr>
      </w:pPr>
      <w:r w:rsidRPr="00B35C11">
        <w:rPr>
          <w:rFonts w:ascii="Cambria" w:hAnsi="Cambria"/>
          <w:sz w:val="22"/>
          <w:szCs w:val="22"/>
          <w:lang w:val="es-AR"/>
        </w:rPr>
        <w:t>El Estado de Perú efectuó siete solicitudes de prórroga, seis de las cuales fueron otorgadas por la Comisión. La última solicitu</w:t>
      </w:r>
      <w:r w:rsidR="0075757E" w:rsidRPr="00B35C11">
        <w:rPr>
          <w:rFonts w:ascii="Cambria" w:hAnsi="Cambria"/>
          <w:sz w:val="22"/>
          <w:szCs w:val="22"/>
          <w:lang w:val="es-AR"/>
        </w:rPr>
        <w:t>d de prórroga fue efectuada el 6 de enero de 2014 y la Comisión decidió no otorgarla y someter el caso a la juri</w:t>
      </w:r>
      <w:r w:rsidR="00F345C3" w:rsidRPr="00B35C11">
        <w:rPr>
          <w:rFonts w:ascii="Cambria" w:hAnsi="Cambria"/>
          <w:sz w:val="22"/>
          <w:szCs w:val="22"/>
          <w:lang w:val="es-AR"/>
        </w:rPr>
        <w:t>sdicción de la Honorable Corte. En sus solicitudes de prórroga el Estado peruano indicó que dio inicio a una investigación – en atención a la segunda recomendación del informe de fondo de la Comisión – y que de los resultados de dicha investigación, depende el avance en el cumplimiento de las tres recomendaciones restantes. Al momento de otorgar la quinta y sexta prórroga</w:t>
      </w:r>
      <w:r w:rsidR="00C41319" w:rsidRPr="00B35C11">
        <w:rPr>
          <w:rFonts w:ascii="Cambria" w:hAnsi="Cambria"/>
          <w:sz w:val="22"/>
          <w:szCs w:val="22"/>
          <w:lang w:val="es-AR"/>
        </w:rPr>
        <w:t>s</w:t>
      </w:r>
      <w:r w:rsidR="00F345C3" w:rsidRPr="00B35C11">
        <w:rPr>
          <w:rFonts w:ascii="Cambria" w:hAnsi="Cambria"/>
          <w:sz w:val="22"/>
          <w:szCs w:val="22"/>
          <w:lang w:val="es-AR"/>
        </w:rPr>
        <w:t xml:space="preserve">, la Comisión indicó al Estado de Perú que las recomendaciones tienen carácter independiente y que las mismas derivan de los hallazgos de la Comisión en el informe de fondo y no deben estar condicionadas a una investigación a nivel interno. A pesar de ello, el Estado continuó limitándose a informar sobre la investigación y a indicar que las demás recomendaciones dependen de los </w:t>
      </w:r>
      <w:r w:rsidR="0049358E" w:rsidRPr="00B35C11">
        <w:rPr>
          <w:rFonts w:ascii="Cambria" w:hAnsi="Cambria"/>
          <w:sz w:val="22"/>
          <w:szCs w:val="22"/>
          <w:lang w:val="es-AR"/>
        </w:rPr>
        <w:t>resultados</w:t>
      </w:r>
      <w:r w:rsidR="00F345C3" w:rsidRPr="00B35C11">
        <w:rPr>
          <w:rFonts w:ascii="Cambria" w:hAnsi="Cambria"/>
          <w:sz w:val="22"/>
          <w:szCs w:val="22"/>
          <w:lang w:val="es-AR"/>
        </w:rPr>
        <w:t xml:space="preserve"> </w:t>
      </w:r>
      <w:r w:rsidR="0049358E" w:rsidRPr="00B35C11">
        <w:rPr>
          <w:rFonts w:ascii="Cambria" w:hAnsi="Cambria"/>
          <w:sz w:val="22"/>
          <w:szCs w:val="22"/>
          <w:lang w:val="es-AR"/>
        </w:rPr>
        <w:t xml:space="preserve">de la misma. Respecto de la investigación, tampoco se registran avances sustantivos. </w:t>
      </w:r>
    </w:p>
    <w:p w:rsidR="00A451C9" w:rsidRPr="00B35C11" w:rsidRDefault="00A451C9" w:rsidP="00A451C9">
      <w:pPr>
        <w:ind w:firstLine="720"/>
        <w:jc w:val="both"/>
        <w:rPr>
          <w:rFonts w:ascii="Cambria" w:hAnsi="Cambria"/>
          <w:sz w:val="22"/>
          <w:szCs w:val="22"/>
          <w:lang w:val="es-AR"/>
        </w:rPr>
      </w:pPr>
    </w:p>
    <w:p w:rsidR="00A451C9" w:rsidRPr="00B35C11" w:rsidRDefault="00A451C9" w:rsidP="00A451C9">
      <w:pPr>
        <w:ind w:firstLine="720"/>
        <w:jc w:val="both"/>
        <w:rPr>
          <w:rFonts w:ascii="Cambria" w:hAnsi="Cambria"/>
          <w:sz w:val="22"/>
          <w:szCs w:val="22"/>
          <w:lang w:val="es-AR"/>
        </w:rPr>
      </w:pPr>
      <w:r w:rsidRPr="00B35C11">
        <w:rPr>
          <w:rFonts w:ascii="Cambria" w:hAnsi="Cambria"/>
          <w:sz w:val="22"/>
          <w:szCs w:val="22"/>
          <w:lang w:val="es-AR"/>
        </w:rPr>
        <w:t>En consecuencia, la Comisión decidió someter el presente caso a la jurisdicción de la Corte Interamericana por la necesidad de obtención de justicia para la</w:t>
      </w:r>
      <w:r w:rsidR="00B27321" w:rsidRPr="00B35C11">
        <w:rPr>
          <w:rFonts w:ascii="Cambria" w:hAnsi="Cambria"/>
          <w:sz w:val="22"/>
          <w:szCs w:val="22"/>
          <w:lang w:val="es-AR"/>
        </w:rPr>
        <w:t xml:space="preserve"> víctima ante la falta de cumplimiento de las recomendaciones por parte del Estado de Perú. </w:t>
      </w:r>
      <w:r w:rsidRPr="00B35C11">
        <w:rPr>
          <w:rFonts w:ascii="Cambria" w:hAnsi="Cambria"/>
          <w:sz w:val="22"/>
          <w:szCs w:val="22"/>
        </w:rPr>
        <w:t xml:space="preserve">La Comisión Interamericana somete a la jurisdicción de la Corte la totalidad de los hechos y violaciones de derechos humanos descritos en el informe de fondo </w:t>
      </w:r>
      <w:r w:rsidR="00D855CE" w:rsidRPr="00B35C11">
        <w:rPr>
          <w:rFonts w:ascii="Cambria" w:hAnsi="Cambria"/>
          <w:sz w:val="22"/>
          <w:szCs w:val="22"/>
        </w:rPr>
        <w:t>57</w:t>
      </w:r>
      <w:r w:rsidRPr="00B35C11">
        <w:rPr>
          <w:rFonts w:ascii="Cambria" w:hAnsi="Cambria"/>
          <w:sz w:val="22"/>
          <w:szCs w:val="22"/>
        </w:rPr>
        <w:t>/1</w:t>
      </w:r>
      <w:r w:rsidR="00D855CE" w:rsidRPr="00B35C11">
        <w:rPr>
          <w:rFonts w:ascii="Cambria" w:hAnsi="Cambria"/>
          <w:sz w:val="22"/>
          <w:szCs w:val="22"/>
        </w:rPr>
        <w:t>2</w:t>
      </w:r>
      <w:r w:rsidRPr="00B35C11">
        <w:rPr>
          <w:rFonts w:ascii="Cambria" w:hAnsi="Cambria"/>
          <w:sz w:val="22"/>
          <w:szCs w:val="22"/>
        </w:rPr>
        <w:t xml:space="preserve">. </w:t>
      </w:r>
    </w:p>
    <w:p w:rsidR="00A451C9" w:rsidRPr="00B35C11" w:rsidRDefault="00A451C9" w:rsidP="00A451C9">
      <w:pPr>
        <w:tabs>
          <w:tab w:val="left" w:pos="0"/>
        </w:tabs>
        <w:ind w:firstLine="720"/>
        <w:jc w:val="both"/>
        <w:rPr>
          <w:rFonts w:ascii="Cambria" w:hAnsi="Cambria"/>
          <w:sz w:val="22"/>
          <w:szCs w:val="22"/>
        </w:rPr>
      </w:pPr>
    </w:p>
    <w:p w:rsidR="00A451C9" w:rsidRPr="00B35C11" w:rsidRDefault="00A451C9" w:rsidP="00A451C9">
      <w:pPr>
        <w:tabs>
          <w:tab w:val="left" w:pos="0"/>
        </w:tabs>
        <w:ind w:firstLine="720"/>
        <w:jc w:val="both"/>
        <w:rPr>
          <w:rFonts w:ascii="Cambria" w:hAnsi="Cambria"/>
          <w:sz w:val="22"/>
          <w:szCs w:val="22"/>
        </w:rPr>
      </w:pPr>
      <w:r w:rsidRPr="00B35C11">
        <w:rPr>
          <w:rFonts w:ascii="Cambria" w:hAnsi="Cambria"/>
          <w:sz w:val="22"/>
          <w:szCs w:val="22"/>
        </w:rPr>
        <w:t xml:space="preserve">En ese sentido, la Comisión solicita a la Corte que concluya y declare </w:t>
      </w:r>
      <w:r w:rsidRPr="00B35C11">
        <w:rPr>
          <w:rFonts w:ascii="Cambria" w:hAnsi="Cambria" w:cs="Arial"/>
          <w:sz w:val="22"/>
          <w:szCs w:val="22"/>
          <w:lang w:val="es-CL"/>
        </w:rPr>
        <w:t xml:space="preserve">que el Estado de Perú es </w:t>
      </w:r>
      <w:r w:rsidRPr="00B35C11">
        <w:rPr>
          <w:rFonts w:ascii="Cambria" w:hAnsi="Cambria" w:cs="callibri"/>
          <w:sz w:val="22"/>
          <w:szCs w:val="22"/>
          <w:lang w:val="es-CO"/>
        </w:rPr>
        <w:t xml:space="preserve">responsable por la violación de los derechos a la </w:t>
      </w:r>
      <w:r w:rsidR="00A44922" w:rsidRPr="00B35C11">
        <w:rPr>
          <w:rFonts w:ascii="Cambria" w:hAnsi="Cambria" w:cs="Arial"/>
          <w:sz w:val="22"/>
          <w:szCs w:val="22"/>
          <w:lang w:val="es-CL"/>
        </w:rPr>
        <w:t>integridad personal, a la libertad personal, a las garantías judiciales,</w:t>
      </w:r>
      <w:r w:rsidR="0052058F" w:rsidRPr="00B35C11">
        <w:rPr>
          <w:rFonts w:ascii="Cambria" w:hAnsi="Cambria" w:cs="Arial"/>
          <w:sz w:val="22"/>
          <w:szCs w:val="22"/>
          <w:lang w:val="es-CL"/>
        </w:rPr>
        <w:t xml:space="preserve"> a la</w:t>
      </w:r>
      <w:r w:rsidR="00A44922" w:rsidRPr="00B35C11">
        <w:rPr>
          <w:rFonts w:ascii="Cambria" w:hAnsi="Cambria" w:cs="Arial"/>
          <w:sz w:val="22"/>
          <w:szCs w:val="22"/>
          <w:lang w:val="es-CL"/>
        </w:rPr>
        <w:t xml:space="preserve"> </w:t>
      </w:r>
      <w:r w:rsidR="00D61355" w:rsidRPr="00B35C11">
        <w:rPr>
          <w:rFonts w:ascii="Cambria" w:hAnsi="Cambria" w:cs="Arial"/>
          <w:sz w:val="22"/>
          <w:szCs w:val="22"/>
          <w:lang w:val="es-CL"/>
        </w:rPr>
        <w:t>legalidad y no retroactividad, y a la prote</w:t>
      </w:r>
      <w:r w:rsidR="00A44922" w:rsidRPr="00B35C11">
        <w:rPr>
          <w:rFonts w:ascii="Cambria" w:hAnsi="Cambria" w:cs="Arial"/>
          <w:sz w:val="22"/>
          <w:szCs w:val="22"/>
          <w:lang w:val="es-CL"/>
        </w:rPr>
        <w:t>cción judicial, consagrados en los artículos 5, 7, 8, 9, y 25 de la Convención Americana, en relación con las obligaciones establecidas en los artículos 1.1 y 2 del mismo instrumento, en perjuicio del seño</w:t>
      </w:r>
      <w:r w:rsidR="00D61355" w:rsidRPr="00B35C11">
        <w:rPr>
          <w:rFonts w:ascii="Cambria" w:hAnsi="Cambria" w:cs="Arial"/>
          <w:sz w:val="22"/>
          <w:szCs w:val="22"/>
          <w:lang w:val="es-CL"/>
        </w:rPr>
        <w:t xml:space="preserve">r Luís Antonio Galindo Cárdenas. Asimismo, la Comisión solicita a la Corte que establezca la violación del derecho a la integridad psíquica y moral </w:t>
      </w:r>
      <w:r w:rsidR="00A44922" w:rsidRPr="00B35C11">
        <w:rPr>
          <w:rFonts w:ascii="Cambria" w:hAnsi="Cambria" w:cs="Arial"/>
          <w:sz w:val="22"/>
          <w:szCs w:val="22"/>
          <w:lang w:val="es-CL"/>
        </w:rPr>
        <w:t>en perjuicio de su esposa e hijo</w:t>
      </w:r>
      <w:r w:rsidR="001C64B9" w:rsidRPr="00B35C11">
        <w:rPr>
          <w:rStyle w:val="Refdenotaalpie"/>
          <w:rFonts w:ascii="Cambria" w:hAnsi="Cambria" w:cs="Arial"/>
          <w:sz w:val="22"/>
          <w:szCs w:val="22"/>
          <w:lang w:val="es-CL"/>
        </w:rPr>
        <w:footnoteReference w:id="1"/>
      </w:r>
      <w:r w:rsidR="00D61355" w:rsidRPr="00B35C11">
        <w:rPr>
          <w:rFonts w:ascii="Cambria" w:hAnsi="Cambria" w:cs="Arial"/>
          <w:sz w:val="22"/>
          <w:szCs w:val="22"/>
          <w:lang w:val="es-CL"/>
        </w:rPr>
        <w:t>.</w:t>
      </w:r>
      <w:r w:rsidRPr="00B35C11">
        <w:rPr>
          <w:rFonts w:ascii="Cambria" w:hAnsi="Cambria" w:cs="callibri"/>
          <w:sz w:val="22"/>
          <w:szCs w:val="22"/>
          <w:lang w:val="es-CO"/>
        </w:rPr>
        <w:t xml:space="preserve"> </w:t>
      </w:r>
    </w:p>
    <w:p w:rsidR="00A451C9" w:rsidRPr="00B35C11" w:rsidRDefault="00A451C9" w:rsidP="00A451C9">
      <w:pPr>
        <w:tabs>
          <w:tab w:val="left" w:pos="0"/>
          <w:tab w:val="num" w:pos="720"/>
          <w:tab w:val="left" w:pos="1080"/>
        </w:tabs>
        <w:jc w:val="both"/>
        <w:rPr>
          <w:rFonts w:ascii="Cambria" w:hAnsi="Cambria"/>
          <w:sz w:val="22"/>
          <w:szCs w:val="22"/>
        </w:rPr>
      </w:pPr>
    </w:p>
    <w:p w:rsidR="00A451C9" w:rsidRPr="00B35C11" w:rsidRDefault="00A451C9" w:rsidP="00A451C9">
      <w:pPr>
        <w:ind w:firstLine="720"/>
        <w:jc w:val="both"/>
        <w:rPr>
          <w:rFonts w:ascii="Cambria" w:hAnsi="Cambria"/>
          <w:sz w:val="22"/>
          <w:szCs w:val="22"/>
        </w:rPr>
      </w:pPr>
      <w:r w:rsidRPr="00B35C11">
        <w:rPr>
          <w:rFonts w:ascii="Cambria" w:hAnsi="Cambria"/>
          <w:sz w:val="22"/>
          <w:szCs w:val="22"/>
        </w:rPr>
        <w:t>En consecuencia, la Comisión solicita a la Corte Interamericana que ordene al Estado de Perú:</w:t>
      </w:r>
    </w:p>
    <w:p w:rsidR="00A451C9" w:rsidRPr="00B35C11" w:rsidRDefault="00A451C9" w:rsidP="00A451C9">
      <w:pPr>
        <w:ind w:right="720"/>
        <w:jc w:val="both"/>
        <w:rPr>
          <w:rFonts w:ascii="Cambria" w:hAnsi="Cambria"/>
          <w:sz w:val="22"/>
          <w:szCs w:val="22"/>
          <w:lang w:val="es-ES_tradnl"/>
        </w:rPr>
      </w:pPr>
    </w:p>
    <w:p w:rsidR="00BE654A" w:rsidRPr="00B35C11" w:rsidRDefault="00BE654A" w:rsidP="008645C6">
      <w:pPr>
        <w:ind w:left="840" w:right="900"/>
        <w:jc w:val="both"/>
        <w:rPr>
          <w:rFonts w:ascii="Cambria" w:hAnsi="Cambria" w:cs="Arial"/>
          <w:sz w:val="22"/>
          <w:szCs w:val="22"/>
          <w:lang w:val="es-CL"/>
        </w:rPr>
      </w:pPr>
      <w:r w:rsidRPr="00B35C11">
        <w:rPr>
          <w:rFonts w:ascii="Cambria" w:hAnsi="Cambria" w:cs="Arial"/>
          <w:sz w:val="22"/>
          <w:szCs w:val="22"/>
          <w:lang w:val="es-CL"/>
        </w:rPr>
        <w:t xml:space="preserve">1. Disponer una reparación integral a favor del señor Luis Antonio Galindo Cárdenas por las violaciones de derechos humanos declaradas en el informe. Esta reparación debe incluir tanto el aspecto material como moral. Si la víctima así lo desea, disponer las medidas de rehabilitación pertinentes a su situación de salud mental y la de sus familiares. </w:t>
      </w:r>
    </w:p>
    <w:p w:rsidR="00BE654A" w:rsidRPr="00B35C11" w:rsidRDefault="00BE654A" w:rsidP="008645C6">
      <w:pPr>
        <w:ind w:left="840" w:right="900"/>
        <w:jc w:val="both"/>
        <w:rPr>
          <w:rFonts w:ascii="Cambria" w:hAnsi="Cambria" w:cs="Arial"/>
          <w:sz w:val="22"/>
          <w:szCs w:val="22"/>
          <w:lang w:val="es-CL"/>
        </w:rPr>
      </w:pPr>
    </w:p>
    <w:p w:rsidR="00BE654A" w:rsidRPr="00B35C11" w:rsidRDefault="00873512" w:rsidP="008645C6">
      <w:pPr>
        <w:ind w:left="840" w:right="900"/>
        <w:jc w:val="both"/>
        <w:rPr>
          <w:rFonts w:ascii="Cambria" w:hAnsi="Cambria" w:cs="Arial"/>
          <w:sz w:val="22"/>
          <w:szCs w:val="22"/>
          <w:lang w:val="es-CL"/>
        </w:rPr>
      </w:pPr>
      <w:r w:rsidRPr="00B35C11">
        <w:rPr>
          <w:rFonts w:ascii="Cambria" w:hAnsi="Cambria" w:cs="Arial"/>
          <w:sz w:val="22"/>
          <w:szCs w:val="22"/>
          <w:lang w:val="es-CL"/>
        </w:rPr>
        <w:t xml:space="preserve">2. </w:t>
      </w:r>
      <w:r w:rsidR="00BE654A" w:rsidRPr="00B35C11">
        <w:rPr>
          <w:rFonts w:ascii="Cambria" w:hAnsi="Cambria" w:cs="Arial"/>
          <w:sz w:val="22"/>
          <w:szCs w:val="22"/>
          <w:lang w:val="es-CL"/>
        </w:rPr>
        <w:t>Investigar de manera imparcial, efectiva y dentro de un plazo razonable con el objeto de esclarecer en forma completa los hechos violatorios de la Convención Americana, identificar a los autores intelectuales y materiales e imponer las sanciones que correspondan.</w:t>
      </w:r>
    </w:p>
    <w:p w:rsidR="00BE654A" w:rsidRPr="00B35C11" w:rsidRDefault="00BE654A" w:rsidP="00BE654A">
      <w:pPr>
        <w:ind w:left="840" w:right="1440"/>
        <w:jc w:val="both"/>
        <w:rPr>
          <w:rFonts w:ascii="Cambria" w:hAnsi="Cambria" w:cs="Arial"/>
          <w:sz w:val="22"/>
          <w:szCs w:val="22"/>
          <w:lang w:val="es-CL"/>
        </w:rPr>
      </w:pPr>
    </w:p>
    <w:p w:rsidR="00BE654A" w:rsidRPr="00B35C11" w:rsidRDefault="00873512" w:rsidP="008645C6">
      <w:pPr>
        <w:ind w:left="840" w:right="900"/>
        <w:jc w:val="both"/>
        <w:rPr>
          <w:rFonts w:ascii="Cambria" w:hAnsi="Cambria" w:cs="Arial"/>
          <w:sz w:val="22"/>
          <w:szCs w:val="22"/>
          <w:lang w:val="es-CL"/>
        </w:rPr>
      </w:pPr>
      <w:r w:rsidRPr="00B35C11">
        <w:rPr>
          <w:rFonts w:ascii="Cambria" w:hAnsi="Cambria" w:cs="Arial"/>
          <w:sz w:val="22"/>
          <w:szCs w:val="22"/>
          <w:lang w:val="es-CL"/>
        </w:rPr>
        <w:t xml:space="preserve">3. </w:t>
      </w:r>
      <w:r w:rsidR="00BE654A" w:rsidRPr="00B35C11">
        <w:rPr>
          <w:rFonts w:ascii="Cambria" w:hAnsi="Cambria" w:cs="Arial"/>
          <w:sz w:val="22"/>
          <w:szCs w:val="22"/>
          <w:lang w:val="es-CL"/>
        </w:rPr>
        <w:t>Disponer las medidas administrativas, disciplinarias o penales correspondientes frente a las acciones u omisiones de los funcionarios estatales que contribuyeron a la denegación de justicia e impunidad en la que se encuentran los hechos del caso.</w:t>
      </w:r>
    </w:p>
    <w:p w:rsidR="00BE654A" w:rsidRPr="00B35C11" w:rsidRDefault="00BE654A" w:rsidP="008645C6">
      <w:pPr>
        <w:ind w:left="840" w:right="900"/>
        <w:jc w:val="both"/>
        <w:rPr>
          <w:rFonts w:ascii="Cambria" w:hAnsi="Cambria" w:cs="Arial"/>
          <w:sz w:val="22"/>
          <w:szCs w:val="22"/>
          <w:lang w:val="es-CL"/>
        </w:rPr>
      </w:pPr>
    </w:p>
    <w:p w:rsidR="00BE654A" w:rsidRPr="00B35C11" w:rsidRDefault="00292BDC" w:rsidP="008645C6">
      <w:pPr>
        <w:ind w:left="840" w:right="900"/>
        <w:jc w:val="both"/>
        <w:rPr>
          <w:rFonts w:ascii="Cambria" w:hAnsi="Cambria" w:cs="Arial"/>
          <w:sz w:val="22"/>
          <w:szCs w:val="22"/>
          <w:lang w:val="es-CL"/>
        </w:rPr>
      </w:pPr>
      <w:r w:rsidRPr="00B35C11">
        <w:rPr>
          <w:rFonts w:ascii="Cambria" w:hAnsi="Cambria" w:cs="Arial"/>
          <w:sz w:val="22"/>
          <w:szCs w:val="22"/>
          <w:lang w:val="es-CL"/>
        </w:rPr>
        <w:t xml:space="preserve">3 </w:t>
      </w:r>
      <w:r w:rsidR="00BE654A" w:rsidRPr="00B35C11">
        <w:rPr>
          <w:rFonts w:ascii="Cambria" w:hAnsi="Cambria" w:cs="Arial"/>
          <w:sz w:val="22"/>
          <w:szCs w:val="22"/>
          <w:lang w:val="es-CL"/>
        </w:rPr>
        <w:t xml:space="preserve">Dado que la CIDH ha establecido que el procedimiento contra el entonces juez Galindo se realizó de manera ilegal y arbitraria, haciéndose referencia a actos que no podrían generar responsabilidad penal, la Comisión recomienda que el Estado anule el Acta de Arrepentimiento y sus efectos legales.  </w:t>
      </w:r>
    </w:p>
    <w:p w:rsidR="00BE654A" w:rsidRPr="00B35C11" w:rsidRDefault="00BE654A" w:rsidP="00A451C9">
      <w:pPr>
        <w:autoSpaceDE w:val="0"/>
        <w:autoSpaceDN w:val="0"/>
        <w:adjustRightInd w:val="0"/>
        <w:ind w:firstLine="720"/>
        <w:jc w:val="both"/>
        <w:rPr>
          <w:rFonts w:ascii="Cambria" w:hAnsi="Cambria" w:cs="Arial"/>
          <w:sz w:val="22"/>
          <w:szCs w:val="22"/>
          <w:lang w:val="es-CL"/>
        </w:rPr>
      </w:pPr>
    </w:p>
    <w:p w:rsidR="00A655E3" w:rsidRPr="00B35C11" w:rsidRDefault="00A451C9" w:rsidP="00A451C9">
      <w:pPr>
        <w:autoSpaceDE w:val="0"/>
        <w:autoSpaceDN w:val="0"/>
        <w:adjustRightInd w:val="0"/>
        <w:ind w:firstLine="720"/>
        <w:jc w:val="both"/>
        <w:rPr>
          <w:rFonts w:ascii="Cambria" w:hAnsi="Cambria" w:cs="Arial"/>
          <w:sz w:val="22"/>
          <w:szCs w:val="22"/>
          <w:lang w:val="es-CL"/>
        </w:rPr>
      </w:pPr>
      <w:r w:rsidRPr="00B35C11">
        <w:rPr>
          <w:rFonts w:ascii="Cambria" w:hAnsi="Cambria" w:cs="Arial"/>
          <w:sz w:val="22"/>
          <w:szCs w:val="22"/>
          <w:lang w:val="es-CL"/>
        </w:rPr>
        <w:t>Además de la necesidad de obtención de justicia, la Comisión considera que el caso presenta cuestiones de orden público i</w:t>
      </w:r>
      <w:r w:rsidR="003C729B" w:rsidRPr="00B35C11">
        <w:rPr>
          <w:rFonts w:ascii="Cambria" w:hAnsi="Cambria" w:cs="Arial"/>
          <w:sz w:val="22"/>
          <w:szCs w:val="22"/>
          <w:lang w:val="es-CL"/>
        </w:rPr>
        <w:t xml:space="preserve">nteramericano. </w:t>
      </w:r>
    </w:p>
    <w:p w:rsidR="00A655E3" w:rsidRPr="00B35C11" w:rsidRDefault="00A655E3" w:rsidP="00A451C9">
      <w:pPr>
        <w:autoSpaceDE w:val="0"/>
        <w:autoSpaceDN w:val="0"/>
        <w:adjustRightInd w:val="0"/>
        <w:ind w:firstLine="720"/>
        <w:jc w:val="both"/>
        <w:rPr>
          <w:rFonts w:ascii="Cambria" w:hAnsi="Cambria" w:cs="Arial"/>
          <w:sz w:val="22"/>
          <w:szCs w:val="22"/>
          <w:lang w:val="es-CL"/>
        </w:rPr>
      </w:pPr>
    </w:p>
    <w:p w:rsidR="00B73542" w:rsidRPr="00B35C11" w:rsidRDefault="003C729B" w:rsidP="00B73542">
      <w:pPr>
        <w:autoSpaceDE w:val="0"/>
        <w:autoSpaceDN w:val="0"/>
        <w:adjustRightInd w:val="0"/>
        <w:ind w:firstLine="720"/>
        <w:jc w:val="both"/>
        <w:rPr>
          <w:rFonts w:ascii="Cambria" w:hAnsi="Cambria" w:cs="Arial"/>
          <w:sz w:val="22"/>
          <w:szCs w:val="22"/>
          <w:lang w:val="es-CL"/>
        </w:rPr>
      </w:pPr>
      <w:r w:rsidRPr="00B35C11">
        <w:rPr>
          <w:rFonts w:ascii="Cambria" w:hAnsi="Cambria" w:cs="Arial"/>
          <w:sz w:val="22"/>
          <w:szCs w:val="22"/>
          <w:lang w:val="es-CL"/>
        </w:rPr>
        <w:t xml:space="preserve">Por una parte, el caso presenta un supuesto de criminalización de una actividad legítima como lo es el ejercicio de la abogacía y, en particular, de la defensa técnica de personas procesadas penalmente por el delito de terrorismo. La Honorable Corte ya tuvo la oportunidad de pronunciarse sobre una criminalización similar en el caso </w:t>
      </w:r>
      <w:r w:rsidRPr="00B35C11">
        <w:rPr>
          <w:rFonts w:ascii="Cambria" w:hAnsi="Cambria" w:cs="Arial"/>
          <w:i/>
          <w:sz w:val="22"/>
          <w:szCs w:val="22"/>
          <w:lang w:val="es-CL"/>
        </w:rPr>
        <w:t xml:space="preserve">De la Cruz Flores vs. Perú, </w:t>
      </w:r>
      <w:r w:rsidRPr="00B35C11">
        <w:rPr>
          <w:rFonts w:ascii="Cambria" w:hAnsi="Cambria" w:cs="Arial"/>
          <w:sz w:val="22"/>
          <w:szCs w:val="22"/>
          <w:lang w:val="es-CL"/>
        </w:rPr>
        <w:t xml:space="preserve">en lo relativo a los actos médicos. La Comisión considera que el eventual pronunciamiento de la Honorable Corte sobre la prohibición de criminalizar el ejercicio de la defensa técnica de una persona, permitirá un desarrollo jurisprudencial novedoso y ofrecerá parámetros a los Estados a fin de que sus normas, políticas y prácticas antiterroristas, no resulten en la criminalización de actividades legítimas. </w:t>
      </w:r>
    </w:p>
    <w:p w:rsidR="00B73542" w:rsidRPr="00B35C11" w:rsidRDefault="00B73542" w:rsidP="00B73542">
      <w:pPr>
        <w:autoSpaceDE w:val="0"/>
        <w:autoSpaceDN w:val="0"/>
        <w:adjustRightInd w:val="0"/>
        <w:ind w:firstLine="720"/>
        <w:jc w:val="both"/>
        <w:rPr>
          <w:rFonts w:ascii="Cambria" w:hAnsi="Cambria" w:cs="Arial"/>
          <w:sz w:val="22"/>
          <w:szCs w:val="22"/>
          <w:lang w:val="es-CL"/>
        </w:rPr>
      </w:pPr>
    </w:p>
    <w:p w:rsidR="00A655E3" w:rsidRPr="00B35C11" w:rsidRDefault="00A655E3" w:rsidP="00B73542">
      <w:pPr>
        <w:autoSpaceDE w:val="0"/>
        <w:autoSpaceDN w:val="0"/>
        <w:adjustRightInd w:val="0"/>
        <w:ind w:firstLine="720"/>
        <w:jc w:val="both"/>
        <w:rPr>
          <w:rFonts w:ascii="Cambria" w:hAnsi="Cambria" w:cs="Arial"/>
          <w:sz w:val="22"/>
          <w:szCs w:val="22"/>
          <w:lang w:val="es-CL"/>
        </w:rPr>
      </w:pPr>
      <w:r w:rsidRPr="00B35C11">
        <w:rPr>
          <w:rFonts w:ascii="Cambria" w:hAnsi="Cambria"/>
          <w:sz w:val="22"/>
          <w:szCs w:val="22"/>
          <w:lang w:val="es-ES_tradnl"/>
        </w:rPr>
        <w:t xml:space="preserve">Por otra parte, en el presente caso tuvo aplicación una norma denominada Ley de Arrepentimiento, </w:t>
      </w:r>
      <w:r w:rsidR="002B75E2" w:rsidRPr="00B35C11">
        <w:rPr>
          <w:rFonts w:ascii="Cambria" w:hAnsi="Cambria"/>
          <w:sz w:val="22"/>
          <w:szCs w:val="22"/>
          <w:lang w:val="es-ES_tradnl"/>
        </w:rPr>
        <w:t xml:space="preserve">cuyo objeto era </w:t>
      </w:r>
      <w:r w:rsidRPr="00B35C11">
        <w:rPr>
          <w:rFonts w:ascii="Cambria" w:hAnsi="Cambria"/>
          <w:sz w:val="22"/>
          <w:szCs w:val="22"/>
          <w:lang w:val="es-ES_tradnl"/>
        </w:rPr>
        <w:t xml:space="preserve">recabar la mayor información </w:t>
      </w:r>
      <w:r w:rsidR="00E32CAD" w:rsidRPr="00B35C11">
        <w:rPr>
          <w:rFonts w:ascii="Cambria" w:hAnsi="Cambria"/>
          <w:sz w:val="22"/>
          <w:szCs w:val="22"/>
          <w:lang w:val="es-ES_tradnl"/>
        </w:rPr>
        <w:t>sobre el</w:t>
      </w:r>
      <w:r w:rsidRPr="00B35C11">
        <w:rPr>
          <w:rFonts w:ascii="Cambria" w:hAnsi="Cambria"/>
          <w:sz w:val="22"/>
          <w:szCs w:val="22"/>
          <w:lang w:val="es-ES_tradnl"/>
        </w:rPr>
        <w:t xml:space="preserve"> funcionamiento</w:t>
      </w:r>
      <w:r w:rsidR="00E32CAD" w:rsidRPr="00B35C11">
        <w:rPr>
          <w:rFonts w:ascii="Cambria" w:hAnsi="Cambria"/>
          <w:sz w:val="22"/>
          <w:szCs w:val="22"/>
          <w:lang w:val="es-ES_tradnl"/>
        </w:rPr>
        <w:t xml:space="preserve"> y composición de los grupos terroristas.</w:t>
      </w:r>
      <w:r w:rsidRPr="00B35C11">
        <w:rPr>
          <w:rFonts w:ascii="Cambria" w:hAnsi="Cambria"/>
          <w:sz w:val="22"/>
          <w:szCs w:val="22"/>
          <w:lang w:val="es-ES_tradnl"/>
        </w:rPr>
        <w:t xml:space="preserve"> </w:t>
      </w:r>
      <w:r w:rsidR="00B73542" w:rsidRPr="00B35C11">
        <w:rPr>
          <w:rFonts w:ascii="Cambria" w:hAnsi="Cambria"/>
          <w:sz w:val="22"/>
          <w:szCs w:val="22"/>
          <w:lang w:val="es-ES_tradnl"/>
        </w:rPr>
        <w:t>La Comisión considera que los hechos del presente caso reflejan la manera en</w:t>
      </w:r>
      <w:r w:rsidR="00C360D4" w:rsidRPr="00B35C11">
        <w:rPr>
          <w:rFonts w:ascii="Cambria" w:hAnsi="Cambria"/>
          <w:sz w:val="22"/>
          <w:szCs w:val="22"/>
          <w:lang w:val="es-ES_tradnl"/>
        </w:rPr>
        <w:t xml:space="preserve"> que</w:t>
      </w:r>
      <w:r w:rsidR="00BC2287" w:rsidRPr="00B35C11">
        <w:rPr>
          <w:rFonts w:ascii="Cambria" w:hAnsi="Cambria"/>
          <w:sz w:val="22"/>
          <w:szCs w:val="22"/>
          <w:lang w:val="es-ES_tradnl"/>
        </w:rPr>
        <w:t xml:space="preserve"> el</w:t>
      </w:r>
      <w:r w:rsidR="00B73542" w:rsidRPr="00B35C11">
        <w:rPr>
          <w:rFonts w:ascii="Cambria" w:hAnsi="Cambria"/>
          <w:sz w:val="22"/>
          <w:szCs w:val="22"/>
          <w:lang w:val="es-ES_tradnl"/>
        </w:rPr>
        <w:t xml:space="preserve"> diseño e implementación</w:t>
      </w:r>
      <w:r w:rsidR="00BC2287" w:rsidRPr="00B35C11">
        <w:rPr>
          <w:rFonts w:ascii="Cambria" w:hAnsi="Cambria"/>
          <w:sz w:val="22"/>
          <w:szCs w:val="22"/>
          <w:lang w:val="es-ES_tradnl"/>
        </w:rPr>
        <w:t xml:space="preserve"> de la norma</w:t>
      </w:r>
      <w:r w:rsidR="00B73542" w:rsidRPr="00B35C11">
        <w:rPr>
          <w:rFonts w:ascii="Cambria" w:hAnsi="Cambria"/>
          <w:sz w:val="22"/>
          <w:szCs w:val="22"/>
          <w:lang w:val="es-ES_tradnl"/>
        </w:rPr>
        <w:t xml:space="preserve"> no se ajust</w:t>
      </w:r>
      <w:r w:rsidR="00BC2287" w:rsidRPr="00B35C11">
        <w:rPr>
          <w:rFonts w:ascii="Cambria" w:hAnsi="Cambria"/>
          <w:sz w:val="22"/>
          <w:szCs w:val="22"/>
          <w:lang w:val="es-ES_tradnl"/>
        </w:rPr>
        <w:t>ó</w:t>
      </w:r>
      <w:r w:rsidR="00B73542" w:rsidRPr="00B35C11">
        <w:rPr>
          <w:rFonts w:ascii="Cambria" w:hAnsi="Cambria"/>
          <w:sz w:val="22"/>
          <w:szCs w:val="22"/>
          <w:lang w:val="es-ES_tradnl"/>
        </w:rPr>
        <w:t xml:space="preserve"> a los estándares internacionales de derechos humanos. En ese sentido, la Comisión considera que el presente caso permitirá a la Corte el desarrollo de jurisprudencia en materia de las garantías sustantivas y procesales derivadas de los artículos 7 y 8 de la Convención, en el marco específico de normas de esta naturaleza. Este análisis de la Corte resulta particularmente relevante tomando en cuenta que este tipo de normativas de arrepentimiento y equivalentes resultan comunes en los ordenamientos jurídicos de los Estados que pretenden enfrentar el terrorismo u otros delitos graves.</w:t>
      </w:r>
    </w:p>
    <w:p w:rsidR="00A655E3" w:rsidRPr="00B35C11" w:rsidRDefault="00A655E3" w:rsidP="003C729B">
      <w:pPr>
        <w:autoSpaceDE w:val="0"/>
        <w:autoSpaceDN w:val="0"/>
        <w:adjustRightInd w:val="0"/>
        <w:ind w:left="480" w:right="480"/>
        <w:jc w:val="both"/>
        <w:rPr>
          <w:rFonts w:ascii="Cambria" w:hAnsi="Cambria"/>
          <w:i/>
          <w:sz w:val="22"/>
          <w:szCs w:val="22"/>
          <w:lang w:val="es-ES_tradnl"/>
        </w:rPr>
      </w:pPr>
    </w:p>
    <w:p w:rsidR="00A451C9" w:rsidRPr="00B35C11" w:rsidRDefault="00A451C9" w:rsidP="00A451C9">
      <w:pPr>
        <w:autoSpaceDE w:val="0"/>
        <w:autoSpaceDN w:val="0"/>
        <w:adjustRightInd w:val="0"/>
        <w:ind w:firstLine="720"/>
        <w:jc w:val="both"/>
        <w:rPr>
          <w:rFonts w:ascii="Cambria" w:hAnsi="Cambria" w:cs="Arial"/>
          <w:sz w:val="22"/>
          <w:szCs w:val="22"/>
          <w:lang w:val="es-CL"/>
        </w:rPr>
      </w:pPr>
      <w:r w:rsidRPr="00B35C11">
        <w:rPr>
          <w:rFonts w:ascii="Cambria" w:hAnsi="Cambria" w:cs="Arial"/>
          <w:sz w:val="22"/>
          <w:szCs w:val="22"/>
          <w:lang w:val="es-CL"/>
        </w:rPr>
        <w:t>En virtud de que estas cuestiones afectan de manera relevante el orden público interamericano, de conformidad con el artículo 35.1 f) del Reglamento de la Corte Interamericana, la Comisión se permite ofrecer la</w:t>
      </w:r>
      <w:r w:rsidR="006F32C4" w:rsidRPr="00B35C11">
        <w:rPr>
          <w:rFonts w:ascii="Cambria" w:hAnsi="Cambria" w:cs="Arial"/>
          <w:sz w:val="22"/>
          <w:szCs w:val="22"/>
          <w:lang w:val="es-CL"/>
        </w:rPr>
        <w:t>s</w:t>
      </w:r>
      <w:r w:rsidRPr="00B35C11">
        <w:rPr>
          <w:rFonts w:ascii="Cambria" w:hAnsi="Cambria" w:cs="Arial"/>
          <w:sz w:val="22"/>
          <w:szCs w:val="22"/>
          <w:lang w:val="es-CL"/>
        </w:rPr>
        <w:t xml:space="preserve"> siguiente</w:t>
      </w:r>
      <w:r w:rsidR="006F32C4" w:rsidRPr="00B35C11">
        <w:rPr>
          <w:rFonts w:ascii="Cambria" w:hAnsi="Cambria" w:cs="Arial"/>
          <w:sz w:val="22"/>
          <w:szCs w:val="22"/>
          <w:lang w:val="es-CL"/>
        </w:rPr>
        <w:t>s</w:t>
      </w:r>
      <w:r w:rsidRPr="00B35C11">
        <w:rPr>
          <w:rFonts w:ascii="Cambria" w:hAnsi="Cambria" w:cs="Arial"/>
          <w:sz w:val="22"/>
          <w:szCs w:val="22"/>
          <w:lang w:val="es-CL"/>
        </w:rPr>
        <w:t xml:space="preserve"> declaraci</w:t>
      </w:r>
      <w:r w:rsidR="006F32C4" w:rsidRPr="00B35C11">
        <w:rPr>
          <w:rFonts w:ascii="Cambria" w:hAnsi="Cambria" w:cs="Arial"/>
          <w:sz w:val="22"/>
          <w:szCs w:val="22"/>
          <w:lang w:val="es-CL"/>
        </w:rPr>
        <w:t>o</w:t>
      </w:r>
      <w:r w:rsidR="00C14EC4" w:rsidRPr="00B35C11">
        <w:rPr>
          <w:rFonts w:ascii="Cambria" w:hAnsi="Cambria" w:cs="Arial"/>
          <w:sz w:val="22"/>
          <w:szCs w:val="22"/>
          <w:lang w:val="es-CL"/>
        </w:rPr>
        <w:t>n</w:t>
      </w:r>
      <w:r w:rsidR="006F32C4" w:rsidRPr="00B35C11">
        <w:rPr>
          <w:rFonts w:ascii="Cambria" w:hAnsi="Cambria" w:cs="Arial"/>
          <w:sz w:val="22"/>
          <w:szCs w:val="22"/>
          <w:lang w:val="es-CL"/>
        </w:rPr>
        <w:t>es</w:t>
      </w:r>
      <w:r w:rsidRPr="00B35C11">
        <w:rPr>
          <w:rFonts w:ascii="Cambria" w:hAnsi="Cambria" w:cs="Arial"/>
          <w:sz w:val="22"/>
          <w:szCs w:val="22"/>
          <w:lang w:val="es-CL"/>
        </w:rPr>
        <w:t xml:space="preserve"> pericial</w:t>
      </w:r>
      <w:r w:rsidR="006F32C4" w:rsidRPr="00B35C11">
        <w:rPr>
          <w:rFonts w:ascii="Cambria" w:hAnsi="Cambria" w:cs="Arial"/>
          <w:sz w:val="22"/>
          <w:szCs w:val="22"/>
          <w:lang w:val="es-CL"/>
        </w:rPr>
        <w:t>es</w:t>
      </w:r>
      <w:r w:rsidRPr="00B35C11">
        <w:rPr>
          <w:rFonts w:ascii="Cambria" w:hAnsi="Cambria" w:cs="Arial"/>
          <w:sz w:val="22"/>
          <w:szCs w:val="22"/>
          <w:lang w:val="es-CL"/>
        </w:rPr>
        <w:t xml:space="preserve">: </w:t>
      </w:r>
    </w:p>
    <w:p w:rsidR="00A451C9" w:rsidRPr="00B35C11" w:rsidRDefault="00A451C9" w:rsidP="00A451C9">
      <w:pPr>
        <w:tabs>
          <w:tab w:val="left" w:pos="720"/>
          <w:tab w:val="left" w:pos="9000"/>
        </w:tabs>
        <w:ind w:firstLine="720"/>
        <w:jc w:val="both"/>
        <w:rPr>
          <w:rFonts w:ascii="Cambria" w:hAnsi="Cambria" w:cs="Arial"/>
          <w:sz w:val="22"/>
          <w:szCs w:val="22"/>
          <w:lang w:val="es-CL"/>
        </w:rPr>
      </w:pPr>
    </w:p>
    <w:p w:rsidR="00A451C9" w:rsidRPr="00B35C11" w:rsidRDefault="00A451C9" w:rsidP="006E5191">
      <w:pPr>
        <w:numPr>
          <w:ilvl w:val="0"/>
          <w:numId w:val="1"/>
        </w:numPr>
        <w:tabs>
          <w:tab w:val="clear" w:pos="1980"/>
          <w:tab w:val="num" w:pos="0"/>
          <w:tab w:val="left" w:pos="1080"/>
          <w:tab w:val="left" w:pos="1800"/>
        </w:tabs>
        <w:autoSpaceDE w:val="0"/>
        <w:autoSpaceDN w:val="0"/>
        <w:adjustRightInd w:val="0"/>
        <w:ind w:left="0" w:firstLine="720"/>
        <w:jc w:val="both"/>
        <w:rPr>
          <w:rFonts w:ascii="Cambria" w:hAnsi="Cambria" w:cs="Courier New"/>
          <w:sz w:val="22"/>
          <w:szCs w:val="22"/>
          <w:lang w:val="es-ES_tradnl"/>
        </w:rPr>
      </w:pPr>
      <w:r w:rsidRPr="00B35C11">
        <w:rPr>
          <w:rFonts w:ascii="Cambria" w:hAnsi="Cambria" w:cs="Courier New"/>
          <w:sz w:val="22"/>
          <w:szCs w:val="22"/>
          <w:lang w:val="es-ES_tradnl"/>
        </w:rPr>
        <w:t xml:space="preserve">Perito/a cuyo nombre será informado a la brevedad, quien declarará sobre </w:t>
      </w:r>
      <w:r w:rsidR="00C14EC4" w:rsidRPr="00B35C11">
        <w:rPr>
          <w:rFonts w:ascii="Cambria" w:hAnsi="Cambria" w:cs="Courier New"/>
          <w:sz w:val="22"/>
          <w:szCs w:val="22"/>
          <w:lang w:val="es-ES_tradnl"/>
        </w:rPr>
        <w:t xml:space="preserve">los estándares internacionales de derechos humanos aplicables al análisis de normas, políticas y prácticas estatales antiterroristas, específicamente en lo relativo a la legislación y aplicación de normas de </w:t>
      </w:r>
      <w:r w:rsidR="00C14EC4" w:rsidRPr="00B35C11">
        <w:rPr>
          <w:rFonts w:ascii="Cambria" w:hAnsi="Cambria" w:cs="Courier New"/>
          <w:sz w:val="22"/>
          <w:szCs w:val="22"/>
          <w:lang w:val="es-ES_tradnl"/>
        </w:rPr>
        <w:lastRenderedPageBreak/>
        <w:t xml:space="preserve">“arrepentimiento” o equivalentes, así como las salvaguardas necesarias para que dichas iniciativas cumplan con el objetivo propuesto </w:t>
      </w:r>
      <w:r w:rsidR="00B832B4" w:rsidRPr="00B35C11">
        <w:rPr>
          <w:rFonts w:ascii="Cambria" w:hAnsi="Cambria" w:cs="Courier New"/>
          <w:sz w:val="22"/>
          <w:szCs w:val="22"/>
          <w:lang w:val="es-ES_tradnl"/>
        </w:rPr>
        <w:t xml:space="preserve">en apego a las obligaciones internacionales del Estado. En el desarrollo de su peritaje, el/la experto/a tomará en consideración el caso concreto. </w:t>
      </w:r>
    </w:p>
    <w:p w:rsidR="005D6A87" w:rsidRPr="00B35C11" w:rsidRDefault="005D6A87" w:rsidP="006E5191">
      <w:pPr>
        <w:tabs>
          <w:tab w:val="num" w:pos="0"/>
          <w:tab w:val="left" w:pos="1080"/>
          <w:tab w:val="left" w:pos="1800"/>
        </w:tabs>
        <w:autoSpaceDE w:val="0"/>
        <w:autoSpaceDN w:val="0"/>
        <w:adjustRightInd w:val="0"/>
        <w:jc w:val="both"/>
        <w:rPr>
          <w:rFonts w:ascii="Cambria" w:hAnsi="Cambria" w:cs="Courier New"/>
          <w:sz w:val="22"/>
          <w:szCs w:val="22"/>
          <w:lang w:val="es-ES_tradnl"/>
        </w:rPr>
      </w:pPr>
    </w:p>
    <w:p w:rsidR="00B832B4" w:rsidRPr="00B35C11" w:rsidRDefault="006F32C4" w:rsidP="006E5191">
      <w:pPr>
        <w:numPr>
          <w:ilvl w:val="0"/>
          <w:numId w:val="1"/>
        </w:numPr>
        <w:tabs>
          <w:tab w:val="clear" w:pos="1980"/>
          <w:tab w:val="num" w:pos="0"/>
          <w:tab w:val="left" w:pos="1080"/>
          <w:tab w:val="left" w:pos="1800"/>
        </w:tabs>
        <w:autoSpaceDE w:val="0"/>
        <w:autoSpaceDN w:val="0"/>
        <w:adjustRightInd w:val="0"/>
        <w:ind w:left="0" w:firstLine="720"/>
        <w:jc w:val="both"/>
        <w:rPr>
          <w:rFonts w:ascii="Cambria" w:hAnsi="Cambria" w:cs="Courier New"/>
          <w:sz w:val="22"/>
          <w:szCs w:val="22"/>
          <w:lang w:val="es-ES_tradnl"/>
        </w:rPr>
      </w:pPr>
      <w:r w:rsidRPr="00B35C11">
        <w:rPr>
          <w:rFonts w:ascii="Cambria" w:hAnsi="Cambria" w:cs="Courier New"/>
          <w:sz w:val="22"/>
          <w:szCs w:val="22"/>
          <w:lang w:val="es-ES_tradnl"/>
        </w:rPr>
        <w:t xml:space="preserve">Perito/a cuyo nombre será informado a la brevedad, quien declarará sobre </w:t>
      </w:r>
      <w:r w:rsidR="002A6A32" w:rsidRPr="00B35C11">
        <w:rPr>
          <w:rFonts w:ascii="Cambria" w:hAnsi="Cambria" w:cs="Courier New"/>
          <w:sz w:val="22"/>
          <w:szCs w:val="22"/>
          <w:lang w:val="es-ES_tradnl"/>
        </w:rPr>
        <w:t>las afectaciones a derechos humanos derivadas de la criminalización de actividades legítimas en el marco de la lucha antiterrorista de los Estados. El/la perito/a hará particular referencia</w:t>
      </w:r>
      <w:r w:rsidR="00C360D4" w:rsidRPr="00B35C11">
        <w:rPr>
          <w:rFonts w:ascii="Cambria" w:hAnsi="Cambria" w:cs="Courier New"/>
          <w:sz w:val="22"/>
          <w:szCs w:val="22"/>
          <w:lang w:val="es-ES_tradnl"/>
        </w:rPr>
        <w:t xml:space="preserve"> a</w:t>
      </w:r>
      <w:r w:rsidR="002A6A32" w:rsidRPr="00B35C11">
        <w:rPr>
          <w:rFonts w:ascii="Cambria" w:hAnsi="Cambria" w:cs="Courier New"/>
          <w:sz w:val="22"/>
          <w:szCs w:val="22"/>
          <w:lang w:val="es-ES_tradnl"/>
        </w:rPr>
        <w:t xml:space="preserve"> los estándares que </w:t>
      </w:r>
      <w:r w:rsidR="007D665F" w:rsidRPr="00B35C11">
        <w:rPr>
          <w:rFonts w:ascii="Cambria" w:hAnsi="Cambria" w:cs="Courier New"/>
          <w:sz w:val="22"/>
          <w:szCs w:val="22"/>
          <w:lang w:val="es-ES_tradnl"/>
        </w:rPr>
        <w:t xml:space="preserve">sería relevante que sean </w:t>
      </w:r>
      <w:r w:rsidR="002A6A32" w:rsidRPr="00B35C11">
        <w:rPr>
          <w:rFonts w:ascii="Cambria" w:hAnsi="Cambria" w:cs="Courier New"/>
          <w:sz w:val="22"/>
          <w:szCs w:val="22"/>
          <w:lang w:val="es-ES_tradnl"/>
        </w:rPr>
        <w:t>tomados en cuenta por la Honorable Corte al momento de evaluar un supuesto de criminalización del ejercicio de la defensa técnica. Finalmente, el/la experto/a tomará en consideración</w:t>
      </w:r>
      <w:r w:rsidR="006D5453" w:rsidRPr="00B35C11">
        <w:rPr>
          <w:rFonts w:ascii="Cambria" w:hAnsi="Cambria" w:cs="Courier New"/>
          <w:sz w:val="22"/>
          <w:szCs w:val="22"/>
          <w:lang w:val="es-ES_tradnl"/>
        </w:rPr>
        <w:t xml:space="preserve"> el uso de tipos penales amplios sobre actos de terrorismo o colaboración con el terrorismo, como instrumento para efectuar tal criminalización. En su análisis el/la perito/a tomará en cuenta el caso concreto. </w:t>
      </w:r>
    </w:p>
    <w:p w:rsidR="00A451C9" w:rsidRPr="00B35C11" w:rsidRDefault="00A451C9" w:rsidP="00A451C9">
      <w:pPr>
        <w:autoSpaceDE w:val="0"/>
        <w:autoSpaceDN w:val="0"/>
        <w:adjustRightInd w:val="0"/>
        <w:ind w:firstLine="720"/>
        <w:jc w:val="both"/>
        <w:rPr>
          <w:rFonts w:ascii="Cambria" w:hAnsi="Cambria" w:cs="Courier New"/>
          <w:sz w:val="22"/>
          <w:szCs w:val="22"/>
          <w:lang w:val="es-ES_tradnl"/>
        </w:rPr>
      </w:pPr>
    </w:p>
    <w:p w:rsidR="00A451C9" w:rsidRPr="00B35C11" w:rsidRDefault="00F95FC9" w:rsidP="00A451C9">
      <w:pPr>
        <w:tabs>
          <w:tab w:val="left" w:pos="0"/>
        </w:tabs>
        <w:ind w:firstLine="720"/>
        <w:jc w:val="both"/>
        <w:rPr>
          <w:rFonts w:ascii="Cambria" w:hAnsi="Cambria"/>
          <w:sz w:val="22"/>
          <w:szCs w:val="22"/>
        </w:rPr>
      </w:pPr>
      <w:r w:rsidRPr="00B35C11">
        <w:rPr>
          <w:rFonts w:ascii="Cambria" w:hAnsi="Cambria"/>
          <w:sz w:val="22"/>
          <w:szCs w:val="22"/>
          <w:lang w:val="es-AR"/>
        </w:rPr>
        <w:t>El</w:t>
      </w:r>
      <w:r w:rsidR="00A451C9" w:rsidRPr="00B35C11">
        <w:rPr>
          <w:rFonts w:ascii="Cambria" w:hAnsi="Cambria"/>
          <w:sz w:val="22"/>
          <w:szCs w:val="22"/>
          <w:lang w:val="es-AR"/>
        </w:rPr>
        <w:t xml:space="preserve"> CV d</w:t>
      </w:r>
      <w:r w:rsidR="00A451C9" w:rsidRPr="00B35C11">
        <w:rPr>
          <w:rFonts w:ascii="Cambria" w:hAnsi="Cambria"/>
          <w:sz w:val="22"/>
          <w:szCs w:val="22"/>
        </w:rPr>
        <w:t>e</w:t>
      </w:r>
      <w:r w:rsidR="00E83287" w:rsidRPr="00B35C11">
        <w:rPr>
          <w:rFonts w:ascii="Cambria" w:hAnsi="Cambria"/>
          <w:sz w:val="22"/>
          <w:szCs w:val="22"/>
        </w:rPr>
        <w:t xml:space="preserve"> </w:t>
      </w:r>
      <w:r w:rsidR="00A451C9" w:rsidRPr="00B35C11">
        <w:rPr>
          <w:rFonts w:ascii="Cambria" w:hAnsi="Cambria"/>
          <w:sz w:val="22"/>
          <w:szCs w:val="22"/>
        </w:rPr>
        <w:t>l</w:t>
      </w:r>
      <w:r w:rsidR="00E83287" w:rsidRPr="00B35C11">
        <w:rPr>
          <w:rFonts w:ascii="Cambria" w:hAnsi="Cambria"/>
          <w:sz w:val="22"/>
          <w:szCs w:val="22"/>
        </w:rPr>
        <w:t>os</w:t>
      </w:r>
      <w:r w:rsidRPr="00B35C11">
        <w:rPr>
          <w:rFonts w:ascii="Cambria" w:hAnsi="Cambria"/>
          <w:sz w:val="22"/>
          <w:szCs w:val="22"/>
        </w:rPr>
        <w:t xml:space="preserve"> </w:t>
      </w:r>
      <w:r w:rsidR="00A451C9" w:rsidRPr="00B35C11">
        <w:rPr>
          <w:rFonts w:ascii="Cambria" w:hAnsi="Cambria"/>
          <w:sz w:val="22"/>
          <w:szCs w:val="22"/>
        </w:rPr>
        <w:t>perito</w:t>
      </w:r>
      <w:r w:rsidR="00E83287" w:rsidRPr="00B35C11">
        <w:rPr>
          <w:rFonts w:ascii="Cambria" w:hAnsi="Cambria"/>
          <w:sz w:val="22"/>
          <w:szCs w:val="22"/>
        </w:rPr>
        <w:t>s/</w:t>
      </w:r>
      <w:r w:rsidRPr="00B35C11">
        <w:rPr>
          <w:rFonts w:ascii="Cambria" w:hAnsi="Cambria"/>
          <w:sz w:val="22"/>
          <w:szCs w:val="22"/>
        </w:rPr>
        <w:t>a</w:t>
      </w:r>
      <w:r w:rsidR="00E83287" w:rsidRPr="00B35C11">
        <w:rPr>
          <w:rFonts w:ascii="Cambria" w:hAnsi="Cambria"/>
          <w:sz w:val="22"/>
          <w:szCs w:val="22"/>
        </w:rPr>
        <w:t>s</w:t>
      </w:r>
      <w:r w:rsidRPr="00B35C11">
        <w:rPr>
          <w:rFonts w:ascii="Cambria" w:hAnsi="Cambria"/>
          <w:sz w:val="22"/>
          <w:szCs w:val="22"/>
        </w:rPr>
        <w:t xml:space="preserve"> </w:t>
      </w:r>
      <w:r w:rsidR="00A451C9" w:rsidRPr="00B35C11">
        <w:rPr>
          <w:rFonts w:ascii="Cambria" w:hAnsi="Cambria"/>
          <w:sz w:val="22"/>
          <w:szCs w:val="22"/>
        </w:rPr>
        <w:t>propuesto</w:t>
      </w:r>
      <w:r w:rsidR="00E83287" w:rsidRPr="00B35C11">
        <w:rPr>
          <w:rFonts w:ascii="Cambria" w:hAnsi="Cambria"/>
          <w:sz w:val="22"/>
          <w:szCs w:val="22"/>
        </w:rPr>
        <w:t>s</w:t>
      </w:r>
      <w:r w:rsidR="00A451C9" w:rsidRPr="00B35C11">
        <w:rPr>
          <w:rFonts w:ascii="Cambria" w:hAnsi="Cambria"/>
          <w:sz w:val="22"/>
          <w:szCs w:val="22"/>
        </w:rPr>
        <w:t>/a</w:t>
      </w:r>
      <w:r w:rsidR="00E83287" w:rsidRPr="00B35C11">
        <w:rPr>
          <w:rFonts w:ascii="Cambria" w:hAnsi="Cambria"/>
          <w:sz w:val="22"/>
          <w:szCs w:val="22"/>
        </w:rPr>
        <w:t>s</w:t>
      </w:r>
      <w:r w:rsidR="00A451C9" w:rsidRPr="00B35C11">
        <w:rPr>
          <w:rFonts w:ascii="Cambria" w:hAnsi="Cambria"/>
          <w:sz w:val="22"/>
          <w:szCs w:val="22"/>
        </w:rPr>
        <w:t xml:space="preserve"> será incluido en los anexos al informe d</w:t>
      </w:r>
      <w:r w:rsidRPr="00B35C11">
        <w:rPr>
          <w:rFonts w:ascii="Cambria" w:hAnsi="Cambria"/>
          <w:sz w:val="22"/>
          <w:szCs w:val="22"/>
        </w:rPr>
        <w:t>e fondo 57</w:t>
      </w:r>
      <w:r w:rsidR="00A451C9" w:rsidRPr="00B35C11">
        <w:rPr>
          <w:rFonts w:ascii="Cambria" w:hAnsi="Cambria"/>
          <w:sz w:val="22"/>
          <w:szCs w:val="22"/>
        </w:rPr>
        <w:t>/</w:t>
      </w:r>
      <w:r w:rsidRPr="00B35C11">
        <w:rPr>
          <w:rFonts w:ascii="Cambria" w:hAnsi="Cambria"/>
          <w:sz w:val="22"/>
          <w:szCs w:val="22"/>
        </w:rPr>
        <w:t>12</w:t>
      </w:r>
      <w:r w:rsidR="00A451C9" w:rsidRPr="00B35C11">
        <w:rPr>
          <w:rFonts w:ascii="Cambria" w:hAnsi="Cambria"/>
          <w:sz w:val="22"/>
          <w:szCs w:val="22"/>
        </w:rPr>
        <w:t xml:space="preserve">. </w:t>
      </w:r>
    </w:p>
    <w:p w:rsidR="00A451C9" w:rsidRPr="00B35C11" w:rsidRDefault="00A451C9" w:rsidP="00A451C9">
      <w:pPr>
        <w:pStyle w:val="Default"/>
        <w:tabs>
          <w:tab w:val="left" w:pos="0"/>
        </w:tabs>
        <w:ind w:firstLine="720"/>
        <w:jc w:val="both"/>
        <w:rPr>
          <w:rFonts w:ascii="Cambria" w:hAnsi="Cambria"/>
          <w:sz w:val="22"/>
          <w:szCs w:val="22"/>
          <w:lang w:val="es-ES"/>
        </w:rPr>
      </w:pPr>
    </w:p>
    <w:p w:rsidR="00A451C9" w:rsidRPr="00B35C11" w:rsidRDefault="00A451C9" w:rsidP="00A451C9">
      <w:pPr>
        <w:pStyle w:val="Default"/>
        <w:tabs>
          <w:tab w:val="left" w:pos="0"/>
        </w:tabs>
        <w:ind w:firstLine="720"/>
        <w:jc w:val="both"/>
        <w:rPr>
          <w:rFonts w:ascii="Cambria" w:hAnsi="Cambria"/>
          <w:sz w:val="22"/>
          <w:szCs w:val="22"/>
          <w:lang w:val="es-ES_tradnl"/>
        </w:rPr>
      </w:pPr>
      <w:r w:rsidRPr="00B35C11">
        <w:rPr>
          <w:rFonts w:ascii="Cambria" w:hAnsi="Cambria"/>
          <w:sz w:val="22"/>
          <w:szCs w:val="22"/>
          <w:lang w:val="es-ES_tradnl"/>
        </w:rPr>
        <w:t>La Comisión pone en conocimiento de la Corte la siguiente información sobre</w:t>
      </w:r>
      <w:r w:rsidR="00CF1103" w:rsidRPr="00B35C11">
        <w:rPr>
          <w:rFonts w:ascii="Cambria" w:hAnsi="Cambria"/>
          <w:sz w:val="22"/>
          <w:szCs w:val="22"/>
          <w:lang w:val="es-ES_tradnl"/>
        </w:rPr>
        <w:t xml:space="preserve"> las personas que han actuado en calidad de peticionarias a </w:t>
      </w:r>
      <w:r w:rsidRPr="00B35C11">
        <w:rPr>
          <w:rFonts w:ascii="Cambria" w:hAnsi="Cambria"/>
          <w:sz w:val="22"/>
          <w:szCs w:val="22"/>
          <w:lang w:val="es-ES_tradnl"/>
        </w:rPr>
        <w:t>lo largo del trámite y sus respectivos datos de contacto:</w:t>
      </w:r>
    </w:p>
    <w:p w:rsidR="00A451C9" w:rsidRPr="00B35C11" w:rsidRDefault="00A451C9" w:rsidP="00A451C9">
      <w:pPr>
        <w:autoSpaceDE w:val="0"/>
        <w:autoSpaceDN w:val="0"/>
        <w:adjustRightInd w:val="0"/>
        <w:jc w:val="center"/>
        <w:rPr>
          <w:rFonts w:ascii="Cambria" w:hAnsi="Cambria" w:cs="Arial"/>
          <w:sz w:val="22"/>
          <w:szCs w:val="22"/>
          <w:lang w:val="es-ES_tradnl" w:eastAsia="en-US"/>
        </w:rPr>
      </w:pPr>
    </w:p>
    <w:p w:rsidR="00CF1103" w:rsidRPr="00B35C11" w:rsidRDefault="00CF1103" w:rsidP="00CF1103">
      <w:pPr>
        <w:autoSpaceDE w:val="0"/>
        <w:autoSpaceDN w:val="0"/>
        <w:adjustRightInd w:val="0"/>
        <w:jc w:val="center"/>
        <w:rPr>
          <w:rFonts w:ascii="Cambria" w:hAnsi="Cambria" w:cs="Arial"/>
          <w:sz w:val="22"/>
          <w:szCs w:val="22"/>
          <w:lang w:val="es-ES_tradnl" w:eastAsia="en-US"/>
        </w:rPr>
      </w:pPr>
      <w:r w:rsidRPr="00B35C11">
        <w:rPr>
          <w:rFonts w:ascii="Cambria" w:hAnsi="Cambria" w:cs="Arial"/>
          <w:sz w:val="22"/>
          <w:szCs w:val="22"/>
          <w:lang w:val="es-ES_tradnl" w:eastAsia="en-US"/>
        </w:rPr>
        <w:t xml:space="preserve">Christina María Galindo </w:t>
      </w:r>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w:t>
      </w:r>
      <w:proofErr w:type="gramEnd"/>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xxxxxxxxxxxxxxx</w:t>
      </w:r>
      <w:proofErr w:type="gramEnd"/>
    </w:p>
    <w:p w:rsidR="00CF1103" w:rsidRPr="00B35C11" w:rsidRDefault="005D66FB" w:rsidP="00CF1103">
      <w:pPr>
        <w:autoSpaceDE w:val="0"/>
        <w:autoSpaceDN w:val="0"/>
        <w:adjustRightInd w:val="0"/>
        <w:jc w:val="center"/>
        <w:rPr>
          <w:rFonts w:ascii="Cambria" w:hAnsi="Cambria" w:cs="Arial"/>
          <w:sz w:val="22"/>
          <w:szCs w:val="22"/>
          <w:lang w:val="es-ES_tradnl" w:eastAsia="en-US"/>
        </w:rPr>
      </w:pPr>
      <w:proofErr w:type="gramStart"/>
      <w:r w:rsidRPr="00B35C11">
        <w:rPr>
          <w:rFonts w:ascii="Cambria" w:hAnsi="Cambria" w:cs="Arial"/>
          <w:sz w:val="22"/>
          <w:szCs w:val="22"/>
          <w:highlight w:val="black"/>
          <w:lang w:val="es-ES_tradnl" w:eastAsia="en-US"/>
        </w:rPr>
        <w:t>xxxxxxxxxxxxxxxxxxxxxxxxx</w:t>
      </w:r>
      <w:proofErr w:type="gramEnd"/>
    </w:p>
    <w:p w:rsidR="00CF1103" w:rsidRPr="00B35C11" w:rsidRDefault="00CF1103" w:rsidP="00CF1103">
      <w:pPr>
        <w:autoSpaceDE w:val="0"/>
        <w:autoSpaceDN w:val="0"/>
        <w:adjustRightInd w:val="0"/>
        <w:jc w:val="center"/>
        <w:rPr>
          <w:rFonts w:ascii="Cambria" w:hAnsi="Cambria" w:cs="Arial"/>
          <w:sz w:val="22"/>
          <w:szCs w:val="22"/>
          <w:lang w:val="es-ES_tradnl" w:eastAsia="en-US"/>
        </w:rPr>
      </w:pPr>
    </w:p>
    <w:p w:rsidR="00CF1103" w:rsidRPr="00B35C11" w:rsidRDefault="00CF1103" w:rsidP="00CF1103">
      <w:pPr>
        <w:autoSpaceDE w:val="0"/>
        <w:autoSpaceDN w:val="0"/>
        <w:adjustRightInd w:val="0"/>
        <w:jc w:val="center"/>
        <w:rPr>
          <w:rFonts w:ascii="Cambria" w:hAnsi="Cambria" w:cs="Arial"/>
          <w:sz w:val="22"/>
          <w:szCs w:val="22"/>
          <w:lang w:val="es-ES_tradnl" w:eastAsia="en-US"/>
        </w:rPr>
      </w:pPr>
      <w:r w:rsidRPr="00B35C11">
        <w:rPr>
          <w:rFonts w:ascii="Cambria" w:hAnsi="Cambria" w:cs="Arial"/>
          <w:sz w:val="22"/>
          <w:szCs w:val="22"/>
          <w:lang w:val="es-ES_tradnl" w:eastAsia="en-US"/>
        </w:rPr>
        <w:t xml:space="preserve">Luis Antonio Galindo Cárdenas </w:t>
      </w:r>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xxxxxxxxxxxxxx</w:t>
      </w:r>
      <w:proofErr w:type="gramEnd"/>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xxxxxxxxxxxxxxxxxxxxx</w:t>
      </w:r>
      <w:proofErr w:type="gramEnd"/>
    </w:p>
    <w:p w:rsidR="00CF1103" w:rsidRPr="00B35C11" w:rsidRDefault="005D66FB" w:rsidP="00CF1103">
      <w:pPr>
        <w:autoSpaceDE w:val="0"/>
        <w:autoSpaceDN w:val="0"/>
        <w:adjustRightInd w:val="0"/>
        <w:jc w:val="center"/>
        <w:rPr>
          <w:rFonts w:ascii="Cambria" w:hAnsi="Cambria" w:cs="Arial"/>
          <w:sz w:val="22"/>
          <w:szCs w:val="22"/>
          <w:lang w:val="es-ES_tradnl" w:eastAsia="en-US"/>
        </w:rPr>
      </w:pPr>
      <w:proofErr w:type="gramStart"/>
      <w:r w:rsidRPr="00B35C11">
        <w:rPr>
          <w:rFonts w:ascii="Cambria" w:hAnsi="Cambria" w:cs="Arial"/>
          <w:sz w:val="22"/>
          <w:szCs w:val="22"/>
          <w:highlight w:val="black"/>
          <w:lang w:val="es-ES_tradnl" w:eastAsia="en-US"/>
        </w:rPr>
        <w:t>xxxxxxxxxxxxxxxxxxxxxxxxx</w:t>
      </w:r>
      <w:proofErr w:type="gramEnd"/>
    </w:p>
    <w:p w:rsidR="00CF1103" w:rsidRPr="00B35C11" w:rsidRDefault="00CF1103" w:rsidP="00CF1103">
      <w:pPr>
        <w:autoSpaceDE w:val="0"/>
        <w:autoSpaceDN w:val="0"/>
        <w:adjustRightInd w:val="0"/>
        <w:jc w:val="center"/>
        <w:rPr>
          <w:rFonts w:ascii="Cambria" w:hAnsi="Cambria" w:cs="Arial"/>
          <w:sz w:val="22"/>
          <w:szCs w:val="22"/>
          <w:lang w:val="es-ES_tradnl" w:eastAsia="en-US"/>
        </w:rPr>
      </w:pPr>
    </w:p>
    <w:p w:rsidR="00CF1103" w:rsidRPr="00B35C11" w:rsidRDefault="00CF1103" w:rsidP="00CF1103">
      <w:pPr>
        <w:autoSpaceDE w:val="0"/>
        <w:autoSpaceDN w:val="0"/>
        <w:adjustRightInd w:val="0"/>
        <w:jc w:val="center"/>
        <w:rPr>
          <w:rFonts w:ascii="Cambria" w:hAnsi="Cambria" w:cs="Arial"/>
          <w:sz w:val="22"/>
          <w:szCs w:val="22"/>
          <w:lang w:val="es-ES_tradnl" w:eastAsia="en-US"/>
        </w:rPr>
      </w:pPr>
      <w:r w:rsidRPr="00B35C11">
        <w:rPr>
          <w:rFonts w:ascii="Cambria" w:hAnsi="Cambria" w:cs="Arial"/>
          <w:sz w:val="22"/>
          <w:szCs w:val="22"/>
          <w:lang w:val="es-ES_tradnl" w:eastAsia="en-US"/>
        </w:rPr>
        <w:t xml:space="preserve">Richard M. Rocha </w:t>
      </w:r>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xxxxxxxxxxxxxxxxxxxxxxxxxxxxxxx</w:t>
      </w:r>
      <w:proofErr w:type="gramEnd"/>
    </w:p>
    <w:p w:rsidR="00CF1103" w:rsidRPr="00B35C11" w:rsidRDefault="005D66FB" w:rsidP="00CF1103">
      <w:pPr>
        <w:autoSpaceDE w:val="0"/>
        <w:autoSpaceDN w:val="0"/>
        <w:adjustRightInd w:val="0"/>
        <w:jc w:val="center"/>
        <w:rPr>
          <w:rFonts w:ascii="Cambria" w:hAnsi="Cambria" w:cs="Arial"/>
          <w:sz w:val="22"/>
          <w:szCs w:val="22"/>
          <w:highlight w:val="black"/>
          <w:lang w:val="es-ES_tradnl" w:eastAsia="en-US"/>
        </w:rPr>
      </w:pPr>
      <w:proofErr w:type="gramStart"/>
      <w:r w:rsidRPr="00B35C11">
        <w:rPr>
          <w:rFonts w:ascii="Cambria" w:hAnsi="Cambria" w:cs="Arial"/>
          <w:sz w:val="22"/>
          <w:szCs w:val="22"/>
          <w:highlight w:val="black"/>
          <w:lang w:val="es-ES_tradnl" w:eastAsia="en-US"/>
        </w:rPr>
        <w:t>xxxxxxxxxxxxxxxxxxxxxxxxxxx</w:t>
      </w:r>
      <w:proofErr w:type="gramEnd"/>
    </w:p>
    <w:p w:rsidR="00CF1103" w:rsidRPr="00B35C11" w:rsidRDefault="005D66FB" w:rsidP="00CF1103">
      <w:pPr>
        <w:autoSpaceDE w:val="0"/>
        <w:autoSpaceDN w:val="0"/>
        <w:adjustRightInd w:val="0"/>
        <w:jc w:val="center"/>
        <w:rPr>
          <w:rFonts w:ascii="Cambria" w:hAnsi="Cambria" w:cs="Arial"/>
          <w:sz w:val="22"/>
          <w:szCs w:val="22"/>
          <w:lang w:val="es-ES_tradnl" w:eastAsia="en-US"/>
        </w:rPr>
      </w:pPr>
      <w:proofErr w:type="gramStart"/>
      <w:r w:rsidRPr="00B35C11">
        <w:rPr>
          <w:rFonts w:ascii="Cambria" w:hAnsi="Cambria" w:cs="Arial"/>
          <w:sz w:val="22"/>
          <w:szCs w:val="22"/>
          <w:highlight w:val="black"/>
          <w:lang w:val="es-ES_tradnl" w:eastAsia="en-US"/>
        </w:rPr>
        <w:t>xxxxxxxxxxxxxxxxxxxxxx</w:t>
      </w:r>
      <w:proofErr w:type="gramEnd"/>
    </w:p>
    <w:p w:rsidR="00CF1103" w:rsidRPr="00B35C11" w:rsidRDefault="00CF1103" w:rsidP="00A451C9">
      <w:pPr>
        <w:autoSpaceDE w:val="0"/>
        <w:autoSpaceDN w:val="0"/>
        <w:adjustRightInd w:val="0"/>
        <w:jc w:val="center"/>
        <w:rPr>
          <w:rFonts w:ascii="Cambria" w:hAnsi="Cambria" w:cs="Arial"/>
          <w:sz w:val="22"/>
          <w:szCs w:val="22"/>
          <w:lang w:val="es-ES_tradnl" w:eastAsia="en-US"/>
        </w:rPr>
      </w:pPr>
    </w:p>
    <w:p w:rsidR="00A451C9" w:rsidRPr="00B35C11" w:rsidRDefault="00A451C9" w:rsidP="00A451C9">
      <w:pPr>
        <w:tabs>
          <w:tab w:val="left" w:pos="0"/>
        </w:tabs>
        <w:ind w:firstLine="720"/>
        <w:jc w:val="both"/>
        <w:rPr>
          <w:rFonts w:ascii="Cambria" w:hAnsi="Cambria" w:cs="Arial"/>
          <w:sz w:val="22"/>
          <w:szCs w:val="22"/>
          <w:lang w:val="es-CO"/>
        </w:rPr>
      </w:pPr>
      <w:r w:rsidRPr="00B35C11">
        <w:rPr>
          <w:rFonts w:ascii="Cambria" w:hAnsi="Cambria" w:cs="Arial"/>
          <w:sz w:val="22"/>
          <w:szCs w:val="22"/>
          <w:lang w:val="es-CO"/>
        </w:rPr>
        <w:t>Aprovecho la oportunidad para saludar a usted muy atentamente,</w:t>
      </w:r>
    </w:p>
    <w:p w:rsidR="00A451C9" w:rsidRPr="00B35C11" w:rsidRDefault="00A451C9" w:rsidP="00A451C9">
      <w:pPr>
        <w:tabs>
          <w:tab w:val="left" w:pos="0"/>
        </w:tabs>
        <w:ind w:left="5040" w:firstLine="720"/>
        <w:jc w:val="center"/>
        <w:rPr>
          <w:rFonts w:ascii="Cambria" w:hAnsi="Cambria" w:cs="Arial"/>
          <w:sz w:val="22"/>
          <w:szCs w:val="22"/>
          <w:lang w:val="es-CO"/>
        </w:rPr>
      </w:pPr>
    </w:p>
    <w:p w:rsidR="00A451C9" w:rsidRPr="00B35C11" w:rsidRDefault="00A451C9" w:rsidP="00A451C9">
      <w:pPr>
        <w:tabs>
          <w:tab w:val="left" w:pos="0"/>
        </w:tabs>
        <w:ind w:left="5040" w:firstLine="720"/>
        <w:jc w:val="center"/>
        <w:rPr>
          <w:rFonts w:ascii="Cambria" w:hAnsi="Cambria" w:cs="Arial"/>
          <w:sz w:val="22"/>
          <w:szCs w:val="22"/>
          <w:lang w:val="es-CO"/>
        </w:rPr>
      </w:pPr>
    </w:p>
    <w:p w:rsidR="006A667A" w:rsidRPr="00B35C11" w:rsidRDefault="005D66FB" w:rsidP="00A451C9">
      <w:pPr>
        <w:tabs>
          <w:tab w:val="left" w:pos="0"/>
        </w:tabs>
        <w:ind w:left="5040" w:firstLine="720"/>
        <w:jc w:val="center"/>
        <w:rPr>
          <w:rFonts w:ascii="Cambria" w:hAnsi="Cambria" w:cs="Arial"/>
          <w:i/>
          <w:color w:val="A6A6A6"/>
          <w:sz w:val="22"/>
          <w:szCs w:val="22"/>
          <w:lang w:val="es-CO"/>
        </w:rPr>
      </w:pPr>
      <w:r w:rsidRPr="00B35C11">
        <w:rPr>
          <w:rFonts w:ascii="Cambria" w:hAnsi="Cambria" w:cs="Arial"/>
          <w:i/>
          <w:color w:val="A6A6A6"/>
          <w:sz w:val="22"/>
          <w:szCs w:val="22"/>
          <w:lang w:val="es-CO"/>
        </w:rPr>
        <w:t>Firmado en el original</w:t>
      </w:r>
    </w:p>
    <w:p w:rsidR="00A451C9" w:rsidRPr="00B35C11" w:rsidRDefault="00A451C9" w:rsidP="00A451C9">
      <w:pPr>
        <w:tabs>
          <w:tab w:val="left" w:pos="0"/>
        </w:tabs>
        <w:ind w:left="5040" w:firstLine="720"/>
        <w:jc w:val="center"/>
        <w:rPr>
          <w:rFonts w:ascii="Cambria" w:hAnsi="Cambria" w:cs="Arial"/>
          <w:sz w:val="22"/>
          <w:szCs w:val="22"/>
          <w:lang w:val="es-CO"/>
        </w:rPr>
      </w:pPr>
    </w:p>
    <w:p w:rsidR="00A451C9" w:rsidRPr="00B35C11" w:rsidRDefault="00A451C9" w:rsidP="00A451C9">
      <w:pPr>
        <w:tabs>
          <w:tab w:val="left" w:pos="0"/>
        </w:tabs>
        <w:ind w:left="5040" w:firstLine="720"/>
        <w:jc w:val="center"/>
        <w:rPr>
          <w:rFonts w:ascii="Cambria" w:hAnsi="Cambria" w:cs="Arial"/>
          <w:sz w:val="22"/>
          <w:szCs w:val="22"/>
          <w:lang w:val="es-CO"/>
        </w:rPr>
      </w:pPr>
      <w:r w:rsidRPr="00B35C11">
        <w:rPr>
          <w:rFonts w:ascii="Cambria" w:hAnsi="Cambria" w:cs="Arial"/>
          <w:sz w:val="22"/>
          <w:szCs w:val="22"/>
          <w:lang w:val="es-CO"/>
        </w:rPr>
        <w:t xml:space="preserve">Elizabeth Abi-Mershed </w:t>
      </w:r>
    </w:p>
    <w:p w:rsidR="00A451C9" w:rsidRPr="00B35C11" w:rsidRDefault="00A451C9" w:rsidP="00A451C9">
      <w:pPr>
        <w:tabs>
          <w:tab w:val="left" w:pos="0"/>
          <w:tab w:val="left" w:pos="5760"/>
        </w:tabs>
        <w:ind w:left="5040" w:firstLine="720"/>
        <w:jc w:val="center"/>
        <w:rPr>
          <w:rFonts w:ascii="Cambria" w:hAnsi="Cambria"/>
          <w:sz w:val="22"/>
          <w:szCs w:val="22"/>
        </w:rPr>
      </w:pPr>
      <w:r w:rsidRPr="00B35C11">
        <w:rPr>
          <w:rFonts w:ascii="Cambria" w:hAnsi="Cambria" w:cs="Arial"/>
          <w:sz w:val="22"/>
          <w:szCs w:val="22"/>
        </w:rPr>
        <w:t>Secretaria Ejecutiva Adjunta</w:t>
      </w:r>
    </w:p>
    <w:p w:rsidR="00BC200F" w:rsidRPr="00B35C11" w:rsidRDefault="00BC200F">
      <w:pPr>
        <w:rPr>
          <w:rFonts w:ascii="Cambria" w:hAnsi="Cambria"/>
          <w:sz w:val="22"/>
          <w:szCs w:val="22"/>
        </w:rPr>
      </w:pPr>
    </w:p>
    <w:sectPr w:rsidR="00BC200F" w:rsidRPr="00B35C11" w:rsidSect="00A451C9">
      <w:headerReference w:type="default" r:id="rId9"/>
      <w:pgSz w:w="12240" w:h="15840" w:code="1"/>
      <w:pgMar w:top="720" w:right="1440" w:bottom="900" w:left="12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096" w:rsidRDefault="006C6096">
      <w:r>
        <w:separator/>
      </w:r>
    </w:p>
  </w:endnote>
  <w:endnote w:type="continuationSeparator" w:id="0">
    <w:p w:rsidR="006C6096" w:rsidRDefault="006C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libri">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096" w:rsidRDefault="006C6096">
      <w:r>
        <w:separator/>
      </w:r>
    </w:p>
  </w:footnote>
  <w:footnote w:type="continuationSeparator" w:id="0">
    <w:p w:rsidR="006C6096" w:rsidRDefault="006C6096">
      <w:r>
        <w:continuationSeparator/>
      </w:r>
    </w:p>
  </w:footnote>
  <w:footnote w:id="1">
    <w:p w:rsidR="007D665F" w:rsidRPr="007A0A85" w:rsidRDefault="007D665F" w:rsidP="00F60A39">
      <w:pPr>
        <w:tabs>
          <w:tab w:val="left" w:pos="9540"/>
        </w:tabs>
        <w:autoSpaceDE w:val="0"/>
        <w:autoSpaceDN w:val="0"/>
        <w:adjustRightInd w:val="0"/>
        <w:ind w:firstLine="720"/>
        <w:jc w:val="both"/>
        <w:rPr>
          <w:rFonts w:ascii="Calibri" w:hAnsi="Calibri" w:cs="Arial"/>
          <w:sz w:val="18"/>
          <w:szCs w:val="18"/>
          <w:lang w:val="es-CR"/>
        </w:rPr>
      </w:pPr>
      <w:r w:rsidRPr="007A0A85">
        <w:rPr>
          <w:rStyle w:val="Refdenotaalpie"/>
          <w:rFonts w:ascii="Calibri" w:hAnsi="Calibri"/>
          <w:sz w:val="18"/>
          <w:szCs w:val="18"/>
        </w:rPr>
        <w:footnoteRef/>
      </w:r>
      <w:r w:rsidRPr="007A0A85">
        <w:rPr>
          <w:rFonts w:ascii="Calibri" w:hAnsi="Calibri"/>
          <w:sz w:val="18"/>
          <w:szCs w:val="18"/>
        </w:rPr>
        <w:t xml:space="preserve"> La Comisión pone en conocimiento de la Corte que con posterioridad a la transmisión del informe de fondo, los peticionarios mediante nota de </w:t>
      </w:r>
      <w:r w:rsidRPr="007A0A85">
        <w:rPr>
          <w:rFonts w:ascii="Calibri" w:hAnsi="Calibri" w:cs="Arial"/>
          <w:sz w:val="18"/>
          <w:szCs w:val="18"/>
          <w:lang w:val="es-AR"/>
        </w:rPr>
        <w:t>21 de mayo de 2012, consideraron como victima a Beatriz Galindo, hija menor del señor Galindo Cárdenas, quien habría sido “afectada directamente por los actos violatorios, cuyas consecuencias hasta la fecha afectan [el] núcleo familiar [del señor Galindo]”.</w:t>
      </w:r>
    </w:p>
    <w:p w:rsidR="007D665F" w:rsidRPr="001C64B9" w:rsidRDefault="007D665F">
      <w:pPr>
        <w:pStyle w:val="Textonotapie"/>
        <w:rPr>
          <w:lang w:val="es-C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65F" w:rsidRDefault="007D665F">
    <w:pPr>
      <w:pStyle w:val="Encabezado"/>
    </w:pPr>
  </w:p>
  <w:p w:rsidR="007D665F" w:rsidRDefault="007D665F" w:rsidP="00A451C9">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796FC1">
      <w:rPr>
        <w:rStyle w:val="Nmerodepgina"/>
        <w:noProof/>
      </w:rPr>
      <w:t>4</w:t>
    </w:r>
    <w:r>
      <w:rPr>
        <w:rStyle w:val="Nmerodepgina"/>
      </w:rPr>
      <w:fldChar w:fldCharType="end"/>
    </w:r>
  </w:p>
  <w:p w:rsidR="007D665F" w:rsidRDefault="007D66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C0C50"/>
    <w:multiLevelType w:val="hybridMultilevel"/>
    <w:tmpl w:val="B844A0C8"/>
    <w:lvl w:ilvl="0" w:tplc="A82C2B68">
      <w:start w:val="1"/>
      <w:numFmt w:val="decimal"/>
      <w:lvlText w:val="%1."/>
      <w:lvlJc w:val="left"/>
      <w:pPr>
        <w:tabs>
          <w:tab w:val="num" w:pos="1980"/>
        </w:tabs>
        <w:ind w:left="1980" w:hanging="12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51C9"/>
    <w:rsid w:val="00005D5C"/>
    <w:rsid w:val="0001235B"/>
    <w:rsid w:val="000137A2"/>
    <w:rsid w:val="00014A38"/>
    <w:rsid w:val="000244A3"/>
    <w:rsid w:val="00025BD4"/>
    <w:rsid w:val="00031814"/>
    <w:rsid w:val="0003621F"/>
    <w:rsid w:val="00036842"/>
    <w:rsid w:val="00037988"/>
    <w:rsid w:val="00065192"/>
    <w:rsid w:val="0008642D"/>
    <w:rsid w:val="00090EE1"/>
    <w:rsid w:val="000A7E13"/>
    <w:rsid w:val="000A7E87"/>
    <w:rsid w:val="000C0B54"/>
    <w:rsid w:val="000C15D7"/>
    <w:rsid w:val="000C2599"/>
    <w:rsid w:val="000E3154"/>
    <w:rsid w:val="000E373A"/>
    <w:rsid w:val="000E56CF"/>
    <w:rsid w:val="000E7B3E"/>
    <w:rsid w:val="000E7BDC"/>
    <w:rsid w:val="000F079F"/>
    <w:rsid w:val="00104455"/>
    <w:rsid w:val="00106206"/>
    <w:rsid w:val="0011084B"/>
    <w:rsid w:val="0014092D"/>
    <w:rsid w:val="00147A6B"/>
    <w:rsid w:val="001534C2"/>
    <w:rsid w:val="00154D3D"/>
    <w:rsid w:val="00154EFB"/>
    <w:rsid w:val="00161397"/>
    <w:rsid w:val="00165C07"/>
    <w:rsid w:val="0018000B"/>
    <w:rsid w:val="00187323"/>
    <w:rsid w:val="00190965"/>
    <w:rsid w:val="001A2DB0"/>
    <w:rsid w:val="001A38C6"/>
    <w:rsid w:val="001A7463"/>
    <w:rsid w:val="001B0149"/>
    <w:rsid w:val="001C077F"/>
    <w:rsid w:val="001C430E"/>
    <w:rsid w:val="001C5004"/>
    <w:rsid w:val="001C64B9"/>
    <w:rsid w:val="001E69CF"/>
    <w:rsid w:val="001F3456"/>
    <w:rsid w:val="001F7ABF"/>
    <w:rsid w:val="00203D92"/>
    <w:rsid w:val="00210F9E"/>
    <w:rsid w:val="00211FFC"/>
    <w:rsid w:val="0021303A"/>
    <w:rsid w:val="0021484D"/>
    <w:rsid w:val="00226EA4"/>
    <w:rsid w:val="0022777E"/>
    <w:rsid w:val="00236948"/>
    <w:rsid w:val="00241B4C"/>
    <w:rsid w:val="0024217E"/>
    <w:rsid w:val="00243B7C"/>
    <w:rsid w:val="00246EA0"/>
    <w:rsid w:val="0026472D"/>
    <w:rsid w:val="002649EF"/>
    <w:rsid w:val="00270841"/>
    <w:rsid w:val="00272041"/>
    <w:rsid w:val="002745D8"/>
    <w:rsid w:val="00282A62"/>
    <w:rsid w:val="00283E42"/>
    <w:rsid w:val="002860A4"/>
    <w:rsid w:val="002923FC"/>
    <w:rsid w:val="00292BDC"/>
    <w:rsid w:val="00295494"/>
    <w:rsid w:val="002A6A32"/>
    <w:rsid w:val="002B331A"/>
    <w:rsid w:val="002B4C0D"/>
    <w:rsid w:val="002B6290"/>
    <w:rsid w:val="002B75E2"/>
    <w:rsid w:val="002C68EB"/>
    <w:rsid w:val="002D5EDB"/>
    <w:rsid w:val="002E5443"/>
    <w:rsid w:val="002F71A0"/>
    <w:rsid w:val="002F7846"/>
    <w:rsid w:val="0030200F"/>
    <w:rsid w:val="00302DEF"/>
    <w:rsid w:val="00305791"/>
    <w:rsid w:val="003146F2"/>
    <w:rsid w:val="0031798E"/>
    <w:rsid w:val="00323285"/>
    <w:rsid w:val="003247A7"/>
    <w:rsid w:val="00325DCE"/>
    <w:rsid w:val="0033531D"/>
    <w:rsid w:val="00346832"/>
    <w:rsid w:val="003501CC"/>
    <w:rsid w:val="00353C05"/>
    <w:rsid w:val="003649F4"/>
    <w:rsid w:val="00364CD0"/>
    <w:rsid w:val="003653D9"/>
    <w:rsid w:val="00370184"/>
    <w:rsid w:val="00376EF5"/>
    <w:rsid w:val="003854AE"/>
    <w:rsid w:val="00386D58"/>
    <w:rsid w:val="003873FE"/>
    <w:rsid w:val="003943C6"/>
    <w:rsid w:val="00396C81"/>
    <w:rsid w:val="003A7E21"/>
    <w:rsid w:val="003C1305"/>
    <w:rsid w:val="003C1938"/>
    <w:rsid w:val="003C729B"/>
    <w:rsid w:val="003D0BBB"/>
    <w:rsid w:val="003D7FC2"/>
    <w:rsid w:val="003E06F5"/>
    <w:rsid w:val="003E7F0A"/>
    <w:rsid w:val="004001FA"/>
    <w:rsid w:val="00403232"/>
    <w:rsid w:val="00415B0A"/>
    <w:rsid w:val="00427E3D"/>
    <w:rsid w:val="00434C37"/>
    <w:rsid w:val="00446F12"/>
    <w:rsid w:val="004477BE"/>
    <w:rsid w:val="0045741A"/>
    <w:rsid w:val="004614D2"/>
    <w:rsid w:val="004720D4"/>
    <w:rsid w:val="00474984"/>
    <w:rsid w:val="004852AF"/>
    <w:rsid w:val="0049358E"/>
    <w:rsid w:val="004A57F7"/>
    <w:rsid w:val="004B2911"/>
    <w:rsid w:val="004D12DC"/>
    <w:rsid w:val="004D4368"/>
    <w:rsid w:val="004D581A"/>
    <w:rsid w:val="004E6788"/>
    <w:rsid w:val="00500446"/>
    <w:rsid w:val="005073BB"/>
    <w:rsid w:val="005129B0"/>
    <w:rsid w:val="00513AC1"/>
    <w:rsid w:val="0052058F"/>
    <w:rsid w:val="00522D5A"/>
    <w:rsid w:val="0054322E"/>
    <w:rsid w:val="0054324D"/>
    <w:rsid w:val="0054517D"/>
    <w:rsid w:val="005604E8"/>
    <w:rsid w:val="005705F4"/>
    <w:rsid w:val="00577820"/>
    <w:rsid w:val="00592177"/>
    <w:rsid w:val="005A0FD2"/>
    <w:rsid w:val="005A1592"/>
    <w:rsid w:val="005B239F"/>
    <w:rsid w:val="005B3935"/>
    <w:rsid w:val="005B39FF"/>
    <w:rsid w:val="005D2269"/>
    <w:rsid w:val="005D66FB"/>
    <w:rsid w:val="005D6A87"/>
    <w:rsid w:val="005F13E1"/>
    <w:rsid w:val="005F3455"/>
    <w:rsid w:val="00600A5E"/>
    <w:rsid w:val="00603360"/>
    <w:rsid w:val="006078B9"/>
    <w:rsid w:val="0065714B"/>
    <w:rsid w:val="0065781A"/>
    <w:rsid w:val="00675349"/>
    <w:rsid w:val="00681ECF"/>
    <w:rsid w:val="006855CF"/>
    <w:rsid w:val="006900E0"/>
    <w:rsid w:val="00694677"/>
    <w:rsid w:val="006A2EDA"/>
    <w:rsid w:val="006A350D"/>
    <w:rsid w:val="006A370D"/>
    <w:rsid w:val="006A4FB0"/>
    <w:rsid w:val="006A667A"/>
    <w:rsid w:val="006C1C4A"/>
    <w:rsid w:val="006C246D"/>
    <w:rsid w:val="006C39FE"/>
    <w:rsid w:val="006C6096"/>
    <w:rsid w:val="006D07B8"/>
    <w:rsid w:val="006D5453"/>
    <w:rsid w:val="006E5191"/>
    <w:rsid w:val="006F32C4"/>
    <w:rsid w:val="006F5666"/>
    <w:rsid w:val="006F6DAF"/>
    <w:rsid w:val="006F78AD"/>
    <w:rsid w:val="00702E9C"/>
    <w:rsid w:val="007148BF"/>
    <w:rsid w:val="007220CF"/>
    <w:rsid w:val="00722371"/>
    <w:rsid w:val="00723EEB"/>
    <w:rsid w:val="00732F34"/>
    <w:rsid w:val="007449DB"/>
    <w:rsid w:val="0075757E"/>
    <w:rsid w:val="00764381"/>
    <w:rsid w:val="007807FB"/>
    <w:rsid w:val="00796FC1"/>
    <w:rsid w:val="007A0A85"/>
    <w:rsid w:val="007A0B8B"/>
    <w:rsid w:val="007A6C13"/>
    <w:rsid w:val="007B6E35"/>
    <w:rsid w:val="007C6D4B"/>
    <w:rsid w:val="007D5429"/>
    <w:rsid w:val="007D665F"/>
    <w:rsid w:val="007D75DB"/>
    <w:rsid w:val="007F7BFF"/>
    <w:rsid w:val="00814DAA"/>
    <w:rsid w:val="00834FE4"/>
    <w:rsid w:val="00851CFC"/>
    <w:rsid w:val="0085672B"/>
    <w:rsid w:val="008645C6"/>
    <w:rsid w:val="00864670"/>
    <w:rsid w:val="00865354"/>
    <w:rsid w:val="0086587C"/>
    <w:rsid w:val="00873512"/>
    <w:rsid w:val="008764B1"/>
    <w:rsid w:val="0088280A"/>
    <w:rsid w:val="00890868"/>
    <w:rsid w:val="00891538"/>
    <w:rsid w:val="008920FD"/>
    <w:rsid w:val="00895920"/>
    <w:rsid w:val="008969AF"/>
    <w:rsid w:val="008A2350"/>
    <w:rsid w:val="008A24EE"/>
    <w:rsid w:val="008A4F40"/>
    <w:rsid w:val="008A667F"/>
    <w:rsid w:val="008A7B60"/>
    <w:rsid w:val="008B1AF2"/>
    <w:rsid w:val="008C1A06"/>
    <w:rsid w:val="008D5805"/>
    <w:rsid w:val="008D717A"/>
    <w:rsid w:val="008E3780"/>
    <w:rsid w:val="008E5903"/>
    <w:rsid w:val="008F212C"/>
    <w:rsid w:val="009010B0"/>
    <w:rsid w:val="009047DE"/>
    <w:rsid w:val="00905107"/>
    <w:rsid w:val="00920CFE"/>
    <w:rsid w:val="00921F5E"/>
    <w:rsid w:val="00943F0B"/>
    <w:rsid w:val="00950378"/>
    <w:rsid w:val="009575C6"/>
    <w:rsid w:val="00961A74"/>
    <w:rsid w:val="00962080"/>
    <w:rsid w:val="00966162"/>
    <w:rsid w:val="0097791A"/>
    <w:rsid w:val="00981BB4"/>
    <w:rsid w:val="0098499A"/>
    <w:rsid w:val="009A1F5F"/>
    <w:rsid w:val="009A3BDB"/>
    <w:rsid w:val="009A7890"/>
    <w:rsid w:val="009B0AB8"/>
    <w:rsid w:val="009C4824"/>
    <w:rsid w:val="009C6D53"/>
    <w:rsid w:val="009D568D"/>
    <w:rsid w:val="009F7623"/>
    <w:rsid w:val="00A015B0"/>
    <w:rsid w:val="00A02BF1"/>
    <w:rsid w:val="00A1121B"/>
    <w:rsid w:val="00A11A31"/>
    <w:rsid w:val="00A123FA"/>
    <w:rsid w:val="00A148C1"/>
    <w:rsid w:val="00A177F7"/>
    <w:rsid w:val="00A44922"/>
    <w:rsid w:val="00A451C9"/>
    <w:rsid w:val="00A52739"/>
    <w:rsid w:val="00A53A7A"/>
    <w:rsid w:val="00A61C40"/>
    <w:rsid w:val="00A655E3"/>
    <w:rsid w:val="00A71E24"/>
    <w:rsid w:val="00A8194C"/>
    <w:rsid w:val="00A93D93"/>
    <w:rsid w:val="00AA1BD7"/>
    <w:rsid w:val="00AA569D"/>
    <w:rsid w:val="00AB7132"/>
    <w:rsid w:val="00AD6CEB"/>
    <w:rsid w:val="00AF352B"/>
    <w:rsid w:val="00B27321"/>
    <w:rsid w:val="00B35C11"/>
    <w:rsid w:val="00B434F1"/>
    <w:rsid w:val="00B44682"/>
    <w:rsid w:val="00B447B8"/>
    <w:rsid w:val="00B62E0B"/>
    <w:rsid w:val="00B630A7"/>
    <w:rsid w:val="00B64FFF"/>
    <w:rsid w:val="00B65939"/>
    <w:rsid w:val="00B73542"/>
    <w:rsid w:val="00B76910"/>
    <w:rsid w:val="00B832B4"/>
    <w:rsid w:val="00B86088"/>
    <w:rsid w:val="00BB1370"/>
    <w:rsid w:val="00BB55C3"/>
    <w:rsid w:val="00BC200F"/>
    <w:rsid w:val="00BC2287"/>
    <w:rsid w:val="00BC6676"/>
    <w:rsid w:val="00BC68C0"/>
    <w:rsid w:val="00BC7AF4"/>
    <w:rsid w:val="00BD08FA"/>
    <w:rsid w:val="00BD1EC8"/>
    <w:rsid w:val="00BD440E"/>
    <w:rsid w:val="00BD70EA"/>
    <w:rsid w:val="00BD79DA"/>
    <w:rsid w:val="00BE654A"/>
    <w:rsid w:val="00BF1F5D"/>
    <w:rsid w:val="00BF22E6"/>
    <w:rsid w:val="00C14EC4"/>
    <w:rsid w:val="00C3413C"/>
    <w:rsid w:val="00C360D4"/>
    <w:rsid w:val="00C40AAD"/>
    <w:rsid w:val="00C41319"/>
    <w:rsid w:val="00C43563"/>
    <w:rsid w:val="00C52AE0"/>
    <w:rsid w:val="00C631FB"/>
    <w:rsid w:val="00C6623D"/>
    <w:rsid w:val="00C74751"/>
    <w:rsid w:val="00C768A8"/>
    <w:rsid w:val="00C82495"/>
    <w:rsid w:val="00C97402"/>
    <w:rsid w:val="00CC4821"/>
    <w:rsid w:val="00CD5A59"/>
    <w:rsid w:val="00CF1103"/>
    <w:rsid w:val="00CF19DF"/>
    <w:rsid w:val="00CF7509"/>
    <w:rsid w:val="00D02D68"/>
    <w:rsid w:val="00D04DF2"/>
    <w:rsid w:val="00D30101"/>
    <w:rsid w:val="00D436E3"/>
    <w:rsid w:val="00D51461"/>
    <w:rsid w:val="00D51657"/>
    <w:rsid w:val="00D57941"/>
    <w:rsid w:val="00D61355"/>
    <w:rsid w:val="00D675F8"/>
    <w:rsid w:val="00D84201"/>
    <w:rsid w:val="00D8435A"/>
    <w:rsid w:val="00D8470F"/>
    <w:rsid w:val="00D855CE"/>
    <w:rsid w:val="00D95A12"/>
    <w:rsid w:val="00D97615"/>
    <w:rsid w:val="00DA4825"/>
    <w:rsid w:val="00DB6031"/>
    <w:rsid w:val="00DD2DC0"/>
    <w:rsid w:val="00DE0263"/>
    <w:rsid w:val="00DE4167"/>
    <w:rsid w:val="00E14984"/>
    <w:rsid w:val="00E24C89"/>
    <w:rsid w:val="00E31AC8"/>
    <w:rsid w:val="00E32CAD"/>
    <w:rsid w:val="00E3379F"/>
    <w:rsid w:val="00E41D0C"/>
    <w:rsid w:val="00E454D7"/>
    <w:rsid w:val="00E50423"/>
    <w:rsid w:val="00E50786"/>
    <w:rsid w:val="00E60765"/>
    <w:rsid w:val="00E60A76"/>
    <w:rsid w:val="00E617E8"/>
    <w:rsid w:val="00E62FCC"/>
    <w:rsid w:val="00E81376"/>
    <w:rsid w:val="00E83287"/>
    <w:rsid w:val="00EA1DA6"/>
    <w:rsid w:val="00EA1FAF"/>
    <w:rsid w:val="00EA34C4"/>
    <w:rsid w:val="00EA4C4C"/>
    <w:rsid w:val="00EA71DB"/>
    <w:rsid w:val="00EE0C0F"/>
    <w:rsid w:val="00EE527B"/>
    <w:rsid w:val="00EF1B42"/>
    <w:rsid w:val="00F03C88"/>
    <w:rsid w:val="00F07419"/>
    <w:rsid w:val="00F317DF"/>
    <w:rsid w:val="00F345C3"/>
    <w:rsid w:val="00F60A39"/>
    <w:rsid w:val="00F70C53"/>
    <w:rsid w:val="00F80D3E"/>
    <w:rsid w:val="00F86FF0"/>
    <w:rsid w:val="00F95FC9"/>
    <w:rsid w:val="00FA057A"/>
    <w:rsid w:val="00FB2B10"/>
    <w:rsid w:val="00FB672F"/>
    <w:rsid w:val="00FE75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1C9"/>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451C9"/>
    <w:pPr>
      <w:tabs>
        <w:tab w:val="center" w:pos="4320"/>
        <w:tab w:val="right" w:pos="8640"/>
      </w:tabs>
    </w:pPr>
  </w:style>
  <w:style w:type="character" w:styleId="Nmerodepgina">
    <w:name w:val="page number"/>
    <w:basedOn w:val="Fuentedeprrafopredeter"/>
    <w:rsid w:val="00A451C9"/>
  </w:style>
  <w:style w:type="paragraph" w:customStyle="1" w:styleId="Default">
    <w:name w:val="Default"/>
    <w:rsid w:val="00A451C9"/>
    <w:pPr>
      <w:autoSpaceDE w:val="0"/>
      <w:autoSpaceDN w:val="0"/>
      <w:adjustRightInd w:val="0"/>
    </w:pPr>
    <w:rPr>
      <w:rFonts w:ascii="Arial" w:hAnsi="Arial" w:cs="Arial"/>
      <w:color w:val="000000"/>
      <w:sz w:val="24"/>
      <w:szCs w:val="24"/>
      <w:lang w:val="en-US" w:eastAsia="en-US"/>
    </w:rPr>
  </w:style>
  <w:style w:type="paragraph" w:styleId="Textonotapie">
    <w:name w:val="footnote text"/>
    <w:basedOn w:val="Normal"/>
    <w:semiHidden/>
    <w:rsid w:val="001C64B9"/>
    <w:rPr>
      <w:sz w:val="20"/>
      <w:szCs w:val="20"/>
    </w:rPr>
  </w:style>
  <w:style w:type="character" w:styleId="Refdenotaalpie">
    <w:name w:val="footnote reference"/>
    <w:semiHidden/>
    <w:rsid w:val="001C64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1799</Words>
  <Characters>9898</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2018-02-08T22:43:00Z</cp:lastPrinted>
  <dcterms:created xsi:type="dcterms:W3CDTF">2018-02-08T22:42:00Z</dcterms:created>
  <dcterms:modified xsi:type="dcterms:W3CDTF">2018-02-08T22:43:00Z</dcterms:modified>
</cp:coreProperties>
</file>