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1C9" w:rsidRPr="00427E3D" w:rsidRDefault="00A451C9" w:rsidP="00A451C9">
      <w:pPr>
        <w:ind w:left="540" w:firstLine="180"/>
        <w:jc w:val="both"/>
        <w:rPr>
          <w:rFonts w:ascii="Calibri" w:hAnsi="Calibri" w:cs="Arial"/>
          <w:lang w:val="en-US"/>
        </w:rPr>
      </w:pPr>
      <w:bookmarkStart w:id="0" w:name="_GoBack"/>
      <w:bookmarkEnd w:id="0"/>
      <w:r w:rsidRPr="00427E3D">
        <w:rPr>
          <w:rFonts w:ascii="Calibri" w:hAnsi="Calibri"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0.05pt;margin-top:36.2pt;width:63pt;height:63pt;z-index:-2;mso-wrap-edited:f;mso-position-horizontal-relative:page;mso-position-vertical-relative:page" wrapcoords="240 720 240 20880 21360 20880 21360 720 240 720" fillcolor="window">
            <v:imagedata r:id="rId7" o:title="" croptop="-1680f" cropbottom="-1680f" cropleft="-1680f" cropright="-1680f"/>
            <w10:wrap type="tight" anchorx="page" anchory="page"/>
          </v:shape>
        </w:pict>
      </w:r>
      <w:r w:rsidRPr="00427E3D">
        <w:rPr>
          <w:rFonts w:ascii="Calibri" w:hAnsi="Calibri" w:cs="Arial"/>
          <w:noProof/>
          <w:lang w:val="en-US" w:eastAsia="en-US"/>
        </w:rPr>
        <w:pict>
          <v:shape id="_x0000_s1028" type="#_x0000_t75" style="position:absolute;left:0;text-align:left;margin-left:400.05pt;margin-top:.2pt;width:81pt;height:67.4pt;z-index:-1" wrapcoords="-182 0 -182 21382 21600 21382 21600 0 -182 0">
            <v:imagedata r:id="rId8" o:title="CIDH_spa"/>
            <w10:wrap type="through"/>
          </v:shape>
        </w:pict>
      </w:r>
      <w:proofErr w:type="gramStart"/>
      <w:r w:rsidRPr="00427E3D">
        <w:rPr>
          <w:rFonts w:ascii="Calibri" w:hAnsi="Calibri" w:cs="Arial"/>
          <w:lang w:val="en-US"/>
        </w:rPr>
        <w:t>INTER  -</w:t>
      </w:r>
      <w:proofErr w:type="gramEnd"/>
      <w:r w:rsidRPr="00427E3D">
        <w:rPr>
          <w:rFonts w:ascii="Calibri" w:hAnsi="Calibri" w:cs="Arial"/>
          <w:lang w:val="en-US"/>
        </w:rPr>
        <w:t xml:space="preserve">  AMERICAN   COMMISSION  ON  HUMAN  RIGHTS</w:t>
      </w:r>
    </w:p>
    <w:p w:rsidR="00A451C9" w:rsidRPr="00427E3D" w:rsidRDefault="00A451C9" w:rsidP="00A451C9">
      <w:pPr>
        <w:ind w:left="1980" w:firstLine="180"/>
        <w:jc w:val="both"/>
        <w:rPr>
          <w:rFonts w:ascii="Calibri" w:hAnsi="Calibri" w:cs="Arial"/>
          <w:lang w:val="en-US"/>
        </w:rPr>
      </w:pPr>
      <w:proofErr w:type="gramStart"/>
      <w:r w:rsidRPr="00427E3D">
        <w:rPr>
          <w:rFonts w:ascii="Calibri" w:hAnsi="Calibri" w:cs="Arial"/>
          <w:lang w:val="en-US"/>
        </w:rPr>
        <w:t>COMISION  INTERAMERICANA</w:t>
      </w:r>
      <w:proofErr w:type="gramEnd"/>
      <w:r w:rsidRPr="00427E3D">
        <w:rPr>
          <w:rFonts w:ascii="Calibri" w:hAnsi="Calibri" w:cs="Arial"/>
          <w:lang w:val="en-US"/>
        </w:rPr>
        <w:t xml:space="preserve">  DE  DERECHOS   HUMANOS</w:t>
      </w:r>
    </w:p>
    <w:p w:rsidR="00A451C9" w:rsidRPr="00427E3D" w:rsidRDefault="00A451C9" w:rsidP="00A451C9">
      <w:pPr>
        <w:ind w:left="540" w:firstLine="180"/>
        <w:jc w:val="both"/>
        <w:rPr>
          <w:rFonts w:ascii="Calibri" w:hAnsi="Calibri" w:cs="Arial"/>
          <w:lang w:val="en-US"/>
        </w:rPr>
      </w:pPr>
      <w:r w:rsidRPr="00427E3D">
        <w:rPr>
          <w:rFonts w:ascii="Calibri" w:hAnsi="Calibri" w:cs="Arial"/>
          <w:lang w:val="en-US"/>
        </w:rPr>
        <w:t xml:space="preserve">COMISSÃO   </w:t>
      </w:r>
      <w:proofErr w:type="gramStart"/>
      <w:r w:rsidRPr="00427E3D">
        <w:rPr>
          <w:rFonts w:ascii="Calibri" w:hAnsi="Calibri" w:cs="Arial"/>
          <w:lang w:val="en-US"/>
        </w:rPr>
        <w:t>INTERAMERICANA  DE</w:t>
      </w:r>
      <w:proofErr w:type="gramEnd"/>
      <w:r w:rsidRPr="00427E3D">
        <w:rPr>
          <w:rFonts w:ascii="Calibri" w:hAnsi="Calibri" w:cs="Arial"/>
          <w:lang w:val="en-US"/>
        </w:rPr>
        <w:t xml:space="preserve">  DIREITOS   HUMANOS</w:t>
      </w:r>
    </w:p>
    <w:p w:rsidR="00A451C9" w:rsidRPr="00427E3D" w:rsidRDefault="00A451C9" w:rsidP="00A451C9">
      <w:pPr>
        <w:ind w:left="720"/>
        <w:jc w:val="both"/>
        <w:rPr>
          <w:rFonts w:ascii="Calibri" w:hAnsi="Calibri" w:cs="Arial"/>
          <w:lang w:val="en-US"/>
        </w:rPr>
      </w:pPr>
      <w:r w:rsidRPr="00427E3D">
        <w:rPr>
          <w:rFonts w:ascii="Calibri" w:hAnsi="Calibri" w:cs="Arial"/>
          <w:lang w:val="en-US"/>
        </w:rPr>
        <w:t xml:space="preserve">  COMMISSION INTERAMÉRICAINE DES DROITS DE L'HOMME</w:t>
      </w:r>
    </w:p>
    <w:p w:rsidR="00A451C9" w:rsidRPr="00427E3D" w:rsidRDefault="00A451C9" w:rsidP="00A451C9">
      <w:pPr>
        <w:jc w:val="both"/>
        <w:rPr>
          <w:rFonts w:ascii="Calibri" w:hAnsi="Calibri" w:cs="Arial"/>
          <w:lang w:val="en-US"/>
        </w:rPr>
      </w:pPr>
    </w:p>
    <w:p w:rsidR="00A451C9" w:rsidRPr="00427E3D" w:rsidRDefault="00A451C9" w:rsidP="00A451C9">
      <w:pPr>
        <w:jc w:val="both"/>
        <w:rPr>
          <w:rFonts w:ascii="Calibri" w:hAnsi="Calibri" w:cs="Arial"/>
          <w:lang w:val="en-US"/>
        </w:rPr>
      </w:pPr>
      <w:r w:rsidRPr="00427E3D">
        <w:rPr>
          <w:rFonts w:ascii="Calibri" w:hAnsi="Calibri" w:cs="Arial"/>
          <w:noProof/>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A451C9" w:rsidRPr="00427E3D" w:rsidRDefault="00A451C9" w:rsidP="00A451C9">
      <w:pPr>
        <w:jc w:val="both"/>
        <w:rPr>
          <w:rFonts w:ascii="Calibri" w:hAnsi="Calibri" w:cs="Arial"/>
          <w:b/>
          <w:lang w:val="en-US"/>
        </w:rPr>
      </w:pPr>
      <w:r w:rsidRPr="00427E3D">
        <w:rPr>
          <w:rFonts w:ascii="Calibri" w:hAnsi="Calibri" w:cs="Arial"/>
          <w:b/>
          <w:lang w:val="en-US"/>
        </w:rPr>
        <w:t>ORGANIZACIÓN DE LOS ESTADOS AMERICANOS</w:t>
      </w:r>
    </w:p>
    <w:p w:rsidR="00A451C9" w:rsidRPr="00427E3D" w:rsidRDefault="00A451C9" w:rsidP="00A451C9">
      <w:pPr>
        <w:jc w:val="both"/>
        <w:rPr>
          <w:rFonts w:ascii="Calibri" w:hAnsi="Calibri" w:cs="Arial"/>
          <w:b/>
        </w:rPr>
      </w:pPr>
      <w:r w:rsidRPr="00427E3D">
        <w:rPr>
          <w:rFonts w:ascii="Calibri" w:hAnsi="Calibri" w:cs="Arial"/>
          <w:b/>
        </w:rPr>
        <w:t>WASHINGTON, D.C. 2 0 0 0 6  EEUU</w:t>
      </w:r>
    </w:p>
    <w:p w:rsidR="00A451C9" w:rsidRPr="009433F4" w:rsidRDefault="00A451C9" w:rsidP="00A451C9">
      <w:pPr>
        <w:rPr>
          <w:rFonts w:ascii="Calibri" w:hAnsi="Calibri"/>
          <w:sz w:val="22"/>
          <w:szCs w:val="22"/>
        </w:rPr>
      </w:pPr>
    </w:p>
    <w:p w:rsidR="00A451C9" w:rsidRPr="009433F4" w:rsidRDefault="0054517D" w:rsidP="00A451C9">
      <w:pPr>
        <w:suppressAutoHyphens/>
        <w:jc w:val="right"/>
        <w:rPr>
          <w:rFonts w:ascii="Calibri" w:hAnsi="Calibri" w:cs="Arial"/>
          <w:sz w:val="22"/>
          <w:szCs w:val="22"/>
          <w:lang w:val="es-PE"/>
        </w:rPr>
      </w:pPr>
      <w:r>
        <w:rPr>
          <w:rFonts w:ascii="Calibri" w:hAnsi="Calibri" w:cs="Arial"/>
          <w:sz w:val="22"/>
          <w:szCs w:val="22"/>
          <w:lang w:val="es-PE"/>
        </w:rPr>
        <w:t xml:space="preserve">January </w:t>
      </w:r>
      <w:r w:rsidR="00A451C9">
        <w:rPr>
          <w:rFonts w:ascii="Calibri" w:hAnsi="Calibri" w:cs="Arial"/>
          <w:sz w:val="22"/>
          <w:szCs w:val="22"/>
          <w:lang w:val="es-PE"/>
        </w:rPr>
        <w:t>19</w:t>
      </w:r>
      <w:r>
        <w:rPr>
          <w:rFonts w:ascii="Calibri" w:hAnsi="Calibri" w:cs="Arial"/>
          <w:sz w:val="22"/>
          <w:szCs w:val="22"/>
          <w:lang w:val="es-PE"/>
        </w:rPr>
        <w:t>,</w:t>
      </w:r>
      <w:r w:rsidR="00A451C9" w:rsidRPr="009433F4">
        <w:rPr>
          <w:rFonts w:ascii="Calibri" w:hAnsi="Calibri" w:cs="Arial"/>
          <w:sz w:val="22"/>
          <w:szCs w:val="22"/>
          <w:lang w:val="es-PE"/>
        </w:rPr>
        <w:t xml:space="preserve"> </w:t>
      </w:r>
      <w:r w:rsidR="00A451C9">
        <w:rPr>
          <w:rFonts w:ascii="Calibri" w:hAnsi="Calibri" w:cs="Arial"/>
          <w:sz w:val="22"/>
          <w:szCs w:val="22"/>
          <w:lang w:val="es-PE"/>
        </w:rPr>
        <w:t>2014</w:t>
      </w:r>
    </w:p>
    <w:p w:rsidR="00364CD0" w:rsidRDefault="00364CD0" w:rsidP="00A451C9">
      <w:pPr>
        <w:tabs>
          <w:tab w:val="left" w:pos="720"/>
          <w:tab w:val="center" w:pos="6480"/>
        </w:tabs>
        <w:jc w:val="both"/>
        <w:rPr>
          <w:rFonts w:ascii="Calibri" w:hAnsi="Calibri" w:cs="Arial"/>
          <w:b/>
          <w:sz w:val="22"/>
          <w:szCs w:val="22"/>
          <w:lang w:val="en-US"/>
        </w:rPr>
      </w:pPr>
    </w:p>
    <w:p w:rsidR="00A451C9" w:rsidRPr="00125867" w:rsidRDefault="00A451C9" w:rsidP="00A451C9">
      <w:pPr>
        <w:tabs>
          <w:tab w:val="left" w:pos="720"/>
          <w:tab w:val="center" w:pos="6480"/>
        </w:tabs>
        <w:jc w:val="both"/>
        <w:rPr>
          <w:rFonts w:ascii="Calibri" w:hAnsi="Calibri" w:cs="Arial"/>
          <w:b/>
          <w:sz w:val="22"/>
          <w:szCs w:val="22"/>
          <w:lang w:val="en-US"/>
        </w:rPr>
      </w:pPr>
      <w:r w:rsidRPr="00125867">
        <w:rPr>
          <w:rFonts w:ascii="Calibri" w:hAnsi="Calibri" w:cs="Arial"/>
          <w:b/>
          <w:sz w:val="22"/>
          <w:szCs w:val="22"/>
          <w:lang w:val="en-US"/>
        </w:rPr>
        <w:t>Ref.:</w:t>
      </w:r>
      <w:bookmarkStart w:id="1" w:name="Peticion_n"/>
      <w:bookmarkEnd w:id="1"/>
      <w:r w:rsidR="002330AC">
        <w:rPr>
          <w:rFonts w:ascii="Calibri" w:hAnsi="Calibri" w:cs="Arial"/>
          <w:b/>
          <w:sz w:val="22"/>
          <w:szCs w:val="22"/>
          <w:lang w:val="en-US"/>
        </w:rPr>
        <w:tab/>
        <w:t>Case</w:t>
      </w:r>
      <w:r w:rsidRPr="00125867">
        <w:rPr>
          <w:rFonts w:ascii="Calibri" w:hAnsi="Calibri" w:cs="Arial"/>
          <w:b/>
          <w:sz w:val="22"/>
          <w:szCs w:val="22"/>
          <w:lang w:val="en-US"/>
        </w:rPr>
        <w:t xml:space="preserve"> No. 1</w:t>
      </w:r>
      <w:r>
        <w:rPr>
          <w:rFonts w:ascii="Calibri" w:hAnsi="Calibri" w:cs="Arial"/>
          <w:b/>
          <w:sz w:val="22"/>
          <w:szCs w:val="22"/>
          <w:lang w:val="en-US"/>
        </w:rPr>
        <w:t>1.568</w:t>
      </w:r>
      <w:r w:rsidRPr="00125867">
        <w:rPr>
          <w:rFonts w:ascii="Calibri" w:hAnsi="Calibri" w:cs="Arial"/>
          <w:b/>
          <w:i/>
          <w:sz w:val="22"/>
          <w:szCs w:val="22"/>
          <w:lang w:val="en-US"/>
        </w:rPr>
        <w:t xml:space="preserve"> </w:t>
      </w:r>
    </w:p>
    <w:p w:rsidR="00A451C9" w:rsidRPr="00125867" w:rsidRDefault="00A451C9" w:rsidP="00A451C9">
      <w:pPr>
        <w:tabs>
          <w:tab w:val="left" w:pos="720"/>
          <w:tab w:val="center" w:pos="6480"/>
        </w:tabs>
        <w:ind w:left="720"/>
        <w:jc w:val="both"/>
        <w:rPr>
          <w:rFonts w:ascii="Calibri" w:hAnsi="Calibri" w:cs="Arial"/>
          <w:b/>
          <w:sz w:val="22"/>
          <w:szCs w:val="22"/>
          <w:lang w:val="en-US"/>
        </w:rPr>
      </w:pPr>
      <w:r>
        <w:rPr>
          <w:rFonts w:ascii="Calibri" w:hAnsi="Calibri" w:cs="Arial"/>
          <w:b/>
          <w:sz w:val="22"/>
          <w:szCs w:val="22"/>
          <w:lang w:val="en-US"/>
        </w:rPr>
        <w:t>Luis Antonio Galindo Cárdenas</w:t>
      </w:r>
      <w:r w:rsidRPr="00125867">
        <w:rPr>
          <w:rFonts w:ascii="Calibri" w:hAnsi="Calibri" w:cs="Arial"/>
          <w:b/>
          <w:sz w:val="22"/>
          <w:szCs w:val="22"/>
          <w:lang w:val="en-US"/>
        </w:rPr>
        <w:t xml:space="preserve"> </w:t>
      </w:r>
      <w:r w:rsidR="00BD5B91">
        <w:rPr>
          <w:rFonts w:ascii="Calibri" w:hAnsi="Calibri" w:cs="Arial"/>
          <w:b/>
          <w:sz w:val="22"/>
          <w:szCs w:val="22"/>
          <w:lang w:val="en-US"/>
        </w:rPr>
        <w:t>and relatives</w:t>
      </w:r>
    </w:p>
    <w:p w:rsidR="00A451C9" w:rsidRPr="009433F4" w:rsidRDefault="00914DB1" w:rsidP="00A451C9">
      <w:pPr>
        <w:tabs>
          <w:tab w:val="left" w:pos="720"/>
          <w:tab w:val="center" w:pos="6480"/>
        </w:tabs>
        <w:ind w:left="720"/>
        <w:jc w:val="both"/>
        <w:rPr>
          <w:rFonts w:ascii="Calibri" w:hAnsi="Calibri" w:cs="Arial"/>
          <w:b/>
          <w:sz w:val="22"/>
          <w:szCs w:val="22"/>
          <w:lang w:val="es-ES_tradnl"/>
        </w:rPr>
      </w:pPr>
      <w:r>
        <w:rPr>
          <w:rFonts w:ascii="Calibri" w:hAnsi="Calibri" w:cs="Arial"/>
          <w:b/>
          <w:sz w:val="22"/>
          <w:szCs w:val="22"/>
          <w:lang w:val="es-ES_tradnl"/>
        </w:rPr>
        <w:t>Peru</w:t>
      </w:r>
    </w:p>
    <w:p w:rsidR="00A451C9" w:rsidRPr="009433F4" w:rsidRDefault="00A451C9" w:rsidP="00A451C9">
      <w:pPr>
        <w:tabs>
          <w:tab w:val="left" w:pos="720"/>
          <w:tab w:val="center" w:pos="6480"/>
        </w:tabs>
        <w:jc w:val="both"/>
        <w:rPr>
          <w:rFonts w:ascii="Calibri" w:hAnsi="Calibri" w:cs="Arial"/>
          <w:sz w:val="22"/>
          <w:szCs w:val="22"/>
        </w:rPr>
      </w:pPr>
    </w:p>
    <w:p w:rsidR="00F12DF8" w:rsidRPr="009433F4" w:rsidRDefault="00F12DF8" w:rsidP="00F12DF8">
      <w:pPr>
        <w:tabs>
          <w:tab w:val="left" w:pos="720"/>
          <w:tab w:val="center" w:pos="6480"/>
        </w:tabs>
        <w:jc w:val="both"/>
        <w:rPr>
          <w:rFonts w:ascii="Calibri" w:hAnsi="Calibri" w:cs="Arial"/>
          <w:sz w:val="22"/>
          <w:szCs w:val="22"/>
          <w:lang w:val="es-PE"/>
        </w:rPr>
      </w:pPr>
      <w:r>
        <w:rPr>
          <w:rFonts w:ascii="Calibri" w:hAnsi="Calibri" w:cs="Arial"/>
          <w:sz w:val="22"/>
          <w:szCs w:val="22"/>
          <w:lang w:val="es-PE"/>
        </w:rPr>
        <w:t>Mr. Secretary:</w:t>
      </w:r>
    </w:p>
    <w:p w:rsidR="00A451C9" w:rsidRPr="009433F4" w:rsidRDefault="00F12DF8" w:rsidP="00A451C9">
      <w:pPr>
        <w:rPr>
          <w:rFonts w:ascii="Calibri" w:hAnsi="Calibri" w:cs="Arial"/>
          <w:sz w:val="22"/>
          <w:szCs w:val="22"/>
          <w:lang w:val="es-CO"/>
        </w:rPr>
      </w:pPr>
      <w:r>
        <w:rPr>
          <w:rFonts w:ascii="Calibri" w:hAnsi="Calibri" w:cs="Arial"/>
          <w:sz w:val="22"/>
          <w:szCs w:val="22"/>
          <w:lang w:val="es-CO"/>
        </w:rPr>
        <w:t xml:space="preserve"> </w:t>
      </w:r>
    </w:p>
    <w:p w:rsidR="00207DB5" w:rsidRPr="00207DB5" w:rsidRDefault="00A451C9" w:rsidP="00207DB5">
      <w:pPr>
        <w:jc w:val="both"/>
        <w:rPr>
          <w:rFonts w:ascii="Calibri" w:hAnsi="Calibri"/>
          <w:sz w:val="22"/>
          <w:szCs w:val="22"/>
          <w:lang w:val="en-US"/>
        </w:rPr>
      </w:pPr>
      <w:r w:rsidRPr="009433F4">
        <w:rPr>
          <w:rFonts w:ascii="Calibri" w:hAnsi="Calibri"/>
          <w:sz w:val="22"/>
          <w:szCs w:val="22"/>
        </w:rPr>
        <w:tab/>
      </w:r>
      <w:r w:rsidR="00BD5B91" w:rsidRPr="00207DB5">
        <w:rPr>
          <w:rFonts w:ascii="Calibri" w:hAnsi="Calibri"/>
          <w:sz w:val="22"/>
          <w:szCs w:val="22"/>
          <w:lang w:val="en-US"/>
        </w:rPr>
        <w:t xml:space="preserve">I am pleased to address you on behalf of the Inter-American Commission on Human Rights in order to file Case No. 11.568 Luis Antonio Galindo Cárdenas and relatives. v. </w:t>
      </w:r>
      <w:r w:rsidR="00914DB1" w:rsidRPr="00207DB5">
        <w:rPr>
          <w:rFonts w:ascii="Calibri" w:hAnsi="Calibri"/>
          <w:sz w:val="22"/>
          <w:szCs w:val="22"/>
          <w:lang w:val="en-US"/>
        </w:rPr>
        <w:t>Peru</w:t>
      </w:r>
      <w:r w:rsidR="00BD5B91" w:rsidRPr="00207DB5">
        <w:rPr>
          <w:rFonts w:ascii="Calibri" w:hAnsi="Calibri"/>
          <w:sz w:val="22"/>
          <w:szCs w:val="22"/>
          <w:lang w:val="en-US"/>
        </w:rPr>
        <w:t xml:space="preserve"> (hereinafter “the State”, “the </w:t>
      </w:r>
      <w:r w:rsidR="00914DB1" w:rsidRPr="00207DB5">
        <w:rPr>
          <w:rFonts w:ascii="Calibri" w:hAnsi="Calibri"/>
          <w:sz w:val="22"/>
          <w:szCs w:val="22"/>
          <w:lang w:val="en-US"/>
        </w:rPr>
        <w:t>Peruvian</w:t>
      </w:r>
      <w:r w:rsidR="00BD5B91" w:rsidRPr="00207DB5">
        <w:rPr>
          <w:rFonts w:ascii="Calibri" w:hAnsi="Calibri"/>
          <w:sz w:val="22"/>
          <w:szCs w:val="22"/>
          <w:lang w:val="en-US"/>
        </w:rPr>
        <w:t xml:space="preserve"> State” or “</w:t>
      </w:r>
      <w:r w:rsidR="00914DB1" w:rsidRPr="00207DB5">
        <w:rPr>
          <w:rFonts w:ascii="Calibri" w:hAnsi="Calibri"/>
          <w:sz w:val="22"/>
          <w:szCs w:val="22"/>
          <w:lang w:val="en-US"/>
        </w:rPr>
        <w:t>Peru</w:t>
      </w:r>
      <w:r w:rsidR="00BD5B91" w:rsidRPr="00207DB5">
        <w:rPr>
          <w:rFonts w:ascii="Calibri" w:hAnsi="Calibri"/>
          <w:sz w:val="22"/>
          <w:szCs w:val="22"/>
          <w:lang w:val="en-US"/>
        </w:rPr>
        <w:t>”)</w:t>
      </w:r>
      <w:r w:rsidR="00207DB5" w:rsidRPr="00207DB5">
        <w:rPr>
          <w:rFonts w:ascii="Calibri" w:hAnsi="Calibri"/>
          <w:sz w:val="22"/>
          <w:szCs w:val="22"/>
          <w:lang w:val="en-US"/>
        </w:rPr>
        <w:t xml:space="preserve"> related to the illegal and</w:t>
      </w:r>
      <w:r w:rsidR="00D521A6">
        <w:rPr>
          <w:rFonts w:ascii="Calibri" w:hAnsi="Calibri"/>
          <w:sz w:val="22"/>
          <w:szCs w:val="22"/>
          <w:lang w:val="en-US"/>
        </w:rPr>
        <w:t xml:space="preserve"> arbitrary detention of the</w:t>
      </w:r>
      <w:r w:rsidR="00207DB5" w:rsidRPr="00207DB5">
        <w:rPr>
          <w:rFonts w:ascii="Calibri" w:hAnsi="Calibri"/>
          <w:sz w:val="22"/>
          <w:szCs w:val="22"/>
          <w:lang w:val="en-US"/>
        </w:rPr>
        <w:t xml:space="preserve"> Pr</w:t>
      </w:r>
      <w:r w:rsidR="00D521A6">
        <w:rPr>
          <w:rFonts w:ascii="Calibri" w:hAnsi="Calibri"/>
          <w:sz w:val="22"/>
          <w:szCs w:val="22"/>
          <w:lang w:val="en-US"/>
        </w:rPr>
        <w:t>ovisional Member of the Supreme</w:t>
      </w:r>
      <w:r w:rsidR="00207DB5" w:rsidRPr="00207DB5">
        <w:rPr>
          <w:rFonts w:ascii="Calibri" w:hAnsi="Calibri"/>
          <w:sz w:val="22"/>
          <w:szCs w:val="22"/>
          <w:lang w:val="en-US"/>
        </w:rPr>
        <w:t xml:space="preserve"> Court of Huanuco</w:t>
      </w:r>
      <w:r w:rsidR="00D521A6">
        <w:rPr>
          <w:rFonts w:ascii="Calibri" w:hAnsi="Calibri"/>
          <w:sz w:val="22"/>
          <w:szCs w:val="22"/>
          <w:lang w:val="en-US"/>
        </w:rPr>
        <w:t xml:space="preserve"> of that time</w:t>
      </w:r>
      <w:r w:rsidR="00207DB5" w:rsidRPr="00207DB5">
        <w:rPr>
          <w:rFonts w:ascii="Calibri" w:hAnsi="Calibri"/>
          <w:sz w:val="22"/>
          <w:szCs w:val="22"/>
          <w:lang w:val="en-US"/>
        </w:rPr>
        <w:t>, Luis Antonio Galindo Cardenas, the October 16, 1994 after appearing voluntarily</w:t>
      </w:r>
      <w:r w:rsidR="00D521A6">
        <w:rPr>
          <w:rFonts w:ascii="Calibri" w:hAnsi="Calibri"/>
          <w:sz w:val="22"/>
          <w:szCs w:val="22"/>
          <w:lang w:val="en-US"/>
        </w:rPr>
        <w:t xml:space="preserve"> to the</w:t>
      </w:r>
      <w:r w:rsidR="00207DB5" w:rsidRPr="00207DB5">
        <w:rPr>
          <w:rFonts w:ascii="Calibri" w:hAnsi="Calibri"/>
          <w:sz w:val="22"/>
          <w:szCs w:val="22"/>
          <w:lang w:val="en-US"/>
        </w:rPr>
        <w:t xml:space="preserve"> </w:t>
      </w:r>
      <w:r w:rsidR="00D521A6">
        <w:rPr>
          <w:rFonts w:ascii="Calibri" w:hAnsi="Calibri"/>
          <w:sz w:val="22"/>
          <w:szCs w:val="22"/>
          <w:lang w:val="en-US"/>
        </w:rPr>
        <w:t>“Y</w:t>
      </w:r>
      <w:r w:rsidR="00207DB5" w:rsidRPr="00207DB5">
        <w:rPr>
          <w:rFonts w:ascii="Calibri" w:hAnsi="Calibri"/>
          <w:sz w:val="22"/>
          <w:szCs w:val="22"/>
          <w:lang w:val="en-US"/>
        </w:rPr>
        <w:t>anac</w:t>
      </w:r>
      <w:r w:rsidR="00D521A6">
        <w:rPr>
          <w:rFonts w:ascii="Calibri" w:hAnsi="Calibri"/>
          <w:sz w:val="22"/>
          <w:szCs w:val="22"/>
          <w:lang w:val="en-US"/>
        </w:rPr>
        <w:t>”</w:t>
      </w:r>
      <w:r w:rsidR="00207DB5" w:rsidRPr="00207DB5">
        <w:rPr>
          <w:rFonts w:ascii="Calibri" w:hAnsi="Calibri"/>
          <w:sz w:val="22"/>
          <w:szCs w:val="22"/>
          <w:lang w:val="en-US"/>
        </w:rPr>
        <w:t xml:space="preserve"> Army Base, at the request of the Head of Political-Military Command who </w:t>
      </w:r>
      <w:r w:rsidR="00D521A6">
        <w:rPr>
          <w:rFonts w:ascii="Calibri" w:hAnsi="Calibri"/>
          <w:sz w:val="22"/>
          <w:szCs w:val="22"/>
          <w:lang w:val="en-US"/>
        </w:rPr>
        <w:t>had</w:t>
      </w:r>
      <w:r w:rsidR="00207DB5" w:rsidRPr="00207DB5">
        <w:rPr>
          <w:rFonts w:ascii="Calibri" w:hAnsi="Calibri"/>
          <w:sz w:val="22"/>
          <w:szCs w:val="22"/>
          <w:lang w:val="en-US"/>
        </w:rPr>
        <w:t xml:space="preserve"> government </w:t>
      </w:r>
      <w:r w:rsidR="00D521A6">
        <w:rPr>
          <w:rFonts w:ascii="Calibri" w:hAnsi="Calibri"/>
          <w:sz w:val="22"/>
          <w:szCs w:val="22"/>
          <w:lang w:val="en-US"/>
        </w:rPr>
        <w:t>powers</w:t>
      </w:r>
      <w:r w:rsidR="00207DB5" w:rsidRPr="00207DB5">
        <w:rPr>
          <w:rFonts w:ascii="Calibri" w:hAnsi="Calibri"/>
          <w:sz w:val="22"/>
          <w:szCs w:val="22"/>
          <w:lang w:val="en-US"/>
        </w:rPr>
        <w:t xml:space="preserve"> in the area under emergency legislation in force. In this military base, Mr. Galindo Cardenas re</w:t>
      </w:r>
      <w:r w:rsidR="00D521A6">
        <w:rPr>
          <w:rFonts w:ascii="Calibri" w:hAnsi="Calibri"/>
          <w:sz w:val="22"/>
          <w:szCs w:val="22"/>
          <w:lang w:val="en-US"/>
        </w:rPr>
        <w:t xml:space="preserve">mained imprisoned for 31 days. The Supreme Court of Huanuco was not informed, he he was neither </w:t>
      </w:r>
      <w:r w:rsidR="00207DB5" w:rsidRPr="00207DB5">
        <w:rPr>
          <w:rFonts w:ascii="Calibri" w:hAnsi="Calibri"/>
          <w:sz w:val="22"/>
          <w:szCs w:val="22"/>
          <w:lang w:val="en-US"/>
        </w:rPr>
        <w:t>subjected to any form of judicial control. He was initially held</w:t>
      </w:r>
      <w:r w:rsidR="00640EF7">
        <w:rPr>
          <w:rFonts w:ascii="Calibri" w:hAnsi="Calibri"/>
          <w:sz w:val="22"/>
          <w:szCs w:val="22"/>
          <w:lang w:val="en-US"/>
        </w:rPr>
        <w:t xml:space="preserve"> in solitary confinement</w:t>
      </w:r>
      <w:r w:rsidR="00207DB5" w:rsidRPr="00207DB5">
        <w:rPr>
          <w:rFonts w:ascii="Calibri" w:hAnsi="Calibri"/>
          <w:sz w:val="22"/>
          <w:szCs w:val="22"/>
          <w:lang w:val="en-US"/>
        </w:rPr>
        <w:t xml:space="preserve"> and</w:t>
      </w:r>
      <w:r w:rsidR="00640EF7">
        <w:rPr>
          <w:rFonts w:ascii="Calibri" w:hAnsi="Calibri"/>
          <w:sz w:val="22"/>
          <w:szCs w:val="22"/>
          <w:lang w:val="en-US"/>
        </w:rPr>
        <w:t xml:space="preserve"> subsequently, he</w:t>
      </w:r>
      <w:r w:rsidR="00207DB5" w:rsidRPr="00207DB5">
        <w:rPr>
          <w:rFonts w:ascii="Calibri" w:hAnsi="Calibri"/>
          <w:sz w:val="22"/>
          <w:szCs w:val="22"/>
          <w:lang w:val="en-US"/>
        </w:rPr>
        <w:t xml:space="preserve"> was </w:t>
      </w:r>
      <w:r w:rsidR="00640EF7">
        <w:rPr>
          <w:rFonts w:ascii="Calibri" w:hAnsi="Calibri"/>
          <w:sz w:val="22"/>
          <w:szCs w:val="22"/>
          <w:lang w:val="en-US"/>
        </w:rPr>
        <w:t>suffered</w:t>
      </w:r>
      <w:r w:rsidR="00207DB5" w:rsidRPr="00207DB5">
        <w:rPr>
          <w:rFonts w:ascii="Calibri" w:hAnsi="Calibri"/>
          <w:sz w:val="22"/>
          <w:szCs w:val="22"/>
          <w:lang w:val="en-US"/>
        </w:rPr>
        <w:t xml:space="preserve"> severe limitations in communication. </w:t>
      </w:r>
    </w:p>
    <w:p w:rsidR="00207DB5" w:rsidRPr="00207DB5" w:rsidRDefault="00207DB5" w:rsidP="00207DB5">
      <w:pPr>
        <w:jc w:val="both"/>
        <w:rPr>
          <w:rFonts w:ascii="Calibri" w:hAnsi="Calibri"/>
          <w:sz w:val="22"/>
          <w:szCs w:val="22"/>
          <w:lang w:val="en-US"/>
        </w:rPr>
      </w:pPr>
    </w:p>
    <w:p w:rsidR="00207DB5" w:rsidRPr="00207DB5" w:rsidRDefault="00207DB5" w:rsidP="000128F5">
      <w:pPr>
        <w:ind w:firstLine="720"/>
        <w:jc w:val="both"/>
        <w:rPr>
          <w:rFonts w:ascii="Calibri" w:hAnsi="Calibri"/>
          <w:sz w:val="22"/>
          <w:szCs w:val="22"/>
          <w:lang w:val="en-US"/>
        </w:rPr>
      </w:pPr>
      <w:r w:rsidRPr="00207DB5">
        <w:rPr>
          <w:rFonts w:ascii="Calibri" w:hAnsi="Calibri"/>
          <w:sz w:val="22"/>
          <w:szCs w:val="22"/>
          <w:lang w:val="en-US"/>
        </w:rPr>
        <w:t xml:space="preserve">The Commission also found that Mr. Galindo Cardenas was not informed of the reasons for his arrest and the charges against him, nor had </w:t>
      </w:r>
      <w:r w:rsidR="00640EF7">
        <w:rPr>
          <w:rFonts w:ascii="Calibri" w:hAnsi="Calibri"/>
          <w:sz w:val="22"/>
          <w:szCs w:val="22"/>
          <w:lang w:val="en-US"/>
        </w:rPr>
        <w:t xml:space="preserve">the </w:t>
      </w:r>
      <w:r w:rsidRPr="00207DB5">
        <w:rPr>
          <w:rFonts w:ascii="Calibri" w:hAnsi="Calibri"/>
          <w:sz w:val="22"/>
          <w:szCs w:val="22"/>
          <w:lang w:val="en-US"/>
        </w:rPr>
        <w:t xml:space="preserve">chance to properly conduct his defense. The circumstances of his </w:t>
      </w:r>
      <w:r w:rsidR="00640EF7">
        <w:rPr>
          <w:rFonts w:ascii="Calibri" w:hAnsi="Calibri"/>
          <w:sz w:val="22"/>
          <w:szCs w:val="22"/>
          <w:lang w:val="en-US"/>
        </w:rPr>
        <w:t>detention</w:t>
      </w:r>
      <w:r w:rsidRPr="00207DB5">
        <w:rPr>
          <w:rFonts w:ascii="Calibri" w:hAnsi="Calibri"/>
          <w:sz w:val="22"/>
          <w:szCs w:val="22"/>
          <w:lang w:val="en-US"/>
        </w:rPr>
        <w:t xml:space="preserve"> prevented Mr. Galindo Cardenas</w:t>
      </w:r>
      <w:r w:rsidR="00640EF7">
        <w:rPr>
          <w:rFonts w:ascii="Calibri" w:hAnsi="Calibri"/>
          <w:sz w:val="22"/>
          <w:szCs w:val="22"/>
          <w:lang w:val="en-US"/>
        </w:rPr>
        <w:t xml:space="preserve"> to request an</w:t>
      </w:r>
      <w:r w:rsidRPr="00207DB5">
        <w:rPr>
          <w:rFonts w:ascii="Calibri" w:hAnsi="Calibri"/>
          <w:sz w:val="22"/>
          <w:szCs w:val="22"/>
          <w:lang w:val="en-US"/>
        </w:rPr>
        <w:t xml:space="preserve"> effective judicial review of </w:t>
      </w:r>
      <w:r w:rsidR="00640EF7">
        <w:rPr>
          <w:rFonts w:ascii="Calibri" w:hAnsi="Calibri"/>
          <w:sz w:val="22"/>
          <w:szCs w:val="22"/>
          <w:lang w:val="en-US"/>
        </w:rPr>
        <w:t xml:space="preserve">the </w:t>
      </w:r>
      <w:r w:rsidRPr="00207DB5">
        <w:rPr>
          <w:rFonts w:ascii="Calibri" w:hAnsi="Calibri"/>
          <w:sz w:val="22"/>
          <w:szCs w:val="22"/>
          <w:lang w:val="en-US"/>
        </w:rPr>
        <w:t>detention. All these circumstances, which were aimed at suppressing the resistance of Mr. Galindo Cardenas into agreeing to the Repentance Law, led the Commission to find that the violation of proce</w:t>
      </w:r>
      <w:r w:rsidR="000128F5">
        <w:rPr>
          <w:rFonts w:ascii="Calibri" w:hAnsi="Calibri"/>
          <w:sz w:val="22"/>
          <w:szCs w:val="22"/>
          <w:lang w:val="en-US"/>
        </w:rPr>
        <w:t>dural and substantive guarantees</w:t>
      </w:r>
      <w:r w:rsidRPr="00207DB5">
        <w:rPr>
          <w:rFonts w:ascii="Calibri" w:hAnsi="Calibri"/>
          <w:sz w:val="22"/>
          <w:szCs w:val="22"/>
          <w:lang w:val="en-US"/>
        </w:rPr>
        <w:t xml:space="preserve"> mentioned above, and the conditions of detention, as a whole, constituted cruel, inhuman and degrading treatment to the detriment of the victim. </w:t>
      </w:r>
    </w:p>
    <w:p w:rsidR="00207DB5" w:rsidRPr="00207DB5" w:rsidRDefault="00207DB5" w:rsidP="00207DB5">
      <w:pPr>
        <w:jc w:val="both"/>
        <w:rPr>
          <w:rFonts w:ascii="Calibri" w:hAnsi="Calibri"/>
          <w:sz w:val="22"/>
          <w:szCs w:val="22"/>
          <w:lang w:val="en-US"/>
        </w:rPr>
      </w:pPr>
    </w:p>
    <w:p w:rsidR="00207DB5" w:rsidRPr="00207DB5" w:rsidRDefault="00207DB5" w:rsidP="000128F5">
      <w:pPr>
        <w:ind w:firstLine="720"/>
        <w:jc w:val="both"/>
        <w:rPr>
          <w:rFonts w:ascii="Calibri" w:hAnsi="Calibri"/>
          <w:sz w:val="22"/>
          <w:szCs w:val="22"/>
          <w:lang w:val="en-US"/>
        </w:rPr>
      </w:pPr>
      <w:r w:rsidRPr="00207DB5">
        <w:rPr>
          <w:rFonts w:ascii="Calibri" w:hAnsi="Calibri"/>
          <w:sz w:val="22"/>
          <w:szCs w:val="22"/>
          <w:lang w:val="en-US"/>
        </w:rPr>
        <w:t>The Commission al</w:t>
      </w:r>
      <w:r w:rsidR="00D61F6A">
        <w:rPr>
          <w:rFonts w:ascii="Calibri" w:hAnsi="Calibri"/>
          <w:sz w:val="22"/>
          <w:szCs w:val="22"/>
          <w:lang w:val="en-US"/>
        </w:rPr>
        <w:t>so concluded that the Peruvian S</w:t>
      </w:r>
      <w:r w:rsidRPr="00207DB5">
        <w:rPr>
          <w:rFonts w:ascii="Calibri" w:hAnsi="Calibri"/>
          <w:sz w:val="22"/>
          <w:szCs w:val="22"/>
          <w:lang w:val="en-US"/>
        </w:rPr>
        <w:t xml:space="preserve">tate </w:t>
      </w:r>
      <w:r w:rsidR="00D61F6A">
        <w:rPr>
          <w:rFonts w:ascii="Calibri" w:hAnsi="Calibri"/>
          <w:sz w:val="22"/>
          <w:szCs w:val="22"/>
          <w:lang w:val="en-US"/>
        </w:rPr>
        <w:t>is responsible</w:t>
      </w:r>
      <w:r w:rsidRPr="00207DB5">
        <w:rPr>
          <w:rFonts w:ascii="Calibri" w:hAnsi="Calibri"/>
          <w:sz w:val="22"/>
          <w:szCs w:val="22"/>
          <w:lang w:val="en-US"/>
        </w:rPr>
        <w:t xml:space="preserve"> under the principle of legality and the prohibition of retroactivity, having criminalized the practice of law, in particular the technical defense by the arbitrary application of Article 4 of Decree Law 25475 related </w:t>
      </w:r>
      <w:r w:rsidR="00BA60F4">
        <w:rPr>
          <w:rFonts w:ascii="Calibri" w:hAnsi="Calibri"/>
          <w:sz w:val="22"/>
          <w:szCs w:val="22"/>
          <w:lang w:val="en-US"/>
        </w:rPr>
        <w:t xml:space="preserve">to </w:t>
      </w:r>
      <w:r w:rsidRPr="00207DB5">
        <w:rPr>
          <w:rFonts w:ascii="Calibri" w:hAnsi="Calibri"/>
          <w:sz w:val="22"/>
          <w:szCs w:val="22"/>
          <w:lang w:val="en-US"/>
        </w:rPr>
        <w:t>acts of collaboration with terrorism.</w:t>
      </w:r>
    </w:p>
    <w:p w:rsidR="00B434F1" w:rsidRDefault="00B434F1" w:rsidP="00A451C9">
      <w:pPr>
        <w:jc w:val="both"/>
        <w:rPr>
          <w:rFonts w:ascii="Calibri" w:hAnsi="Calibri" w:cs="Arial"/>
          <w:sz w:val="22"/>
          <w:szCs w:val="22"/>
          <w:lang w:val="es-CR"/>
        </w:rPr>
      </w:pPr>
    </w:p>
    <w:p w:rsidR="00364CD0" w:rsidRDefault="00364CD0" w:rsidP="00A451C9">
      <w:pPr>
        <w:jc w:val="both"/>
        <w:rPr>
          <w:rFonts w:ascii="Calibri" w:hAnsi="Calibri" w:cs="Arial"/>
          <w:sz w:val="22"/>
          <w:szCs w:val="22"/>
          <w:lang w:val="es-CR"/>
        </w:rPr>
      </w:pPr>
    </w:p>
    <w:p w:rsidR="00427E3D" w:rsidRPr="009433F4" w:rsidRDefault="00427E3D" w:rsidP="00427E3D">
      <w:pPr>
        <w:jc w:val="both"/>
        <w:rPr>
          <w:rFonts w:ascii="Calibri" w:hAnsi="Calibri" w:cs="Arial"/>
          <w:snapToGrid w:val="0"/>
          <w:sz w:val="22"/>
          <w:szCs w:val="22"/>
          <w:lang w:val="es-CO"/>
        </w:rPr>
      </w:pPr>
      <w:r w:rsidRPr="009433F4">
        <w:rPr>
          <w:rFonts w:ascii="Calibri" w:hAnsi="Calibri" w:cs="Arial"/>
          <w:snapToGrid w:val="0"/>
          <w:sz w:val="22"/>
          <w:szCs w:val="22"/>
          <w:lang w:val="es-CO"/>
        </w:rPr>
        <w:t>Señor</w:t>
      </w:r>
    </w:p>
    <w:p w:rsidR="00427E3D" w:rsidRPr="009433F4" w:rsidRDefault="00427E3D" w:rsidP="00427E3D">
      <w:pPr>
        <w:suppressAutoHyphens/>
        <w:rPr>
          <w:rFonts w:ascii="Calibri" w:hAnsi="Calibri" w:cs="Arial"/>
          <w:snapToGrid w:val="0"/>
          <w:sz w:val="22"/>
          <w:szCs w:val="22"/>
          <w:lang w:val="es-CO"/>
        </w:rPr>
      </w:pPr>
      <w:r w:rsidRPr="009433F4">
        <w:rPr>
          <w:rFonts w:ascii="Calibri" w:hAnsi="Calibri" w:cs="Arial"/>
          <w:snapToGrid w:val="0"/>
          <w:sz w:val="22"/>
          <w:szCs w:val="22"/>
          <w:lang w:val="es-CO"/>
        </w:rPr>
        <w:t>Pablo Saavedra Alessandri, Secretario</w:t>
      </w:r>
    </w:p>
    <w:p w:rsidR="00427E3D" w:rsidRPr="009433F4" w:rsidRDefault="00427E3D" w:rsidP="00427E3D">
      <w:pPr>
        <w:suppressAutoHyphens/>
        <w:rPr>
          <w:rFonts w:ascii="Calibri" w:hAnsi="Calibri" w:cs="Arial"/>
          <w:snapToGrid w:val="0"/>
          <w:sz w:val="22"/>
          <w:szCs w:val="22"/>
          <w:lang w:val="es-ES_tradnl"/>
        </w:rPr>
      </w:pPr>
      <w:r w:rsidRPr="009433F4">
        <w:rPr>
          <w:rFonts w:ascii="Calibri" w:hAnsi="Calibri" w:cs="Arial"/>
          <w:snapToGrid w:val="0"/>
          <w:sz w:val="22"/>
          <w:szCs w:val="22"/>
          <w:lang w:val="es-ES_tradnl"/>
        </w:rPr>
        <w:t>Corte Interamericana de Derechos Humanos</w:t>
      </w:r>
    </w:p>
    <w:p w:rsidR="00427E3D" w:rsidRPr="009433F4" w:rsidRDefault="00427E3D" w:rsidP="00427E3D">
      <w:pPr>
        <w:suppressAutoHyphens/>
        <w:rPr>
          <w:rFonts w:ascii="Calibri" w:hAnsi="Calibri" w:cs="Arial"/>
          <w:snapToGrid w:val="0"/>
          <w:sz w:val="22"/>
          <w:szCs w:val="22"/>
          <w:lang w:val="es-ES_tradnl"/>
        </w:rPr>
      </w:pPr>
      <w:r w:rsidRPr="009433F4">
        <w:rPr>
          <w:rFonts w:ascii="Calibri" w:hAnsi="Calibri" w:cs="Arial"/>
          <w:snapToGrid w:val="0"/>
          <w:sz w:val="22"/>
          <w:szCs w:val="22"/>
          <w:lang w:val="es-ES_tradnl"/>
        </w:rPr>
        <w:t>Apartado 6906-1000</w:t>
      </w:r>
    </w:p>
    <w:p w:rsidR="00427E3D" w:rsidRPr="009433F4" w:rsidRDefault="00427E3D" w:rsidP="00427E3D">
      <w:pPr>
        <w:suppressAutoHyphens/>
        <w:rPr>
          <w:rFonts w:ascii="Calibri" w:hAnsi="Calibri" w:cs="Arial"/>
          <w:snapToGrid w:val="0"/>
          <w:sz w:val="22"/>
          <w:szCs w:val="22"/>
          <w:lang w:val="es-ES_tradnl"/>
        </w:rPr>
      </w:pPr>
      <w:r w:rsidRPr="009433F4">
        <w:rPr>
          <w:rFonts w:ascii="Calibri" w:hAnsi="Calibri" w:cs="Arial"/>
          <w:snapToGrid w:val="0"/>
          <w:sz w:val="22"/>
          <w:szCs w:val="22"/>
          <w:lang w:val="es-ES_tradnl"/>
        </w:rPr>
        <w:t>San José, Costa Rica</w:t>
      </w:r>
    </w:p>
    <w:p w:rsidR="00427E3D" w:rsidRDefault="00427E3D" w:rsidP="00427E3D">
      <w:pPr>
        <w:suppressAutoHyphens/>
        <w:rPr>
          <w:rFonts w:ascii="Calibri" w:hAnsi="Calibri" w:cs="Arial"/>
          <w:snapToGrid w:val="0"/>
          <w:sz w:val="22"/>
          <w:szCs w:val="22"/>
          <w:lang w:val="es-ES_tradnl"/>
        </w:rPr>
      </w:pPr>
    </w:p>
    <w:p w:rsidR="00BA60F4" w:rsidRDefault="00BA60F4" w:rsidP="00427E3D">
      <w:pPr>
        <w:suppressAutoHyphens/>
        <w:rPr>
          <w:rFonts w:ascii="Calibri" w:hAnsi="Calibri" w:cs="Arial"/>
          <w:snapToGrid w:val="0"/>
          <w:sz w:val="22"/>
          <w:szCs w:val="22"/>
          <w:lang w:val="es-ES_tradnl"/>
        </w:rPr>
      </w:pPr>
    </w:p>
    <w:p w:rsidR="00BA60F4" w:rsidRDefault="00BA60F4" w:rsidP="00427E3D">
      <w:pPr>
        <w:suppressAutoHyphens/>
        <w:rPr>
          <w:rFonts w:ascii="Calibri" w:hAnsi="Calibri" w:cs="Arial"/>
          <w:snapToGrid w:val="0"/>
          <w:sz w:val="22"/>
          <w:szCs w:val="22"/>
          <w:lang w:val="es-ES_tradnl"/>
        </w:rPr>
      </w:pPr>
    </w:p>
    <w:p w:rsidR="00BA60F4" w:rsidRDefault="00BA60F4" w:rsidP="00427E3D">
      <w:pPr>
        <w:suppressAutoHyphens/>
        <w:rPr>
          <w:rFonts w:ascii="Calibri" w:hAnsi="Calibri" w:cs="Arial"/>
          <w:snapToGrid w:val="0"/>
          <w:sz w:val="22"/>
          <w:szCs w:val="22"/>
          <w:lang w:val="es-ES_tradnl"/>
        </w:rPr>
      </w:pPr>
    </w:p>
    <w:p w:rsidR="00BA60F4" w:rsidRDefault="00BA60F4" w:rsidP="00427E3D">
      <w:pPr>
        <w:suppressAutoHyphens/>
        <w:rPr>
          <w:rFonts w:ascii="Calibri" w:hAnsi="Calibri" w:cs="Arial"/>
          <w:snapToGrid w:val="0"/>
          <w:sz w:val="22"/>
          <w:szCs w:val="22"/>
          <w:lang w:val="es-ES_tradnl"/>
        </w:rPr>
      </w:pPr>
    </w:p>
    <w:p w:rsidR="00BA60F4" w:rsidRPr="009433F4" w:rsidRDefault="00BA60F4" w:rsidP="00427E3D">
      <w:pPr>
        <w:suppressAutoHyphens/>
        <w:rPr>
          <w:rFonts w:ascii="Calibri" w:hAnsi="Calibri" w:cs="Arial"/>
          <w:snapToGrid w:val="0"/>
          <w:sz w:val="22"/>
          <w:szCs w:val="22"/>
          <w:lang w:val="es-ES_tradnl"/>
        </w:rPr>
      </w:pPr>
    </w:p>
    <w:p w:rsidR="00427E3D" w:rsidRPr="009433F4" w:rsidRDefault="00427E3D" w:rsidP="00427E3D">
      <w:pPr>
        <w:suppressAutoHyphens/>
        <w:rPr>
          <w:rFonts w:ascii="Calibri" w:hAnsi="Calibri"/>
          <w:sz w:val="22"/>
          <w:szCs w:val="22"/>
        </w:rPr>
      </w:pPr>
      <w:r w:rsidRPr="009433F4">
        <w:rPr>
          <w:rFonts w:ascii="Calibri" w:hAnsi="Calibri" w:cs="Arial"/>
          <w:snapToGrid w:val="0"/>
          <w:sz w:val="22"/>
          <w:szCs w:val="22"/>
          <w:lang w:val="es-ES_tradnl"/>
        </w:rPr>
        <w:lastRenderedPageBreak/>
        <w:t>Anexos</w:t>
      </w:r>
    </w:p>
    <w:p w:rsidR="00B434F1" w:rsidRDefault="00B434F1" w:rsidP="00A451C9">
      <w:pPr>
        <w:jc w:val="both"/>
        <w:rPr>
          <w:rFonts w:ascii="Calibri" w:hAnsi="Calibri" w:cs="Arial"/>
          <w:sz w:val="22"/>
          <w:szCs w:val="22"/>
          <w:lang w:val="es-CR"/>
        </w:rPr>
      </w:pPr>
      <w:r>
        <w:rPr>
          <w:rFonts w:ascii="Calibri" w:hAnsi="Calibri" w:cs="Arial"/>
          <w:sz w:val="22"/>
          <w:szCs w:val="22"/>
          <w:lang w:val="es-CR"/>
        </w:rPr>
        <w:tab/>
        <w:t>Tal como la Comisión concluyó en su informe de fondo, todas estas violaciones se encuentran en situación de impunidad pues el Estado</w:t>
      </w:r>
      <w:r w:rsidR="0085672B">
        <w:rPr>
          <w:rFonts w:ascii="Calibri" w:hAnsi="Calibri" w:cs="Arial"/>
          <w:sz w:val="22"/>
          <w:szCs w:val="22"/>
          <w:lang w:val="es-CR"/>
        </w:rPr>
        <w:t xml:space="preserve"> no inició </w:t>
      </w:r>
      <w:r>
        <w:rPr>
          <w:rFonts w:ascii="Calibri" w:hAnsi="Calibri" w:cs="Arial"/>
          <w:sz w:val="22"/>
          <w:szCs w:val="22"/>
          <w:lang w:val="es-CR"/>
        </w:rPr>
        <w:t>una investig</w:t>
      </w:r>
      <w:r w:rsidR="00E60765">
        <w:rPr>
          <w:rFonts w:ascii="Calibri" w:hAnsi="Calibri" w:cs="Arial"/>
          <w:sz w:val="22"/>
          <w:szCs w:val="22"/>
          <w:lang w:val="es-CR"/>
        </w:rPr>
        <w:t>ación sobre los hechos del caso, cuando las autoridades tomaron conocimiento de los mismos.</w:t>
      </w:r>
      <w:r>
        <w:rPr>
          <w:rFonts w:ascii="Calibri" w:hAnsi="Calibri" w:cs="Arial"/>
          <w:sz w:val="22"/>
          <w:szCs w:val="22"/>
          <w:lang w:val="es-CR"/>
        </w:rPr>
        <w:t xml:space="preserve"> Tal como se </w:t>
      </w:r>
      <w:r w:rsidR="0014092D">
        <w:rPr>
          <w:rFonts w:ascii="Calibri" w:hAnsi="Calibri" w:cs="Arial"/>
          <w:sz w:val="22"/>
          <w:szCs w:val="22"/>
          <w:lang w:val="es-CR"/>
        </w:rPr>
        <w:t>indica más adelante, la investigación tuvo inicio a partir del año 2012 con ocasión al informe de fondo de la Comisión Interamericana y a la fecha no existen avances signi</w:t>
      </w:r>
      <w:r w:rsidR="001A38C6">
        <w:rPr>
          <w:rFonts w:ascii="Calibri" w:hAnsi="Calibri" w:cs="Arial"/>
          <w:sz w:val="22"/>
          <w:szCs w:val="22"/>
          <w:lang w:val="es-CR"/>
        </w:rPr>
        <w:t>f</w:t>
      </w:r>
      <w:r w:rsidR="0014092D">
        <w:rPr>
          <w:rFonts w:ascii="Calibri" w:hAnsi="Calibri" w:cs="Arial"/>
          <w:sz w:val="22"/>
          <w:szCs w:val="22"/>
          <w:lang w:val="es-CR"/>
        </w:rPr>
        <w:t>i</w:t>
      </w:r>
      <w:r w:rsidR="001A38C6">
        <w:rPr>
          <w:rFonts w:ascii="Calibri" w:hAnsi="Calibri" w:cs="Arial"/>
          <w:sz w:val="22"/>
          <w:szCs w:val="22"/>
          <w:lang w:val="es-CR"/>
        </w:rPr>
        <w:t>c</w:t>
      </w:r>
      <w:r w:rsidR="0014092D">
        <w:rPr>
          <w:rFonts w:ascii="Calibri" w:hAnsi="Calibri" w:cs="Arial"/>
          <w:sz w:val="22"/>
          <w:szCs w:val="22"/>
          <w:lang w:val="es-CR"/>
        </w:rPr>
        <w:t xml:space="preserve">ativos. </w:t>
      </w:r>
    </w:p>
    <w:p w:rsidR="00A11A31" w:rsidRDefault="00A11A31" w:rsidP="00A451C9">
      <w:pPr>
        <w:jc w:val="both"/>
        <w:rPr>
          <w:rFonts w:ascii="Calibri" w:hAnsi="Calibri" w:cs="Arial"/>
          <w:sz w:val="22"/>
          <w:szCs w:val="22"/>
          <w:lang w:val="es-CR"/>
        </w:rPr>
      </w:pPr>
    </w:p>
    <w:p w:rsidR="00A451C9" w:rsidRPr="009433F4" w:rsidRDefault="00A451C9" w:rsidP="00A451C9">
      <w:pPr>
        <w:jc w:val="both"/>
        <w:rPr>
          <w:rFonts w:ascii="Calibri" w:hAnsi="Calibri" w:cs="Arial"/>
          <w:sz w:val="22"/>
          <w:szCs w:val="22"/>
        </w:rPr>
      </w:pPr>
      <w:r>
        <w:rPr>
          <w:rFonts w:ascii="Calibri" w:hAnsi="Calibri" w:cs="Arial"/>
          <w:sz w:val="22"/>
          <w:szCs w:val="22"/>
          <w:lang w:val="es-CR"/>
        </w:rPr>
        <w:tab/>
      </w:r>
      <w:r w:rsidRPr="009433F4">
        <w:rPr>
          <w:rFonts w:ascii="Calibri" w:hAnsi="Calibri" w:cs="Arial"/>
          <w:sz w:val="22"/>
          <w:szCs w:val="22"/>
        </w:rPr>
        <w:t xml:space="preserve">El Estado ratificó la Convención Americana sobre Derechos Humanos el 12 de julio de 1978 y aceptó la competencia contenciosa de la Corte el 21 de enero de 1981. </w:t>
      </w:r>
    </w:p>
    <w:p w:rsidR="00A451C9" w:rsidRPr="00125867" w:rsidRDefault="00A451C9" w:rsidP="00A451C9">
      <w:pPr>
        <w:jc w:val="both"/>
        <w:rPr>
          <w:rFonts w:ascii="Calibri" w:hAnsi="Calibri" w:cs="Arial"/>
          <w:sz w:val="22"/>
          <w:szCs w:val="22"/>
        </w:rPr>
      </w:pPr>
    </w:p>
    <w:p w:rsidR="00A451C9" w:rsidRPr="009433F4" w:rsidRDefault="003E06F5" w:rsidP="00A451C9">
      <w:pPr>
        <w:jc w:val="both"/>
        <w:rPr>
          <w:rFonts w:ascii="Calibri" w:hAnsi="Calibri" w:cs="Arial"/>
          <w:sz w:val="22"/>
          <w:szCs w:val="22"/>
        </w:rPr>
      </w:pPr>
      <w:r>
        <w:rPr>
          <w:rFonts w:ascii="Calibri" w:hAnsi="Calibri"/>
          <w:sz w:val="22"/>
          <w:szCs w:val="22"/>
        </w:rPr>
        <w:tab/>
      </w:r>
      <w:r w:rsidR="00A451C9" w:rsidRPr="009433F4">
        <w:rPr>
          <w:rFonts w:ascii="Calibri" w:hAnsi="Calibri"/>
          <w:sz w:val="22"/>
          <w:szCs w:val="22"/>
        </w:rPr>
        <w:t>La Comisión ha designado al Comisionado José de Jesús Orozco Henríquez y al Secretario Ejecutivo Emilio Álvarez Icaza L. como sus delegado</w:t>
      </w:r>
      <w:r w:rsidR="00A451C9">
        <w:rPr>
          <w:rFonts w:ascii="Calibri" w:hAnsi="Calibri"/>
          <w:sz w:val="22"/>
          <w:szCs w:val="22"/>
        </w:rPr>
        <w:t>s</w:t>
      </w:r>
      <w:r w:rsidR="00A451C9" w:rsidRPr="009433F4">
        <w:rPr>
          <w:rFonts w:ascii="Calibri" w:hAnsi="Calibri"/>
          <w:sz w:val="22"/>
          <w:szCs w:val="22"/>
        </w:rPr>
        <w:t xml:space="preserve">. Asimismo, Elizabeth Abi-Mershed, Secretaria Ejecutiva Adjunta, y </w:t>
      </w:r>
      <w:smartTag w:uri="urn:schemas-microsoft-com:office:smarttags" w:element="PersonName">
        <w:r w:rsidR="00A451C9" w:rsidRPr="009433F4">
          <w:rPr>
            <w:rFonts w:ascii="Calibri" w:hAnsi="Calibri"/>
            <w:sz w:val="22"/>
            <w:szCs w:val="22"/>
          </w:rPr>
          <w:t>Silvia Serrano</w:t>
        </w:r>
      </w:smartTag>
      <w:r>
        <w:rPr>
          <w:rFonts w:ascii="Calibri" w:hAnsi="Calibri"/>
          <w:sz w:val="22"/>
          <w:szCs w:val="22"/>
        </w:rPr>
        <w:t xml:space="preserve"> Guzmán y Nerea Aparicio, </w:t>
      </w:r>
      <w:r w:rsidR="00A451C9" w:rsidRPr="009433F4">
        <w:rPr>
          <w:rFonts w:ascii="Calibri" w:hAnsi="Calibri"/>
          <w:sz w:val="22"/>
          <w:szCs w:val="22"/>
        </w:rPr>
        <w:t>abogadas de la Secretaría Ejecutiva de la CIDH, actuarán como asesoras legales.</w:t>
      </w:r>
    </w:p>
    <w:p w:rsidR="00A451C9" w:rsidRPr="009433F4" w:rsidRDefault="00A451C9" w:rsidP="00A451C9">
      <w:pPr>
        <w:jc w:val="both"/>
        <w:rPr>
          <w:rFonts w:ascii="Calibri" w:hAnsi="Calibri" w:cs="Arial"/>
          <w:snapToGrid w:val="0"/>
          <w:sz w:val="22"/>
          <w:szCs w:val="22"/>
        </w:rPr>
      </w:pPr>
    </w:p>
    <w:p w:rsidR="00A451C9" w:rsidRPr="009433F4" w:rsidRDefault="00A451C9" w:rsidP="00A451C9">
      <w:pPr>
        <w:ind w:firstLine="720"/>
        <w:jc w:val="both"/>
        <w:rPr>
          <w:rFonts w:ascii="Calibri" w:hAnsi="Calibri"/>
          <w:sz w:val="22"/>
          <w:szCs w:val="22"/>
          <w:lang w:val="es-AR"/>
        </w:rPr>
      </w:pPr>
      <w:r w:rsidRPr="009433F4">
        <w:rPr>
          <w:rFonts w:ascii="Calibri" w:hAnsi="Calibri" w:cs="Arial"/>
          <w:sz w:val="22"/>
          <w:szCs w:val="22"/>
        </w:rPr>
        <w:t xml:space="preserve">De conformidad con el artículo 35 del Reglamento de la Corte Interamericana, la Comisión adjunta </w:t>
      </w:r>
      <w:r w:rsidRPr="009433F4">
        <w:rPr>
          <w:rFonts w:ascii="Calibri" w:hAnsi="Calibri"/>
          <w:sz w:val="22"/>
          <w:szCs w:val="22"/>
          <w:lang w:val="es-CO"/>
        </w:rPr>
        <w:t xml:space="preserve">copia del </w:t>
      </w:r>
      <w:r w:rsidR="00037988">
        <w:rPr>
          <w:rFonts w:ascii="Calibri" w:hAnsi="Calibri"/>
          <w:sz w:val="22"/>
          <w:szCs w:val="22"/>
        </w:rPr>
        <w:t>informe 57</w:t>
      </w:r>
      <w:r w:rsidRPr="009433F4">
        <w:rPr>
          <w:rFonts w:ascii="Calibri" w:hAnsi="Calibri"/>
          <w:sz w:val="22"/>
          <w:szCs w:val="22"/>
        </w:rPr>
        <w:t>/1</w:t>
      </w:r>
      <w:r w:rsidR="00037988">
        <w:rPr>
          <w:rFonts w:ascii="Calibri" w:hAnsi="Calibri"/>
          <w:sz w:val="22"/>
          <w:szCs w:val="22"/>
        </w:rPr>
        <w:t>2</w:t>
      </w:r>
      <w:r w:rsidRPr="009433F4">
        <w:rPr>
          <w:rFonts w:ascii="Calibri" w:hAnsi="Calibri"/>
          <w:sz w:val="22"/>
          <w:szCs w:val="22"/>
        </w:rPr>
        <w:t xml:space="preserve"> elaborado en observancia del artículo 50 de la Convención, así como copia de la totalidad del expediente ante la Comisión Interamericana (Apéndice I) y los anexos utilizados</w:t>
      </w:r>
      <w:r w:rsidR="006F78AD">
        <w:rPr>
          <w:rFonts w:ascii="Calibri" w:hAnsi="Calibri"/>
          <w:sz w:val="22"/>
          <w:szCs w:val="22"/>
        </w:rPr>
        <w:t xml:space="preserve"> en la elaboración del informe 57</w:t>
      </w:r>
      <w:r w:rsidRPr="009433F4">
        <w:rPr>
          <w:rFonts w:ascii="Calibri" w:hAnsi="Calibri"/>
          <w:sz w:val="22"/>
          <w:szCs w:val="22"/>
        </w:rPr>
        <w:t>/1</w:t>
      </w:r>
      <w:r w:rsidR="006F78AD">
        <w:rPr>
          <w:rFonts w:ascii="Calibri" w:hAnsi="Calibri"/>
          <w:sz w:val="22"/>
          <w:szCs w:val="22"/>
        </w:rPr>
        <w:t>2</w:t>
      </w:r>
      <w:r w:rsidRPr="009433F4">
        <w:rPr>
          <w:rFonts w:ascii="Calibri" w:hAnsi="Calibri"/>
          <w:sz w:val="22"/>
          <w:szCs w:val="22"/>
        </w:rPr>
        <w:t xml:space="preserve"> (Anexos). Dicho informe de fondo </w:t>
      </w:r>
      <w:r w:rsidRPr="009433F4">
        <w:rPr>
          <w:rFonts w:ascii="Calibri" w:hAnsi="Calibri"/>
          <w:sz w:val="22"/>
          <w:szCs w:val="22"/>
          <w:lang w:val="es-AR"/>
        </w:rPr>
        <w:t xml:space="preserve">fue notificado al Estado de Perú mediante comunicación de </w:t>
      </w:r>
      <w:r w:rsidR="006F78AD">
        <w:rPr>
          <w:rFonts w:ascii="Calibri" w:hAnsi="Calibri"/>
          <w:sz w:val="22"/>
          <w:szCs w:val="22"/>
          <w:lang w:val="es-AR"/>
        </w:rPr>
        <w:t>19 de abril de 2012</w:t>
      </w:r>
      <w:r w:rsidRPr="009433F4">
        <w:rPr>
          <w:rFonts w:ascii="Calibri" w:hAnsi="Calibri"/>
          <w:sz w:val="22"/>
          <w:szCs w:val="22"/>
          <w:lang w:val="es-AR"/>
        </w:rPr>
        <w:t xml:space="preserve">, otorgándole un plazo de dos meses para informar sobre el cumplimiento de las recomendaciones. </w:t>
      </w:r>
    </w:p>
    <w:p w:rsidR="00A451C9" w:rsidRDefault="00A451C9" w:rsidP="00A451C9">
      <w:pPr>
        <w:ind w:firstLine="720"/>
        <w:jc w:val="both"/>
        <w:rPr>
          <w:rFonts w:ascii="Calibri" w:hAnsi="Calibri"/>
          <w:sz w:val="22"/>
          <w:szCs w:val="22"/>
          <w:lang w:val="es-AR"/>
        </w:rPr>
      </w:pPr>
    </w:p>
    <w:p w:rsidR="00A451C9" w:rsidRDefault="00513AC1" w:rsidP="00A451C9">
      <w:pPr>
        <w:ind w:firstLine="720"/>
        <w:jc w:val="both"/>
        <w:rPr>
          <w:rFonts w:ascii="Calibri" w:hAnsi="Calibri"/>
          <w:sz w:val="22"/>
          <w:szCs w:val="22"/>
          <w:lang w:val="es-AR"/>
        </w:rPr>
      </w:pPr>
      <w:r>
        <w:rPr>
          <w:rFonts w:ascii="Calibri" w:hAnsi="Calibri"/>
          <w:sz w:val="22"/>
          <w:szCs w:val="22"/>
          <w:lang w:val="es-AR"/>
        </w:rPr>
        <w:t>El Estado de Perú efectuó siete solicitudes de prórroga, seis de las cuales fueron otorgadas por la Comisión. La última solicitu</w:t>
      </w:r>
      <w:r w:rsidR="0075757E">
        <w:rPr>
          <w:rFonts w:ascii="Calibri" w:hAnsi="Calibri"/>
          <w:sz w:val="22"/>
          <w:szCs w:val="22"/>
          <w:lang w:val="es-AR"/>
        </w:rPr>
        <w:t>d de prórroga fue efectuada el 6 de enero de 2014 y la Comisión decidió no otorgarla y someter el caso a la juri</w:t>
      </w:r>
      <w:r w:rsidR="00F345C3">
        <w:rPr>
          <w:rFonts w:ascii="Calibri" w:hAnsi="Calibri"/>
          <w:sz w:val="22"/>
          <w:szCs w:val="22"/>
          <w:lang w:val="es-AR"/>
        </w:rPr>
        <w:t>sdicción de la Honorable Corte. En sus solicitudes de prórroga el Estado peruano indicó que dio inicio a una investigación – en atención a la segunda recomendación del informe de fondo de la Comisión – y que de los resultados de dicha investigación, depende el avance en el cumplimiento de las tres recomendaciones restantes. Al momento de otorgar la quinta y sexta prórroga</w:t>
      </w:r>
      <w:r w:rsidR="00C41319">
        <w:rPr>
          <w:rFonts w:ascii="Calibri" w:hAnsi="Calibri"/>
          <w:sz w:val="22"/>
          <w:szCs w:val="22"/>
          <w:lang w:val="es-AR"/>
        </w:rPr>
        <w:t>s</w:t>
      </w:r>
      <w:r w:rsidR="00F345C3">
        <w:rPr>
          <w:rFonts w:ascii="Calibri" w:hAnsi="Calibri"/>
          <w:sz w:val="22"/>
          <w:szCs w:val="22"/>
          <w:lang w:val="es-AR"/>
        </w:rPr>
        <w:t xml:space="preserve">, la Comisión indicó al Estado de Perú que las recomendaciones tienen carácter independiente y que las mismas derivan de los hallazgos de la Comisión en el informe de fondo y no deben estar condicionadas a una investigación a nivel interno. A pesar de ello, el Estado continuó limitándose a informar sobre la investigación y a indicar que las demás recomendaciones dependen de los </w:t>
      </w:r>
      <w:r w:rsidR="0049358E">
        <w:rPr>
          <w:rFonts w:ascii="Calibri" w:hAnsi="Calibri"/>
          <w:sz w:val="22"/>
          <w:szCs w:val="22"/>
          <w:lang w:val="es-AR"/>
        </w:rPr>
        <w:t>resultados</w:t>
      </w:r>
      <w:r w:rsidR="00F345C3">
        <w:rPr>
          <w:rFonts w:ascii="Calibri" w:hAnsi="Calibri"/>
          <w:sz w:val="22"/>
          <w:szCs w:val="22"/>
          <w:lang w:val="es-AR"/>
        </w:rPr>
        <w:t xml:space="preserve"> </w:t>
      </w:r>
      <w:r w:rsidR="0049358E">
        <w:rPr>
          <w:rFonts w:ascii="Calibri" w:hAnsi="Calibri"/>
          <w:sz w:val="22"/>
          <w:szCs w:val="22"/>
          <w:lang w:val="es-AR"/>
        </w:rPr>
        <w:t xml:space="preserve">de la misma. Respecto de la investigación, tampoco se registran avances sustantivos. </w:t>
      </w:r>
    </w:p>
    <w:p w:rsidR="00A451C9" w:rsidRDefault="00A451C9" w:rsidP="00A451C9">
      <w:pPr>
        <w:ind w:firstLine="720"/>
        <w:jc w:val="both"/>
        <w:rPr>
          <w:rFonts w:ascii="Calibri" w:hAnsi="Calibri"/>
          <w:sz w:val="22"/>
          <w:szCs w:val="22"/>
          <w:lang w:val="es-AR"/>
        </w:rPr>
      </w:pPr>
    </w:p>
    <w:p w:rsidR="00A451C9" w:rsidRPr="00125867" w:rsidRDefault="00A451C9" w:rsidP="00A451C9">
      <w:pPr>
        <w:ind w:firstLine="720"/>
        <w:jc w:val="both"/>
        <w:rPr>
          <w:rFonts w:ascii="Calibri" w:hAnsi="Calibri"/>
          <w:sz w:val="22"/>
          <w:szCs w:val="22"/>
          <w:lang w:val="es-AR"/>
        </w:rPr>
      </w:pPr>
      <w:r>
        <w:rPr>
          <w:rFonts w:ascii="Calibri" w:hAnsi="Calibri"/>
          <w:sz w:val="22"/>
          <w:szCs w:val="22"/>
          <w:lang w:val="es-AR"/>
        </w:rPr>
        <w:t xml:space="preserve">En consecuencia, </w:t>
      </w:r>
      <w:r w:rsidRPr="009433F4">
        <w:rPr>
          <w:rFonts w:ascii="Calibri" w:hAnsi="Calibri"/>
          <w:sz w:val="22"/>
          <w:szCs w:val="22"/>
          <w:lang w:val="es-AR"/>
        </w:rPr>
        <w:t>la Comisión decidió someter el presente caso a la jurisdicción de la Corte Interamericana por la necesidad de obtención de justicia para la</w:t>
      </w:r>
      <w:r w:rsidR="00B27321">
        <w:rPr>
          <w:rFonts w:ascii="Calibri" w:hAnsi="Calibri"/>
          <w:sz w:val="22"/>
          <w:szCs w:val="22"/>
          <w:lang w:val="es-AR"/>
        </w:rPr>
        <w:t xml:space="preserve"> víctima ante la falta de cumplimiento de las recomendaciones por parte del Estado de Perú. </w:t>
      </w:r>
      <w:r w:rsidRPr="009433F4">
        <w:rPr>
          <w:rFonts w:ascii="Calibri" w:hAnsi="Calibri"/>
          <w:sz w:val="22"/>
          <w:szCs w:val="22"/>
        </w:rPr>
        <w:t>La Comisión Interamericana somete a la jurisdicción de la Corte la totalidad de los hechos y violaciones de derechos humanos des</w:t>
      </w:r>
      <w:r>
        <w:rPr>
          <w:rFonts w:ascii="Calibri" w:hAnsi="Calibri"/>
          <w:sz w:val="22"/>
          <w:szCs w:val="22"/>
        </w:rPr>
        <w:t xml:space="preserve">critos en el informe de fondo </w:t>
      </w:r>
      <w:r w:rsidR="00D855CE">
        <w:rPr>
          <w:rFonts w:ascii="Calibri" w:hAnsi="Calibri"/>
          <w:sz w:val="22"/>
          <w:szCs w:val="22"/>
        </w:rPr>
        <w:t>57</w:t>
      </w:r>
      <w:r w:rsidRPr="009433F4">
        <w:rPr>
          <w:rFonts w:ascii="Calibri" w:hAnsi="Calibri"/>
          <w:sz w:val="22"/>
          <w:szCs w:val="22"/>
        </w:rPr>
        <w:t>/1</w:t>
      </w:r>
      <w:r w:rsidR="00D855CE">
        <w:rPr>
          <w:rFonts w:ascii="Calibri" w:hAnsi="Calibri"/>
          <w:sz w:val="22"/>
          <w:szCs w:val="22"/>
        </w:rPr>
        <w:t>2</w:t>
      </w:r>
      <w:r w:rsidRPr="009433F4">
        <w:rPr>
          <w:rFonts w:ascii="Calibri" w:hAnsi="Calibri"/>
          <w:sz w:val="22"/>
          <w:szCs w:val="22"/>
        </w:rPr>
        <w:t xml:space="preserve">. </w:t>
      </w:r>
    </w:p>
    <w:p w:rsidR="00A451C9" w:rsidRDefault="00A451C9" w:rsidP="00A451C9">
      <w:pPr>
        <w:tabs>
          <w:tab w:val="left" w:pos="0"/>
        </w:tabs>
        <w:ind w:firstLine="720"/>
        <w:jc w:val="both"/>
        <w:rPr>
          <w:rFonts w:ascii="Calibri" w:hAnsi="Calibri"/>
          <w:sz w:val="22"/>
          <w:szCs w:val="22"/>
        </w:rPr>
      </w:pPr>
    </w:p>
    <w:p w:rsidR="00336F67" w:rsidRPr="00C63E10" w:rsidRDefault="00336F67" w:rsidP="00336F67">
      <w:pPr>
        <w:pStyle w:val="Textoindependiente"/>
        <w:ind w:right="90" w:firstLine="720"/>
        <w:rPr>
          <w:rFonts w:ascii="Calibri" w:hAnsi="Calibri" w:cs="Arial"/>
          <w:szCs w:val="22"/>
          <w:lang w:val="en-US"/>
        </w:rPr>
      </w:pPr>
      <w:r w:rsidRPr="00C63E10">
        <w:rPr>
          <w:rFonts w:ascii="Calibri" w:hAnsi="Calibri"/>
          <w:szCs w:val="22"/>
          <w:lang w:val="en-US"/>
        </w:rPr>
        <w:t xml:space="preserve">The Commission concluded that the </w:t>
      </w:r>
      <w:r w:rsidRPr="00C63E10">
        <w:rPr>
          <w:rFonts w:ascii="Calibri" w:hAnsi="Calibri" w:cs="TimesNewRoman"/>
          <w:szCs w:val="22"/>
          <w:lang w:val="en-US"/>
        </w:rPr>
        <w:t xml:space="preserve">Peruvian State is responsible for violation of the rights to humane treatment, personal liberty, judicial guarantees, freedom from </w:t>
      </w:r>
      <w:r w:rsidRPr="00C63E10">
        <w:rPr>
          <w:rFonts w:ascii="Calibri" w:hAnsi="Calibri" w:cs="TimesNewRoman"/>
          <w:i/>
          <w:szCs w:val="22"/>
          <w:lang w:val="en-US"/>
        </w:rPr>
        <w:t xml:space="preserve">ex post facto </w:t>
      </w:r>
      <w:r w:rsidRPr="00C63E10">
        <w:rPr>
          <w:rFonts w:ascii="Calibri" w:hAnsi="Calibri" w:cs="TimesNewRoman"/>
          <w:szCs w:val="22"/>
          <w:lang w:val="en-US"/>
        </w:rPr>
        <w:t xml:space="preserve">laws and non-retroactivity of the law, and judicial protection, recognized in articles 5, 7, 8, 9 and 25 of the American Convention, read in conjunction with the obligations established in articles 1(1) and 2 thereof, to the detriment of Mr. </w:t>
      </w:r>
      <w:r w:rsidRPr="00C63E10">
        <w:rPr>
          <w:rFonts w:ascii="Calibri" w:hAnsi="Calibri" w:cs="Arial"/>
          <w:szCs w:val="22"/>
          <w:lang w:val="en-US"/>
        </w:rPr>
        <w:t>Luís Antonio Galindo Cárdenas, and for violation of Article 5, to the detriment of his wife and son.</w:t>
      </w:r>
    </w:p>
    <w:p w:rsidR="00336F67" w:rsidRPr="00C63E10" w:rsidRDefault="00336F67" w:rsidP="00336F67">
      <w:pPr>
        <w:pStyle w:val="Textoindependiente"/>
        <w:ind w:right="90"/>
        <w:rPr>
          <w:rFonts w:ascii="Calibri" w:hAnsi="Calibri" w:cs="Arial"/>
          <w:szCs w:val="22"/>
          <w:lang w:val="en-US"/>
        </w:rPr>
      </w:pPr>
    </w:p>
    <w:p w:rsidR="005019E5" w:rsidRPr="00C63E10" w:rsidRDefault="005019E5" w:rsidP="005019E5">
      <w:pPr>
        <w:tabs>
          <w:tab w:val="left" w:pos="0"/>
        </w:tabs>
        <w:ind w:firstLine="720"/>
        <w:jc w:val="both"/>
        <w:rPr>
          <w:rFonts w:ascii="Calibri" w:hAnsi="Calibri"/>
          <w:sz w:val="22"/>
          <w:szCs w:val="22"/>
          <w:lang w:val="en-US"/>
        </w:rPr>
      </w:pPr>
      <w:r w:rsidRPr="00C63E10">
        <w:rPr>
          <w:rFonts w:ascii="Calibri" w:hAnsi="Calibri" w:cs="Arial"/>
          <w:sz w:val="22"/>
          <w:szCs w:val="22"/>
          <w:lang w:val="en-US"/>
        </w:rPr>
        <w:t xml:space="preserve">In consideration of those conclusions, the Commission request to the Court to </w:t>
      </w:r>
      <w:proofErr w:type="gramStart"/>
      <w:r w:rsidRPr="00C63E10">
        <w:rPr>
          <w:rFonts w:ascii="Calibri" w:hAnsi="Calibri" w:cs="Arial"/>
          <w:sz w:val="22"/>
          <w:szCs w:val="22"/>
          <w:lang w:val="en-US"/>
        </w:rPr>
        <w:t>recommended</w:t>
      </w:r>
      <w:proofErr w:type="gramEnd"/>
      <w:r w:rsidRPr="00C63E10">
        <w:rPr>
          <w:rFonts w:ascii="Calibri" w:hAnsi="Calibri" w:cs="Arial"/>
          <w:sz w:val="22"/>
          <w:szCs w:val="22"/>
          <w:lang w:val="en-US"/>
        </w:rPr>
        <w:t xml:space="preserve"> that the State:</w:t>
      </w:r>
    </w:p>
    <w:p w:rsidR="005019E5" w:rsidRPr="00C63E10" w:rsidRDefault="005019E5" w:rsidP="005019E5">
      <w:pPr>
        <w:jc w:val="both"/>
        <w:rPr>
          <w:rFonts w:ascii="Calibri" w:hAnsi="Calibri" w:cs="Arial"/>
          <w:b/>
          <w:sz w:val="22"/>
          <w:szCs w:val="22"/>
          <w:lang w:val="en-US"/>
        </w:rPr>
      </w:pPr>
    </w:p>
    <w:p w:rsidR="005019E5" w:rsidRPr="00C63E10" w:rsidRDefault="005019E5" w:rsidP="005019E5">
      <w:pPr>
        <w:numPr>
          <w:ilvl w:val="0"/>
          <w:numId w:val="3"/>
        </w:numPr>
        <w:tabs>
          <w:tab w:val="num" w:pos="720"/>
          <w:tab w:val="left" w:pos="1080"/>
        </w:tabs>
        <w:ind w:left="720" w:right="720" w:firstLine="0"/>
        <w:jc w:val="both"/>
        <w:rPr>
          <w:rFonts w:ascii="Calibri" w:hAnsi="Calibri"/>
          <w:sz w:val="22"/>
          <w:szCs w:val="22"/>
          <w:lang w:val="en-US"/>
        </w:rPr>
      </w:pPr>
      <w:r w:rsidRPr="00C63E10">
        <w:rPr>
          <w:rFonts w:ascii="Calibri" w:hAnsi="Calibri"/>
          <w:sz w:val="22"/>
          <w:szCs w:val="22"/>
          <w:lang w:val="en-US"/>
        </w:rPr>
        <w:t xml:space="preserve">Order that full reparations be made to Mr. Luis Antonio Galindo Cárdenas for the human rights violations found in the present report.  These reparations should include pecuniary and non-pecuniary damages.  If the victim so desires, order the necessary measures of rehabilitation for his and his family members’ mental health. </w:t>
      </w:r>
    </w:p>
    <w:p w:rsidR="005019E5" w:rsidRPr="00C63E10" w:rsidRDefault="005019E5" w:rsidP="005019E5">
      <w:pPr>
        <w:tabs>
          <w:tab w:val="left" w:pos="1080"/>
        </w:tabs>
        <w:ind w:left="720" w:right="720"/>
        <w:jc w:val="both"/>
        <w:rPr>
          <w:rFonts w:ascii="Calibri" w:hAnsi="Calibri"/>
          <w:sz w:val="22"/>
          <w:szCs w:val="22"/>
          <w:lang w:val="en-US"/>
        </w:rPr>
      </w:pPr>
    </w:p>
    <w:p w:rsidR="005019E5" w:rsidRPr="00C63E10" w:rsidRDefault="005019E5" w:rsidP="005019E5">
      <w:pPr>
        <w:numPr>
          <w:ilvl w:val="0"/>
          <w:numId w:val="3"/>
        </w:numPr>
        <w:tabs>
          <w:tab w:val="num" w:pos="720"/>
          <w:tab w:val="left" w:pos="1080"/>
        </w:tabs>
        <w:ind w:left="720" w:right="720" w:firstLine="0"/>
        <w:jc w:val="both"/>
        <w:rPr>
          <w:rFonts w:ascii="Calibri" w:hAnsi="Calibri"/>
          <w:sz w:val="22"/>
          <w:szCs w:val="22"/>
          <w:lang w:val="en-US"/>
        </w:rPr>
      </w:pPr>
      <w:r w:rsidRPr="00C63E10">
        <w:rPr>
          <w:rFonts w:ascii="Calibri" w:hAnsi="Calibri"/>
          <w:sz w:val="22"/>
          <w:szCs w:val="22"/>
          <w:lang w:val="en-US"/>
        </w:rPr>
        <w:t>Conduct an impartial and effective investigation within a reasonable period of time, to fully clarify the facts that constitute violations of the American Convention, to identify the intellectual and material authors of those violations and imposed the corresponding sanctions.</w:t>
      </w:r>
    </w:p>
    <w:p w:rsidR="005019E5" w:rsidRPr="00C63E10" w:rsidRDefault="005019E5" w:rsidP="005019E5">
      <w:pPr>
        <w:tabs>
          <w:tab w:val="num" w:pos="720"/>
          <w:tab w:val="left" w:pos="1080"/>
        </w:tabs>
        <w:ind w:left="720" w:right="720"/>
        <w:jc w:val="both"/>
        <w:rPr>
          <w:rFonts w:ascii="Calibri" w:hAnsi="Calibri"/>
          <w:sz w:val="22"/>
          <w:szCs w:val="22"/>
          <w:lang w:val="en-US"/>
        </w:rPr>
      </w:pPr>
    </w:p>
    <w:p w:rsidR="005019E5" w:rsidRPr="00C63E10" w:rsidRDefault="005019E5" w:rsidP="005019E5">
      <w:pPr>
        <w:numPr>
          <w:ilvl w:val="0"/>
          <w:numId w:val="3"/>
        </w:numPr>
        <w:tabs>
          <w:tab w:val="num" w:pos="720"/>
          <w:tab w:val="left" w:pos="1080"/>
        </w:tabs>
        <w:ind w:left="720" w:right="720" w:firstLine="0"/>
        <w:jc w:val="both"/>
        <w:rPr>
          <w:rFonts w:ascii="Calibri" w:hAnsi="Calibri"/>
          <w:sz w:val="22"/>
          <w:szCs w:val="22"/>
          <w:lang w:val="en-US"/>
        </w:rPr>
      </w:pPr>
      <w:r w:rsidRPr="00C63E10">
        <w:rPr>
          <w:rFonts w:ascii="Calibri" w:hAnsi="Calibri"/>
          <w:sz w:val="22"/>
          <w:szCs w:val="22"/>
          <w:lang w:val="en-US"/>
        </w:rPr>
        <w:t>Order the corresponding administrative, disciplinary or criminal measures with respect to the actions or omissions of the state officials who had a hand in denying justice in this case and allowing the facts of the case to go unpunished.</w:t>
      </w:r>
    </w:p>
    <w:p w:rsidR="005019E5" w:rsidRPr="00C63E10" w:rsidRDefault="005019E5" w:rsidP="005019E5">
      <w:pPr>
        <w:tabs>
          <w:tab w:val="left" w:pos="1080"/>
        </w:tabs>
        <w:ind w:left="720" w:right="720"/>
        <w:jc w:val="both"/>
        <w:rPr>
          <w:rFonts w:ascii="Calibri" w:hAnsi="Calibri"/>
          <w:sz w:val="22"/>
          <w:szCs w:val="22"/>
          <w:lang w:val="en-US"/>
        </w:rPr>
      </w:pPr>
    </w:p>
    <w:p w:rsidR="005019E5" w:rsidRPr="00C63E10" w:rsidRDefault="005019E5" w:rsidP="005019E5">
      <w:pPr>
        <w:numPr>
          <w:ilvl w:val="0"/>
          <w:numId w:val="3"/>
        </w:numPr>
        <w:tabs>
          <w:tab w:val="num" w:pos="720"/>
          <w:tab w:val="left" w:pos="1080"/>
        </w:tabs>
        <w:ind w:left="720" w:right="720" w:firstLine="0"/>
        <w:jc w:val="both"/>
        <w:rPr>
          <w:rFonts w:ascii="Calibri" w:hAnsi="Calibri"/>
          <w:sz w:val="22"/>
          <w:szCs w:val="22"/>
          <w:lang w:val="en-US"/>
        </w:rPr>
      </w:pPr>
      <w:r w:rsidRPr="00C63E10">
        <w:rPr>
          <w:rFonts w:ascii="Calibri" w:hAnsi="Calibri"/>
          <w:sz w:val="22"/>
          <w:szCs w:val="22"/>
          <w:lang w:val="en-US"/>
        </w:rPr>
        <w:t xml:space="preserve">As the Commission has established that the case against then judge Galindo was illegal and arbitrary and based on facts that could not engender criminal liability, the Commission is recommending to the State that it nullify the Declaration of Repentance and all its legal effects.        </w:t>
      </w:r>
    </w:p>
    <w:p w:rsidR="00BE654A" w:rsidRPr="005019E5" w:rsidRDefault="00BE654A" w:rsidP="00A451C9">
      <w:pPr>
        <w:autoSpaceDE w:val="0"/>
        <w:autoSpaceDN w:val="0"/>
        <w:adjustRightInd w:val="0"/>
        <w:ind w:firstLine="720"/>
        <w:jc w:val="both"/>
        <w:rPr>
          <w:rFonts w:ascii="Calibri" w:hAnsi="Calibri" w:cs="Arial"/>
          <w:sz w:val="22"/>
          <w:szCs w:val="22"/>
          <w:lang w:val="en-US"/>
        </w:rPr>
      </w:pPr>
    </w:p>
    <w:p w:rsidR="00A655E3" w:rsidRDefault="00A451C9" w:rsidP="00A451C9">
      <w:pPr>
        <w:autoSpaceDE w:val="0"/>
        <w:autoSpaceDN w:val="0"/>
        <w:adjustRightInd w:val="0"/>
        <w:ind w:firstLine="720"/>
        <w:jc w:val="both"/>
        <w:rPr>
          <w:rFonts w:ascii="Calibri" w:hAnsi="Calibri" w:cs="Arial"/>
          <w:sz w:val="22"/>
          <w:szCs w:val="22"/>
          <w:lang w:val="es-CL"/>
        </w:rPr>
      </w:pPr>
      <w:r w:rsidRPr="00A13E58">
        <w:rPr>
          <w:rFonts w:ascii="Calibri" w:hAnsi="Calibri" w:cs="Arial"/>
          <w:sz w:val="22"/>
          <w:szCs w:val="22"/>
          <w:lang w:val="es-CL"/>
        </w:rPr>
        <w:t>Además de la necesidad de obtención de justicia, la Comisión considera que el caso presenta cuestiones de orden público i</w:t>
      </w:r>
      <w:r w:rsidR="003C729B">
        <w:rPr>
          <w:rFonts w:ascii="Calibri" w:hAnsi="Calibri" w:cs="Arial"/>
          <w:sz w:val="22"/>
          <w:szCs w:val="22"/>
          <w:lang w:val="es-CL"/>
        </w:rPr>
        <w:t xml:space="preserve">nteramericano. </w:t>
      </w:r>
    </w:p>
    <w:p w:rsidR="00A655E3" w:rsidRDefault="00A655E3" w:rsidP="00A451C9">
      <w:pPr>
        <w:autoSpaceDE w:val="0"/>
        <w:autoSpaceDN w:val="0"/>
        <w:adjustRightInd w:val="0"/>
        <w:ind w:firstLine="720"/>
        <w:jc w:val="both"/>
        <w:rPr>
          <w:rFonts w:ascii="Calibri" w:hAnsi="Calibri" w:cs="Arial"/>
          <w:sz w:val="22"/>
          <w:szCs w:val="22"/>
          <w:lang w:val="es-CL"/>
        </w:rPr>
      </w:pPr>
    </w:p>
    <w:p w:rsidR="00B73542" w:rsidRDefault="003C729B" w:rsidP="00B73542">
      <w:pPr>
        <w:autoSpaceDE w:val="0"/>
        <w:autoSpaceDN w:val="0"/>
        <w:adjustRightInd w:val="0"/>
        <w:ind w:firstLine="720"/>
        <w:jc w:val="both"/>
        <w:rPr>
          <w:rFonts w:ascii="Calibri" w:hAnsi="Calibri" w:cs="Arial"/>
          <w:sz w:val="22"/>
          <w:szCs w:val="22"/>
          <w:lang w:val="es-CL"/>
        </w:rPr>
      </w:pPr>
      <w:r>
        <w:rPr>
          <w:rFonts w:ascii="Calibri" w:hAnsi="Calibri" w:cs="Arial"/>
          <w:sz w:val="22"/>
          <w:szCs w:val="22"/>
          <w:lang w:val="es-CL"/>
        </w:rPr>
        <w:t xml:space="preserve">Por una parte, el caso presenta un supuesto de criminalización de una actividad legítima como lo es el ejercicio de la abogacía y, en particular, de la defensa técnica de personas procesadas penalmente por el delito de terrorismo. La Honorable Corte ya tuvo la oportunidad de pronunciarse sobre una criminalización similar en el caso </w:t>
      </w:r>
      <w:r>
        <w:rPr>
          <w:rFonts w:ascii="Calibri" w:hAnsi="Calibri" w:cs="Arial"/>
          <w:i/>
          <w:sz w:val="22"/>
          <w:szCs w:val="22"/>
          <w:lang w:val="es-CL"/>
        </w:rPr>
        <w:t xml:space="preserve">De la Cruz Flores vs. Perú, </w:t>
      </w:r>
      <w:r>
        <w:rPr>
          <w:rFonts w:ascii="Calibri" w:hAnsi="Calibri" w:cs="Arial"/>
          <w:sz w:val="22"/>
          <w:szCs w:val="22"/>
          <w:lang w:val="es-CL"/>
        </w:rPr>
        <w:t xml:space="preserve">en lo relativo a los actos médicos. La Comisión considera que el eventual pronunciamiento de la Honorable Corte sobre la prohibición de criminalizar el ejercicio de la defensa técnica de una persona, permitirá un desarrollo jurisprudencial novedoso y ofrecerá parámetros a los Estados a fin de que sus normas, políticas y prácticas antiterroristas, no resulten en la criminalización de actividades legítimas. </w:t>
      </w:r>
    </w:p>
    <w:p w:rsidR="00B73542" w:rsidRDefault="00B73542" w:rsidP="00B73542">
      <w:pPr>
        <w:autoSpaceDE w:val="0"/>
        <w:autoSpaceDN w:val="0"/>
        <w:adjustRightInd w:val="0"/>
        <w:ind w:firstLine="720"/>
        <w:jc w:val="both"/>
        <w:rPr>
          <w:rFonts w:ascii="Calibri" w:hAnsi="Calibri" w:cs="Arial"/>
          <w:sz w:val="22"/>
          <w:szCs w:val="22"/>
          <w:lang w:val="es-CL"/>
        </w:rPr>
      </w:pPr>
    </w:p>
    <w:p w:rsidR="00A655E3" w:rsidRPr="00B73542" w:rsidRDefault="00A655E3" w:rsidP="00B73542">
      <w:pPr>
        <w:autoSpaceDE w:val="0"/>
        <w:autoSpaceDN w:val="0"/>
        <w:adjustRightInd w:val="0"/>
        <w:ind w:firstLine="720"/>
        <w:jc w:val="both"/>
        <w:rPr>
          <w:rFonts w:ascii="Calibri" w:hAnsi="Calibri" w:cs="Arial"/>
          <w:sz w:val="22"/>
          <w:szCs w:val="22"/>
          <w:lang w:val="es-CL"/>
        </w:rPr>
      </w:pPr>
      <w:r>
        <w:rPr>
          <w:rFonts w:ascii="Calibri" w:hAnsi="Calibri"/>
          <w:sz w:val="22"/>
          <w:szCs w:val="22"/>
          <w:lang w:val="es-ES_tradnl"/>
        </w:rPr>
        <w:t xml:space="preserve">Por otra parte, en el presente caso tuvo aplicación una norma denominada Ley de Arrepentimiento, </w:t>
      </w:r>
      <w:r w:rsidR="002B75E2">
        <w:rPr>
          <w:rFonts w:ascii="Calibri" w:hAnsi="Calibri"/>
          <w:sz w:val="22"/>
          <w:szCs w:val="22"/>
          <w:lang w:val="es-ES_tradnl"/>
        </w:rPr>
        <w:t xml:space="preserve">cuyo objeto era </w:t>
      </w:r>
      <w:r>
        <w:rPr>
          <w:rFonts w:ascii="Calibri" w:hAnsi="Calibri"/>
          <w:sz w:val="22"/>
          <w:szCs w:val="22"/>
          <w:lang w:val="es-ES_tradnl"/>
        </w:rPr>
        <w:t xml:space="preserve">recabar la mayor información </w:t>
      </w:r>
      <w:r w:rsidR="00E32CAD">
        <w:rPr>
          <w:rFonts w:ascii="Calibri" w:hAnsi="Calibri"/>
          <w:sz w:val="22"/>
          <w:szCs w:val="22"/>
          <w:lang w:val="es-ES_tradnl"/>
        </w:rPr>
        <w:t>sobre el</w:t>
      </w:r>
      <w:r>
        <w:rPr>
          <w:rFonts w:ascii="Calibri" w:hAnsi="Calibri"/>
          <w:sz w:val="22"/>
          <w:szCs w:val="22"/>
          <w:lang w:val="es-ES_tradnl"/>
        </w:rPr>
        <w:t xml:space="preserve"> funcionamiento</w:t>
      </w:r>
      <w:r w:rsidR="00E32CAD">
        <w:rPr>
          <w:rFonts w:ascii="Calibri" w:hAnsi="Calibri"/>
          <w:sz w:val="22"/>
          <w:szCs w:val="22"/>
          <w:lang w:val="es-ES_tradnl"/>
        </w:rPr>
        <w:t xml:space="preserve"> y composición de los grupos terroristas.</w:t>
      </w:r>
      <w:r>
        <w:rPr>
          <w:rFonts w:ascii="Calibri" w:hAnsi="Calibri"/>
          <w:sz w:val="22"/>
          <w:szCs w:val="22"/>
          <w:lang w:val="es-ES_tradnl"/>
        </w:rPr>
        <w:t xml:space="preserve"> </w:t>
      </w:r>
      <w:r w:rsidR="00B73542">
        <w:rPr>
          <w:rFonts w:ascii="Calibri" w:hAnsi="Calibri"/>
          <w:sz w:val="22"/>
          <w:szCs w:val="22"/>
          <w:lang w:val="es-ES_tradnl"/>
        </w:rPr>
        <w:t>La Comisión considera que los hechos del presente caso reflejan la manera en</w:t>
      </w:r>
      <w:r w:rsidR="00C360D4">
        <w:rPr>
          <w:rFonts w:ascii="Calibri" w:hAnsi="Calibri"/>
          <w:sz w:val="22"/>
          <w:szCs w:val="22"/>
          <w:lang w:val="es-ES_tradnl"/>
        </w:rPr>
        <w:t xml:space="preserve"> que</w:t>
      </w:r>
      <w:r w:rsidR="00BC2287">
        <w:rPr>
          <w:rFonts w:ascii="Calibri" w:hAnsi="Calibri"/>
          <w:sz w:val="22"/>
          <w:szCs w:val="22"/>
          <w:lang w:val="es-ES_tradnl"/>
        </w:rPr>
        <w:t xml:space="preserve"> el</w:t>
      </w:r>
      <w:r w:rsidR="00B73542">
        <w:rPr>
          <w:rFonts w:ascii="Calibri" w:hAnsi="Calibri"/>
          <w:sz w:val="22"/>
          <w:szCs w:val="22"/>
          <w:lang w:val="es-ES_tradnl"/>
        </w:rPr>
        <w:t xml:space="preserve"> diseño e implementación</w:t>
      </w:r>
      <w:r w:rsidR="00BC2287">
        <w:rPr>
          <w:rFonts w:ascii="Calibri" w:hAnsi="Calibri"/>
          <w:sz w:val="22"/>
          <w:szCs w:val="22"/>
          <w:lang w:val="es-ES_tradnl"/>
        </w:rPr>
        <w:t xml:space="preserve"> de la norma</w:t>
      </w:r>
      <w:r w:rsidR="00B73542">
        <w:rPr>
          <w:rFonts w:ascii="Calibri" w:hAnsi="Calibri"/>
          <w:sz w:val="22"/>
          <w:szCs w:val="22"/>
          <w:lang w:val="es-ES_tradnl"/>
        </w:rPr>
        <w:t xml:space="preserve"> no se ajust</w:t>
      </w:r>
      <w:r w:rsidR="00BC2287">
        <w:rPr>
          <w:rFonts w:ascii="Calibri" w:hAnsi="Calibri"/>
          <w:sz w:val="22"/>
          <w:szCs w:val="22"/>
          <w:lang w:val="es-ES_tradnl"/>
        </w:rPr>
        <w:t>ó</w:t>
      </w:r>
      <w:r w:rsidR="00B73542">
        <w:rPr>
          <w:rFonts w:ascii="Calibri" w:hAnsi="Calibri"/>
          <w:sz w:val="22"/>
          <w:szCs w:val="22"/>
          <w:lang w:val="es-ES_tradnl"/>
        </w:rPr>
        <w:t xml:space="preserve"> a los estándares internacionales de derechos humanos. En ese sentido, la Comisión considera que el presente caso permitirá a la Corte el desarrollo de jurisprudencia en materia de las garantías sustantivas y procesales derivadas de los artículos 7 y 8 de la Convención, en el marco específico de normas de esta naturaleza. Este análisis de la Corte resulta particularmente relevante tomando en cuenta que este tipo de normativas de arrepentimiento y equivalentes resultan comunes en los ordenamientos jurídicos de los Estados que pretenden enfrentar el terrorismo u otros delitos graves.</w:t>
      </w:r>
    </w:p>
    <w:p w:rsidR="00A655E3" w:rsidRPr="00773B26" w:rsidRDefault="00A655E3" w:rsidP="003C729B">
      <w:pPr>
        <w:autoSpaceDE w:val="0"/>
        <w:autoSpaceDN w:val="0"/>
        <w:adjustRightInd w:val="0"/>
        <w:ind w:left="480" w:right="480"/>
        <w:jc w:val="both"/>
        <w:rPr>
          <w:rFonts w:ascii="Calibri" w:hAnsi="Calibri"/>
          <w:i/>
          <w:sz w:val="22"/>
          <w:szCs w:val="22"/>
          <w:lang w:val="es-ES_tradnl"/>
        </w:rPr>
      </w:pPr>
    </w:p>
    <w:p w:rsidR="00A451C9" w:rsidRPr="00A13E58" w:rsidRDefault="00A451C9" w:rsidP="00A451C9">
      <w:pPr>
        <w:autoSpaceDE w:val="0"/>
        <w:autoSpaceDN w:val="0"/>
        <w:adjustRightInd w:val="0"/>
        <w:ind w:firstLine="720"/>
        <w:jc w:val="both"/>
        <w:rPr>
          <w:rFonts w:ascii="Calibri" w:hAnsi="Calibri" w:cs="Arial"/>
          <w:sz w:val="22"/>
          <w:szCs w:val="22"/>
          <w:lang w:val="es-CL"/>
        </w:rPr>
      </w:pPr>
      <w:r w:rsidRPr="00A13E58">
        <w:rPr>
          <w:rFonts w:ascii="Calibri" w:hAnsi="Calibri" w:cs="Arial"/>
          <w:sz w:val="22"/>
          <w:szCs w:val="22"/>
          <w:lang w:val="es-CL"/>
        </w:rPr>
        <w:t>En virtud de que estas cuestiones afectan de manera relevante el orden público interamericano, de conformidad con el artículo 35.1 f) del Reglamento de la Corte Interamericana, la Comisión se permite ofrecer la</w:t>
      </w:r>
      <w:r w:rsidR="006F32C4">
        <w:rPr>
          <w:rFonts w:ascii="Calibri" w:hAnsi="Calibri" w:cs="Arial"/>
          <w:sz w:val="22"/>
          <w:szCs w:val="22"/>
          <w:lang w:val="es-CL"/>
        </w:rPr>
        <w:t>s</w:t>
      </w:r>
      <w:r w:rsidRPr="00A13E58">
        <w:rPr>
          <w:rFonts w:ascii="Calibri" w:hAnsi="Calibri" w:cs="Arial"/>
          <w:sz w:val="22"/>
          <w:szCs w:val="22"/>
          <w:lang w:val="es-CL"/>
        </w:rPr>
        <w:t xml:space="preserve"> siguiente</w:t>
      </w:r>
      <w:r w:rsidR="006F32C4">
        <w:rPr>
          <w:rFonts w:ascii="Calibri" w:hAnsi="Calibri" w:cs="Arial"/>
          <w:sz w:val="22"/>
          <w:szCs w:val="22"/>
          <w:lang w:val="es-CL"/>
        </w:rPr>
        <w:t>s</w:t>
      </w:r>
      <w:r w:rsidRPr="00A13E58">
        <w:rPr>
          <w:rFonts w:ascii="Calibri" w:hAnsi="Calibri" w:cs="Arial"/>
          <w:sz w:val="22"/>
          <w:szCs w:val="22"/>
          <w:lang w:val="es-CL"/>
        </w:rPr>
        <w:t xml:space="preserve"> declaraci</w:t>
      </w:r>
      <w:r w:rsidR="006F32C4">
        <w:rPr>
          <w:rFonts w:ascii="Calibri" w:hAnsi="Calibri" w:cs="Arial"/>
          <w:sz w:val="22"/>
          <w:szCs w:val="22"/>
          <w:lang w:val="es-CL"/>
        </w:rPr>
        <w:t>o</w:t>
      </w:r>
      <w:r w:rsidR="00C14EC4">
        <w:rPr>
          <w:rFonts w:ascii="Calibri" w:hAnsi="Calibri" w:cs="Arial"/>
          <w:sz w:val="22"/>
          <w:szCs w:val="22"/>
          <w:lang w:val="es-CL"/>
        </w:rPr>
        <w:t>n</w:t>
      </w:r>
      <w:r w:rsidR="006F32C4">
        <w:rPr>
          <w:rFonts w:ascii="Calibri" w:hAnsi="Calibri" w:cs="Arial"/>
          <w:sz w:val="22"/>
          <w:szCs w:val="22"/>
          <w:lang w:val="es-CL"/>
        </w:rPr>
        <w:t>es</w:t>
      </w:r>
      <w:r w:rsidRPr="00A13E58">
        <w:rPr>
          <w:rFonts w:ascii="Calibri" w:hAnsi="Calibri" w:cs="Arial"/>
          <w:sz w:val="22"/>
          <w:szCs w:val="22"/>
          <w:lang w:val="es-CL"/>
        </w:rPr>
        <w:t xml:space="preserve"> pericial</w:t>
      </w:r>
      <w:r w:rsidR="006F32C4">
        <w:rPr>
          <w:rFonts w:ascii="Calibri" w:hAnsi="Calibri" w:cs="Arial"/>
          <w:sz w:val="22"/>
          <w:szCs w:val="22"/>
          <w:lang w:val="es-CL"/>
        </w:rPr>
        <w:t>es</w:t>
      </w:r>
      <w:r w:rsidRPr="00A13E58">
        <w:rPr>
          <w:rFonts w:ascii="Calibri" w:hAnsi="Calibri" w:cs="Arial"/>
          <w:sz w:val="22"/>
          <w:szCs w:val="22"/>
          <w:lang w:val="es-CL"/>
        </w:rPr>
        <w:t xml:space="preserve">: </w:t>
      </w:r>
    </w:p>
    <w:p w:rsidR="00A451C9" w:rsidRPr="00C14EC4" w:rsidRDefault="00A451C9" w:rsidP="00A451C9">
      <w:pPr>
        <w:tabs>
          <w:tab w:val="left" w:pos="720"/>
          <w:tab w:val="left" w:pos="9000"/>
        </w:tabs>
        <w:ind w:firstLine="720"/>
        <w:jc w:val="both"/>
        <w:rPr>
          <w:rFonts w:ascii="Calibri" w:hAnsi="Calibri" w:cs="Arial"/>
          <w:sz w:val="22"/>
          <w:szCs w:val="22"/>
          <w:lang w:val="es-CL"/>
        </w:rPr>
      </w:pPr>
    </w:p>
    <w:p w:rsidR="00A451C9" w:rsidRDefault="00A451C9" w:rsidP="006E5191">
      <w:pPr>
        <w:numPr>
          <w:ilvl w:val="0"/>
          <w:numId w:val="1"/>
        </w:numPr>
        <w:tabs>
          <w:tab w:val="clear" w:pos="1980"/>
          <w:tab w:val="num" w:pos="0"/>
          <w:tab w:val="left" w:pos="1080"/>
          <w:tab w:val="left" w:pos="1800"/>
        </w:tabs>
        <w:autoSpaceDE w:val="0"/>
        <w:autoSpaceDN w:val="0"/>
        <w:adjustRightInd w:val="0"/>
        <w:ind w:left="0" w:firstLine="720"/>
        <w:jc w:val="both"/>
        <w:rPr>
          <w:rFonts w:ascii="Calibri" w:hAnsi="Calibri" w:cs="Courier New"/>
          <w:sz w:val="22"/>
          <w:szCs w:val="22"/>
          <w:lang w:val="es-ES_tradnl"/>
        </w:rPr>
      </w:pPr>
      <w:r>
        <w:rPr>
          <w:rFonts w:ascii="Calibri" w:hAnsi="Calibri" w:cs="Courier New"/>
          <w:sz w:val="22"/>
          <w:szCs w:val="22"/>
          <w:lang w:val="es-ES_tradnl"/>
        </w:rPr>
        <w:t>Perito/a cuyo nombre será informado a la brevedad,</w:t>
      </w:r>
      <w:r w:rsidRPr="00A13E58">
        <w:rPr>
          <w:rFonts w:ascii="Calibri" w:hAnsi="Calibri" w:cs="Courier New"/>
          <w:sz w:val="22"/>
          <w:szCs w:val="22"/>
          <w:lang w:val="es-ES_tradnl"/>
        </w:rPr>
        <w:t xml:space="preserve"> quien declarará sobre </w:t>
      </w:r>
      <w:r w:rsidR="00C14EC4">
        <w:rPr>
          <w:rFonts w:ascii="Calibri" w:hAnsi="Calibri" w:cs="Courier New"/>
          <w:sz w:val="22"/>
          <w:szCs w:val="22"/>
          <w:lang w:val="es-ES_tradnl"/>
        </w:rPr>
        <w:t xml:space="preserve">los estándares internacionales de derechos humanos aplicables al análisis de normas, políticas y prácticas estatales </w:t>
      </w:r>
      <w:r w:rsidR="00C14EC4">
        <w:rPr>
          <w:rFonts w:ascii="Calibri" w:hAnsi="Calibri" w:cs="Courier New"/>
          <w:sz w:val="22"/>
          <w:szCs w:val="22"/>
          <w:lang w:val="es-ES_tradnl"/>
        </w:rPr>
        <w:lastRenderedPageBreak/>
        <w:t xml:space="preserve">antiterroristas, específicamente en lo relativo a la legislación y aplicación de normas de “arrepentimiento” o equivalentes, así como las salvaguardas necesarias para que dichas iniciativas cumplan con el objetivo propuesto </w:t>
      </w:r>
      <w:r w:rsidR="00B832B4">
        <w:rPr>
          <w:rFonts w:ascii="Calibri" w:hAnsi="Calibri" w:cs="Courier New"/>
          <w:sz w:val="22"/>
          <w:szCs w:val="22"/>
          <w:lang w:val="es-ES_tradnl"/>
        </w:rPr>
        <w:t xml:space="preserve">en apego a las obligaciones internacionales del Estado. En el desarrollo de su peritaje, el/la experto/a tomará en consideración el caso concreto. </w:t>
      </w:r>
    </w:p>
    <w:p w:rsidR="005D6A87" w:rsidRDefault="005D6A87" w:rsidP="006E5191">
      <w:pPr>
        <w:tabs>
          <w:tab w:val="num" w:pos="0"/>
          <w:tab w:val="left" w:pos="1080"/>
          <w:tab w:val="left" w:pos="1800"/>
        </w:tabs>
        <w:autoSpaceDE w:val="0"/>
        <w:autoSpaceDN w:val="0"/>
        <w:adjustRightInd w:val="0"/>
        <w:jc w:val="both"/>
        <w:rPr>
          <w:rFonts w:ascii="Calibri" w:hAnsi="Calibri" w:cs="Courier New"/>
          <w:sz w:val="22"/>
          <w:szCs w:val="22"/>
          <w:lang w:val="es-ES_tradnl"/>
        </w:rPr>
      </w:pPr>
    </w:p>
    <w:p w:rsidR="00B832B4" w:rsidRPr="00A13E58" w:rsidRDefault="006F32C4" w:rsidP="006E5191">
      <w:pPr>
        <w:numPr>
          <w:ilvl w:val="0"/>
          <w:numId w:val="1"/>
        </w:numPr>
        <w:tabs>
          <w:tab w:val="clear" w:pos="1980"/>
          <w:tab w:val="num" w:pos="0"/>
          <w:tab w:val="left" w:pos="1080"/>
          <w:tab w:val="left" w:pos="1800"/>
        </w:tabs>
        <w:autoSpaceDE w:val="0"/>
        <w:autoSpaceDN w:val="0"/>
        <w:adjustRightInd w:val="0"/>
        <w:ind w:left="0" w:firstLine="720"/>
        <w:jc w:val="both"/>
        <w:rPr>
          <w:rFonts w:ascii="Calibri" w:hAnsi="Calibri" w:cs="Courier New"/>
          <w:sz w:val="22"/>
          <w:szCs w:val="22"/>
          <w:lang w:val="es-ES_tradnl"/>
        </w:rPr>
      </w:pPr>
      <w:r>
        <w:rPr>
          <w:rFonts w:ascii="Calibri" w:hAnsi="Calibri" w:cs="Courier New"/>
          <w:sz w:val="22"/>
          <w:szCs w:val="22"/>
          <w:lang w:val="es-ES_tradnl"/>
        </w:rPr>
        <w:t xml:space="preserve">Perito/a cuyo nombre será informado a la brevedad, quien declarará sobre </w:t>
      </w:r>
      <w:r w:rsidR="002A6A32">
        <w:rPr>
          <w:rFonts w:ascii="Calibri" w:hAnsi="Calibri" w:cs="Courier New"/>
          <w:sz w:val="22"/>
          <w:szCs w:val="22"/>
          <w:lang w:val="es-ES_tradnl"/>
        </w:rPr>
        <w:t>las afectaciones a derechos humanos derivadas de la criminalización de actividades legítimas en el marco de la lucha antiterrorista de los Estados. El/la perito/a hará particular referencia</w:t>
      </w:r>
      <w:r w:rsidR="00C360D4">
        <w:rPr>
          <w:rFonts w:ascii="Calibri" w:hAnsi="Calibri" w:cs="Courier New"/>
          <w:sz w:val="22"/>
          <w:szCs w:val="22"/>
          <w:lang w:val="es-ES_tradnl"/>
        </w:rPr>
        <w:t xml:space="preserve"> a</w:t>
      </w:r>
      <w:r w:rsidR="002A6A32">
        <w:rPr>
          <w:rFonts w:ascii="Calibri" w:hAnsi="Calibri" w:cs="Courier New"/>
          <w:sz w:val="22"/>
          <w:szCs w:val="22"/>
          <w:lang w:val="es-ES_tradnl"/>
        </w:rPr>
        <w:t xml:space="preserve"> los estándares que </w:t>
      </w:r>
      <w:r w:rsidR="007D665F">
        <w:rPr>
          <w:rFonts w:ascii="Calibri" w:hAnsi="Calibri" w:cs="Courier New"/>
          <w:sz w:val="22"/>
          <w:szCs w:val="22"/>
          <w:lang w:val="es-ES_tradnl"/>
        </w:rPr>
        <w:t xml:space="preserve">sería relevante que sean </w:t>
      </w:r>
      <w:r w:rsidR="002A6A32">
        <w:rPr>
          <w:rFonts w:ascii="Calibri" w:hAnsi="Calibri" w:cs="Courier New"/>
          <w:sz w:val="22"/>
          <w:szCs w:val="22"/>
          <w:lang w:val="es-ES_tradnl"/>
        </w:rPr>
        <w:t>tomados en cuenta por la Honorable Corte al momento de evaluar un supuesto de criminalización del ejercicio de la defensa técnica. Finalmente, el/la experto/a tomará en consideración</w:t>
      </w:r>
      <w:r w:rsidR="006D5453">
        <w:rPr>
          <w:rFonts w:ascii="Calibri" w:hAnsi="Calibri" w:cs="Courier New"/>
          <w:sz w:val="22"/>
          <w:szCs w:val="22"/>
          <w:lang w:val="es-ES_tradnl"/>
        </w:rPr>
        <w:t xml:space="preserve"> el uso de tipos penales amplios sobre actos de terrorismo o colaboración con el terrorismo, como instrumento para efectuar tal criminalización. En su análisis el/la perito/a tomará en cuenta el caso concreto. </w:t>
      </w:r>
    </w:p>
    <w:p w:rsidR="00A451C9" w:rsidRPr="00A13E58" w:rsidRDefault="00A451C9" w:rsidP="00A451C9">
      <w:pPr>
        <w:autoSpaceDE w:val="0"/>
        <w:autoSpaceDN w:val="0"/>
        <w:adjustRightInd w:val="0"/>
        <w:ind w:firstLine="720"/>
        <w:jc w:val="both"/>
        <w:rPr>
          <w:rFonts w:ascii="Calibri" w:hAnsi="Calibri" w:cs="Courier New"/>
          <w:sz w:val="22"/>
          <w:szCs w:val="22"/>
          <w:lang w:val="es-ES_tradnl"/>
        </w:rPr>
      </w:pPr>
    </w:p>
    <w:p w:rsidR="00A451C9" w:rsidRPr="009433F4" w:rsidRDefault="00F95FC9" w:rsidP="00A451C9">
      <w:pPr>
        <w:tabs>
          <w:tab w:val="left" w:pos="0"/>
        </w:tabs>
        <w:ind w:firstLine="720"/>
        <w:jc w:val="both"/>
        <w:rPr>
          <w:rFonts w:ascii="Calibri" w:hAnsi="Calibri"/>
          <w:sz w:val="22"/>
          <w:szCs w:val="22"/>
        </w:rPr>
      </w:pPr>
      <w:r>
        <w:rPr>
          <w:rFonts w:ascii="Calibri" w:hAnsi="Calibri"/>
          <w:sz w:val="22"/>
          <w:szCs w:val="22"/>
          <w:lang w:val="es-AR"/>
        </w:rPr>
        <w:t>El</w:t>
      </w:r>
      <w:r w:rsidR="00A451C9">
        <w:rPr>
          <w:rFonts w:ascii="Calibri" w:hAnsi="Calibri"/>
          <w:sz w:val="22"/>
          <w:szCs w:val="22"/>
          <w:lang w:val="es-AR"/>
        </w:rPr>
        <w:t xml:space="preserve"> CV d</w:t>
      </w:r>
      <w:r w:rsidR="00A451C9" w:rsidRPr="009433F4">
        <w:rPr>
          <w:rFonts w:ascii="Calibri" w:hAnsi="Calibri"/>
          <w:sz w:val="22"/>
          <w:szCs w:val="22"/>
        </w:rPr>
        <w:t>e</w:t>
      </w:r>
      <w:r w:rsidR="00E83287">
        <w:rPr>
          <w:rFonts w:ascii="Calibri" w:hAnsi="Calibri"/>
          <w:sz w:val="22"/>
          <w:szCs w:val="22"/>
        </w:rPr>
        <w:t xml:space="preserve"> </w:t>
      </w:r>
      <w:r w:rsidR="00A451C9" w:rsidRPr="009433F4">
        <w:rPr>
          <w:rFonts w:ascii="Calibri" w:hAnsi="Calibri"/>
          <w:sz w:val="22"/>
          <w:szCs w:val="22"/>
        </w:rPr>
        <w:t>l</w:t>
      </w:r>
      <w:r w:rsidR="00E83287">
        <w:rPr>
          <w:rFonts w:ascii="Calibri" w:hAnsi="Calibri"/>
          <w:sz w:val="22"/>
          <w:szCs w:val="22"/>
        </w:rPr>
        <w:t>os</w:t>
      </w:r>
      <w:r>
        <w:rPr>
          <w:rFonts w:ascii="Calibri" w:hAnsi="Calibri"/>
          <w:sz w:val="22"/>
          <w:szCs w:val="22"/>
        </w:rPr>
        <w:t xml:space="preserve"> </w:t>
      </w:r>
      <w:r w:rsidR="00A451C9" w:rsidRPr="009433F4">
        <w:rPr>
          <w:rFonts w:ascii="Calibri" w:hAnsi="Calibri"/>
          <w:sz w:val="22"/>
          <w:szCs w:val="22"/>
        </w:rPr>
        <w:t>perito</w:t>
      </w:r>
      <w:r w:rsidR="00E83287">
        <w:rPr>
          <w:rFonts w:ascii="Calibri" w:hAnsi="Calibri"/>
          <w:sz w:val="22"/>
          <w:szCs w:val="22"/>
        </w:rPr>
        <w:t>s/</w:t>
      </w:r>
      <w:r>
        <w:rPr>
          <w:rFonts w:ascii="Calibri" w:hAnsi="Calibri"/>
          <w:sz w:val="22"/>
          <w:szCs w:val="22"/>
        </w:rPr>
        <w:t>a</w:t>
      </w:r>
      <w:r w:rsidR="00E83287">
        <w:rPr>
          <w:rFonts w:ascii="Calibri" w:hAnsi="Calibri"/>
          <w:sz w:val="22"/>
          <w:szCs w:val="22"/>
        </w:rPr>
        <w:t>s</w:t>
      </w:r>
      <w:r>
        <w:rPr>
          <w:rFonts w:ascii="Calibri" w:hAnsi="Calibri"/>
          <w:sz w:val="22"/>
          <w:szCs w:val="22"/>
        </w:rPr>
        <w:t xml:space="preserve"> </w:t>
      </w:r>
      <w:r w:rsidR="00A451C9" w:rsidRPr="009433F4">
        <w:rPr>
          <w:rFonts w:ascii="Calibri" w:hAnsi="Calibri"/>
          <w:sz w:val="22"/>
          <w:szCs w:val="22"/>
        </w:rPr>
        <w:t>propuesto</w:t>
      </w:r>
      <w:r w:rsidR="00E83287">
        <w:rPr>
          <w:rFonts w:ascii="Calibri" w:hAnsi="Calibri"/>
          <w:sz w:val="22"/>
          <w:szCs w:val="22"/>
        </w:rPr>
        <w:t>s</w:t>
      </w:r>
      <w:r w:rsidR="00A451C9">
        <w:rPr>
          <w:rFonts w:ascii="Calibri" w:hAnsi="Calibri"/>
          <w:sz w:val="22"/>
          <w:szCs w:val="22"/>
        </w:rPr>
        <w:t>/a</w:t>
      </w:r>
      <w:r w:rsidR="00E83287">
        <w:rPr>
          <w:rFonts w:ascii="Calibri" w:hAnsi="Calibri"/>
          <w:sz w:val="22"/>
          <w:szCs w:val="22"/>
        </w:rPr>
        <w:t>s</w:t>
      </w:r>
      <w:r w:rsidR="00A451C9" w:rsidRPr="009433F4">
        <w:rPr>
          <w:rFonts w:ascii="Calibri" w:hAnsi="Calibri"/>
          <w:sz w:val="22"/>
          <w:szCs w:val="22"/>
        </w:rPr>
        <w:t xml:space="preserve"> será incluido en los anexos al informe d</w:t>
      </w:r>
      <w:r>
        <w:rPr>
          <w:rFonts w:ascii="Calibri" w:hAnsi="Calibri"/>
          <w:sz w:val="22"/>
          <w:szCs w:val="22"/>
        </w:rPr>
        <w:t>e fondo 57</w:t>
      </w:r>
      <w:r w:rsidR="00A451C9" w:rsidRPr="009433F4">
        <w:rPr>
          <w:rFonts w:ascii="Calibri" w:hAnsi="Calibri"/>
          <w:sz w:val="22"/>
          <w:szCs w:val="22"/>
        </w:rPr>
        <w:t>/</w:t>
      </w:r>
      <w:r>
        <w:rPr>
          <w:rFonts w:ascii="Calibri" w:hAnsi="Calibri"/>
          <w:sz w:val="22"/>
          <w:szCs w:val="22"/>
        </w:rPr>
        <w:t>12</w:t>
      </w:r>
      <w:r w:rsidR="00A451C9" w:rsidRPr="009433F4">
        <w:rPr>
          <w:rFonts w:ascii="Calibri" w:hAnsi="Calibri"/>
          <w:sz w:val="22"/>
          <w:szCs w:val="22"/>
        </w:rPr>
        <w:t xml:space="preserve">. </w:t>
      </w:r>
    </w:p>
    <w:p w:rsidR="00A451C9" w:rsidRPr="005D6A87" w:rsidRDefault="00A451C9" w:rsidP="00A451C9">
      <w:pPr>
        <w:pStyle w:val="Default"/>
        <w:tabs>
          <w:tab w:val="left" w:pos="0"/>
        </w:tabs>
        <w:ind w:firstLine="720"/>
        <w:jc w:val="both"/>
        <w:rPr>
          <w:rFonts w:ascii="Calibri" w:hAnsi="Calibri"/>
          <w:sz w:val="22"/>
          <w:szCs w:val="22"/>
          <w:lang w:val="es-ES"/>
        </w:rPr>
      </w:pPr>
    </w:p>
    <w:p w:rsidR="00A451C9" w:rsidRPr="009433F4" w:rsidRDefault="00A451C9" w:rsidP="00A451C9">
      <w:pPr>
        <w:pStyle w:val="Default"/>
        <w:tabs>
          <w:tab w:val="left" w:pos="0"/>
        </w:tabs>
        <w:ind w:firstLine="720"/>
        <w:jc w:val="both"/>
        <w:rPr>
          <w:rFonts w:ascii="Calibri" w:hAnsi="Calibri"/>
          <w:sz w:val="22"/>
          <w:szCs w:val="22"/>
          <w:lang w:val="es-ES_tradnl"/>
        </w:rPr>
      </w:pPr>
      <w:r w:rsidRPr="009433F4">
        <w:rPr>
          <w:rFonts w:ascii="Calibri" w:hAnsi="Calibri"/>
          <w:sz w:val="22"/>
          <w:szCs w:val="22"/>
          <w:lang w:val="es-ES_tradnl"/>
        </w:rPr>
        <w:t>La Comisión pone en conocimiento de la Corte la siguiente información sobre</w:t>
      </w:r>
      <w:r w:rsidR="00CF1103">
        <w:rPr>
          <w:rFonts w:ascii="Calibri" w:hAnsi="Calibri"/>
          <w:sz w:val="22"/>
          <w:szCs w:val="22"/>
          <w:lang w:val="es-ES_tradnl"/>
        </w:rPr>
        <w:t xml:space="preserve"> las personas que han actuado en calidad de peticionarias a </w:t>
      </w:r>
      <w:r w:rsidRPr="009433F4">
        <w:rPr>
          <w:rFonts w:ascii="Calibri" w:hAnsi="Calibri"/>
          <w:sz w:val="22"/>
          <w:szCs w:val="22"/>
          <w:lang w:val="es-ES_tradnl"/>
        </w:rPr>
        <w:t>lo largo del trámite y sus respectivos datos de contacto:</w:t>
      </w:r>
    </w:p>
    <w:p w:rsidR="00A451C9" w:rsidRDefault="00A451C9" w:rsidP="00A451C9">
      <w:pPr>
        <w:autoSpaceDE w:val="0"/>
        <w:autoSpaceDN w:val="0"/>
        <w:adjustRightInd w:val="0"/>
        <w:jc w:val="center"/>
        <w:rPr>
          <w:rFonts w:ascii="Calibri" w:hAnsi="Calibri" w:cs="Arial"/>
          <w:sz w:val="21"/>
          <w:szCs w:val="21"/>
          <w:lang w:val="es-ES_tradnl" w:eastAsia="en-US"/>
        </w:rPr>
      </w:pPr>
    </w:p>
    <w:p w:rsidR="00CF1103" w:rsidRPr="00E14984" w:rsidRDefault="00CF1103" w:rsidP="00CF1103">
      <w:pPr>
        <w:autoSpaceDE w:val="0"/>
        <w:autoSpaceDN w:val="0"/>
        <w:adjustRightInd w:val="0"/>
        <w:jc w:val="center"/>
        <w:rPr>
          <w:rFonts w:ascii="Calibri" w:hAnsi="Calibri" w:cs="Arial"/>
          <w:sz w:val="20"/>
          <w:szCs w:val="20"/>
          <w:lang w:val="es-ES_tradnl" w:eastAsia="en-US"/>
        </w:rPr>
      </w:pPr>
      <w:r w:rsidRPr="00E14984">
        <w:rPr>
          <w:rFonts w:ascii="Calibri" w:hAnsi="Calibri" w:cs="Arial"/>
          <w:sz w:val="20"/>
          <w:szCs w:val="20"/>
          <w:lang w:val="es-ES_tradnl" w:eastAsia="en-US"/>
        </w:rPr>
        <w:t xml:space="preserve">Christina María Galindo </w:t>
      </w:r>
    </w:p>
    <w:p w:rsidR="00CF1103" w:rsidRPr="006D743F" w:rsidRDefault="006D743F" w:rsidP="00CF1103">
      <w:pPr>
        <w:autoSpaceDE w:val="0"/>
        <w:autoSpaceDN w:val="0"/>
        <w:adjustRightInd w:val="0"/>
        <w:jc w:val="center"/>
        <w:rPr>
          <w:rFonts w:ascii="Calibri" w:hAnsi="Calibri" w:cs="Arial"/>
          <w:sz w:val="20"/>
          <w:szCs w:val="20"/>
          <w:highlight w:val="black"/>
          <w:lang w:val="es-ES_tradnl" w:eastAsia="en-US"/>
        </w:rPr>
      </w:pPr>
      <w:proofErr w:type="gramStart"/>
      <w:r w:rsidRPr="006D743F">
        <w:rPr>
          <w:rFonts w:ascii="Calibri" w:hAnsi="Calibri" w:cs="Arial"/>
          <w:sz w:val="20"/>
          <w:szCs w:val="20"/>
          <w:highlight w:val="black"/>
          <w:lang w:val="es-ES_tradnl" w:eastAsia="en-US"/>
        </w:rPr>
        <w:t>xxxxxxxxxxxxxxxxxx</w:t>
      </w:r>
      <w:proofErr w:type="gramEnd"/>
    </w:p>
    <w:p w:rsidR="00CF1103" w:rsidRPr="006D743F" w:rsidRDefault="006D743F" w:rsidP="00CF1103">
      <w:pPr>
        <w:autoSpaceDE w:val="0"/>
        <w:autoSpaceDN w:val="0"/>
        <w:adjustRightInd w:val="0"/>
        <w:jc w:val="center"/>
        <w:rPr>
          <w:rFonts w:ascii="Calibri" w:hAnsi="Calibri" w:cs="Arial"/>
          <w:sz w:val="20"/>
          <w:szCs w:val="20"/>
          <w:highlight w:val="black"/>
          <w:lang w:val="es-ES_tradnl" w:eastAsia="en-US"/>
        </w:rPr>
      </w:pPr>
      <w:proofErr w:type="gramStart"/>
      <w:r w:rsidRPr="006D743F">
        <w:rPr>
          <w:rFonts w:ascii="Calibri" w:hAnsi="Calibri" w:cs="Arial"/>
          <w:sz w:val="20"/>
          <w:szCs w:val="20"/>
          <w:highlight w:val="black"/>
          <w:lang w:val="es-ES_tradnl" w:eastAsia="en-US"/>
        </w:rPr>
        <w:t>xxxxxxxxxxxxxxxxxx</w:t>
      </w:r>
      <w:proofErr w:type="gramEnd"/>
    </w:p>
    <w:p w:rsidR="00CF1103" w:rsidRPr="00E14984" w:rsidRDefault="006D743F" w:rsidP="00CF1103">
      <w:pPr>
        <w:autoSpaceDE w:val="0"/>
        <w:autoSpaceDN w:val="0"/>
        <w:adjustRightInd w:val="0"/>
        <w:jc w:val="center"/>
        <w:rPr>
          <w:rFonts w:ascii="Calibri" w:hAnsi="Calibri" w:cs="Arial"/>
          <w:sz w:val="20"/>
          <w:szCs w:val="20"/>
          <w:lang w:val="es-ES_tradnl" w:eastAsia="en-US"/>
        </w:rPr>
      </w:pPr>
      <w:proofErr w:type="gramStart"/>
      <w:r w:rsidRPr="006D743F">
        <w:rPr>
          <w:rFonts w:ascii="Calibri" w:hAnsi="Calibri" w:cs="Arial"/>
          <w:sz w:val="20"/>
          <w:szCs w:val="20"/>
          <w:highlight w:val="black"/>
          <w:lang w:val="es-ES_tradnl" w:eastAsia="en-US"/>
        </w:rPr>
        <w:t>xxxxxxxxxxxxxxxxxxxxxxxxxxxx</w:t>
      </w:r>
      <w:proofErr w:type="gramEnd"/>
    </w:p>
    <w:p w:rsidR="00CF1103" w:rsidRPr="00E14984" w:rsidRDefault="00CF1103" w:rsidP="00CF1103">
      <w:pPr>
        <w:autoSpaceDE w:val="0"/>
        <w:autoSpaceDN w:val="0"/>
        <w:adjustRightInd w:val="0"/>
        <w:jc w:val="center"/>
        <w:rPr>
          <w:rFonts w:ascii="Calibri" w:hAnsi="Calibri" w:cs="Arial"/>
          <w:sz w:val="20"/>
          <w:szCs w:val="20"/>
          <w:lang w:val="es-ES_tradnl" w:eastAsia="en-US"/>
        </w:rPr>
      </w:pPr>
    </w:p>
    <w:p w:rsidR="00CF1103" w:rsidRPr="00E14984" w:rsidRDefault="00CF1103" w:rsidP="00CF1103">
      <w:pPr>
        <w:autoSpaceDE w:val="0"/>
        <w:autoSpaceDN w:val="0"/>
        <w:adjustRightInd w:val="0"/>
        <w:jc w:val="center"/>
        <w:rPr>
          <w:rFonts w:ascii="Calibri" w:hAnsi="Calibri" w:cs="Arial"/>
          <w:sz w:val="20"/>
          <w:szCs w:val="20"/>
          <w:lang w:val="es-ES_tradnl" w:eastAsia="en-US"/>
        </w:rPr>
      </w:pPr>
      <w:r w:rsidRPr="00E14984">
        <w:rPr>
          <w:rFonts w:ascii="Calibri" w:hAnsi="Calibri" w:cs="Arial"/>
          <w:sz w:val="20"/>
          <w:szCs w:val="20"/>
          <w:lang w:val="es-ES_tradnl" w:eastAsia="en-US"/>
        </w:rPr>
        <w:t xml:space="preserve">Luis Antonio Galindo Cárdenas </w:t>
      </w:r>
    </w:p>
    <w:p w:rsidR="00CF1103" w:rsidRPr="006D743F" w:rsidRDefault="006D743F" w:rsidP="00CF1103">
      <w:pPr>
        <w:autoSpaceDE w:val="0"/>
        <w:autoSpaceDN w:val="0"/>
        <w:adjustRightInd w:val="0"/>
        <w:jc w:val="center"/>
        <w:rPr>
          <w:rFonts w:ascii="Calibri" w:hAnsi="Calibri" w:cs="Arial"/>
          <w:sz w:val="20"/>
          <w:szCs w:val="20"/>
          <w:highlight w:val="black"/>
          <w:lang w:val="es-ES_tradnl" w:eastAsia="en-US"/>
        </w:rPr>
      </w:pPr>
      <w:proofErr w:type="gramStart"/>
      <w:r w:rsidRPr="006D743F">
        <w:rPr>
          <w:rFonts w:ascii="Calibri" w:hAnsi="Calibri" w:cs="Arial"/>
          <w:sz w:val="20"/>
          <w:szCs w:val="20"/>
          <w:highlight w:val="black"/>
          <w:lang w:val="es-ES_tradnl" w:eastAsia="en-US"/>
        </w:rPr>
        <w:t>xxxxxxxxxxxxxxxxxx</w:t>
      </w:r>
      <w:proofErr w:type="gramEnd"/>
    </w:p>
    <w:p w:rsidR="00CF1103" w:rsidRPr="006D743F" w:rsidRDefault="006D743F" w:rsidP="00CF1103">
      <w:pPr>
        <w:autoSpaceDE w:val="0"/>
        <w:autoSpaceDN w:val="0"/>
        <w:adjustRightInd w:val="0"/>
        <w:jc w:val="center"/>
        <w:rPr>
          <w:rFonts w:ascii="Calibri" w:hAnsi="Calibri" w:cs="Arial"/>
          <w:sz w:val="20"/>
          <w:szCs w:val="20"/>
          <w:highlight w:val="black"/>
          <w:lang w:val="es-ES_tradnl" w:eastAsia="en-US"/>
        </w:rPr>
      </w:pPr>
      <w:proofErr w:type="gramStart"/>
      <w:r w:rsidRPr="006D743F">
        <w:rPr>
          <w:rFonts w:ascii="Calibri" w:hAnsi="Calibri" w:cs="Arial"/>
          <w:sz w:val="20"/>
          <w:szCs w:val="20"/>
          <w:highlight w:val="black"/>
          <w:lang w:val="es-ES_tradnl" w:eastAsia="en-US"/>
        </w:rPr>
        <w:t>xxxxxxxxxxxxxxxxxxxxxxxxxxx</w:t>
      </w:r>
      <w:proofErr w:type="gramEnd"/>
    </w:p>
    <w:p w:rsidR="00CF1103" w:rsidRPr="006D743F" w:rsidRDefault="006D743F" w:rsidP="00CF1103">
      <w:pPr>
        <w:autoSpaceDE w:val="0"/>
        <w:autoSpaceDN w:val="0"/>
        <w:adjustRightInd w:val="0"/>
        <w:jc w:val="center"/>
        <w:rPr>
          <w:rFonts w:ascii="Calibri" w:hAnsi="Calibri" w:cs="Arial"/>
          <w:sz w:val="20"/>
          <w:szCs w:val="20"/>
          <w:lang w:val="es-ES_tradnl" w:eastAsia="en-US"/>
        </w:rPr>
      </w:pPr>
      <w:proofErr w:type="gramStart"/>
      <w:r w:rsidRPr="006D743F">
        <w:rPr>
          <w:rFonts w:ascii="Calibri" w:hAnsi="Calibri" w:cs="Arial"/>
          <w:sz w:val="20"/>
          <w:szCs w:val="20"/>
          <w:highlight w:val="black"/>
          <w:lang w:val="es-ES_tradnl" w:eastAsia="en-US"/>
        </w:rPr>
        <w:t>xxxxxxxxxxxxxxxxxxxxxxxxxxx</w:t>
      </w:r>
      <w:proofErr w:type="gramEnd"/>
    </w:p>
    <w:p w:rsidR="00CF1103" w:rsidRPr="006D743F" w:rsidRDefault="00CF1103" w:rsidP="00CF1103">
      <w:pPr>
        <w:autoSpaceDE w:val="0"/>
        <w:autoSpaceDN w:val="0"/>
        <w:adjustRightInd w:val="0"/>
        <w:jc w:val="center"/>
        <w:rPr>
          <w:rFonts w:ascii="Calibri" w:hAnsi="Calibri" w:cs="Arial"/>
          <w:sz w:val="20"/>
          <w:szCs w:val="20"/>
          <w:lang w:val="es-ES_tradnl" w:eastAsia="en-US"/>
        </w:rPr>
      </w:pPr>
    </w:p>
    <w:p w:rsidR="00CF1103" w:rsidRPr="006D743F" w:rsidRDefault="00CF1103" w:rsidP="00CF1103">
      <w:pPr>
        <w:autoSpaceDE w:val="0"/>
        <w:autoSpaceDN w:val="0"/>
        <w:adjustRightInd w:val="0"/>
        <w:jc w:val="center"/>
        <w:rPr>
          <w:rFonts w:ascii="Calibri" w:hAnsi="Calibri" w:cs="Arial"/>
          <w:sz w:val="20"/>
          <w:szCs w:val="20"/>
          <w:lang w:val="es-ES_tradnl" w:eastAsia="en-US"/>
        </w:rPr>
      </w:pPr>
      <w:r w:rsidRPr="006D743F">
        <w:rPr>
          <w:rFonts w:ascii="Calibri" w:hAnsi="Calibri" w:cs="Arial"/>
          <w:sz w:val="20"/>
          <w:szCs w:val="20"/>
          <w:lang w:val="es-ES_tradnl" w:eastAsia="en-US"/>
        </w:rPr>
        <w:t xml:space="preserve">Richard M. Rocha </w:t>
      </w:r>
    </w:p>
    <w:p w:rsidR="00CF1103" w:rsidRPr="006D743F" w:rsidRDefault="006D743F" w:rsidP="00CF1103">
      <w:pPr>
        <w:autoSpaceDE w:val="0"/>
        <w:autoSpaceDN w:val="0"/>
        <w:adjustRightInd w:val="0"/>
        <w:jc w:val="center"/>
        <w:rPr>
          <w:rFonts w:ascii="Calibri" w:hAnsi="Calibri" w:cs="Arial"/>
          <w:sz w:val="20"/>
          <w:szCs w:val="20"/>
          <w:highlight w:val="black"/>
          <w:lang w:val="es-ES_tradnl" w:eastAsia="en-US"/>
        </w:rPr>
      </w:pPr>
      <w:proofErr w:type="gramStart"/>
      <w:r w:rsidRPr="006D743F">
        <w:rPr>
          <w:rFonts w:ascii="Calibri" w:hAnsi="Calibri" w:cs="Arial"/>
          <w:sz w:val="20"/>
          <w:szCs w:val="20"/>
          <w:highlight w:val="black"/>
          <w:lang w:val="es-ES_tradnl" w:eastAsia="en-US"/>
        </w:rPr>
        <w:t>xxxxxxxxxxxxxxxxxxxxxxxxxxxx</w:t>
      </w:r>
      <w:proofErr w:type="gramEnd"/>
    </w:p>
    <w:p w:rsidR="00CF1103" w:rsidRPr="006D743F" w:rsidRDefault="006D743F" w:rsidP="00CF1103">
      <w:pPr>
        <w:autoSpaceDE w:val="0"/>
        <w:autoSpaceDN w:val="0"/>
        <w:adjustRightInd w:val="0"/>
        <w:jc w:val="center"/>
        <w:rPr>
          <w:rFonts w:ascii="Calibri" w:hAnsi="Calibri" w:cs="Arial"/>
          <w:sz w:val="20"/>
          <w:szCs w:val="20"/>
          <w:highlight w:val="black"/>
          <w:lang w:val="es-ES_tradnl" w:eastAsia="en-US"/>
        </w:rPr>
      </w:pPr>
      <w:proofErr w:type="gramStart"/>
      <w:r w:rsidRPr="006D743F">
        <w:rPr>
          <w:rFonts w:ascii="Calibri" w:hAnsi="Calibri" w:cs="Arial"/>
          <w:sz w:val="20"/>
          <w:szCs w:val="20"/>
          <w:highlight w:val="black"/>
          <w:lang w:val="es-ES_tradnl" w:eastAsia="en-US"/>
        </w:rPr>
        <w:t>xxxxxxxxxxxxxxxx</w:t>
      </w:r>
      <w:proofErr w:type="gramEnd"/>
    </w:p>
    <w:p w:rsidR="00CF1103" w:rsidRPr="00E14984" w:rsidRDefault="006D743F" w:rsidP="00CF1103">
      <w:pPr>
        <w:autoSpaceDE w:val="0"/>
        <w:autoSpaceDN w:val="0"/>
        <w:adjustRightInd w:val="0"/>
        <w:jc w:val="center"/>
        <w:rPr>
          <w:rFonts w:ascii="Calibri" w:hAnsi="Calibri" w:cs="Arial"/>
          <w:sz w:val="20"/>
          <w:szCs w:val="20"/>
          <w:lang w:val="es-ES_tradnl" w:eastAsia="en-US"/>
        </w:rPr>
      </w:pPr>
      <w:proofErr w:type="gramStart"/>
      <w:r w:rsidRPr="006D743F">
        <w:rPr>
          <w:rFonts w:ascii="Calibri" w:hAnsi="Calibri" w:cs="Arial"/>
          <w:sz w:val="20"/>
          <w:szCs w:val="20"/>
          <w:highlight w:val="black"/>
          <w:lang w:val="es-ES_tradnl" w:eastAsia="en-US"/>
        </w:rPr>
        <w:t>xxxxxxxxxxxxxxxxxxxxxxxxxxxx</w:t>
      </w:r>
      <w:proofErr w:type="gramEnd"/>
    </w:p>
    <w:p w:rsidR="00CF1103" w:rsidRPr="009433F4" w:rsidRDefault="00CF1103" w:rsidP="00A451C9">
      <w:pPr>
        <w:autoSpaceDE w:val="0"/>
        <w:autoSpaceDN w:val="0"/>
        <w:adjustRightInd w:val="0"/>
        <w:jc w:val="center"/>
        <w:rPr>
          <w:rFonts w:ascii="Calibri" w:hAnsi="Calibri" w:cs="Arial"/>
          <w:sz w:val="21"/>
          <w:szCs w:val="21"/>
          <w:lang w:val="es-ES_tradnl" w:eastAsia="en-US"/>
        </w:rPr>
      </w:pPr>
    </w:p>
    <w:p w:rsidR="00A451C9" w:rsidRPr="009433F4" w:rsidRDefault="00A451C9" w:rsidP="00A451C9">
      <w:pPr>
        <w:tabs>
          <w:tab w:val="left" w:pos="0"/>
        </w:tabs>
        <w:ind w:firstLine="720"/>
        <w:jc w:val="both"/>
        <w:rPr>
          <w:rFonts w:ascii="Calibri" w:hAnsi="Calibri" w:cs="Arial"/>
          <w:sz w:val="22"/>
          <w:szCs w:val="22"/>
          <w:lang w:val="es-CO"/>
        </w:rPr>
      </w:pPr>
      <w:r w:rsidRPr="009433F4">
        <w:rPr>
          <w:rFonts w:ascii="Calibri" w:hAnsi="Calibri" w:cs="Arial"/>
          <w:sz w:val="22"/>
          <w:szCs w:val="22"/>
          <w:lang w:val="es-CO"/>
        </w:rPr>
        <w:t>Aprovecho la oportunidad para saludar a usted muy atentamente,</w:t>
      </w:r>
    </w:p>
    <w:p w:rsidR="00A451C9" w:rsidRPr="009433F4" w:rsidRDefault="00A451C9" w:rsidP="00A451C9">
      <w:pPr>
        <w:tabs>
          <w:tab w:val="left" w:pos="0"/>
        </w:tabs>
        <w:ind w:left="5040" w:firstLine="720"/>
        <w:jc w:val="center"/>
        <w:rPr>
          <w:rFonts w:ascii="Calibri" w:hAnsi="Calibri" w:cs="Arial"/>
          <w:sz w:val="22"/>
          <w:szCs w:val="22"/>
          <w:lang w:val="es-CO"/>
        </w:rPr>
      </w:pPr>
    </w:p>
    <w:p w:rsidR="00A451C9" w:rsidRDefault="00A451C9" w:rsidP="00A451C9">
      <w:pPr>
        <w:tabs>
          <w:tab w:val="left" w:pos="0"/>
        </w:tabs>
        <w:ind w:left="5040" w:firstLine="720"/>
        <w:jc w:val="center"/>
        <w:rPr>
          <w:rFonts w:ascii="Calibri" w:hAnsi="Calibri" w:cs="Arial"/>
          <w:sz w:val="22"/>
          <w:szCs w:val="22"/>
          <w:lang w:val="es-CO"/>
        </w:rPr>
      </w:pPr>
    </w:p>
    <w:p w:rsidR="006A667A" w:rsidRPr="00B0010F" w:rsidRDefault="006D743F" w:rsidP="00A451C9">
      <w:pPr>
        <w:tabs>
          <w:tab w:val="left" w:pos="0"/>
        </w:tabs>
        <w:ind w:left="5040" w:firstLine="720"/>
        <w:jc w:val="center"/>
        <w:rPr>
          <w:rFonts w:ascii="Calibri" w:hAnsi="Calibri" w:cs="Arial"/>
          <w:i/>
          <w:color w:val="808080"/>
          <w:sz w:val="18"/>
          <w:szCs w:val="22"/>
          <w:lang w:val="es-CO"/>
        </w:rPr>
      </w:pPr>
      <w:r w:rsidRPr="00B0010F">
        <w:rPr>
          <w:i/>
          <w:color w:val="808080"/>
          <w:sz w:val="20"/>
        </w:rPr>
        <w:t>Signed in the original</w:t>
      </w:r>
    </w:p>
    <w:p w:rsidR="00A451C9" w:rsidRDefault="00A451C9" w:rsidP="00A451C9">
      <w:pPr>
        <w:tabs>
          <w:tab w:val="left" w:pos="0"/>
        </w:tabs>
        <w:ind w:left="5040" w:firstLine="720"/>
        <w:jc w:val="center"/>
        <w:rPr>
          <w:rFonts w:ascii="Calibri" w:hAnsi="Calibri" w:cs="Arial"/>
          <w:sz w:val="22"/>
          <w:szCs w:val="22"/>
          <w:lang w:val="es-CO"/>
        </w:rPr>
      </w:pPr>
    </w:p>
    <w:p w:rsidR="00A451C9" w:rsidRPr="009433F4" w:rsidRDefault="00A451C9" w:rsidP="00A451C9">
      <w:pPr>
        <w:tabs>
          <w:tab w:val="left" w:pos="0"/>
        </w:tabs>
        <w:ind w:left="5040" w:firstLine="720"/>
        <w:jc w:val="center"/>
        <w:rPr>
          <w:rFonts w:ascii="Calibri" w:hAnsi="Calibri" w:cs="Arial"/>
          <w:sz w:val="22"/>
          <w:szCs w:val="22"/>
          <w:lang w:val="es-CO"/>
        </w:rPr>
      </w:pPr>
      <w:r w:rsidRPr="009433F4">
        <w:rPr>
          <w:rFonts w:ascii="Calibri" w:hAnsi="Calibri" w:cs="Arial"/>
          <w:sz w:val="22"/>
          <w:szCs w:val="22"/>
          <w:lang w:val="es-CO"/>
        </w:rPr>
        <w:t xml:space="preserve">Elizabeth Abi-Mershed </w:t>
      </w:r>
    </w:p>
    <w:p w:rsidR="00A451C9" w:rsidRPr="009433F4" w:rsidRDefault="00A451C9" w:rsidP="00A451C9">
      <w:pPr>
        <w:tabs>
          <w:tab w:val="left" w:pos="0"/>
          <w:tab w:val="left" w:pos="5760"/>
        </w:tabs>
        <w:ind w:left="5040" w:firstLine="720"/>
        <w:jc w:val="center"/>
        <w:rPr>
          <w:rFonts w:ascii="Calibri" w:hAnsi="Calibri"/>
        </w:rPr>
      </w:pPr>
      <w:r w:rsidRPr="009433F4">
        <w:rPr>
          <w:rFonts w:ascii="Calibri" w:hAnsi="Calibri" w:cs="Arial"/>
          <w:sz w:val="22"/>
          <w:szCs w:val="22"/>
        </w:rPr>
        <w:t>Secretaria Ejecutiva Adjunta</w:t>
      </w:r>
    </w:p>
    <w:p w:rsidR="00BC200F" w:rsidRDefault="00BC200F"/>
    <w:sectPr w:rsidR="00BC200F" w:rsidSect="00A451C9">
      <w:headerReference w:type="default" r:id="rId9"/>
      <w:pgSz w:w="12240" w:h="15840" w:code="1"/>
      <w:pgMar w:top="720" w:right="1440" w:bottom="900" w:left="12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73D" w:rsidRDefault="0081773D">
      <w:r>
        <w:separator/>
      </w:r>
    </w:p>
  </w:endnote>
  <w:endnote w:type="continuationSeparator" w:id="0">
    <w:p w:rsidR="0081773D" w:rsidRDefault="00817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4D"/>
    <w:family w:val="roman"/>
    <w:notTrueType/>
    <w:pitch w:val="default"/>
    <w:sig w:usb0="03000000"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73D" w:rsidRDefault="0081773D">
      <w:r>
        <w:separator/>
      </w:r>
    </w:p>
  </w:footnote>
  <w:footnote w:type="continuationSeparator" w:id="0">
    <w:p w:rsidR="0081773D" w:rsidRDefault="008177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65F" w:rsidRDefault="007D665F">
    <w:pPr>
      <w:pStyle w:val="Encabezado"/>
    </w:pPr>
  </w:p>
  <w:p w:rsidR="007D665F" w:rsidRDefault="007D665F" w:rsidP="00A451C9">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70023A">
      <w:rPr>
        <w:rStyle w:val="Nmerodepgina"/>
        <w:noProof/>
      </w:rPr>
      <w:t>2</w:t>
    </w:r>
    <w:r>
      <w:rPr>
        <w:rStyle w:val="Nmerodepgina"/>
      </w:rPr>
      <w:fldChar w:fldCharType="end"/>
    </w:r>
  </w:p>
  <w:p w:rsidR="007D665F" w:rsidRDefault="007D665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1432C"/>
    <w:multiLevelType w:val="hybridMultilevel"/>
    <w:tmpl w:val="FD3ED88A"/>
    <w:lvl w:ilvl="0" w:tplc="FFFFFFFF">
      <w:start w:val="1"/>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41103564"/>
    <w:multiLevelType w:val="hybridMultilevel"/>
    <w:tmpl w:val="6AE0A40A"/>
    <w:lvl w:ilvl="0" w:tplc="040A000F">
      <w:start w:val="1"/>
      <w:numFmt w:val="decimal"/>
      <w:lvlText w:val="%1."/>
      <w:lvlJc w:val="left"/>
      <w:pPr>
        <w:ind w:left="360" w:hanging="360"/>
      </w:pPr>
      <w:rPr>
        <w:rFonts w:hint="default"/>
      </w:rPr>
    </w:lvl>
    <w:lvl w:ilvl="1" w:tplc="7DC09158">
      <w:start w:val="1"/>
      <w:numFmt w:val="lowerLetter"/>
      <w:lvlText w:val="%2)"/>
      <w:lvlJc w:val="left"/>
      <w:pPr>
        <w:tabs>
          <w:tab w:val="num" w:pos="1080"/>
        </w:tabs>
        <w:ind w:left="1080" w:hanging="360"/>
      </w:pPr>
      <w:rPr>
        <w:rFonts w:cs="Times New Roman" w:hint="default"/>
      </w:r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
    <w:nsid w:val="536C0C50"/>
    <w:multiLevelType w:val="hybridMultilevel"/>
    <w:tmpl w:val="B844A0C8"/>
    <w:lvl w:ilvl="0" w:tplc="A82C2B68">
      <w:start w:val="1"/>
      <w:numFmt w:val="decimal"/>
      <w:lvlText w:val="%1."/>
      <w:lvlJc w:val="left"/>
      <w:pPr>
        <w:tabs>
          <w:tab w:val="num" w:pos="1980"/>
        </w:tabs>
        <w:ind w:left="1980" w:hanging="12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51C9"/>
    <w:rsid w:val="00005D5C"/>
    <w:rsid w:val="0001235B"/>
    <w:rsid w:val="000128F5"/>
    <w:rsid w:val="000137A2"/>
    <w:rsid w:val="00014A38"/>
    <w:rsid w:val="000244A3"/>
    <w:rsid w:val="00025BD4"/>
    <w:rsid w:val="00031814"/>
    <w:rsid w:val="0003621F"/>
    <w:rsid w:val="00036842"/>
    <w:rsid w:val="00037988"/>
    <w:rsid w:val="00065192"/>
    <w:rsid w:val="0008642D"/>
    <w:rsid w:val="00090EE1"/>
    <w:rsid w:val="000A7E13"/>
    <w:rsid w:val="000A7E87"/>
    <w:rsid w:val="000C0B54"/>
    <w:rsid w:val="000C15D7"/>
    <w:rsid w:val="000C2599"/>
    <w:rsid w:val="000E3154"/>
    <w:rsid w:val="000E373A"/>
    <w:rsid w:val="000E56CF"/>
    <w:rsid w:val="000E7B3E"/>
    <w:rsid w:val="000E7BDC"/>
    <w:rsid w:val="000F079F"/>
    <w:rsid w:val="00104455"/>
    <w:rsid w:val="00106206"/>
    <w:rsid w:val="0011084B"/>
    <w:rsid w:val="0014092D"/>
    <w:rsid w:val="00147A6B"/>
    <w:rsid w:val="001534C2"/>
    <w:rsid w:val="00154D3D"/>
    <w:rsid w:val="00154EFB"/>
    <w:rsid w:val="00161397"/>
    <w:rsid w:val="00165C07"/>
    <w:rsid w:val="0018000B"/>
    <w:rsid w:val="00187323"/>
    <w:rsid w:val="00190965"/>
    <w:rsid w:val="001A2DB0"/>
    <w:rsid w:val="001A38C6"/>
    <w:rsid w:val="001A7463"/>
    <w:rsid w:val="001B0149"/>
    <w:rsid w:val="001C077F"/>
    <w:rsid w:val="001C430E"/>
    <w:rsid w:val="001C4B55"/>
    <w:rsid w:val="001C5004"/>
    <w:rsid w:val="001C64B9"/>
    <w:rsid w:val="001E69CF"/>
    <w:rsid w:val="001F3456"/>
    <w:rsid w:val="001F7ABF"/>
    <w:rsid w:val="00203D92"/>
    <w:rsid w:val="00207DB5"/>
    <w:rsid w:val="00210F9E"/>
    <w:rsid w:val="00211FFC"/>
    <w:rsid w:val="0021303A"/>
    <w:rsid w:val="0021484D"/>
    <w:rsid w:val="00226EA4"/>
    <w:rsid w:val="0022777E"/>
    <w:rsid w:val="002330AC"/>
    <w:rsid w:val="00236948"/>
    <w:rsid w:val="00241B4C"/>
    <w:rsid w:val="0024217E"/>
    <w:rsid w:val="00243B7C"/>
    <w:rsid w:val="00246EA0"/>
    <w:rsid w:val="00270841"/>
    <w:rsid w:val="00272041"/>
    <w:rsid w:val="002745D8"/>
    <w:rsid w:val="00282A62"/>
    <w:rsid w:val="00283E42"/>
    <w:rsid w:val="002860A4"/>
    <w:rsid w:val="002923FC"/>
    <w:rsid w:val="00292BDC"/>
    <w:rsid w:val="00295494"/>
    <w:rsid w:val="002A6A32"/>
    <w:rsid w:val="002B4C0D"/>
    <w:rsid w:val="002B6290"/>
    <w:rsid w:val="002B75E2"/>
    <w:rsid w:val="002C68EB"/>
    <w:rsid w:val="002D5EDB"/>
    <w:rsid w:val="002E5443"/>
    <w:rsid w:val="002F71A0"/>
    <w:rsid w:val="002F7846"/>
    <w:rsid w:val="0030200F"/>
    <w:rsid w:val="00302DEF"/>
    <w:rsid w:val="00305791"/>
    <w:rsid w:val="003146F2"/>
    <w:rsid w:val="0031798E"/>
    <w:rsid w:val="00323285"/>
    <w:rsid w:val="003247A7"/>
    <w:rsid w:val="00325DCE"/>
    <w:rsid w:val="0033531D"/>
    <w:rsid w:val="00336F67"/>
    <w:rsid w:val="00346832"/>
    <w:rsid w:val="003501CC"/>
    <w:rsid w:val="00353C05"/>
    <w:rsid w:val="003649F4"/>
    <w:rsid w:val="00364CD0"/>
    <w:rsid w:val="003653D9"/>
    <w:rsid w:val="00370184"/>
    <w:rsid w:val="00376EF5"/>
    <w:rsid w:val="003854AE"/>
    <w:rsid w:val="00386D58"/>
    <w:rsid w:val="003873FE"/>
    <w:rsid w:val="003943C6"/>
    <w:rsid w:val="00396C81"/>
    <w:rsid w:val="003A7E21"/>
    <w:rsid w:val="003C1305"/>
    <w:rsid w:val="003C1938"/>
    <w:rsid w:val="003C729B"/>
    <w:rsid w:val="003D0BBB"/>
    <w:rsid w:val="003D7FC2"/>
    <w:rsid w:val="003E06F5"/>
    <w:rsid w:val="003E7F0A"/>
    <w:rsid w:val="004001FA"/>
    <w:rsid w:val="00403232"/>
    <w:rsid w:val="00415B0A"/>
    <w:rsid w:val="00427E3D"/>
    <w:rsid w:val="00434C37"/>
    <w:rsid w:val="00446F12"/>
    <w:rsid w:val="0045741A"/>
    <w:rsid w:val="004614D2"/>
    <w:rsid w:val="004720D4"/>
    <w:rsid w:val="00474984"/>
    <w:rsid w:val="004852AF"/>
    <w:rsid w:val="0049358E"/>
    <w:rsid w:val="004A57F7"/>
    <w:rsid w:val="004B2911"/>
    <w:rsid w:val="004D12DC"/>
    <w:rsid w:val="004D4368"/>
    <w:rsid w:val="004D581A"/>
    <w:rsid w:val="004E6788"/>
    <w:rsid w:val="00500446"/>
    <w:rsid w:val="005019E5"/>
    <w:rsid w:val="005073BB"/>
    <w:rsid w:val="00513AC1"/>
    <w:rsid w:val="0052058F"/>
    <w:rsid w:val="00522D5A"/>
    <w:rsid w:val="0054322E"/>
    <w:rsid w:val="0054324D"/>
    <w:rsid w:val="0054517D"/>
    <w:rsid w:val="005604E8"/>
    <w:rsid w:val="005705F4"/>
    <w:rsid w:val="00577820"/>
    <w:rsid w:val="00592177"/>
    <w:rsid w:val="005A0FD2"/>
    <w:rsid w:val="005A1592"/>
    <w:rsid w:val="005B239F"/>
    <w:rsid w:val="005B3935"/>
    <w:rsid w:val="005B39FF"/>
    <w:rsid w:val="005D2269"/>
    <w:rsid w:val="005D6A87"/>
    <w:rsid w:val="005E7ADD"/>
    <w:rsid w:val="005F13E1"/>
    <w:rsid w:val="005F3455"/>
    <w:rsid w:val="00600A5E"/>
    <w:rsid w:val="00603360"/>
    <w:rsid w:val="006078B9"/>
    <w:rsid w:val="00640EF7"/>
    <w:rsid w:val="0065714B"/>
    <w:rsid w:val="0065781A"/>
    <w:rsid w:val="00675349"/>
    <w:rsid w:val="00681ECF"/>
    <w:rsid w:val="006855CF"/>
    <w:rsid w:val="006900E0"/>
    <w:rsid w:val="00694677"/>
    <w:rsid w:val="006A2EDA"/>
    <w:rsid w:val="006A350D"/>
    <w:rsid w:val="006A370D"/>
    <w:rsid w:val="006A4FB0"/>
    <w:rsid w:val="006A667A"/>
    <w:rsid w:val="006C1C4A"/>
    <w:rsid w:val="006C246D"/>
    <w:rsid w:val="006C39FE"/>
    <w:rsid w:val="006D07B8"/>
    <w:rsid w:val="006D5453"/>
    <w:rsid w:val="006D743F"/>
    <w:rsid w:val="006E5191"/>
    <w:rsid w:val="006F32C4"/>
    <w:rsid w:val="006F5666"/>
    <w:rsid w:val="006F6DAF"/>
    <w:rsid w:val="006F78AD"/>
    <w:rsid w:val="0070023A"/>
    <w:rsid w:val="00702E9C"/>
    <w:rsid w:val="007148BF"/>
    <w:rsid w:val="007220CF"/>
    <w:rsid w:val="00722371"/>
    <w:rsid w:val="00723EEB"/>
    <w:rsid w:val="00732F34"/>
    <w:rsid w:val="007449DB"/>
    <w:rsid w:val="0075757E"/>
    <w:rsid w:val="00764381"/>
    <w:rsid w:val="007807FB"/>
    <w:rsid w:val="007A0A85"/>
    <w:rsid w:val="007A0B8B"/>
    <w:rsid w:val="007A6C13"/>
    <w:rsid w:val="007B6E35"/>
    <w:rsid w:val="007C6D4B"/>
    <w:rsid w:val="007D5429"/>
    <w:rsid w:val="007D665F"/>
    <w:rsid w:val="007D75DB"/>
    <w:rsid w:val="007F7BFF"/>
    <w:rsid w:val="00814DAA"/>
    <w:rsid w:val="0081773D"/>
    <w:rsid w:val="00834FE4"/>
    <w:rsid w:val="00851CFC"/>
    <w:rsid w:val="0085672B"/>
    <w:rsid w:val="008645C6"/>
    <w:rsid w:val="00864670"/>
    <w:rsid w:val="00865354"/>
    <w:rsid w:val="0086587C"/>
    <w:rsid w:val="00873512"/>
    <w:rsid w:val="008764B1"/>
    <w:rsid w:val="0088280A"/>
    <w:rsid w:val="00890868"/>
    <w:rsid w:val="00891538"/>
    <w:rsid w:val="008920FD"/>
    <w:rsid w:val="00895920"/>
    <w:rsid w:val="008969AF"/>
    <w:rsid w:val="008A2350"/>
    <w:rsid w:val="008A24EE"/>
    <w:rsid w:val="008A4F40"/>
    <w:rsid w:val="008A667F"/>
    <w:rsid w:val="008A7B60"/>
    <w:rsid w:val="008B1AF2"/>
    <w:rsid w:val="008C1A06"/>
    <w:rsid w:val="008D5805"/>
    <w:rsid w:val="008D717A"/>
    <w:rsid w:val="008E3780"/>
    <w:rsid w:val="008E5903"/>
    <w:rsid w:val="008F212C"/>
    <w:rsid w:val="009010B0"/>
    <w:rsid w:val="009047DE"/>
    <w:rsid w:val="00905107"/>
    <w:rsid w:val="00914DB1"/>
    <w:rsid w:val="00920CFE"/>
    <w:rsid w:val="00921F5E"/>
    <w:rsid w:val="00943F0B"/>
    <w:rsid w:val="00950378"/>
    <w:rsid w:val="009575C6"/>
    <w:rsid w:val="00961A74"/>
    <w:rsid w:val="00962080"/>
    <w:rsid w:val="00966162"/>
    <w:rsid w:val="0097791A"/>
    <w:rsid w:val="00981BB4"/>
    <w:rsid w:val="0098499A"/>
    <w:rsid w:val="009A1F5F"/>
    <w:rsid w:val="009A3BDB"/>
    <w:rsid w:val="009A7890"/>
    <w:rsid w:val="009B0AB8"/>
    <w:rsid w:val="009C4824"/>
    <w:rsid w:val="009C6D53"/>
    <w:rsid w:val="009D568D"/>
    <w:rsid w:val="009F7623"/>
    <w:rsid w:val="00A015B0"/>
    <w:rsid w:val="00A02BF1"/>
    <w:rsid w:val="00A1121B"/>
    <w:rsid w:val="00A11A31"/>
    <w:rsid w:val="00A123FA"/>
    <w:rsid w:val="00A148C1"/>
    <w:rsid w:val="00A177F7"/>
    <w:rsid w:val="00A44922"/>
    <w:rsid w:val="00A451C9"/>
    <w:rsid w:val="00A52739"/>
    <w:rsid w:val="00A53A7A"/>
    <w:rsid w:val="00A61C40"/>
    <w:rsid w:val="00A655E3"/>
    <w:rsid w:val="00A71E24"/>
    <w:rsid w:val="00A8194C"/>
    <w:rsid w:val="00A93D93"/>
    <w:rsid w:val="00AA1BD7"/>
    <w:rsid w:val="00AA569D"/>
    <w:rsid w:val="00AB7132"/>
    <w:rsid w:val="00AD6CEB"/>
    <w:rsid w:val="00AF352B"/>
    <w:rsid w:val="00B0010F"/>
    <w:rsid w:val="00B27321"/>
    <w:rsid w:val="00B434F1"/>
    <w:rsid w:val="00B44682"/>
    <w:rsid w:val="00B447B8"/>
    <w:rsid w:val="00B62E0B"/>
    <w:rsid w:val="00B630A7"/>
    <w:rsid w:val="00B64FFF"/>
    <w:rsid w:val="00B65939"/>
    <w:rsid w:val="00B73542"/>
    <w:rsid w:val="00B76910"/>
    <w:rsid w:val="00B832B4"/>
    <w:rsid w:val="00B86088"/>
    <w:rsid w:val="00BA60F4"/>
    <w:rsid w:val="00BB1370"/>
    <w:rsid w:val="00BB55C3"/>
    <w:rsid w:val="00BC200F"/>
    <w:rsid w:val="00BC2287"/>
    <w:rsid w:val="00BC6676"/>
    <w:rsid w:val="00BC68C0"/>
    <w:rsid w:val="00BC7AF4"/>
    <w:rsid w:val="00BD08FA"/>
    <w:rsid w:val="00BD1EC8"/>
    <w:rsid w:val="00BD440E"/>
    <w:rsid w:val="00BD5B91"/>
    <w:rsid w:val="00BD70EA"/>
    <w:rsid w:val="00BD79DA"/>
    <w:rsid w:val="00BE654A"/>
    <w:rsid w:val="00BF1F5D"/>
    <w:rsid w:val="00BF22E6"/>
    <w:rsid w:val="00C14EC4"/>
    <w:rsid w:val="00C30B68"/>
    <w:rsid w:val="00C3413C"/>
    <w:rsid w:val="00C360D4"/>
    <w:rsid w:val="00C40AAD"/>
    <w:rsid w:val="00C41319"/>
    <w:rsid w:val="00C43563"/>
    <w:rsid w:val="00C52AE0"/>
    <w:rsid w:val="00C631FB"/>
    <w:rsid w:val="00C63E10"/>
    <w:rsid w:val="00C6623D"/>
    <w:rsid w:val="00C74751"/>
    <w:rsid w:val="00C768A8"/>
    <w:rsid w:val="00C82495"/>
    <w:rsid w:val="00C97402"/>
    <w:rsid w:val="00CC4821"/>
    <w:rsid w:val="00CD5A59"/>
    <w:rsid w:val="00CF1103"/>
    <w:rsid w:val="00CF19DF"/>
    <w:rsid w:val="00CF7509"/>
    <w:rsid w:val="00D02D68"/>
    <w:rsid w:val="00D04DF2"/>
    <w:rsid w:val="00D1392D"/>
    <w:rsid w:val="00D30101"/>
    <w:rsid w:val="00D436E3"/>
    <w:rsid w:val="00D51461"/>
    <w:rsid w:val="00D51657"/>
    <w:rsid w:val="00D521A6"/>
    <w:rsid w:val="00D57941"/>
    <w:rsid w:val="00D61355"/>
    <w:rsid w:val="00D61F6A"/>
    <w:rsid w:val="00D675F8"/>
    <w:rsid w:val="00D84201"/>
    <w:rsid w:val="00D8435A"/>
    <w:rsid w:val="00D8470F"/>
    <w:rsid w:val="00D855CE"/>
    <w:rsid w:val="00D95A12"/>
    <w:rsid w:val="00D97615"/>
    <w:rsid w:val="00DA4825"/>
    <w:rsid w:val="00DB6031"/>
    <w:rsid w:val="00DD2DC0"/>
    <w:rsid w:val="00DE0263"/>
    <w:rsid w:val="00DE4167"/>
    <w:rsid w:val="00E14984"/>
    <w:rsid w:val="00E24C89"/>
    <w:rsid w:val="00E31AC8"/>
    <w:rsid w:val="00E32CAD"/>
    <w:rsid w:val="00E3379F"/>
    <w:rsid w:val="00E41D0C"/>
    <w:rsid w:val="00E454D7"/>
    <w:rsid w:val="00E50423"/>
    <w:rsid w:val="00E50786"/>
    <w:rsid w:val="00E60765"/>
    <w:rsid w:val="00E60A76"/>
    <w:rsid w:val="00E617E8"/>
    <w:rsid w:val="00E62FCC"/>
    <w:rsid w:val="00E81376"/>
    <w:rsid w:val="00E83287"/>
    <w:rsid w:val="00EA1DA6"/>
    <w:rsid w:val="00EA1FAF"/>
    <w:rsid w:val="00EA34C4"/>
    <w:rsid w:val="00EA4C4C"/>
    <w:rsid w:val="00EA71DB"/>
    <w:rsid w:val="00EE0C0F"/>
    <w:rsid w:val="00EE527B"/>
    <w:rsid w:val="00EF1B42"/>
    <w:rsid w:val="00EF53E1"/>
    <w:rsid w:val="00F03C88"/>
    <w:rsid w:val="00F07419"/>
    <w:rsid w:val="00F12DF8"/>
    <w:rsid w:val="00F317DF"/>
    <w:rsid w:val="00F345C3"/>
    <w:rsid w:val="00F60A39"/>
    <w:rsid w:val="00F70C53"/>
    <w:rsid w:val="00F80D3E"/>
    <w:rsid w:val="00F86FF0"/>
    <w:rsid w:val="00F95FC9"/>
    <w:rsid w:val="00FA057A"/>
    <w:rsid w:val="00FB2B10"/>
    <w:rsid w:val="00FB672F"/>
    <w:rsid w:val="00FE75A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1C9"/>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A451C9"/>
    <w:pPr>
      <w:tabs>
        <w:tab w:val="center" w:pos="4320"/>
        <w:tab w:val="right" w:pos="8640"/>
      </w:tabs>
    </w:pPr>
  </w:style>
  <w:style w:type="character" w:styleId="Nmerodepgina">
    <w:name w:val="page number"/>
    <w:basedOn w:val="Fuentedeprrafopredeter"/>
    <w:rsid w:val="00A451C9"/>
  </w:style>
  <w:style w:type="paragraph" w:customStyle="1" w:styleId="Default">
    <w:name w:val="Default"/>
    <w:rsid w:val="00A451C9"/>
    <w:pPr>
      <w:autoSpaceDE w:val="0"/>
      <w:autoSpaceDN w:val="0"/>
      <w:adjustRightInd w:val="0"/>
    </w:pPr>
    <w:rPr>
      <w:rFonts w:ascii="Arial" w:hAnsi="Arial" w:cs="Arial"/>
      <w:color w:val="000000"/>
      <w:sz w:val="24"/>
      <w:szCs w:val="24"/>
      <w:lang w:val="en-US" w:eastAsia="en-US"/>
    </w:rPr>
  </w:style>
  <w:style w:type="paragraph" w:styleId="Textonotapie">
    <w:name w:val="footnote text"/>
    <w:basedOn w:val="Normal"/>
    <w:semiHidden/>
    <w:rsid w:val="001C64B9"/>
    <w:rPr>
      <w:sz w:val="20"/>
      <w:szCs w:val="20"/>
    </w:rPr>
  </w:style>
  <w:style w:type="character" w:styleId="Refdenotaalpie">
    <w:name w:val="footnote reference"/>
    <w:semiHidden/>
    <w:rsid w:val="001C64B9"/>
    <w:rPr>
      <w:vertAlign w:val="superscript"/>
    </w:rPr>
  </w:style>
  <w:style w:type="paragraph" w:styleId="Textoindependiente">
    <w:name w:val="Body Text"/>
    <w:basedOn w:val="Normal"/>
    <w:link w:val="TextoindependienteCar"/>
    <w:rsid w:val="005019E5"/>
    <w:pPr>
      <w:ind w:right="720"/>
      <w:jc w:val="both"/>
    </w:pPr>
    <w:rPr>
      <w:rFonts w:ascii="Univers" w:eastAsia="MS Mincho" w:hAnsi="Univers"/>
      <w:sz w:val="22"/>
      <w:szCs w:val="20"/>
      <w:lang w:val="es-ES_tradnl" w:eastAsia="en-US"/>
    </w:rPr>
  </w:style>
  <w:style w:type="character" w:customStyle="1" w:styleId="TextoindependienteCar">
    <w:name w:val="Texto independiente Car"/>
    <w:link w:val="Textoindependiente"/>
    <w:rsid w:val="005019E5"/>
    <w:rPr>
      <w:rFonts w:ascii="Univers" w:eastAsia="MS Mincho" w:hAnsi="Univers"/>
      <w:sz w:val="2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1730</Words>
  <Characters>9521</Characters>
  <Application>Microsoft Office Word</Application>
  <DocSecurity>0</DocSecurity>
  <Lines>79</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OAS</Company>
  <LinksUpToDate>false</LinksUpToDate>
  <CharactersWithSpaces>11229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Usuario Autorizado</dc:creator>
  <cp:lastModifiedBy>Usuario Autorizado</cp:lastModifiedBy>
  <cp:revision>2</cp:revision>
  <cp:lastPrinted>2014-01-17T17:52:00Z</cp:lastPrinted>
  <dcterms:created xsi:type="dcterms:W3CDTF">2018-02-08T22:45:00Z</dcterms:created>
  <dcterms:modified xsi:type="dcterms:W3CDTF">2018-02-08T22:45:00Z</dcterms:modified>
</cp:coreProperties>
</file>