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148" w:rsidRDefault="00DD3148" w:rsidP="009A657F">
      <w:pPr>
        <w:ind w:right="18"/>
        <w:rPr>
          <w:rFonts w:ascii="Garamond" w:hAnsi="Garamond"/>
          <w:b/>
          <w:smallCaps/>
        </w:rPr>
      </w:pPr>
      <w:bookmarkStart w:id="0" w:name="_GoBack"/>
      <w:bookmarkEnd w:id="0"/>
    </w:p>
    <w:p w:rsidR="00DD3148" w:rsidRDefault="00DD3148" w:rsidP="009A657F">
      <w:pPr>
        <w:ind w:right="18"/>
        <w:rPr>
          <w:rFonts w:ascii="Garamond" w:hAnsi="Garamond"/>
          <w:b/>
          <w:smallCaps/>
        </w:rPr>
      </w:pPr>
    </w:p>
    <w:p w:rsidR="009A657F" w:rsidRDefault="00644041" w:rsidP="009A657F">
      <w:pPr>
        <w:ind w:right="18"/>
        <w:jc w:val="center"/>
        <w:rPr>
          <w:rFonts w:ascii="Verdana" w:hAnsi="Verdana"/>
          <w:b/>
          <w:smallCaps/>
          <w:sz w:val="20"/>
        </w:rPr>
      </w:pPr>
      <w:r>
        <w:rPr>
          <w:rFonts w:ascii="Verdana" w:hAnsi="Verdana"/>
          <w:b/>
          <w:smallCaps/>
          <w:sz w:val="20"/>
        </w:rPr>
        <w:t xml:space="preserve">RESOLUCIÓN </w:t>
      </w:r>
    </w:p>
    <w:p w:rsidR="009A657F" w:rsidRDefault="00644041" w:rsidP="009A657F">
      <w:pPr>
        <w:pStyle w:val="Ttulo1"/>
        <w:ind w:right="18"/>
        <w:rPr>
          <w:smallCaps/>
        </w:rPr>
      </w:pPr>
      <w:r>
        <w:t>DE LA</w:t>
      </w:r>
      <w:r w:rsidR="002777F0">
        <w:t xml:space="preserve"> CORTE</w:t>
      </w:r>
      <w:r w:rsidR="009A657F">
        <w:t xml:space="preserve"> INTERAMERICANA DE DERECHOS HUMANOS</w:t>
      </w:r>
      <w:r w:rsidR="009B1823">
        <w:rPr>
          <w:rStyle w:val="Refdenotaalpie"/>
        </w:rPr>
        <w:footnoteReference w:id="1"/>
      </w:r>
    </w:p>
    <w:p w:rsidR="009A657F" w:rsidRDefault="00284789" w:rsidP="009A657F">
      <w:pPr>
        <w:ind w:right="18"/>
        <w:jc w:val="center"/>
        <w:rPr>
          <w:rFonts w:ascii="Verdana" w:hAnsi="Verdana"/>
          <w:b/>
          <w:smallCaps/>
          <w:sz w:val="20"/>
        </w:rPr>
      </w:pPr>
      <w:r>
        <w:rPr>
          <w:rFonts w:ascii="Verdana" w:hAnsi="Verdana"/>
          <w:b/>
          <w:smallCaps/>
          <w:sz w:val="20"/>
        </w:rPr>
        <w:t>DE 5 DE FEBRERO</w:t>
      </w:r>
      <w:r w:rsidR="00F65B50">
        <w:rPr>
          <w:rFonts w:ascii="Verdana" w:hAnsi="Verdana"/>
          <w:b/>
          <w:smallCaps/>
          <w:sz w:val="20"/>
        </w:rPr>
        <w:t xml:space="preserve"> DE 2018</w:t>
      </w:r>
    </w:p>
    <w:p w:rsidR="009A657F" w:rsidRDefault="009A657F" w:rsidP="009A657F">
      <w:pPr>
        <w:ind w:right="18"/>
        <w:jc w:val="both"/>
        <w:rPr>
          <w:rFonts w:ascii="Verdana" w:hAnsi="Verdana"/>
          <w:b/>
          <w:smallCaps/>
          <w:sz w:val="20"/>
        </w:rPr>
      </w:pPr>
    </w:p>
    <w:p w:rsidR="009A657F" w:rsidRDefault="009A657F" w:rsidP="009A657F">
      <w:pPr>
        <w:ind w:right="18"/>
        <w:jc w:val="both"/>
        <w:rPr>
          <w:rFonts w:ascii="Verdana" w:hAnsi="Verdana"/>
          <w:b/>
          <w:smallCaps/>
          <w:sz w:val="20"/>
        </w:rPr>
      </w:pPr>
    </w:p>
    <w:p w:rsidR="009A657F" w:rsidRDefault="009A657F" w:rsidP="009A657F">
      <w:pPr>
        <w:ind w:right="18"/>
        <w:jc w:val="center"/>
        <w:rPr>
          <w:rFonts w:ascii="Verdana" w:hAnsi="Verdana"/>
          <w:b/>
          <w:smallCaps/>
          <w:sz w:val="20"/>
        </w:rPr>
      </w:pPr>
      <w:r>
        <w:rPr>
          <w:rFonts w:ascii="Verdana" w:hAnsi="Verdana"/>
          <w:b/>
          <w:sz w:val="20"/>
          <w:lang w:val="es-ES_tradnl"/>
        </w:rPr>
        <w:t>SOLICITUD DE MEDIDAS PROVISIONALES</w:t>
      </w:r>
    </w:p>
    <w:p w:rsidR="009A657F" w:rsidRDefault="009A657F" w:rsidP="009A657F">
      <w:pPr>
        <w:ind w:right="18"/>
        <w:jc w:val="center"/>
        <w:rPr>
          <w:rFonts w:ascii="Verdana" w:hAnsi="Verdana"/>
          <w:b/>
          <w:smallCaps/>
          <w:sz w:val="20"/>
        </w:rPr>
      </w:pPr>
      <w:r>
        <w:rPr>
          <w:rFonts w:ascii="Verdana" w:hAnsi="Verdana"/>
          <w:b/>
          <w:smallCaps/>
          <w:sz w:val="20"/>
        </w:rPr>
        <w:t xml:space="preserve"> RESPECTO DE LA REPÚBLICA DEL PERÚ</w:t>
      </w:r>
    </w:p>
    <w:p w:rsidR="009A657F" w:rsidRDefault="009A657F" w:rsidP="009A657F">
      <w:pPr>
        <w:ind w:right="18"/>
        <w:jc w:val="center"/>
        <w:rPr>
          <w:rFonts w:ascii="Verdana" w:hAnsi="Verdana"/>
          <w:b/>
          <w:smallCaps/>
          <w:sz w:val="20"/>
        </w:rPr>
      </w:pPr>
    </w:p>
    <w:p w:rsidR="009A657F" w:rsidRDefault="00325140" w:rsidP="009A657F">
      <w:pPr>
        <w:ind w:right="18"/>
        <w:jc w:val="center"/>
        <w:rPr>
          <w:rFonts w:ascii="Verdana" w:hAnsi="Verdana"/>
          <w:b/>
          <w:smallCaps/>
          <w:sz w:val="20"/>
        </w:rPr>
      </w:pPr>
      <w:r>
        <w:rPr>
          <w:rFonts w:ascii="Verdana" w:hAnsi="Verdana"/>
          <w:b/>
          <w:smallCaps/>
          <w:sz w:val="20"/>
        </w:rPr>
        <w:t>CASO G</w:t>
      </w:r>
      <w:r w:rsidR="004B550E">
        <w:rPr>
          <w:rFonts w:ascii="Verdana" w:hAnsi="Verdana"/>
          <w:b/>
          <w:smallCaps/>
          <w:sz w:val="20"/>
        </w:rPr>
        <w:t>A</w:t>
      </w:r>
      <w:r w:rsidR="009A657F">
        <w:rPr>
          <w:rFonts w:ascii="Verdana" w:hAnsi="Verdana"/>
          <w:b/>
          <w:smallCaps/>
          <w:sz w:val="20"/>
        </w:rPr>
        <w:t xml:space="preserve">LINDO </w:t>
      </w:r>
      <w:r w:rsidR="004B550E">
        <w:rPr>
          <w:rFonts w:ascii="Verdana" w:hAnsi="Verdana"/>
          <w:b/>
          <w:smallCaps/>
          <w:sz w:val="20"/>
        </w:rPr>
        <w:t xml:space="preserve">CÁRDENAS </w:t>
      </w:r>
    </w:p>
    <w:p w:rsidR="009A657F" w:rsidRDefault="009A657F" w:rsidP="009A657F">
      <w:pPr>
        <w:ind w:right="18"/>
        <w:jc w:val="center"/>
        <w:rPr>
          <w:rFonts w:ascii="Verdana" w:hAnsi="Verdana"/>
          <w:b/>
          <w:smallCaps/>
          <w:sz w:val="20"/>
        </w:rPr>
      </w:pPr>
    </w:p>
    <w:p w:rsidR="009A657F" w:rsidRDefault="009A657F" w:rsidP="009A657F">
      <w:pPr>
        <w:ind w:right="18"/>
        <w:jc w:val="both"/>
        <w:rPr>
          <w:rFonts w:ascii="Verdana" w:hAnsi="Verdana"/>
          <w:b/>
          <w:sz w:val="20"/>
        </w:rPr>
      </w:pPr>
    </w:p>
    <w:p w:rsidR="009A657F" w:rsidRDefault="009A657F" w:rsidP="009A657F">
      <w:pPr>
        <w:ind w:right="18"/>
        <w:jc w:val="both"/>
        <w:rPr>
          <w:rFonts w:ascii="Verdana" w:hAnsi="Verdana"/>
          <w:b/>
          <w:sz w:val="20"/>
        </w:rPr>
      </w:pPr>
    </w:p>
    <w:p w:rsidR="009A657F" w:rsidRDefault="009A657F" w:rsidP="009A657F">
      <w:pPr>
        <w:ind w:right="18"/>
        <w:jc w:val="both"/>
        <w:rPr>
          <w:rFonts w:ascii="Verdana" w:hAnsi="Verdana"/>
          <w:b/>
          <w:sz w:val="20"/>
        </w:rPr>
      </w:pPr>
      <w:r>
        <w:rPr>
          <w:rFonts w:ascii="Verdana" w:hAnsi="Verdana"/>
          <w:b/>
          <w:sz w:val="20"/>
        </w:rPr>
        <w:t>VISTOS:</w:t>
      </w:r>
    </w:p>
    <w:p w:rsidR="009A657F" w:rsidRDefault="009A657F" w:rsidP="009A657F">
      <w:pPr>
        <w:pStyle w:val="Textonotapie"/>
        <w:ind w:right="18"/>
        <w:rPr>
          <w:rFonts w:ascii="Verdana" w:hAnsi="Verdana"/>
        </w:rPr>
      </w:pPr>
    </w:p>
    <w:p w:rsidR="00644041" w:rsidRDefault="00644041" w:rsidP="009A657F">
      <w:pPr>
        <w:pStyle w:val="Sangra3detindependiente"/>
        <w:widowControl w:val="0"/>
        <w:numPr>
          <w:ilvl w:val="0"/>
          <w:numId w:val="3"/>
        </w:numPr>
        <w:ind w:left="0" w:right="18" w:firstLine="0"/>
        <w:rPr>
          <w:rFonts w:ascii="Verdana" w:eastAsia="Times" w:hAnsi="Verdana"/>
          <w:b w:val="0"/>
          <w:sz w:val="20"/>
        </w:rPr>
      </w:pPr>
      <w:r>
        <w:rPr>
          <w:rFonts w:ascii="Verdana" w:eastAsia="Times" w:hAnsi="Verdana"/>
          <w:b w:val="0"/>
          <w:sz w:val="20"/>
        </w:rPr>
        <w:t>L</w:t>
      </w:r>
      <w:r w:rsidR="00254129">
        <w:rPr>
          <w:rFonts w:ascii="Verdana" w:eastAsia="Times" w:hAnsi="Verdana"/>
          <w:b w:val="0"/>
          <w:sz w:val="20"/>
        </w:rPr>
        <w:t>a Sentencia 2 de octubre de 2015</w:t>
      </w:r>
      <w:r>
        <w:rPr>
          <w:rFonts w:ascii="Verdana" w:eastAsia="Times" w:hAnsi="Verdana"/>
          <w:b w:val="0"/>
          <w:sz w:val="20"/>
        </w:rPr>
        <w:t xml:space="preserve"> dictada por la Corte Interamericana de Derechos Humanos (en adelante “la Corte” o “este Tribunal”) sobre excepciones preliminares, fondo, reparaciones y costas.</w:t>
      </w:r>
    </w:p>
    <w:p w:rsidR="00644041" w:rsidRDefault="00644041" w:rsidP="00644041">
      <w:pPr>
        <w:pStyle w:val="Sangra3detindependiente"/>
        <w:widowControl w:val="0"/>
        <w:ind w:left="0" w:right="18"/>
        <w:rPr>
          <w:rFonts w:ascii="Verdana" w:eastAsia="Times" w:hAnsi="Verdana"/>
          <w:b w:val="0"/>
          <w:sz w:val="20"/>
        </w:rPr>
      </w:pPr>
      <w:r>
        <w:rPr>
          <w:rFonts w:ascii="Verdana" w:eastAsia="Times" w:hAnsi="Verdana"/>
          <w:b w:val="0"/>
          <w:sz w:val="20"/>
        </w:rPr>
        <w:t xml:space="preserve">  </w:t>
      </w:r>
    </w:p>
    <w:p w:rsidR="009A657F" w:rsidRDefault="009A657F" w:rsidP="009A657F">
      <w:pPr>
        <w:pStyle w:val="Sangra3detindependiente"/>
        <w:widowControl w:val="0"/>
        <w:numPr>
          <w:ilvl w:val="0"/>
          <w:numId w:val="3"/>
        </w:numPr>
        <w:ind w:left="0" w:right="18" w:firstLine="0"/>
        <w:rPr>
          <w:rFonts w:ascii="Verdana" w:eastAsia="Times" w:hAnsi="Verdana"/>
          <w:b w:val="0"/>
          <w:sz w:val="20"/>
        </w:rPr>
      </w:pPr>
      <w:r w:rsidRPr="003B2387">
        <w:rPr>
          <w:rFonts w:ascii="Verdana" w:eastAsia="Times" w:hAnsi="Verdana"/>
          <w:b w:val="0"/>
          <w:sz w:val="20"/>
        </w:rPr>
        <w:t xml:space="preserve">El escrito de </w:t>
      </w:r>
      <w:r w:rsidR="00644041">
        <w:rPr>
          <w:rFonts w:ascii="Verdana" w:eastAsia="Times" w:hAnsi="Verdana"/>
          <w:b w:val="0"/>
          <w:sz w:val="20"/>
        </w:rPr>
        <w:t>12 de diciembre de 2017</w:t>
      </w:r>
      <w:r w:rsidRPr="001235DD">
        <w:rPr>
          <w:rFonts w:ascii="Verdana" w:eastAsia="Times" w:hAnsi="Verdana"/>
          <w:b w:val="0"/>
          <w:sz w:val="20"/>
        </w:rPr>
        <w:t>,</w:t>
      </w:r>
      <w:r w:rsidRPr="003B2387">
        <w:rPr>
          <w:rFonts w:ascii="Verdana" w:eastAsia="Times" w:hAnsi="Verdana"/>
          <w:b w:val="0"/>
          <w:sz w:val="20"/>
        </w:rPr>
        <w:t xml:space="preserve"> mediante el cual </w:t>
      </w:r>
      <w:r w:rsidR="00254129">
        <w:rPr>
          <w:rFonts w:ascii="Verdana" w:eastAsia="Times" w:hAnsi="Verdana"/>
          <w:b w:val="0"/>
          <w:sz w:val="20"/>
        </w:rPr>
        <w:t xml:space="preserve">el </w:t>
      </w:r>
      <w:r w:rsidR="00325140">
        <w:rPr>
          <w:rFonts w:ascii="Verdana" w:eastAsia="Times" w:hAnsi="Verdana"/>
          <w:b w:val="0"/>
          <w:sz w:val="20"/>
        </w:rPr>
        <w:t>señor Luis Antonio Galindo Cárdenas</w:t>
      </w:r>
      <w:r w:rsidRPr="003B2387">
        <w:rPr>
          <w:rFonts w:ascii="Verdana" w:eastAsia="Times" w:hAnsi="Verdana"/>
          <w:b w:val="0"/>
          <w:sz w:val="20"/>
        </w:rPr>
        <w:t xml:space="preserve"> </w:t>
      </w:r>
      <w:r w:rsidR="00254129">
        <w:rPr>
          <w:rFonts w:ascii="Verdana" w:eastAsia="Times" w:hAnsi="Verdana"/>
          <w:b w:val="0"/>
          <w:sz w:val="20"/>
        </w:rPr>
        <w:t>(en adelante también “el señor Galindo Cárdenas” o “el señor Galindo”)</w:t>
      </w:r>
      <w:r w:rsidR="00254129" w:rsidRPr="003B2387" w:rsidDel="00254129">
        <w:rPr>
          <w:rFonts w:ascii="Verdana" w:eastAsia="Times" w:hAnsi="Verdana"/>
          <w:b w:val="0"/>
          <w:sz w:val="20"/>
        </w:rPr>
        <w:t xml:space="preserve"> </w:t>
      </w:r>
      <w:r w:rsidR="000E6360">
        <w:rPr>
          <w:rFonts w:ascii="Verdana" w:eastAsia="Times" w:hAnsi="Verdana"/>
          <w:b w:val="0"/>
          <w:sz w:val="20"/>
        </w:rPr>
        <w:t xml:space="preserve">solicitó la </w:t>
      </w:r>
      <w:r w:rsidRPr="003B2387">
        <w:rPr>
          <w:rFonts w:ascii="Verdana" w:eastAsia="Times" w:hAnsi="Verdana"/>
          <w:b w:val="0"/>
          <w:sz w:val="20"/>
        </w:rPr>
        <w:t>adopción de medidas provisionales a</w:t>
      </w:r>
      <w:r w:rsidR="00254129">
        <w:rPr>
          <w:rFonts w:ascii="Verdana" w:eastAsia="Times" w:hAnsi="Verdana"/>
          <w:b w:val="0"/>
          <w:sz w:val="20"/>
        </w:rPr>
        <w:t xml:space="preserve"> su</w:t>
      </w:r>
      <w:r w:rsidRPr="003B2387">
        <w:rPr>
          <w:rFonts w:ascii="Verdana" w:eastAsia="Times" w:hAnsi="Verdana"/>
          <w:b w:val="0"/>
          <w:sz w:val="20"/>
        </w:rPr>
        <w:t xml:space="preserve"> favor. Los anexos a dicho escrito fueron presentados el </w:t>
      </w:r>
      <w:r>
        <w:rPr>
          <w:rFonts w:ascii="Verdana" w:eastAsia="Times" w:hAnsi="Verdana"/>
          <w:b w:val="0"/>
          <w:sz w:val="20"/>
        </w:rPr>
        <w:t>12</w:t>
      </w:r>
      <w:r w:rsidR="000E6360">
        <w:rPr>
          <w:rFonts w:ascii="Verdana" w:eastAsia="Times" w:hAnsi="Verdana"/>
          <w:b w:val="0"/>
          <w:sz w:val="20"/>
        </w:rPr>
        <w:t xml:space="preserve"> de diciembre de 2017</w:t>
      </w:r>
      <w:r w:rsidR="00254129">
        <w:rPr>
          <w:rStyle w:val="Refdenotaalpie"/>
          <w:rFonts w:ascii="Verdana" w:eastAsia="Times" w:hAnsi="Verdana"/>
          <w:b w:val="0"/>
          <w:sz w:val="20"/>
        </w:rPr>
        <w:footnoteReference w:id="2"/>
      </w:r>
      <w:r w:rsidRPr="003B2387">
        <w:rPr>
          <w:rFonts w:ascii="Verdana" w:eastAsia="Times" w:hAnsi="Verdana"/>
          <w:b w:val="0"/>
          <w:sz w:val="20"/>
        </w:rPr>
        <w:t xml:space="preserve">. </w:t>
      </w:r>
    </w:p>
    <w:p w:rsidR="009A657F" w:rsidRDefault="009A657F" w:rsidP="009A657F">
      <w:pPr>
        <w:pStyle w:val="Sangra3detindependiente"/>
        <w:widowControl w:val="0"/>
        <w:ind w:left="0" w:right="18"/>
        <w:rPr>
          <w:rFonts w:ascii="Verdana" w:eastAsia="Times" w:hAnsi="Verdana"/>
          <w:b w:val="0"/>
          <w:sz w:val="20"/>
        </w:rPr>
      </w:pPr>
    </w:p>
    <w:p w:rsidR="009A657F" w:rsidRPr="009150B2" w:rsidRDefault="009A657F" w:rsidP="009A657F">
      <w:pPr>
        <w:pStyle w:val="Sangra3detindependiente"/>
        <w:widowControl w:val="0"/>
        <w:numPr>
          <w:ilvl w:val="0"/>
          <w:numId w:val="3"/>
        </w:numPr>
        <w:ind w:left="0" w:right="18" w:firstLine="0"/>
        <w:rPr>
          <w:rFonts w:ascii="Verdana" w:eastAsia="Times" w:hAnsi="Verdana"/>
          <w:b w:val="0"/>
          <w:sz w:val="20"/>
        </w:rPr>
      </w:pPr>
      <w:r w:rsidRPr="009150B2">
        <w:rPr>
          <w:rFonts w:ascii="Verdana" w:eastAsia="Times" w:hAnsi="Verdana"/>
          <w:b w:val="0"/>
          <w:sz w:val="20"/>
        </w:rPr>
        <w:t xml:space="preserve">El </w:t>
      </w:r>
      <w:r w:rsidR="000E6360" w:rsidRPr="009150B2">
        <w:rPr>
          <w:rFonts w:ascii="Verdana" w:eastAsia="Times" w:hAnsi="Verdana"/>
          <w:b w:val="0"/>
          <w:sz w:val="20"/>
        </w:rPr>
        <w:t xml:space="preserve">12 de diciembre de 2017 </w:t>
      </w:r>
      <w:r w:rsidR="00F65B50" w:rsidRPr="009150B2">
        <w:rPr>
          <w:rFonts w:ascii="Verdana" w:eastAsia="Times" w:hAnsi="Verdana"/>
          <w:b w:val="0"/>
          <w:sz w:val="20"/>
        </w:rPr>
        <w:t xml:space="preserve">el </w:t>
      </w:r>
      <w:r w:rsidR="00F65B50" w:rsidRPr="009150B2">
        <w:rPr>
          <w:rFonts w:ascii="Verdana" w:hAnsi="Verdana"/>
          <w:b w:val="0"/>
          <w:sz w:val="20"/>
        </w:rPr>
        <w:t xml:space="preserve">señor Galindo Cárdenas </w:t>
      </w:r>
      <w:r w:rsidR="00CC6797" w:rsidRPr="009150B2">
        <w:rPr>
          <w:rFonts w:ascii="Verdana" w:hAnsi="Verdana"/>
          <w:b w:val="0"/>
          <w:sz w:val="20"/>
        </w:rPr>
        <w:t xml:space="preserve">hizo </w:t>
      </w:r>
      <w:r w:rsidR="00F65B50" w:rsidRPr="009150B2">
        <w:rPr>
          <w:rFonts w:ascii="Verdana" w:hAnsi="Verdana"/>
          <w:b w:val="0"/>
          <w:sz w:val="20"/>
        </w:rPr>
        <w:t>una</w:t>
      </w:r>
      <w:r w:rsidR="000E6360" w:rsidRPr="009150B2">
        <w:rPr>
          <w:rFonts w:ascii="Verdana" w:hAnsi="Verdana"/>
          <w:b w:val="0"/>
          <w:sz w:val="20"/>
        </w:rPr>
        <w:t xml:space="preserve"> </w:t>
      </w:r>
      <w:r w:rsidR="00CC6797" w:rsidRPr="009150B2">
        <w:rPr>
          <w:rFonts w:ascii="Verdana" w:hAnsi="Verdana"/>
          <w:b w:val="0"/>
          <w:sz w:val="20"/>
        </w:rPr>
        <w:t>solicitud</w:t>
      </w:r>
      <w:r w:rsidR="00F65B50" w:rsidRPr="009150B2">
        <w:rPr>
          <w:rFonts w:ascii="Verdana" w:hAnsi="Verdana"/>
          <w:b w:val="0"/>
          <w:sz w:val="20"/>
        </w:rPr>
        <w:t xml:space="preserve"> de </w:t>
      </w:r>
      <w:r w:rsidRPr="009150B2">
        <w:rPr>
          <w:rFonts w:ascii="Verdana" w:hAnsi="Verdana"/>
          <w:b w:val="0"/>
          <w:sz w:val="20"/>
        </w:rPr>
        <w:t>m</w:t>
      </w:r>
      <w:r w:rsidR="00F65B50" w:rsidRPr="009150B2">
        <w:rPr>
          <w:rFonts w:ascii="Verdana" w:hAnsi="Verdana"/>
          <w:b w:val="0"/>
          <w:sz w:val="20"/>
        </w:rPr>
        <w:t>edidas provisionales a su favor “en [su] condición de víctima y agraviado por la [v]iolación a los [d]erechos [h]umanos</w:t>
      </w:r>
      <w:r w:rsidR="00CC6797" w:rsidRPr="009150B2">
        <w:rPr>
          <w:rFonts w:ascii="Verdana" w:hAnsi="Verdana"/>
          <w:b w:val="0"/>
          <w:sz w:val="20"/>
        </w:rPr>
        <w:t xml:space="preserve">, </w:t>
      </w:r>
      <w:r w:rsidR="000D2DA0">
        <w:rPr>
          <w:rFonts w:ascii="Verdana" w:hAnsi="Verdana"/>
          <w:b w:val="0"/>
          <w:sz w:val="20"/>
        </w:rPr>
        <w:t>[</w:t>
      </w:r>
      <w:r w:rsidR="00F65B50" w:rsidRPr="009150B2">
        <w:rPr>
          <w:rFonts w:ascii="Verdana" w:hAnsi="Verdana"/>
          <w:b w:val="0"/>
          <w:sz w:val="20"/>
        </w:rPr>
        <w:t>como</w:t>
      </w:r>
      <w:r w:rsidR="000D2DA0">
        <w:rPr>
          <w:rFonts w:ascii="Verdana" w:hAnsi="Verdana"/>
          <w:b w:val="0"/>
          <w:sz w:val="20"/>
        </w:rPr>
        <w:t>]</w:t>
      </w:r>
      <w:r w:rsidR="00F65B50" w:rsidRPr="009150B2">
        <w:rPr>
          <w:rFonts w:ascii="Verdana" w:hAnsi="Verdana"/>
          <w:b w:val="0"/>
          <w:sz w:val="20"/>
        </w:rPr>
        <w:t xml:space="preserve"> qued</w:t>
      </w:r>
      <w:r w:rsidR="000D2DA0">
        <w:rPr>
          <w:rFonts w:ascii="Verdana" w:hAnsi="Verdana"/>
          <w:b w:val="0"/>
          <w:sz w:val="20"/>
        </w:rPr>
        <w:t>[</w:t>
      </w:r>
      <w:r w:rsidR="00F65B50" w:rsidRPr="009150B2">
        <w:rPr>
          <w:rFonts w:ascii="Verdana" w:hAnsi="Verdana"/>
          <w:b w:val="0"/>
          <w:sz w:val="20"/>
        </w:rPr>
        <w:t>ó</w:t>
      </w:r>
      <w:r w:rsidR="000D2DA0">
        <w:rPr>
          <w:rFonts w:ascii="Verdana" w:hAnsi="Verdana"/>
          <w:b w:val="0"/>
          <w:sz w:val="20"/>
        </w:rPr>
        <w:t>]</w:t>
      </w:r>
      <w:r w:rsidR="00F65B50" w:rsidRPr="009150B2">
        <w:rPr>
          <w:rFonts w:ascii="Verdana" w:hAnsi="Verdana"/>
          <w:b w:val="0"/>
          <w:sz w:val="20"/>
        </w:rPr>
        <w:t xml:space="preserve"> acreditado </w:t>
      </w:r>
      <w:r w:rsidR="000D2DA0">
        <w:rPr>
          <w:rFonts w:ascii="Verdana" w:hAnsi="Verdana"/>
          <w:b w:val="0"/>
          <w:sz w:val="20"/>
        </w:rPr>
        <w:t>[</w:t>
      </w:r>
      <w:r w:rsidR="00F65B50" w:rsidRPr="009150B2">
        <w:rPr>
          <w:rFonts w:ascii="Verdana" w:hAnsi="Verdana"/>
          <w:b w:val="0"/>
          <w:sz w:val="20"/>
        </w:rPr>
        <w:t>en la Sentencia dictada por la Corte el</w:t>
      </w:r>
      <w:r w:rsidR="000D2DA0">
        <w:rPr>
          <w:rFonts w:ascii="Verdana" w:hAnsi="Verdana"/>
          <w:b w:val="0"/>
          <w:sz w:val="20"/>
        </w:rPr>
        <w:t>]</w:t>
      </w:r>
      <w:r w:rsidR="00F65B50" w:rsidRPr="009150B2">
        <w:rPr>
          <w:rFonts w:ascii="Verdana" w:hAnsi="Verdana"/>
          <w:b w:val="0"/>
          <w:sz w:val="20"/>
        </w:rPr>
        <w:t xml:space="preserve"> </w:t>
      </w:r>
      <w:r w:rsidR="000D2DA0">
        <w:rPr>
          <w:rFonts w:ascii="Verdana" w:hAnsi="Verdana"/>
          <w:b w:val="0"/>
          <w:sz w:val="20"/>
        </w:rPr>
        <w:t>0</w:t>
      </w:r>
      <w:r w:rsidR="00F65B50" w:rsidRPr="009150B2">
        <w:rPr>
          <w:rFonts w:ascii="Verdana" w:hAnsi="Verdana"/>
          <w:b w:val="0"/>
          <w:sz w:val="20"/>
        </w:rPr>
        <w:t xml:space="preserve">2 de octubre de 2015 y </w:t>
      </w:r>
      <w:r w:rsidR="000D2DA0">
        <w:rPr>
          <w:rFonts w:ascii="Verdana" w:hAnsi="Verdana"/>
          <w:b w:val="0"/>
          <w:sz w:val="20"/>
        </w:rPr>
        <w:t>[</w:t>
      </w:r>
      <w:r w:rsidR="00F65B50" w:rsidRPr="009150B2">
        <w:rPr>
          <w:rFonts w:ascii="Verdana" w:hAnsi="Verdana"/>
          <w:b w:val="0"/>
          <w:sz w:val="20"/>
        </w:rPr>
        <w:t>en la Sentencia de</w:t>
      </w:r>
      <w:r w:rsidR="000D2DA0">
        <w:rPr>
          <w:rFonts w:ascii="Verdana" w:hAnsi="Verdana"/>
          <w:b w:val="0"/>
          <w:sz w:val="20"/>
        </w:rPr>
        <w:t>]</w:t>
      </w:r>
      <w:r w:rsidR="00F65B50" w:rsidRPr="009150B2">
        <w:rPr>
          <w:rFonts w:ascii="Verdana" w:hAnsi="Verdana"/>
          <w:b w:val="0"/>
          <w:sz w:val="20"/>
        </w:rPr>
        <w:t xml:space="preserve"> Interpretación </w:t>
      </w:r>
      <w:r w:rsidR="000D2DA0">
        <w:rPr>
          <w:rFonts w:ascii="Verdana" w:hAnsi="Verdana"/>
          <w:b w:val="0"/>
          <w:sz w:val="20"/>
        </w:rPr>
        <w:t>[</w:t>
      </w:r>
      <w:r w:rsidR="00F65B50" w:rsidRPr="009150B2">
        <w:rPr>
          <w:rFonts w:ascii="Verdana" w:hAnsi="Verdana"/>
          <w:b w:val="0"/>
          <w:sz w:val="20"/>
        </w:rPr>
        <w:t>dic</w:t>
      </w:r>
      <w:r w:rsidR="0062203B" w:rsidRPr="009150B2">
        <w:rPr>
          <w:rFonts w:ascii="Verdana" w:hAnsi="Verdana"/>
          <w:b w:val="0"/>
          <w:sz w:val="20"/>
        </w:rPr>
        <w:t>tada el</w:t>
      </w:r>
      <w:r w:rsidR="000D2DA0">
        <w:rPr>
          <w:rFonts w:ascii="Verdana" w:hAnsi="Verdana"/>
          <w:b w:val="0"/>
          <w:sz w:val="20"/>
        </w:rPr>
        <w:t>]</w:t>
      </w:r>
      <w:r w:rsidR="0062203B" w:rsidRPr="009150B2">
        <w:rPr>
          <w:rFonts w:ascii="Verdana" w:hAnsi="Verdana"/>
          <w:b w:val="0"/>
          <w:sz w:val="20"/>
        </w:rPr>
        <w:t xml:space="preserve"> 21 de noviembre de 2016</w:t>
      </w:r>
      <w:r w:rsidR="000D2DA0">
        <w:rPr>
          <w:rFonts w:ascii="Verdana" w:hAnsi="Verdana"/>
          <w:b w:val="0"/>
          <w:sz w:val="20"/>
        </w:rPr>
        <w:t>”</w:t>
      </w:r>
      <w:r w:rsidR="0062203B" w:rsidRPr="009150B2">
        <w:rPr>
          <w:rFonts w:ascii="Verdana" w:hAnsi="Verdana"/>
          <w:b w:val="0"/>
          <w:sz w:val="20"/>
        </w:rPr>
        <w:t>.  En dichas sentencias</w:t>
      </w:r>
      <w:r w:rsidR="00F65B50" w:rsidRPr="009150B2">
        <w:rPr>
          <w:rFonts w:ascii="Verdana" w:hAnsi="Verdana"/>
          <w:b w:val="0"/>
          <w:sz w:val="20"/>
        </w:rPr>
        <w:t xml:space="preserve"> “se dispuso u ordenó al Estado la protección y tutela de [sus] derechos fundamentales </w:t>
      </w:r>
      <w:proofErr w:type="gramStart"/>
      <w:r w:rsidR="00F65B50" w:rsidRPr="009150B2">
        <w:rPr>
          <w:rFonts w:ascii="Verdana" w:hAnsi="Verdana"/>
          <w:b w:val="0"/>
          <w:sz w:val="20"/>
        </w:rPr>
        <w:t>violentados[</w:t>
      </w:r>
      <w:proofErr w:type="gramEnd"/>
      <w:r w:rsidR="00F65B50" w:rsidRPr="009150B2">
        <w:rPr>
          <w:rFonts w:ascii="Verdana" w:hAnsi="Verdana"/>
          <w:b w:val="0"/>
          <w:sz w:val="20"/>
        </w:rPr>
        <w:t>.] [E]n ese sentido, ante actos en [su] agravio que se vienen cometiendo en sede interna</w:t>
      </w:r>
      <w:r w:rsidR="009150B2" w:rsidRPr="009150B2">
        <w:rPr>
          <w:rFonts w:ascii="Verdana" w:hAnsi="Verdana"/>
          <w:b w:val="0"/>
          <w:sz w:val="20"/>
        </w:rPr>
        <w:t>,</w:t>
      </w:r>
      <w:r w:rsidR="00F65B50" w:rsidRPr="009150B2">
        <w:rPr>
          <w:rFonts w:ascii="Verdana" w:hAnsi="Verdana"/>
          <w:b w:val="0"/>
          <w:sz w:val="20"/>
        </w:rPr>
        <w:t xml:space="preserve"> solicit</w:t>
      </w:r>
      <w:r w:rsidR="000D2DA0">
        <w:rPr>
          <w:rFonts w:ascii="Verdana" w:hAnsi="Verdana"/>
          <w:b w:val="0"/>
          <w:sz w:val="20"/>
        </w:rPr>
        <w:t>[</w:t>
      </w:r>
      <w:r w:rsidR="00F65B50" w:rsidRPr="009150B2">
        <w:rPr>
          <w:rFonts w:ascii="Verdana" w:hAnsi="Verdana"/>
          <w:b w:val="0"/>
          <w:sz w:val="20"/>
        </w:rPr>
        <w:t>ó</w:t>
      </w:r>
      <w:r w:rsidR="000D2DA0">
        <w:rPr>
          <w:rFonts w:ascii="Verdana" w:hAnsi="Verdana"/>
          <w:b w:val="0"/>
          <w:sz w:val="20"/>
        </w:rPr>
        <w:t>]</w:t>
      </w:r>
      <w:r w:rsidR="0062203B" w:rsidRPr="009150B2">
        <w:rPr>
          <w:rFonts w:ascii="Verdana" w:hAnsi="Verdana"/>
          <w:b w:val="0"/>
          <w:sz w:val="20"/>
        </w:rPr>
        <w:t xml:space="preserve"> que se </w:t>
      </w:r>
      <w:r w:rsidR="009150B2" w:rsidRPr="009150B2">
        <w:rPr>
          <w:rFonts w:ascii="Verdana" w:hAnsi="Verdana"/>
          <w:b w:val="0"/>
          <w:sz w:val="20"/>
        </w:rPr>
        <w:t>[</w:t>
      </w:r>
      <w:r w:rsidR="0062203B" w:rsidRPr="009150B2">
        <w:rPr>
          <w:rFonts w:ascii="Verdana" w:hAnsi="Verdana"/>
          <w:b w:val="0"/>
          <w:sz w:val="20"/>
        </w:rPr>
        <w:t>le</w:t>
      </w:r>
      <w:r w:rsidR="009150B2" w:rsidRPr="009150B2">
        <w:rPr>
          <w:rFonts w:ascii="Verdana" w:hAnsi="Verdana"/>
          <w:b w:val="0"/>
          <w:sz w:val="20"/>
        </w:rPr>
        <w:t>]</w:t>
      </w:r>
      <w:r w:rsidR="0062203B" w:rsidRPr="009150B2">
        <w:rPr>
          <w:rFonts w:ascii="Verdana" w:hAnsi="Verdana"/>
          <w:b w:val="0"/>
          <w:sz w:val="20"/>
        </w:rPr>
        <w:t xml:space="preserve"> otorguen</w:t>
      </w:r>
      <w:r w:rsidR="00F65B50" w:rsidRPr="009150B2">
        <w:rPr>
          <w:rFonts w:ascii="Verdana" w:hAnsi="Verdana"/>
          <w:b w:val="0"/>
          <w:sz w:val="20"/>
        </w:rPr>
        <w:t xml:space="preserve"> </w:t>
      </w:r>
      <w:r w:rsidR="000D2DA0">
        <w:rPr>
          <w:rFonts w:ascii="Verdana" w:hAnsi="Verdana"/>
          <w:b w:val="0"/>
          <w:sz w:val="20"/>
        </w:rPr>
        <w:t>[</w:t>
      </w:r>
      <w:r w:rsidR="00F65B50" w:rsidRPr="009150B2">
        <w:rPr>
          <w:rFonts w:ascii="Verdana" w:hAnsi="Verdana"/>
          <w:b w:val="0"/>
          <w:sz w:val="20"/>
        </w:rPr>
        <w:t>m</w:t>
      </w:r>
      <w:r w:rsidR="000D2DA0">
        <w:rPr>
          <w:rFonts w:ascii="Verdana" w:hAnsi="Verdana"/>
          <w:b w:val="0"/>
          <w:sz w:val="20"/>
        </w:rPr>
        <w:t>]</w:t>
      </w:r>
      <w:r w:rsidR="00F65B50" w:rsidRPr="009150B2">
        <w:rPr>
          <w:rFonts w:ascii="Verdana" w:hAnsi="Verdana"/>
          <w:b w:val="0"/>
          <w:sz w:val="20"/>
        </w:rPr>
        <w:t>edidas</w:t>
      </w:r>
      <w:r w:rsidR="009150B2" w:rsidRPr="009150B2">
        <w:rPr>
          <w:rFonts w:ascii="Verdana" w:hAnsi="Verdana"/>
          <w:b w:val="0"/>
          <w:sz w:val="20"/>
        </w:rPr>
        <w:t xml:space="preserve"> </w:t>
      </w:r>
      <w:r w:rsidR="000D2DA0">
        <w:rPr>
          <w:rFonts w:ascii="Verdana" w:hAnsi="Verdana"/>
          <w:b w:val="0"/>
          <w:sz w:val="20"/>
        </w:rPr>
        <w:t>[</w:t>
      </w:r>
      <w:r w:rsidR="009150B2" w:rsidRPr="009150B2">
        <w:rPr>
          <w:rFonts w:ascii="Verdana" w:hAnsi="Verdana"/>
          <w:b w:val="0"/>
          <w:sz w:val="20"/>
        </w:rPr>
        <w:t>p</w:t>
      </w:r>
      <w:r w:rsidR="000D2DA0">
        <w:rPr>
          <w:rFonts w:ascii="Verdana" w:hAnsi="Verdana"/>
          <w:b w:val="0"/>
          <w:sz w:val="20"/>
        </w:rPr>
        <w:t>]</w:t>
      </w:r>
      <w:r w:rsidR="009150B2" w:rsidRPr="009150B2">
        <w:rPr>
          <w:rFonts w:ascii="Verdana" w:hAnsi="Verdana"/>
          <w:b w:val="0"/>
          <w:sz w:val="20"/>
        </w:rPr>
        <w:t>rovisionales</w:t>
      </w:r>
      <w:r w:rsidR="0062203B" w:rsidRPr="009150B2">
        <w:rPr>
          <w:rFonts w:ascii="Verdana" w:hAnsi="Verdana"/>
          <w:b w:val="0"/>
          <w:sz w:val="20"/>
        </w:rPr>
        <w:t>, respecto a las [g]arantías [j]udiciales  en el marco del ejercicio de la profesión de [a]bogado y la [d]efensa de [sus d</w:t>
      </w:r>
      <w:proofErr w:type="gramStart"/>
      <w:r w:rsidR="0062203B" w:rsidRPr="009150B2">
        <w:rPr>
          <w:rFonts w:ascii="Verdana" w:hAnsi="Verdana"/>
          <w:b w:val="0"/>
          <w:sz w:val="20"/>
        </w:rPr>
        <w:t>]erechos</w:t>
      </w:r>
      <w:proofErr w:type="gramEnd"/>
      <w:r w:rsidR="0062203B" w:rsidRPr="009150B2">
        <w:rPr>
          <w:rFonts w:ascii="Verdana" w:hAnsi="Verdana"/>
          <w:b w:val="0"/>
          <w:sz w:val="20"/>
        </w:rPr>
        <w:t xml:space="preserve"> patrimoniales, puestos en evidente peligro y riesgo”.  Fundó la solicitud en </w:t>
      </w:r>
      <w:r w:rsidRPr="009150B2">
        <w:rPr>
          <w:rFonts w:ascii="Verdana" w:hAnsi="Verdana"/>
          <w:b w:val="0"/>
          <w:sz w:val="20"/>
        </w:rPr>
        <w:t xml:space="preserve">lo siguiente: </w:t>
      </w:r>
    </w:p>
    <w:p w:rsidR="00254129" w:rsidRDefault="000F1DEC" w:rsidP="002777F0">
      <w:pPr>
        <w:pStyle w:val="Prrafodelista"/>
        <w:numPr>
          <w:ilvl w:val="0"/>
          <w:numId w:val="6"/>
        </w:numPr>
        <w:spacing w:after="200" w:line="276" w:lineRule="auto"/>
        <w:ind w:left="720" w:firstLine="0"/>
        <w:contextualSpacing/>
        <w:jc w:val="both"/>
        <w:rPr>
          <w:rFonts w:ascii="Verdana" w:hAnsi="Verdana"/>
          <w:sz w:val="20"/>
          <w:szCs w:val="20"/>
          <w:lang w:val="es-CR"/>
        </w:rPr>
      </w:pPr>
      <w:r>
        <w:rPr>
          <w:rFonts w:ascii="Verdana" w:hAnsi="Verdana"/>
          <w:sz w:val="20"/>
          <w:szCs w:val="20"/>
          <w:lang w:val="es-CR"/>
        </w:rPr>
        <w:t>que</w:t>
      </w:r>
      <w:r w:rsidR="00254129" w:rsidRPr="001B3DA5">
        <w:rPr>
          <w:rFonts w:ascii="Verdana" w:hAnsi="Verdana"/>
          <w:sz w:val="20"/>
          <w:szCs w:val="20"/>
          <w:lang w:val="es-CR"/>
        </w:rPr>
        <w:t xml:space="preserve"> demandó ante las autoridades jurisdiccionales peruanas al señor Manuel Andrés Santos García por la “figura de </w:t>
      </w:r>
      <w:r w:rsidR="00F829DB">
        <w:rPr>
          <w:rFonts w:ascii="Verdana" w:hAnsi="Verdana"/>
          <w:sz w:val="20"/>
          <w:szCs w:val="20"/>
          <w:lang w:val="es-CR"/>
        </w:rPr>
        <w:t>[</w:t>
      </w:r>
      <w:r w:rsidR="00254129" w:rsidRPr="001B3DA5">
        <w:rPr>
          <w:rFonts w:ascii="Verdana" w:hAnsi="Verdana"/>
          <w:sz w:val="20"/>
          <w:szCs w:val="20"/>
          <w:lang w:val="es-CR"/>
        </w:rPr>
        <w:t>d</w:t>
      </w:r>
      <w:r w:rsidR="00F829DB">
        <w:rPr>
          <w:rFonts w:ascii="Verdana" w:hAnsi="Verdana"/>
          <w:sz w:val="20"/>
          <w:szCs w:val="20"/>
          <w:lang w:val="es-CR"/>
        </w:rPr>
        <w:t>]</w:t>
      </w:r>
      <w:r w:rsidR="00254129" w:rsidRPr="001B3DA5">
        <w:rPr>
          <w:rFonts w:ascii="Verdana" w:hAnsi="Verdana"/>
          <w:sz w:val="20"/>
          <w:szCs w:val="20"/>
          <w:lang w:val="es-CR"/>
        </w:rPr>
        <w:t xml:space="preserve">esalojo </w:t>
      </w:r>
      <w:r w:rsidR="00254129" w:rsidRPr="00A92ABF">
        <w:rPr>
          <w:rFonts w:ascii="Verdana" w:hAnsi="Verdana"/>
          <w:sz w:val="20"/>
          <w:szCs w:val="20"/>
          <w:lang w:val="es-CR"/>
        </w:rPr>
        <w:t xml:space="preserve">por </w:t>
      </w:r>
      <w:r w:rsidR="00A92ABF">
        <w:rPr>
          <w:rFonts w:ascii="Verdana" w:hAnsi="Verdana"/>
          <w:sz w:val="20"/>
          <w:szCs w:val="20"/>
          <w:lang w:val="es-CR"/>
        </w:rPr>
        <w:t>[</w:t>
      </w:r>
      <w:r w:rsidR="003047DF" w:rsidRPr="00A92ABF">
        <w:rPr>
          <w:rFonts w:ascii="Verdana" w:hAnsi="Verdana"/>
          <w:sz w:val="20"/>
          <w:szCs w:val="20"/>
          <w:lang w:val="es-CR"/>
        </w:rPr>
        <w:t>in</w:t>
      </w:r>
      <w:r w:rsidR="00A92ABF">
        <w:rPr>
          <w:rFonts w:ascii="Verdana" w:hAnsi="Verdana"/>
          <w:sz w:val="20"/>
          <w:szCs w:val="20"/>
          <w:lang w:val="es-CR"/>
        </w:rPr>
        <w:t>]</w:t>
      </w:r>
      <w:r w:rsidR="00254129" w:rsidRPr="00A92ABF">
        <w:rPr>
          <w:rFonts w:ascii="Verdana" w:hAnsi="Verdana"/>
          <w:sz w:val="20"/>
          <w:szCs w:val="20"/>
          <w:lang w:val="es-CR"/>
        </w:rPr>
        <w:t>cumplimiento</w:t>
      </w:r>
      <w:r w:rsidR="00254129" w:rsidRPr="001B3DA5">
        <w:rPr>
          <w:rFonts w:ascii="Verdana" w:hAnsi="Verdana"/>
          <w:sz w:val="20"/>
          <w:szCs w:val="20"/>
          <w:lang w:val="es-CR"/>
        </w:rPr>
        <w:t xml:space="preserve"> de</w:t>
      </w:r>
      <w:r w:rsidR="001B3DA5" w:rsidRPr="001B3DA5">
        <w:rPr>
          <w:rFonts w:ascii="Verdana" w:hAnsi="Verdana"/>
          <w:sz w:val="20"/>
          <w:szCs w:val="20"/>
          <w:lang w:val="es-CR"/>
        </w:rPr>
        <w:t xml:space="preserve"> contrato” respecto de un inmueble, integrado por cuatro lotes, que había adquirido en el año 1992,</w:t>
      </w:r>
      <w:r>
        <w:rPr>
          <w:rFonts w:ascii="Verdana" w:hAnsi="Verdana"/>
          <w:sz w:val="20"/>
          <w:szCs w:val="20"/>
          <w:lang w:val="es-CR"/>
        </w:rPr>
        <w:t xml:space="preserve"> el cual lo</w:t>
      </w:r>
      <w:r w:rsidR="00254129" w:rsidRPr="001B3DA5">
        <w:rPr>
          <w:rFonts w:ascii="Verdana" w:hAnsi="Verdana"/>
          <w:sz w:val="20"/>
          <w:szCs w:val="20"/>
          <w:lang w:val="es-CR"/>
        </w:rPr>
        <w:t xml:space="preserve"> </w:t>
      </w:r>
      <w:r w:rsidR="001B3DA5" w:rsidRPr="001B3DA5">
        <w:rPr>
          <w:rFonts w:ascii="Verdana" w:hAnsi="Verdana"/>
          <w:sz w:val="20"/>
          <w:szCs w:val="20"/>
          <w:lang w:val="es-CR"/>
        </w:rPr>
        <w:t>“</w:t>
      </w:r>
      <w:r w:rsidR="00254129" w:rsidRPr="001B3DA5">
        <w:rPr>
          <w:rFonts w:ascii="Verdana" w:hAnsi="Verdana"/>
          <w:sz w:val="20"/>
          <w:szCs w:val="20"/>
          <w:lang w:val="es-CR"/>
        </w:rPr>
        <w:t xml:space="preserve">había dado en </w:t>
      </w:r>
      <w:r w:rsidR="00F829DB">
        <w:rPr>
          <w:rFonts w:ascii="Verdana" w:hAnsi="Verdana"/>
          <w:sz w:val="20"/>
          <w:szCs w:val="20"/>
          <w:lang w:val="es-CR"/>
        </w:rPr>
        <w:t>[</w:t>
      </w:r>
      <w:r w:rsidR="00254129" w:rsidRPr="001B3DA5">
        <w:rPr>
          <w:rFonts w:ascii="Verdana" w:hAnsi="Verdana"/>
          <w:sz w:val="20"/>
          <w:szCs w:val="20"/>
          <w:lang w:val="es-CR"/>
        </w:rPr>
        <w:t>c</w:t>
      </w:r>
      <w:r w:rsidR="00F829DB">
        <w:rPr>
          <w:rFonts w:ascii="Verdana" w:hAnsi="Verdana"/>
          <w:sz w:val="20"/>
          <w:szCs w:val="20"/>
          <w:lang w:val="es-CR"/>
        </w:rPr>
        <w:t>]</w:t>
      </w:r>
      <w:r w:rsidR="00254129" w:rsidRPr="001B3DA5">
        <w:rPr>
          <w:rFonts w:ascii="Verdana" w:hAnsi="Verdana"/>
          <w:sz w:val="20"/>
          <w:szCs w:val="20"/>
          <w:lang w:val="es-CR"/>
        </w:rPr>
        <w:t xml:space="preserve">esión de </w:t>
      </w:r>
      <w:r w:rsidR="00F829DB">
        <w:rPr>
          <w:rFonts w:ascii="Verdana" w:hAnsi="Verdana"/>
          <w:sz w:val="20"/>
          <w:szCs w:val="20"/>
          <w:lang w:val="es-CR"/>
        </w:rPr>
        <w:t>[</w:t>
      </w:r>
      <w:r w:rsidR="00254129" w:rsidRPr="001B3DA5">
        <w:rPr>
          <w:rFonts w:ascii="Verdana" w:hAnsi="Verdana"/>
          <w:sz w:val="20"/>
          <w:szCs w:val="20"/>
          <w:lang w:val="es-CR"/>
        </w:rPr>
        <w:t>u</w:t>
      </w:r>
      <w:r w:rsidR="00F829DB">
        <w:rPr>
          <w:rFonts w:ascii="Verdana" w:hAnsi="Verdana"/>
          <w:sz w:val="20"/>
          <w:szCs w:val="20"/>
          <w:lang w:val="es-CR"/>
        </w:rPr>
        <w:t>]</w:t>
      </w:r>
      <w:r w:rsidR="00254129" w:rsidRPr="001B3DA5">
        <w:rPr>
          <w:rFonts w:ascii="Verdana" w:hAnsi="Verdana"/>
          <w:sz w:val="20"/>
          <w:szCs w:val="20"/>
          <w:lang w:val="es-CR"/>
        </w:rPr>
        <w:t xml:space="preserve">so”. </w:t>
      </w:r>
      <w:r w:rsidR="00F829DB">
        <w:rPr>
          <w:rFonts w:ascii="Verdana" w:hAnsi="Verdana"/>
          <w:sz w:val="20"/>
          <w:szCs w:val="20"/>
          <w:lang w:val="es-CR"/>
        </w:rPr>
        <w:t>Indicó que d</w:t>
      </w:r>
      <w:r w:rsidR="00254129" w:rsidRPr="001B3DA5">
        <w:rPr>
          <w:rFonts w:ascii="Verdana" w:hAnsi="Verdana"/>
          <w:sz w:val="20"/>
          <w:szCs w:val="20"/>
          <w:lang w:val="es-CR"/>
        </w:rPr>
        <w:t>icha pretensión fue amparada por sentencias.</w:t>
      </w:r>
      <w:r w:rsidR="00254129" w:rsidRPr="000F1DEC">
        <w:rPr>
          <w:rFonts w:ascii="Verdana" w:hAnsi="Verdana"/>
          <w:sz w:val="20"/>
          <w:szCs w:val="20"/>
          <w:lang w:val="es-CR"/>
        </w:rPr>
        <w:t xml:space="preserve"> </w:t>
      </w:r>
      <w:r>
        <w:rPr>
          <w:rFonts w:ascii="Verdana" w:hAnsi="Verdana"/>
          <w:sz w:val="20"/>
          <w:szCs w:val="20"/>
          <w:lang w:val="es-CR"/>
        </w:rPr>
        <w:t>P</w:t>
      </w:r>
      <w:r w:rsidRPr="000F1DEC">
        <w:rPr>
          <w:rFonts w:ascii="Verdana" w:hAnsi="Verdana"/>
          <w:sz w:val="20"/>
          <w:szCs w:val="20"/>
          <w:lang w:val="es-CR"/>
        </w:rPr>
        <w:t>ara que se cumpliera lo resuelto y se restituyera el bien inmueble, se procedió a la etapa de ejecución d</w:t>
      </w:r>
      <w:r w:rsidR="003047DF">
        <w:rPr>
          <w:rFonts w:ascii="Verdana" w:hAnsi="Verdana"/>
          <w:sz w:val="20"/>
          <w:szCs w:val="20"/>
          <w:lang w:val="es-CR"/>
        </w:rPr>
        <w:t>e sentencia.  El juez encargado</w:t>
      </w:r>
      <w:r w:rsidRPr="000F1DEC">
        <w:rPr>
          <w:rFonts w:ascii="Verdana" w:hAnsi="Verdana"/>
          <w:sz w:val="20"/>
          <w:szCs w:val="20"/>
          <w:lang w:val="es-CR"/>
        </w:rPr>
        <w:t xml:space="preserve"> suspendió la “ejecución del desalojo”, debido a que los hijos del </w:t>
      </w:r>
      <w:r w:rsidRPr="000F1DEC">
        <w:rPr>
          <w:rFonts w:ascii="Verdana" w:hAnsi="Verdana"/>
          <w:sz w:val="20"/>
          <w:szCs w:val="20"/>
          <w:lang w:val="es-CR"/>
        </w:rPr>
        <w:lastRenderedPageBreak/>
        <w:t>demandado y ejecutado interpusieron un escrito de oposición a la ejecución, pese a que de acuerdo a la normativa interna no procedía admitir a trámite ningu</w:t>
      </w:r>
      <w:r w:rsidR="003047DF">
        <w:rPr>
          <w:rFonts w:ascii="Verdana" w:hAnsi="Verdana"/>
          <w:sz w:val="20"/>
          <w:szCs w:val="20"/>
          <w:lang w:val="es-CR"/>
        </w:rPr>
        <w:t xml:space="preserve">na solicitud de interferencia </w:t>
      </w:r>
      <w:r w:rsidRPr="000F1DEC">
        <w:rPr>
          <w:rFonts w:ascii="Verdana" w:hAnsi="Verdana"/>
          <w:sz w:val="20"/>
          <w:szCs w:val="20"/>
          <w:lang w:val="es-CR"/>
        </w:rPr>
        <w:t xml:space="preserve">o impedimento a la ejecución de </w:t>
      </w:r>
      <w:r w:rsidR="00AA092E">
        <w:rPr>
          <w:rFonts w:ascii="Verdana" w:hAnsi="Verdana"/>
          <w:sz w:val="20"/>
          <w:szCs w:val="20"/>
          <w:lang w:val="es-CR"/>
        </w:rPr>
        <w:t>sentencia, y</w:t>
      </w:r>
    </w:p>
    <w:p w:rsidR="000F1DEC" w:rsidRDefault="000F1DEC" w:rsidP="000F1DEC">
      <w:pPr>
        <w:pStyle w:val="Prrafodelista"/>
        <w:numPr>
          <w:ilvl w:val="0"/>
          <w:numId w:val="6"/>
        </w:numPr>
        <w:spacing w:after="200" w:line="276" w:lineRule="auto"/>
        <w:ind w:left="720" w:firstLine="0"/>
        <w:contextualSpacing/>
        <w:jc w:val="both"/>
        <w:rPr>
          <w:rFonts w:ascii="Verdana" w:hAnsi="Verdana"/>
          <w:sz w:val="20"/>
          <w:szCs w:val="20"/>
          <w:lang w:val="es-CR"/>
        </w:rPr>
      </w:pPr>
      <w:r>
        <w:rPr>
          <w:rFonts w:ascii="Verdana" w:hAnsi="Verdana"/>
          <w:sz w:val="20"/>
          <w:szCs w:val="20"/>
          <w:lang w:val="es-CR"/>
        </w:rPr>
        <w:t>adujo</w:t>
      </w:r>
      <w:r w:rsidRPr="000F1DEC">
        <w:rPr>
          <w:rFonts w:ascii="Verdana" w:hAnsi="Verdana"/>
          <w:sz w:val="20"/>
          <w:szCs w:val="20"/>
          <w:lang w:val="es-CR"/>
        </w:rPr>
        <w:t xml:space="preserve"> que ha sido víctima de amenazas y agravios en contra de su integridad física y psíquica por parte del demandado Manuel Andrés Santos García, quien las hace llegar a través de terceras personas</w:t>
      </w:r>
      <w:r w:rsidR="003047DF">
        <w:rPr>
          <w:rFonts w:ascii="Verdana" w:hAnsi="Verdana"/>
          <w:sz w:val="20"/>
          <w:szCs w:val="20"/>
          <w:lang w:val="es-CR"/>
        </w:rPr>
        <w:t>.</w:t>
      </w:r>
    </w:p>
    <w:p w:rsidR="000F1DEC" w:rsidRPr="000F1DEC" w:rsidRDefault="000F1DEC" w:rsidP="00AA092E">
      <w:pPr>
        <w:pStyle w:val="Prrafodelista"/>
        <w:spacing w:after="200" w:line="276" w:lineRule="auto"/>
        <w:contextualSpacing/>
        <w:jc w:val="both"/>
        <w:rPr>
          <w:rFonts w:ascii="Verdana" w:hAnsi="Verdana"/>
          <w:sz w:val="20"/>
          <w:szCs w:val="20"/>
          <w:lang w:val="es-CR"/>
        </w:rPr>
      </w:pPr>
    </w:p>
    <w:p w:rsidR="009A657F" w:rsidRDefault="009A657F" w:rsidP="009A657F">
      <w:pPr>
        <w:tabs>
          <w:tab w:val="left" w:pos="680"/>
        </w:tabs>
        <w:ind w:right="18"/>
        <w:jc w:val="both"/>
        <w:rPr>
          <w:rFonts w:ascii="Verdana" w:hAnsi="Verdana"/>
          <w:b/>
          <w:sz w:val="20"/>
        </w:rPr>
      </w:pPr>
      <w:r>
        <w:rPr>
          <w:rFonts w:ascii="Verdana" w:hAnsi="Verdana"/>
          <w:b/>
          <w:sz w:val="20"/>
        </w:rPr>
        <w:t>CONSIDERANDO:</w:t>
      </w:r>
    </w:p>
    <w:p w:rsidR="009A657F" w:rsidRDefault="009A657F" w:rsidP="009A657F">
      <w:pPr>
        <w:tabs>
          <w:tab w:val="left" w:pos="680"/>
        </w:tabs>
        <w:ind w:right="18"/>
        <w:jc w:val="both"/>
        <w:rPr>
          <w:rFonts w:ascii="Verdana" w:hAnsi="Verdana"/>
          <w:b/>
          <w:sz w:val="20"/>
        </w:rPr>
      </w:pPr>
    </w:p>
    <w:p w:rsidR="009A657F" w:rsidRDefault="009A657F" w:rsidP="009A657F">
      <w:pPr>
        <w:pStyle w:val="Prrafodelista1"/>
        <w:numPr>
          <w:ilvl w:val="0"/>
          <w:numId w:val="1"/>
        </w:numPr>
        <w:tabs>
          <w:tab w:val="clear" w:pos="360"/>
          <w:tab w:val="num" w:pos="0"/>
        </w:tabs>
        <w:ind w:left="0" w:firstLine="0"/>
        <w:jc w:val="both"/>
        <w:rPr>
          <w:sz w:val="20"/>
          <w:szCs w:val="20"/>
        </w:rPr>
      </w:pPr>
      <w:r w:rsidRPr="00F21821">
        <w:rPr>
          <w:sz w:val="20"/>
          <w:szCs w:val="20"/>
        </w:rPr>
        <w:t xml:space="preserve">El Perú ratificó la Convención Americana sobre Derechos Humanos </w:t>
      </w:r>
      <w:r w:rsidR="00C1623C" w:rsidRPr="00F43042">
        <w:rPr>
          <w:sz w:val="20"/>
          <w:lang w:val="es-ES_tradnl"/>
        </w:rPr>
        <w:t xml:space="preserve">(en adelante </w:t>
      </w:r>
      <w:r w:rsidR="00A4088D">
        <w:rPr>
          <w:sz w:val="20"/>
          <w:lang w:val="es-ES_tradnl"/>
        </w:rPr>
        <w:t xml:space="preserve">también “la Convención Americana” o </w:t>
      </w:r>
      <w:r w:rsidR="00C1623C" w:rsidRPr="00F43042">
        <w:rPr>
          <w:sz w:val="20"/>
          <w:lang w:val="es-ES_tradnl"/>
        </w:rPr>
        <w:t>“la Convención”)</w:t>
      </w:r>
      <w:r w:rsidR="00C1623C">
        <w:rPr>
          <w:sz w:val="20"/>
          <w:lang w:val="es-ES_tradnl"/>
        </w:rPr>
        <w:t xml:space="preserve"> </w:t>
      </w:r>
      <w:r w:rsidRPr="00F21821">
        <w:rPr>
          <w:sz w:val="20"/>
          <w:szCs w:val="20"/>
        </w:rPr>
        <w:t>el 28 de julio de 1978 y, de acuerdo con su artículo 62, reconoció la competencia contenciosa de la Corte el 21 de enero de 1981.</w:t>
      </w:r>
    </w:p>
    <w:p w:rsidR="009A657F" w:rsidRDefault="009A657F" w:rsidP="009A657F">
      <w:pPr>
        <w:pStyle w:val="Prrafodelista1"/>
        <w:jc w:val="both"/>
        <w:rPr>
          <w:sz w:val="20"/>
          <w:szCs w:val="20"/>
        </w:rPr>
      </w:pPr>
    </w:p>
    <w:p w:rsidR="009A657F" w:rsidRPr="00B743CC" w:rsidRDefault="009A657F" w:rsidP="009A657F">
      <w:pPr>
        <w:pStyle w:val="Prrafodelista1"/>
        <w:numPr>
          <w:ilvl w:val="0"/>
          <w:numId w:val="1"/>
        </w:numPr>
        <w:tabs>
          <w:tab w:val="clear" w:pos="360"/>
          <w:tab w:val="num" w:pos="0"/>
        </w:tabs>
        <w:ind w:left="0" w:firstLine="0"/>
        <w:jc w:val="both"/>
        <w:rPr>
          <w:sz w:val="20"/>
          <w:szCs w:val="20"/>
        </w:rPr>
      </w:pPr>
      <w:r>
        <w:rPr>
          <w:sz w:val="20"/>
        </w:rPr>
        <w:t>E</w:t>
      </w:r>
      <w:r w:rsidRPr="00F43042">
        <w:rPr>
          <w:sz w:val="20"/>
          <w:lang w:val="es-ES_tradnl"/>
        </w:rPr>
        <w:t xml:space="preserve">l artículo 63.2 de la Convención establece que </w:t>
      </w:r>
      <w:r w:rsidRPr="00F43042">
        <w:rPr>
          <w:i/>
          <w:sz w:val="20"/>
          <w:lang w:val="es-ES_tradnl"/>
        </w:rPr>
        <w:t>“</w:t>
      </w:r>
      <w:r w:rsidRPr="00F43042">
        <w:rPr>
          <w:sz w:val="20"/>
          <w:lang w:val="es-ES_tradnl"/>
        </w:rPr>
        <w:t>[e]n casos de extrema gravedad y urgencia, y cuando se haga necesario evitar daños irreparables a las personas”, la Corte podrá tomar, a solicitud de la Comisión, las medidas provisionales que considere pertinentes en los asuntos que aún no estén sometidos a su conocimiento.</w:t>
      </w:r>
    </w:p>
    <w:p w:rsidR="009A657F" w:rsidRDefault="009A657F" w:rsidP="009A657F">
      <w:pPr>
        <w:pStyle w:val="Prrafodelista"/>
        <w:rPr>
          <w:sz w:val="20"/>
          <w:szCs w:val="20"/>
        </w:rPr>
      </w:pPr>
    </w:p>
    <w:p w:rsidR="009A657F" w:rsidRPr="002777F0" w:rsidRDefault="009A657F" w:rsidP="009A657F">
      <w:pPr>
        <w:pStyle w:val="Prrafodelista1"/>
        <w:numPr>
          <w:ilvl w:val="0"/>
          <w:numId w:val="1"/>
        </w:numPr>
        <w:tabs>
          <w:tab w:val="clear" w:pos="360"/>
          <w:tab w:val="num" w:pos="0"/>
        </w:tabs>
        <w:ind w:left="0" w:firstLine="0"/>
        <w:jc w:val="both"/>
        <w:rPr>
          <w:sz w:val="20"/>
          <w:szCs w:val="20"/>
        </w:rPr>
      </w:pPr>
      <w:r w:rsidRPr="002777F0">
        <w:rPr>
          <w:rFonts w:cs="Arial"/>
          <w:sz w:val="20"/>
          <w:szCs w:val="20"/>
        </w:rPr>
        <w:t xml:space="preserve">En los términos del artículo 27.3 del Reglamento de la Corte, </w:t>
      </w:r>
      <w:r w:rsidRPr="002777F0">
        <w:rPr>
          <w:sz w:val="20"/>
          <w:szCs w:val="20"/>
        </w:rPr>
        <w:t xml:space="preserve">“[e]n los casos contenciosos que ya se encuentren en conocimiento de la Corte, las víctimas o las presuntas víctimas, o sus representantes, podrán presentar directamente a ésta una solicitud de medidas provisionales, las </w:t>
      </w:r>
      <w:r w:rsidR="00145C83" w:rsidRPr="002777F0">
        <w:rPr>
          <w:sz w:val="20"/>
          <w:szCs w:val="20"/>
        </w:rPr>
        <w:t xml:space="preserve">que </w:t>
      </w:r>
      <w:r w:rsidRPr="002777F0">
        <w:rPr>
          <w:sz w:val="20"/>
          <w:szCs w:val="20"/>
        </w:rPr>
        <w:t>deberán tener relación con el objeto del caso”.</w:t>
      </w:r>
    </w:p>
    <w:p w:rsidR="009A657F" w:rsidRPr="008E582B" w:rsidRDefault="009A657F" w:rsidP="009A657F">
      <w:pPr>
        <w:jc w:val="both"/>
      </w:pPr>
    </w:p>
    <w:p w:rsidR="009A657F" w:rsidRPr="00B743CC" w:rsidRDefault="009A657F" w:rsidP="009A657F">
      <w:pPr>
        <w:numPr>
          <w:ilvl w:val="0"/>
          <w:numId w:val="1"/>
        </w:numPr>
        <w:tabs>
          <w:tab w:val="clear" w:pos="360"/>
          <w:tab w:val="num" w:pos="720"/>
        </w:tabs>
        <w:ind w:left="0" w:firstLine="0"/>
        <w:jc w:val="both"/>
        <w:rPr>
          <w:rFonts w:ascii="Verdana" w:hAnsi="Verdana"/>
          <w:b/>
          <w:sz w:val="20"/>
          <w:szCs w:val="20"/>
        </w:rPr>
      </w:pPr>
      <w:r w:rsidRPr="00111C62">
        <w:rPr>
          <w:rFonts w:ascii="Verdana" w:hAnsi="Verdana"/>
          <w:sz w:val="20"/>
          <w:szCs w:val="20"/>
        </w:rPr>
        <w:t>En el Derecho Internacional de los Derechos Humanos las medidas provisionales tienen un carácter no sólo cautelar, en el sentido de que preservan una situación jurídica, sino fundamentalmente tutelar por cuanto protegen derechos humanos y en la medida que buscan evitar daños irreparables a las personas. De esta manera, las medidas provisionales se transforman en una verdadera garantía jurisdiccional de carácter preventivo</w:t>
      </w:r>
      <w:r w:rsidRPr="00111C62">
        <w:rPr>
          <w:rStyle w:val="Refdenotaalpie"/>
          <w:rFonts w:ascii="Verdana" w:hAnsi="Verdana"/>
          <w:sz w:val="20"/>
        </w:rPr>
        <w:footnoteReference w:id="3"/>
      </w:r>
      <w:r w:rsidRPr="00111C62">
        <w:rPr>
          <w:rFonts w:ascii="Verdana" w:hAnsi="Verdana"/>
          <w:sz w:val="20"/>
          <w:szCs w:val="20"/>
        </w:rPr>
        <w:t>.</w:t>
      </w:r>
    </w:p>
    <w:p w:rsidR="009A657F" w:rsidRPr="00B8641D" w:rsidRDefault="009A657F" w:rsidP="009A657F">
      <w:pPr>
        <w:ind w:right="18"/>
        <w:jc w:val="both"/>
        <w:rPr>
          <w:rFonts w:ascii="Verdana" w:hAnsi="Verdana"/>
          <w:sz w:val="20"/>
        </w:rPr>
      </w:pPr>
    </w:p>
    <w:p w:rsidR="009A657F" w:rsidRPr="002C1267" w:rsidRDefault="009A657F" w:rsidP="009A657F">
      <w:pPr>
        <w:pStyle w:val="Textoindependiente"/>
        <w:numPr>
          <w:ilvl w:val="0"/>
          <w:numId w:val="1"/>
        </w:numPr>
        <w:tabs>
          <w:tab w:val="clear" w:pos="360"/>
        </w:tabs>
        <w:ind w:left="0" w:right="18" w:firstLine="0"/>
        <w:rPr>
          <w:rFonts w:ascii="Verdana" w:hAnsi="Verdana"/>
          <w:sz w:val="20"/>
        </w:rPr>
      </w:pPr>
      <w:r>
        <w:rPr>
          <w:rFonts w:ascii="Verdana" w:hAnsi="Verdana"/>
          <w:sz w:val="20"/>
        </w:rPr>
        <w:t>L</w:t>
      </w:r>
      <w:r w:rsidRPr="00B8641D">
        <w:rPr>
          <w:rFonts w:ascii="Verdana" w:hAnsi="Verdana"/>
          <w:sz w:val="20"/>
        </w:rPr>
        <w:t xml:space="preserve">as medidas provisionales pueden ordenarse siempre que en los antecedentes presentados a la Corte se demuestre </w:t>
      </w:r>
      <w:r w:rsidRPr="00B8641D">
        <w:rPr>
          <w:rFonts w:ascii="Verdana" w:hAnsi="Verdana"/>
          <w:i/>
          <w:sz w:val="20"/>
        </w:rPr>
        <w:t>prima facie</w:t>
      </w:r>
      <w:r w:rsidRPr="00B8641D">
        <w:rPr>
          <w:rFonts w:ascii="Verdana" w:hAnsi="Verdana"/>
          <w:sz w:val="20"/>
        </w:rPr>
        <w:t xml:space="preserve"> la configuración de una situación de extrema gravedad y urgencia y la inminencia de daño irreparable </w:t>
      </w:r>
      <w:r w:rsidRPr="00145C83">
        <w:rPr>
          <w:rFonts w:ascii="Verdana" w:hAnsi="Verdana"/>
          <w:sz w:val="20"/>
        </w:rPr>
        <w:t>a las personas</w:t>
      </w:r>
      <w:r w:rsidR="00005772" w:rsidRPr="00005772">
        <w:rPr>
          <w:rStyle w:val="Refdenotaalpie"/>
          <w:rFonts w:ascii="Verdana" w:hAnsi="Verdana"/>
          <w:sz w:val="20"/>
        </w:rPr>
        <w:footnoteReference w:id="4"/>
      </w:r>
      <w:r w:rsidRPr="00145C83">
        <w:rPr>
          <w:rFonts w:ascii="Verdana" w:hAnsi="Verdana"/>
          <w:sz w:val="20"/>
        </w:rPr>
        <w:t>.</w:t>
      </w:r>
      <w:r w:rsidRPr="00B8641D">
        <w:rPr>
          <w:rFonts w:ascii="Verdana" w:hAnsi="Verdana"/>
          <w:sz w:val="20"/>
        </w:rPr>
        <w:t xml:space="preserve"> </w:t>
      </w:r>
    </w:p>
    <w:p w:rsidR="009A657F" w:rsidRPr="00A84E4C" w:rsidRDefault="009A657F" w:rsidP="009A657F">
      <w:pPr>
        <w:spacing w:before="20" w:after="20"/>
        <w:ind w:right="14"/>
        <w:jc w:val="both"/>
        <w:rPr>
          <w:rFonts w:ascii="Verdana" w:hAnsi="Verdana"/>
          <w:sz w:val="20"/>
        </w:rPr>
      </w:pPr>
    </w:p>
    <w:p w:rsidR="003047DF" w:rsidRDefault="003047DF" w:rsidP="003047DF">
      <w:pPr>
        <w:numPr>
          <w:ilvl w:val="0"/>
          <w:numId w:val="1"/>
        </w:numPr>
        <w:tabs>
          <w:tab w:val="clear" w:pos="360"/>
        </w:tabs>
        <w:spacing w:before="20" w:after="20"/>
        <w:ind w:left="0" w:right="14" w:firstLine="0"/>
        <w:jc w:val="both"/>
        <w:rPr>
          <w:rFonts w:ascii="Verdana" w:hAnsi="Verdana"/>
          <w:sz w:val="20"/>
          <w:szCs w:val="20"/>
        </w:rPr>
      </w:pPr>
      <w:r>
        <w:rPr>
          <w:rFonts w:ascii="Verdana" w:hAnsi="Verdana"/>
          <w:sz w:val="20"/>
          <w:szCs w:val="20"/>
        </w:rPr>
        <w:lastRenderedPageBreak/>
        <w:t xml:space="preserve">El señor Galindo </w:t>
      </w:r>
      <w:r w:rsidRPr="00644041">
        <w:rPr>
          <w:rFonts w:ascii="Verdana" w:hAnsi="Verdana"/>
          <w:sz w:val="20"/>
          <w:szCs w:val="20"/>
        </w:rPr>
        <w:t xml:space="preserve">no ha explicado las razones suficientes por las cuales los hechos en que sustenta el pedido de medidas provisionales tienen relación </w:t>
      </w:r>
      <w:r>
        <w:rPr>
          <w:rFonts w:ascii="Verdana" w:hAnsi="Verdana"/>
          <w:sz w:val="20"/>
          <w:szCs w:val="20"/>
        </w:rPr>
        <w:t>con la violaciones declaradas en la Sentencia de la Corte de 2 de octubre de 2015, la cual tuvo como fundamento los hechos acaecidos a partir de su</w:t>
      </w:r>
      <w:r w:rsidRPr="00644041">
        <w:rPr>
          <w:rFonts w:ascii="Verdana" w:hAnsi="Verdana"/>
          <w:sz w:val="20"/>
          <w:szCs w:val="20"/>
        </w:rPr>
        <w:t xml:space="preserve"> privación de libertad, en octubre de 1994, p</w:t>
      </w:r>
      <w:r>
        <w:rPr>
          <w:rFonts w:ascii="Verdana" w:hAnsi="Verdana"/>
          <w:sz w:val="20"/>
          <w:szCs w:val="20"/>
        </w:rPr>
        <w:t>or la aplicación de legislación</w:t>
      </w:r>
      <w:r w:rsidRPr="00644041">
        <w:rPr>
          <w:rFonts w:ascii="Verdana" w:hAnsi="Verdana"/>
          <w:sz w:val="20"/>
          <w:szCs w:val="20"/>
        </w:rPr>
        <w:t xml:space="preserve"> atinente a delitos de terrorismo. </w:t>
      </w:r>
    </w:p>
    <w:p w:rsidR="003047DF" w:rsidRDefault="003047DF" w:rsidP="003047DF">
      <w:pPr>
        <w:spacing w:before="20" w:after="20"/>
        <w:ind w:right="14"/>
        <w:jc w:val="both"/>
        <w:rPr>
          <w:rFonts w:ascii="Verdana" w:hAnsi="Verdana"/>
          <w:sz w:val="20"/>
          <w:szCs w:val="20"/>
        </w:rPr>
      </w:pPr>
    </w:p>
    <w:p w:rsidR="00AA092E" w:rsidRDefault="009A657F" w:rsidP="009A657F">
      <w:pPr>
        <w:numPr>
          <w:ilvl w:val="0"/>
          <w:numId w:val="1"/>
        </w:numPr>
        <w:tabs>
          <w:tab w:val="clear" w:pos="360"/>
        </w:tabs>
        <w:spacing w:before="20" w:after="20"/>
        <w:ind w:left="0" w:right="14" w:firstLine="0"/>
        <w:jc w:val="both"/>
        <w:rPr>
          <w:rFonts w:ascii="Verdana" w:hAnsi="Verdana"/>
          <w:sz w:val="20"/>
          <w:szCs w:val="20"/>
        </w:rPr>
      </w:pPr>
      <w:r w:rsidRPr="00037537">
        <w:rPr>
          <w:rFonts w:ascii="Verdana" w:hAnsi="Verdana"/>
          <w:sz w:val="20"/>
          <w:szCs w:val="20"/>
        </w:rPr>
        <w:t>Después de haber examinado los hechos y c</w:t>
      </w:r>
      <w:r w:rsidR="003047DF">
        <w:rPr>
          <w:rFonts w:ascii="Verdana" w:hAnsi="Verdana"/>
          <w:sz w:val="20"/>
          <w:szCs w:val="20"/>
        </w:rPr>
        <w:t xml:space="preserve">ircunstancias que fundamentan </w:t>
      </w:r>
      <w:r w:rsidRPr="00037537">
        <w:rPr>
          <w:rFonts w:ascii="Verdana" w:hAnsi="Verdana"/>
          <w:sz w:val="20"/>
          <w:szCs w:val="20"/>
        </w:rPr>
        <w:t xml:space="preserve">a presente solicitud, este Tribunal estima que no resulta posible en este caso apreciar </w:t>
      </w:r>
      <w:r w:rsidRPr="00037537">
        <w:rPr>
          <w:rFonts w:ascii="Verdana" w:hAnsi="Verdana"/>
          <w:i/>
          <w:sz w:val="20"/>
          <w:szCs w:val="20"/>
        </w:rPr>
        <w:t>prima facie</w:t>
      </w:r>
      <w:r w:rsidRPr="00037537">
        <w:rPr>
          <w:rFonts w:ascii="Verdana" w:hAnsi="Verdana"/>
          <w:sz w:val="20"/>
          <w:szCs w:val="20"/>
        </w:rPr>
        <w:t xml:space="preserve"> que </w:t>
      </w:r>
      <w:r w:rsidR="00DF2F8A">
        <w:rPr>
          <w:rFonts w:ascii="Verdana" w:hAnsi="Verdana"/>
          <w:sz w:val="20"/>
          <w:szCs w:val="20"/>
        </w:rPr>
        <w:t>el señor Galindo Cárdenas</w:t>
      </w:r>
      <w:r w:rsidRPr="00037537">
        <w:rPr>
          <w:rFonts w:ascii="Verdana" w:hAnsi="Verdana"/>
          <w:sz w:val="20"/>
          <w:szCs w:val="20"/>
        </w:rPr>
        <w:t xml:space="preserve"> (</w:t>
      </w:r>
      <w:r w:rsidRPr="00037537">
        <w:rPr>
          <w:rFonts w:ascii="Verdana" w:hAnsi="Verdana"/>
          <w:i/>
          <w:sz w:val="20"/>
          <w:szCs w:val="20"/>
        </w:rPr>
        <w:t xml:space="preserve">supra </w:t>
      </w:r>
      <w:r w:rsidRPr="00037537">
        <w:rPr>
          <w:rFonts w:ascii="Verdana" w:hAnsi="Verdana"/>
          <w:sz w:val="20"/>
          <w:szCs w:val="20"/>
        </w:rPr>
        <w:t>Visto</w:t>
      </w:r>
      <w:r w:rsidR="00945521">
        <w:rPr>
          <w:rFonts w:ascii="Verdana" w:hAnsi="Verdana"/>
          <w:sz w:val="20"/>
          <w:szCs w:val="20"/>
        </w:rPr>
        <w:t>s</w:t>
      </w:r>
      <w:r w:rsidRPr="00037537">
        <w:rPr>
          <w:rFonts w:ascii="Verdana" w:hAnsi="Verdana"/>
          <w:sz w:val="20"/>
          <w:szCs w:val="20"/>
        </w:rPr>
        <w:t xml:space="preserve"> </w:t>
      </w:r>
      <w:r w:rsidR="00644041">
        <w:rPr>
          <w:rFonts w:ascii="Verdana" w:hAnsi="Verdana"/>
          <w:sz w:val="20"/>
          <w:szCs w:val="20"/>
        </w:rPr>
        <w:t>2 y 3</w:t>
      </w:r>
      <w:r w:rsidRPr="00037537">
        <w:rPr>
          <w:rFonts w:ascii="Verdana" w:hAnsi="Verdana"/>
          <w:sz w:val="20"/>
          <w:szCs w:val="20"/>
        </w:rPr>
        <w:t>) se encuentre</w:t>
      </w:r>
      <w:r w:rsidR="00D957DF">
        <w:rPr>
          <w:rFonts w:ascii="Verdana" w:hAnsi="Verdana"/>
          <w:sz w:val="20"/>
          <w:szCs w:val="20"/>
        </w:rPr>
        <w:t>, en los términos exigidos por el artículo 63.2 de la Convención Americana,</w:t>
      </w:r>
      <w:r w:rsidRPr="00037537">
        <w:rPr>
          <w:rFonts w:ascii="Verdana" w:hAnsi="Verdana"/>
          <w:sz w:val="20"/>
          <w:szCs w:val="20"/>
        </w:rPr>
        <w:t xml:space="preserve"> en una situación de </w:t>
      </w:r>
      <w:r w:rsidR="00D957DF">
        <w:rPr>
          <w:rFonts w:ascii="Verdana" w:hAnsi="Verdana"/>
          <w:sz w:val="20"/>
          <w:szCs w:val="20"/>
        </w:rPr>
        <w:t>“</w:t>
      </w:r>
      <w:r w:rsidRPr="00037537">
        <w:rPr>
          <w:rFonts w:ascii="Verdana" w:hAnsi="Verdana"/>
          <w:sz w:val="20"/>
          <w:szCs w:val="20"/>
        </w:rPr>
        <w:t>extrema grav</w:t>
      </w:r>
      <w:r>
        <w:rPr>
          <w:rFonts w:ascii="Verdana" w:hAnsi="Verdana"/>
          <w:sz w:val="20"/>
          <w:szCs w:val="20"/>
        </w:rPr>
        <w:t>edad y urgencia</w:t>
      </w:r>
      <w:r w:rsidR="003047DF">
        <w:rPr>
          <w:rFonts w:ascii="Verdana" w:hAnsi="Verdana"/>
          <w:sz w:val="20"/>
          <w:szCs w:val="20"/>
        </w:rPr>
        <w:t>” relacionada con</w:t>
      </w:r>
      <w:r w:rsidR="00D957DF">
        <w:rPr>
          <w:rFonts w:ascii="Verdana" w:hAnsi="Verdana"/>
          <w:sz w:val="20"/>
          <w:szCs w:val="20"/>
        </w:rPr>
        <w:t xml:space="preserve"> la posibilidad de “daños </w:t>
      </w:r>
      <w:r w:rsidR="00D957DF" w:rsidRPr="00644041">
        <w:rPr>
          <w:rFonts w:ascii="Verdana" w:hAnsi="Verdana"/>
          <w:sz w:val="20"/>
          <w:szCs w:val="20"/>
        </w:rPr>
        <w:t>irreparables”</w:t>
      </w:r>
      <w:r w:rsidRPr="00644041">
        <w:rPr>
          <w:rFonts w:ascii="Verdana" w:hAnsi="Verdana"/>
          <w:sz w:val="20"/>
          <w:szCs w:val="20"/>
        </w:rPr>
        <w:t>.</w:t>
      </w:r>
      <w:r w:rsidR="00D957DF" w:rsidRPr="00644041">
        <w:rPr>
          <w:rFonts w:ascii="Verdana" w:hAnsi="Verdana"/>
          <w:sz w:val="20"/>
          <w:szCs w:val="20"/>
        </w:rPr>
        <w:t xml:space="preserve"> </w:t>
      </w:r>
    </w:p>
    <w:p w:rsidR="009A657F" w:rsidRDefault="009A657F" w:rsidP="003047DF">
      <w:pPr>
        <w:pStyle w:val="Prrafodelista"/>
        <w:ind w:left="0"/>
        <w:rPr>
          <w:rFonts w:ascii="Verdana" w:hAnsi="Verdana"/>
          <w:sz w:val="20"/>
          <w:szCs w:val="20"/>
        </w:rPr>
      </w:pPr>
    </w:p>
    <w:p w:rsidR="009A657F" w:rsidRPr="002C1267" w:rsidRDefault="00BF2223" w:rsidP="009A657F">
      <w:pPr>
        <w:numPr>
          <w:ilvl w:val="0"/>
          <w:numId w:val="1"/>
        </w:numPr>
        <w:tabs>
          <w:tab w:val="clear" w:pos="360"/>
        </w:tabs>
        <w:spacing w:before="20" w:after="20"/>
        <w:ind w:left="0" w:right="14" w:firstLine="0"/>
        <w:jc w:val="both"/>
        <w:rPr>
          <w:rFonts w:ascii="Verdana" w:hAnsi="Verdana"/>
          <w:sz w:val="20"/>
          <w:szCs w:val="20"/>
        </w:rPr>
      </w:pPr>
      <w:r>
        <w:rPr>
          <w:rFonts w:ascii="Verdana" w:hAnsi="Verdana"/>
          <w:sz w:val="20"/>
          <w:szCs w:val="20"/>
        </w:rPr>
        <w:t>Sin perjuicio de lo anterior, s</w:t>
      </w:r>
      <w:r w:rsidR="009A657F">
        <w:rPr>
          <w:rFonts w:ascii="Verdana" w:hAnsi="Verdana"/>
          <w:sz w:val="20"/>
          <w:szCs w:val="20"/>
        </w:rPr>
        <w:t>e</w:t>
      </w:r>
      <w:r w:rsidR="009A657F">
        <w:rPr>
          <w:rFonts w:ascii="Verdana" w:hAnsi="Verdana"/>
          <w:sz w:val="20"/>
          <w:szCs w:val="20"/>
          <w:lang w:val="es-CR"/>
        </w:rPr>
        <w:t xml:space="preserve"> recuerda </w:t>
      </w:r>
      <w:r w:rsidR="009A657F" w:rsidRPr="002C1267">
        <w:rPr>
          <w:rFonts w:ascii="Verdana" w:hAnsi="Verdana"/>
          <w:sz w:val="20"/>
          <w:szCs w:val="20"/>
          <w:lang w:val="es-CR"/>
        </w:rPr>
        <w:t>al Estado que el artículo 1.1 de la Convención Americana establece las obligaciones generales que tienen los Estados Parte de respetar los derechos y libertades en ella consagrados y de garantizar su libre y pleno ejercicio a toda persona que esté sujeta a su jurisdicción, las cuales se imponen no sólo en relación con el poder del Estado sino también en relación con actuaciones de terceros particulares. Por ello, el Estado se e</w:t>
      </w:r>
      <w:r w:rsidR="009A657F">
        <w:rPr>
          <w:rFonts w:ascii="Verdana" w:hAnsi="Verdana"/>
          <w:sz w:val="20"/>
          <w:szCs w:val="20"/>
          <w:lang w:val="es-CR"/>
        </w:rPr>
        <w:t>ncuentra obligado a garantizar el derecho</w:t>
      </w:r>
      <w:r w:rsidR="009A657F" w:rsidRPr="002C1267">
        <w:rPr>
          <w:rFonts w:ascii="Verdana" w:hAnsi="Verdana"/>
          <w:sz w:val="20"/>
          <w:szCs w:val="20"/>
          <w:lang w:val="es-CR"/>
        </w:rPr>
        <w:t xml:space="preserve"> </w:t>
      </w:r>
      <w:r w:rsidR="009A657F">
        <w:rPr>
          <w:rFonts w:ascii="Verdana" w:hAnsi="Verdana"/>
          <w:sz w:val="20"/>
          <w:szCs w:val="20"/>
          <w:lang w:val="es-CR"/>
        </w:rPr>
        <w:t>de la persona mencionada</w:t>
      </w:r>
      <w:r w:rsidR="009A657F" w:rsidRPr="002C1267">
        <w:rPr>
          <w:rFonts w:ascii="Verdana" w:hAnsi="Verdana"/>
          <w:sz w:val="20"/>
          <w:szCs w:val="20"/>
          <w:lang w:val="es-CR"/>
        </w:rPr>
        <w:t xml:space="preserve"> a través de los mecanismos internos existentes para ello.</w:t>
      </w:r>
    </w:p>
    <w:p w:rsidR="009A657F" w:rsidRPr="009A3FDC" w:rsidRDefault="009A657F" w:rsidP="009A657F">
      <w:pPr>
        <w:pStyle w:val="Lneadereferencia"/>
        <w:tabs>
          <w:tab w:val="left" w:pos="680"/>
        </w:tabs>
        <w:spacing w:before="20" w:after="20"/>
        <w:ind w:right="18"/>
        <w:rPr>
          <w:rFonts w:ascii="Verdana" w:hAnsi="Verdana"/>
          <w:lang w:val="es-ES"/>
        </w:rPr>
      </w:pPr>
    </w:p>
    <w:p w:rsidR="009A657F" w:rsidRDefault="009A657F" w:rsidP="009A657F">
      <w:pPr>
        <w:tabs>
          <w:tab w:val="left" w:pos="680"/>
        </w:tabs>
        <w:spacing w:before="20" w:after="20"/>
        <w:ind w:right="18"/>
        <w:jc w:val="both"/>
        <w:rPr>
          <w:rFonts w:ascii="Verdana" w:hAnsi="Verdana"/>
          <w:b/>
          <w:sz w:val="20"/>
        </w:rPr>
      </w:pPr>
      <w:r>
        <w:rPr>
          <w:rFonts w:ascii="Verdana" w:hAnsi="Verdana"/>
          <w:b/>
          <w:sz w:val="20"/>
        </w:rPr>
        <w:t>POR TANTO:</w:t>
      </w:r>
    </w:p>
    <w:p w:rsidR="009A657F" w:rsidRDefault="009A657F" w:rsidP="009A657F">
      <w:pPr>
        <w:tabs>
          <w:tab w:val="left" w:pos="680"/>
        </w:tabs>
        <w:spacing w:before="20" w:after="20"/>
        <w:ind w:right="18"/>
        <w:jc w:val="both"/>
        <w:rPr>
          <w:rFonts w:ascii="Verdana" w:hAnsi="Verdana"/>
          <w:b/>
          <w:sz w:val="20"/>
        </w:rPr>
      </w:pPr>
    </w:p>
    <w:p w:rsidR="009A657F" w:rsidRDefault="009A657F" w:rsidP="009A657F">
      <w:pPr>
        <w:spacing w:before="20" w:after="20"/>
        <w:ind w:right="18"/>
        <w:jc w:val="both"/>
        <w:rPr>
          <w:rFonts w:ascii="Verdana" w:hAnsi="Verdana"/>
          <w:b/>
          <w:sz w:val="20"/>
        </w:rPr>
      </w:pPr>
      <w:r>
        <w:rPr>
          <w:rFonts w:ascii="Verdana" w:hAnsi="Verdana"/>
          <w:b/>
          <w:sz w:val="20"/>
        </w:rPr>
        <w:t>LA CORTE INTERAMERICANA DE DERECHOS HUMANOS,</w:t>
      </w:r>
    </w:p>
    <w:p w:rsidR="009A657F" w:rsidRDefault="009A657F" w:rsidP="009A657F">
      <w:pPr>
        <w:spacing w:before="20" w:after="20"/>
        <w:ind w:right="18"/>
        <w:jc w:val="both"/>
        <w:rPr>
          <w:rFonts w:ascii="Verdana" w:hAnsi="Verdana"/>
          <w:sz w:val="20"/>
        </w:rPr>
      </w:pPr>
    </w:p>
    <w:p w:rsidR="009A657F" w:rsidRDefault="009A657F" w:rsidP="009A657F">
      <w:pPr>
        <w:jc w:val="both"/>
        <w:rPr>
          <w:rFonts w:ascii="Verdana" w:hAnsi="Verdana"/>
          <w:sz w:val="20"/>
          <w:lang w:val="es-MX"/>
        </w:rPr>
      </w:pPr>
      <w:r>
        <w:rPr>
          <w:rFonts w:ascii="Verdana" w:hAnsi="Verdana"/>
          <w:sz w:val="20"/>
          <w:lang w:val="es-MX"/>
        </w:rPr>
        <w:t xml:space="preserve">en uso de las atribuciones que le confieren el artículo 63.2 de la Convención Americana y los artículos </w:t>
      </w:r>
      <w:r w:rsidRPr="003405EC">
        <w:rPr>
          <w:rFonts w:ascii="Verdana" w:hAnsi="Verdana"/>
          <w:sz w:val="20"/>
          <w:lang w:val="es-MX"/>
        </w:rPr>
        <w:t>27</w:t>
      </w:r>
      <w:r>
        <w:rPr>
          <w:rFonts w:ascii="Verdana" w:hAnsi="Verdana"/>
          <w:sz w:val="20"/>
          <w:lang w:val="es-MX"/>
        </w:rPr>
        <w:t xml:space="preserve"> y</w:t>
      </w:r>
      <w:r w:rsidRPr="003405EC">
        <w:rPr>
          <w:rFonts w:ascii="Verdana" w:hAnsi="Verdana"/>
          <w:color w:val="00B050"/>
          <w:sz w:val="20"/>
          <w:lang w:val="es-MX"/>
        </w:rPr>
        <w:t xml:space="preserve"> </w:t>
      </w:r>
      <w:r>
        <w:rPr>
          <w:rFonts w:ascii="Verdana" w:hAnsi="Verdana"/>
          <w:sz w:val="20"/>
          <w:lang w:val="es-MX"/>
        </w:rPr>
        <w:t>31.2 del Reglamento,</w:t>
      </w:r>
    </w:p>
    <w:p w:rsidR="009A657F" w:rsidRDefault="009A657F" w:rsidP="009A657F">
      <w:pPr>
        <w:tabs>
          <w:tab w:val="left" w:pos="680"/>
        </w:tabs>
        <w:spacing w:before="20" w:after="20"/>
        <w:ind w:right="18"/>
        <w:jc w:val="both"/>
        <w:rPr>
          <w:rFonts w:ascii="Verdana" w:hAnsi="Verdana"/>
          <w:b/>
          <w:sz w:val="20"/>
        </w:rPr>
      </w:pPr>
    </w:p>
    <w:p w:rsidR="009A657F" w:rsidRDefault="009A657F" w:rsidP="009A657F">
      <w:pPr>
        <w:tabs>
          <w:tab w:val="left" w:pos="680"/>
        </w:tabs>
        <w:spacing w:before="20" w:after="20"/>
        <w:ind w:right="18"/>
        <w:jc w:val="both"/>
        <w:rPr>
          <w:rFonts w:ascii="Verdana" w:hAnsi="Verdana"/>
          <w:b/>
          <w:sz w:val="20"/>
        </w:rPr>
      </w:pPr>
      <w:r>
        <w:rPr>
          <w:rFonts w:ascii="Verdana" w:hAnsi="Verdana"/>
          <w:b/>
          <w:sz w:val="20"/>
        </w:rPr>
        <w:t>RESUELVE:</w:t>
      </w:r>
    </w:p>
    <w:p w:rsidR="009A657F" w:rsidRDefault="009A657F" w:rsidP="009A657F">
      <w:pPr>
        <w:spacing w:before="20" w:after="20"/>
        <w:ind w:left="720" w:right="18"/>
        <w:jc w:val="both"/>
        <w:rPr>
          <w:rFonts w:ascii="Verdana" w:hAnsi="Verdana"/>
          <w:sz w:val="20"/>
        </w:rPr>
      </w:pPr>
    </w:p>
    <w:p w:rsidR="00005772" w:rsidRDefault="009A657F" w:rsidP="00BB087B">
      <w:pPr>
        <w:numPr>
          <w:ilvl w:val="0"/>
          <w:numId w:val="2"/>
        </w:numPr>
        <w:spacing w:before="20" w:after="20"/>
        <w:ind w:left="0" w:right="18" w:firstLine="0"/>
        <w:jc w:val="both"/>
        <w:rPr>
          <w:rFonts w:ascii="Verdana" w:hAnsi="Verdana"/>
          <w:sz w:val="20"/>
          <w:lang w:val="es-MX"/>
        </w:rPr>
      </w:pPr>
      <w:r w:rsidRPr="003405EC">
        <w:rPr>
          <w:rFonts w:ascii="Verdana" w:hAnsi="Verdana"/>
          <w:sz w:val="20"/>
          <w:lang w:val="es-MX"/>
        </w:rPr>
        <w:t>Desestimar</w:t>
      </w:r>
      <w:r>
        <w:rPr>
          <w:rFonts w:ascii="Verdana" w:hAnsi="Verdana"/>
          <w:sz w:val="20"/>
          <w:lang w:val="es-MX"/>
        </w:rPr>
        <w:t xml:space="preserve"> </w:t>
      </w:r>
      <w:r w:rsidRPr="003405EC">
        <w:rPr>
          <w:rFonts w:ascii="Verdana" w:hAnsi="Verdana"/>
          <w:sz w:val="20"/>
          <w:lang w:val="es-MX"/>
        </w:rPr>
        <w:t xml:space="preserve">la solicitud de medidas provisionales </w:t>
      </w:r>
      <w:r>
        <w:rPr>
          <w:rFonts w:ascii="Verdana" w:hAnsi="Verdana"/>
          <w:sz w:val="20"/>
          <w:lang w:val="es-MX"/>
        </w:rPr>
        <w:t>a favor de Luis Antonio Galindo Cárdenas</w:t>
      </w:r>
      <w:r w:rsidR="004B550E">
        <w:rPr>
          <w:rFonts w:ascii="Verdana" w:hAnsi="Verdana"/>
          <w:sz w:val="20"/>
          <w:lang w:val="es-MX"/>
        </w:rPr>
        <w:t>.</w:t>
      </w:r>
    </w:p>
    <w:p w:rsidR="00BB087B" w:rsidRPr="00005772" w:rsidRDefault="00BB087B" w:rsidP="00BB087B">
      <w:pPr>
        <w:spacing w:before="20" w:after="20"/>
        <w:ind w:left="360" w:right="18"/>
        <w:jc w:val="both"/>
        <w:rPr>
          <w:rFonts w:ascii="Verdana" w:hAnsi="Verdana"/>
          <w:sz w:val="20"/>
          <w:lang w:val="es-MX"/>
        </w:rPr>
      </w:pPr>
    </w:p>
    <w:p w:rsidR="00CC7D1D" w:rsidRPr="00751306" w:rsidRDefault="00005772" w:rsidP="00751306">
      <w:pPr>
        <w:spacing w:before="20" w:after="20"/>
        <w:ind w:right="18"/>
        <w:jc w:val="both"/>
        <w:rPr>
          <w:rFonts w:ascii="Verdana" w:hAnsi="Verdana"/>
          <w:sz w:val="20"/>
        </w:rPr>
      </w:pPr>
      <w:r w:rsidRPr="00005772">
        <w:rPr>
          <w:rFonts w:ascii="Verdana" w:hAnsi="Verdana"/>
          <w:sz w:val="20"/>
          <w:lang w:val="es-MX"/>
        </w:rPr>
        <w:t>2.</w:t>
      </w:r>
      <w:r w:rsidRPr="00005772">
        <w:rPr>
          <w:rFonts w:ascii="Verdana" w:hAnsi="Verdana"/>
          <w:sz w:val="20"/>
          <w:lang w:val="es-MX"/>
        </w:rPr>
        <w:tab/>
        <w:t xml:space="preserve">Requerir a la Secretaría de la Corte que notifique la presente Resolución al Estado del Perú, a la Comisión Interamericana Derechos Humanos y al </w:t>
      </w:r>
      <w:r w:rsidR="00B30997">
        <w:rPr>
          <w:rFonts w:ascii="Verdana" w:hAnsi="Verdana"/>
          <w:sz w:val="20"/>
        </w:rPr>
        <w:t xml:space="preserve">señor </w:t>
      </w:r>
      <w:r w:rsidR="008A6E50">
        <w:rPr>
          <w:rFonts w:ascii="Verdana" w:hAnsi="Verdana"/>
          <w:sz w:val="20"/>
        </w:rPr>
        <w:t xml:space="preserve">Luis Antonio </w:t>
      </w:r>
      <w:r w:rsidR="00DF2F8A">
        <w:rPr>
          <w:rFonts w:ascii="Verdana" w:hAnsi="Verdana"/>
          <w:sz w:val="20"/>
        </w:rPr>
        <w:t>Galindo Cárdenas</w:t>
      </w:r>
      <w:r w:rsidR="00AA092E">
        <w:rPr>
          <w:rFonts w:ascii="Verdana" w:hAnsi="Verdana"/>
          <w:sz w:val="20"/>
        </w:rPr>
        <w:t>.</w:t>
      </w:r>
    </w:p>
    <w:p w:rsidR="00CC7D1D" w:rsidRDefault="00CC7D1D" w:rsidP="00751306">
      <w:pPr>
        <w:rPr>
          <w:rFonts w:ascii="Verdana" w:hAnsi="Verdana"/>
          <w:sz w:val="20"/>
        </w:rPr>
      </w:pPr>
    </w:p>
    <w:p w:rsidR="00DD3148" w:rsidRDefault="00DD3148"/>
    <w:p w:rsidR="00E60747" w:rsidRDefault="00E60747"/>
    <w:p w:rsidR="00E60747" w:rsidRDefault="00E60747"/>
    <w:p w:rsidR="00E60747" w:rsidRDefault="00E60747" w:rsidP="00E60747">
      <w:pPr>
        <w:jc w:val="both"/>
        <w:rPr>
          <w:rFonts w:ascii="Verdana" w:hAnsi="Verdana"/>
          <w:sz w:val="20"/>
        </w:rPr>
      </w:pPr>
      <w:r>
        <w:rPr>
          <w:rFonts w:ascii="Verdana" w:hAnsi="Verdana"/>
          <w:sz w:val="20"/>
        </w:rPr>
        <w:t xml:space="preserve">Corte IDH. </w:t>
      </w:r>
      <w:r w:rsidRPr="005C3205">
        <w:rPr>
          <w:rFonts w:ascii="Verdana" w:hAnsi="Verdana"/>
          <w:i/>
          <w:sz w:val="20"/>
        </w:rPr>
        <w:t xml:space="preserve">Caso </w:t>
      </w:r>
      <w:r>
        <w:rPr>
          <w:rFonts w:ascii="Verdana" w:hAnsi="Verdana"/>
          <w:i/>
          <w:sz w:val="20"/>
        </w:rPr>
        <w:t>Galindo Cárdenas</w:t>
      </w:r>
      <w:r w:rsidRPr="005C3205">
        <w:rPr>
          <w:rFonts w:ascii="Verdana" w:hAnsi="Verdana"/>
          <w:i/>
          <w:sz w:val="20"/>
        </w:rPr>
        <w:t xml:space="preserve"> Vs. </w:t>
      </w:r>
      <w:r>
        <w:rPr>
          <w:rFonts w:ascii="Verdana" w:hAnsi="Verdana"/>
          <w:i/>
          <w:sz w:val="20"/>
        </w:rPr>
        <w:t>Perú</w:t>
      </w:r>
      <w:r>
        <w:rPr>
          <w:rFonts w:ascii="Verdana" w:hAnsi="Verdana"/>
          <w:sz w:val="20"/>
        </w:rPr>
        <w:t>. Rechazo de la Solicitud de Medidas Provisionales. Resolución de la Corte Interamericana de Derechos Humanos de 5 de febrero de 2018.</w:t>
      </w:r>
    </w:p>
    <w:p w:rsidR="00E60747" w:rsidRPr="00DA00D0" w:rsidRDefault="00E60747" w:rsidP="00E60747">
      <w:pPr>
        <w:rPr>
          <w:rFonts w:ascii="Verdana" w:hAnsi="Verdana"/>
          <w:strike/>
          <w:sz w:val="20"/>
          <w:lang w:val="pt-BR"/>
        </w:rPr>
      </w:pPr>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Pr="00DA00D0" w:rsidRDefault="00E60747" w:rsidP="00E60747">
      <w:pPr>
        <w:rPr>
          <w:rFonts w:ascii="Verdana" w:hAnsi="Verdana"/>
          <w:sz w:val="20"/>
          <w:lang w:val="pt-BR"/>
        </w:rPr>
      </w:pPr>
    </w:p>
    <w:p w:rsidR="00E60747" w:rsidRPr="00DA00D0" w:rsidRDefault="00E60747" w:rsidP="00E60747">
      <w:pPr>
        <w:jc w:val="center"/>
        <w:rPr>
          <w:rFonts w:ascii="Verdana" w:hAnsi="Verdana"/>
          <w:sz w:val="20"/>
          <w:lang w:val="pt-BR"/>
        </w:rPr>
      </w:pPr>
      <w:r w:rsidRPr="00DA00D0">
        <w:rPr>
          <w:rFonts w:ascii="Verdana" w:hAnsi="Verdana"/>
          <w:sz w:val="20"/>
          <w:lang w:val="pt-BR"/>
        </w:rPr>
        <w:lastRenderedPageBreak/>
        <w:t>Eduardo Ferrer Mac-Gregor Poisot</w:t>
      </w:r>
    </w:p>
    <w:p w:rsidR="00E60747" w:rsidRPr="00DA00D0" w:rsidRDefault="00E60747" w:rsidP="00E60747">
      <w:pPr>
        <w:jc w:val="center"/>
        <w:rPr>
          <w:rFonts w:ascii="Verdana" w:hAnsi="Verdana"/>
          <w:sz w:val="20"/>
          <w:lang w:val="pt-BR"/>
        </w:rPr>
      </w:pPr>
      <w:r>
        <w:rPr>
          <w:rFonts w:ascii="Verdana" w:hAnsi="Verdana"/>
          <w:sz w:val="20"/>
          <w:lang w:val="pt-BR"/>
        </w:rPr>
        <w:t xml:space="preserve">Presidente </w:t>
      </w:r>
    </w:p>
    <w:p w:rsidR="00E60747" w:rsidRPr="00DA00D0"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Pr="00DA00D0" w:rsidRDefault="00E60747" w:rsidP="00E60747">
      <w:pPr>
        <w:rPr>
          <w:rFonts w:ascii="Verdana" w:hAnsi="Verdana"/>
          <w:sz w:val="20"/>
          <w:lang w:val="pt-BR"/>
        </w:rPr>
      </w:pPr>
    </w:p>
    <w:p w:rsidR="00E60747" w:rsidRPr="00DA00D0" w:rsidRDefault="00E60747" w:rsidP="00E60747">
      <w:pPr>
        <w:rPr>
          <w:rFonts w:ascii="Verdana" w:hAnsi="Verdana"/>
          <w:sz w:val="20"/>
          <w:lang w:val="pt-BR"/>
        </w:rPr>
      </w:pPr>
    </w:p>
    <w:p w:rsidR="00E60747" w:rsidRDefault="00E60747" w:rsidP="00E60747">
      <w:pPr>
        <w:rPr>
          <w:rFonts w:ascii="Verdana" w:hAnsi="Verdana"/>
          <w:sz w:val="20"/>
          <w:lang w:val="pt-BR"/>
        </w:rPr>
      </w:pPr>
      <w:r w:rsidRPr="00DA00D0">
        <w:rPr>
          <w:rFonts w:ascii="Verdana" w:hAnsi="Verdana"/>
          <w:sz w:val="20"/>
          <w:lang w:val="pt-BR"/>
        </w:rPr>
        <w:t>E</w:t>
      </w:r>
      <w:r>
        <w:rPr>
          <w:rFonts w:ascii="Verdana" w:hAnsi="Verdana"/>
          <w:sz w:val="20"/>
          <w:lang w:val="pt-BR"/>
        </w:rPr>
        <w:t>duardo Vio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 xml:space="preserve">    </w:t>
      </w:r>
      <w:proofErr w:type="gramEnd"/>
      <w:r>
        <w:rPr>
          <w:rFonts w:ascii="Verdana" w:hAnsi="Verdana"/>
          <w:sz w:val="20"/>
          <w:lang w:val="pt-BR"/>
        </w:rPr>
        <w:t xml:space="preserve">Humberto A. Sierra Porto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r>
        <w:rPr>
          <w:rFonts w:ascii="Verdana" w:hAnsi="Verdana"/>
          <w:sz w:val="20"/>
          <w:lang w:val="pt-BR"/>
        </w:rPr>
        <w:t>Elizabeth Odio Benito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DA00D0">
        <w:rPr>
          <w:rFonts w:ascii="Verdana" w:hAnsi="Verdana"/>
          <w:sz w:val="20"/>
          <w:lang w:val="pt-BR"/>
        </w:rPr>
        <w:t>Eugenio Raúl Zaffaroni</w:t>
      </w:r>
      <w:proofErr w:type="gramStart"/>
      <w:r w:rsidRPr="00C67360">
        <w:rPr>
          <w:rFonts w:ascii="Verdana" w:hAnsi="Verdana"/>
          <w:sz w:val="20"/>
          <w:lang w:val="pt-BR"/>
        </w:rPr>
        <w:t xml:space="preserve"> </w:t>
      </w:r>
      <w:r w:rsidRPr="00DA00D0">
        <w:rPr>
          <w:rFonts w:ascii="Verdana" w:hAnsi="Verdana"/>
          <w:sz w:val="20"/>
          <w:lang w:val="pt-BR"/>
        </w:rPr>
        <w:t xml:space="preserve"> </w:t>
      </w:r>
    </w:p>
    <w:p w:rsidR="00E60747" w:rsidRDefault="00E60747" w:rsidP="00E60747">
      <w:pPr>
        <w:rPr>
          <w:rFonts w:ascii="Verdana" w:hAnsi="Verdana"/>
          <w:sz w:val="20"/>
          <w:lang w:val="pt-BR"/>
        </w:rPr>
      </w:pPr>
      <w:proofErr w:type="gramEnd"/>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Pr="00DA00D0" w:rsidRDefault="00E60747" w:rsidP="00E60747">
      <w:pPr>
        <w:jc w:val="center"/>
        <w:rPr>
          <w:rFonts w:ascii="Verdana" w:hAnsi="Verdana"/>
          <w:sz w:val="20"/>
          <w:lang w:val="pt-BR"/>
        </w:rPr>
      </w:pPr>
      <w:r>
        <w:rPr>
          <w:rFonts w:ascii="Verdana" w:hAnsi="Verdana"/>
          <w:sz w:val="20"/>
          <w:lang w:val="pt-BR"/>
        </w:rPr>
        <w:t xml:space="preserve">L. </w:t>
      </w:r>
      <w:r w:rsidRPr="00DA00D0">
        <w:rPr>
          <w:rFonts w:ascii="Verdana" w:hAnsi="Verdana"/>
          <w:sz w:val="20"/>
          <w:lang w:val="pt-BR"/>
        </w:rPr>
        <w:t xml:space="preserve">Patricio Pazmiño </w:t>
      </w:r>
      <w:proofErr w:type="gramStart"/>
      <w:r w:rsidRPr="00DA00D0">
        <w:rPr>
          <w:rFonts w:ascii="Verdana" w:hAnsi="Verdana"/>
          <w:sz w:val="20"/>
          <w:lang w:val="pt-BR"/>
        </w:rPr>
        <w:t>Fre</w:t>
      </w:r>
      <w:r>
        <w:rPr>
          <w:rFonts w:ascii="Verdana" w:hAnsi="Verdana"/>
          <w:sz w:val="20"/>
          <w:lang w:val="pt-BR"/>
        </w:rPr>
        <w:t>i</w:t>
      </w:r>
      <w:r w:rsidRPr="00DA00D0">
        <w:rPr>
          <w:rFonts w:ascii="Verdana" w:hAnsi="Verdana"/>
          <w:sz w:val="20"/>
          <w:lang w:val="pt-BR"/>
        </w:rPr>
        <w:t>re</w:t>
      </w:r>
      <w:proofErr w:type="gramEnd"/>
    </w:p>
    <w:p w:rsidR="00E60747" w:rsidRPr="00DA00D0" w:rsidRDefault="00E60747" w:rsidP="00E60747">
      <w:pPr>
        <w:rPr>
          <w:rFonts w:ascii="Verdana" w:hAnsi="Verdana"/>
          <w:sz w:val="20"/>
          <w:lang w:val="pt-BR"/>
        </w:rPr>
      </w:pPr>
    </w:p>
    <w:p w:rsidR="00E60747" w:rsidRPr="00DA00D0" w:rsidRDefault="00E60747" w:rsidP="00E60747">
      <w:pPr>
        <w:rPr>
          <w:rFonts w:ascii="Verdana" w:hAnsi="Verdana"/>
          <w:sz w:val="20"/>
          <w:lang w:val="pt-BR"/>
        </w:rPr>
      </w:pPr>
    </w:p>
    <w:p w:rsidR="00E60747" w:rsidRDefault="00E60747" w:rsidP="00E60747">
      <w:pPr>
        <w:rPr>
          <w:rFonts w:ascii="Verdana" w:hAnsi="Verdana"/>
          <w:sz w:val="20"/>
          <w:lang w:val="pt-BR"/>
        </w:rPr>
      </w:pPr>
    </w:p>
    <w:p w:rsidR="00E60747" w:rsidRPr="00DA00D0" w:rsidRDefault="00E60747" w:rsidP="00E60747">
      <w:pPr>
        <w:rPr>
          <w:rFonts w:ascii="Verdana" w:hAnsi="Verdana"/>
          <w:sz w:val="20"/>
          <w:lang w:val="pt-BR"/>
        </w:rPr>
      </w:pPr>
    </w:p>
    <w:p w:rsidR="00E60747" w:rsidRPr="00DA00D0" w:rsidRDefault="00E60747" w:rsidP="00E60747">
      <w:pPr>
        <w:jc w:val="both"/>
        <w:rPr>
          <w:rFonts w:ascii="Verdana" w:hAnsi="Verdana"/>
          <w:sz w:val="20"/>
          <w:lang w:val="pt-BR"/>
        </w:rPr>
      </w:pPr>
    </w:p>
    <w:p w:rsidR="00E60747" w:rsidRPr="00DA00D0" w:rsidRDefault="00E60747" w:rsidP="00E60747">
      <w:pPr>
        <w:jc w:val="both"/>
        <w:rPr>
          <w:rFonts w:ascii="Verdana" w:hAnsi="Verdana"/>
          <w:sz w:val="20"/>
          <w:lang w:val="pt-BR"/>
        </w:rPr>
      </w:pPr>
    </w:p>
    <w:p w:rsidR="00E60747" w:rsidRPr="00FC4051" w:rsidRDefault="00E60747" w:rsidP="00E60747">
      <w:pPr>
        <w:jc w:val="center"/>
        <w:rPr>
          <w:rFonts w:ascii="Verdana" w:hAnsi="Verdana"/>
          <w:sz w:val="20"/>
          <w:lang w:val="pt-BR"/>
        </w:rPr>
      </w:pPr>
      <w:r w:rsidRPr="00FC4051">
        <w:rPr>
          <w:rFonts w:ascii="Verdana" w:hAnsi="Verdana"/>
          <w:sz w:val="20"/>
          <w:lang w:val="pt-BR"/>
        </w:rPr>
        <w:t>Pablo Saavedra Alessandri</w:t>
      </w:r>
    </w:p>
    <w:p w:rsidR="00E60747" w:rsidRPr="00FC4051" w:rsidRDefault="00E60747" w:rsidP="00E60747">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rsidR="00E60747" w:rsidRDefault="00E60747" w:rsidP="00E60747">
      <w:pPr>
        <w:pStyle w:val="Textonotapie"/>
        <w:rPr>
          <w:rFonts w:ascii="Verdana" w:hAnsi="Verdana"/>
          <w:lang w:val="pt-BR"/>
        </w:rPr>
      </w:pPr>
    </w:p>
    <w:p w:rsidR="00E60747" w:rsidRPr="00FC4051" w:rsidRDefault="00E60747" w:rsidP="00E60747">
      <w:pPr>
        <w:pStyle w:val="Textonotapie"/>
        <w:rPr>
          <w:rFonts w:ascii="Verdana" w:hAnsi="Verdana"/>
          <w:lang w:val="pt-BR"/>
        </w:rPr>
      </w:pPr>
    </w:p>
    <w:p w:rsidR="00E60747" w:rsidRPr="00FC4051" w:rsidRDefault="00E60747" w:rsidP="00E60747">
      <w:pPr>
        <w:pStyle w:val="Textonotapie"/>
        <w:rPr>
          <w:rFonts w:ascii="Verdana" w:hAnsi="Verdana"/>
          <w:lang w:val="pt-BR"/>
        </w:rPr>
      </w:pPr>
    </w:p>
    <w:p w:rsidR="00E60747" w:rsidRPr="00FC4051" w:rsidRDefault="00E60747" w:rsidP="00E60747">
      <w:pPr>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rsidR="00E60747" w:rsidRPr="00FC4051" w:rsidRDefault="00E60747" w:rsidP="00E60747">
      <w:pPr>
        <w:rPr>
          <w:rFonts w:ascii="Verdana" w:hAnsi="Verdana"/>
          <w:sz w:val="20"/>
          <w:lang w:val="pt-BR"/>
        </w:rPr>
      </w:pPr>
    </w:p>
    <w:p w:rsidR="00E60747" w:rsidRPr="00FC4051" w:rsidRDefault="00E60747" w:rsidP="00E60747">
      <w:pPr>
        <w:rPr>
          <w:rFonts w:ascii="Verdana" w:hAnsi="Verdana"/>
          <w:sz w:val="20"/>
          <w:lang w:val="pt-BR"/>
        </w:rPr>
      </w:pPr>
    </w:p>
    <w:p w:rsidR="00E60747" w:rsidRPr="00FC4051" w:rsidRDefault="00E60747" w:rsidP="00E60747">
      <w:pPr>
        <w:jc w:val="right"/>
        <w:rPr>
          <w:rFonts w:ascii="Verdana" w:hAnsi="Verdana"/>
          <w:sz w:val="20"/>
          <w:lang w:val="pt-BR"/>
        </w:rPr>
      </w:pPr>
    </w:p>
    <w:p w:rsidR="00E60747" w:rsidRPr="00FC4051" w:rsidRDefault="00E60747" w:rsidP="00E60747">
      <w:pPr>
        <w:jc w:val="center"/>
        <w:rPr>
          <w:rFonts w:ascii="Verdana" w:hAnsi="Verdana"/>
          <w:sz w:val="20"/>
          <w:lang w:val="pt-BR"/>
        </w:rPr>
      </w:pPr>
      <w:r>
        <w:rPr>
          <w:rFonts w:ascii="Verdana" w:hAnsi="Verdana"/>
          <w:sz w:val="20"/>
          <w:lang w:val="pt-BR"/>
        </w:rPr>
        <w:t xml:space="preserve">                                                   </w:t>
      </w:r>
      <w:r w:rsidR="00E314A2">
        <w:rPr>
          <w:rFonts w:ascii="Verdana" w:hAnsi="Verdana"/>
          <w:sz w:val="20"/>
          <w:lang w:val="pt-BR"/>
        </w:rPr>
        <w:t xml:space="preserve">                     </w:t>
      </w:r>
      <w:r w:rsidRPr="00DA00D0">
        <w:rPr>
          <w:rFonts w:ascii="Verdana" w:hAnsi="Verdana"/>
          <w:sz w:val="20"/>
          <w:lang w:val="pt-BR"/>
        </w:rPr>
        <w:t>Eduardo Ferrer Mac-Gregor Poisot</w:t>
      </w:r>
    </w:p>
    <w:p w:rsidR="00E60747" w:rsidRPr="00DA00D0" w:rsidRDefault="00E60747" w:rsidP="00E60747">
      <w:pPr>
        <w:rPr>
          <w:rFonts w:ascii="Verdana" w:hAnsi="Verdana"/>
          <w:sz w:val="20"/>
          <w:lang w:val="pt-BR"/>
        </w:rPr>
      </w:pPr>
      <w:r>
        <w:rPr>
          <w:rFonts w:ascii="Verdana" w:hAnsi="Verdana"/>
          <w:sz w:val="20"/>
          <w:lang w:val="pt-BR"/>
        </w:rPr>
        <w:t xml:space="preserve">       </w:t>
      </w:r>
      <w:r w:rsidR="00E314A2">
        <w:rPr>
          <w:rFonts w:ascii="Verdana" w:hAnsi="Verdana"/>
          <w:sz w:val="20"/>
          <w:lang w:val="pt-BR"/>
        </w:rPr>
        <w:tab/>
      </w:r>
      <w:r w:rsidR="00E314A2">
        <w:rPr>
          <w:rFonts w:ascii="Verdana" w:hAnsi="Verdana"/>
          <w:sz w:val="20"/>
          <w:lang w:val="pt-BR"/>
        </w:rPr>
        <w:tab/>
      </w:r>
      <w:r w:rsidR="00E314A2">
        <w:rPr>
          <w:rFonts w:ascii="Verdana" w:hAnsi="Verdana"/>
          <w:sz w:val="20"/>
          <w:lang w:val="pt-BR"/>
        </w:rPr>
        <w:tab/>
      </w:r>
      <w:r w:rsidR="00E314A2">
        <w:rPr>
          <w:rFonts w:ascii="Verdana" w:hAnsi="Verdana"/>
          <w:sz w:val="20"/>
          <w:lang w:val="pt-BR"/>
        </w:rPr>
        <w:tab/>
      </w:r>
      <w:r w:rsidR="00E314A2">
        <w:rPr>
          <w:rFonts w:ascii="Verdana" w:hAnsi="Verdana"/>
          <w:sz w:val="20"/>
          <w:lang w:val="pt-BR"/>
        </w:rPr>
        <w:tab/>
      </w:r>
      <w:r w:rsidR="00E314A2">
        <w:rPr>
          <w:rFonts w:ascii="Verdana" w:hAnsi="Verdana"/>
          <w:sz w:val="20"/>
          <w:lang w:val="pt-BR"/>
        </w:rPr>
        <w:tab/>
      </w:r>
      <w:r w:rsidR="00E314A2">
        <w:rPr>
          <w:rFonts w:ascii="Verdana" w:hAnsi="Verdana"/>
          <w:sz w:val="20"/>
          <w:lang w:val="pt-BR"/>
        </w:rPr>
        <w:tab/>
      </w:r>
      <w:r w:rsidR="00E314A2">
        <w:rPr>
          <w:rFonts w:ascii="Verdana" w:hAnsi="Verdana"/>
          <w:sz w:val="20"/>
          <w:lang w:val="pt-BR"/>
        </w:rPr>
        <w:tab/>
      </w:r>
      <w:r w:rsidR="00E314A2">
        <w:rPr>
          <w:rFonts w:ascii="Verdana" w:hAnsi="Verdana"/>
          <w:sz w:val="20"/>
          <w:lang w:val="pt-BR"/>
        </w:rPr>
        <w:tab/>
      </w:r>
      <w:r>
        <w:rPr>
          <w:rFonts w:ascii="Verdana" w:hAnsi="Verdana"/>
          <w:sz w:val="20"/>
          <w:lang w:val="pt-BR"/>
        </w:rPr>
        <w:t xml:space="preserve">Presidente </w:t>
      </w:r>
    </w:p>
    <w:p w:rsidR="00E60747" w:rsidRPr="00FC4051" w:rsidRDefault="00E60747" w:rsidP="00E60747">
      <w:pPr>
        <w:ind w:firstLine="720"/>
        <w:jc w:val="center"/>
        <w:rPr>
          <w:rFonts w:ascii="Verdana" w:hAnsi="Verdana"/>
          <w:sz w:val="20"/>
          <w:lang w:val="pt-BR"/>
        </w:rPr>
      </w:pPr>
    </w:p>
    <w:p w:rsidR="00E60747" w:rsidRPr="00FC4051" w:rsidRDefault="00E60747" w:rsidP="00E60747">
      <w:pPr>
        <w:jc w:val="both"/>
        <w:rPr>
          <w:rFonts w:ascii="Verdana" w:hAnsi="Verdana"/>
          <w:sz w:val="20"/>
          <w:lang w:val="pt-BR"/>
        </w:rPr>
      </w:pPr>
    </w:p>
    <w:p w:rsidR="00E60747" w:rsidRPr="00FC4051" w:rsidRDefault="00E60747" w:rsidP="00E60747">
      <w:pPr>
        <w:jc w:val="both"/>
        <w:rPr>
          <w:rFonts w:ascii="Verdana" w:hAnsi="Verdana"/>
          <w:sz w:val="20"/>
          <w:lang w:val="pt-BR"/>
        </w:rPr>
      </w:pPr>
      <w:r w:rsidRPr="00FC4051">
        <w:rPr>
          <w:rFonts w:ascii="Verdana" w:hAnsi="Verdana"/>
          <w:sz w:val="20"/>
          <w:lang w:val="pt-BR"/>
        </w:rPr>
        <w:t>Pablo Saavedra Alessandri</w:t>
      </w:r>
    </w:p>
    <w:p w:rsidR="00E60747" w:rsidRDefault="00E60747" w:rsidP="00E60747">
      <w:r w:rsidRPr="00FC4051">
        <w:rPr>
          <w:rFonts w:ascii="Verdana" w:hAnsi="Verdana"/>
          <w:sz w:val="20"/>
          <w:lang w:val="pt-BR"/>
        </w:rPr>
        <w:tab/>
      </w:r>
      <w:r w:rsidR="00E314A2">
        <w:rPr>
          <w:rFonts w:ascii="Verdana" w:hAnsi="Verdana"/>
          <w:sz w:val="20"/>
          <w:lang w:val="pt-BR"/>
        </w:rPr>
        <w:t xml:space="preserve"> </w:t>
      </w:r>
      <w:r w:rsidR="00E314A2">
        <w:rPr>
          <w:rFonts w:ascii="Verdana" w:hAnsi="Verdana"/>
          <w:sz w:val="20"/>
        </w:rPr>
        <w:t xml:space="preserve"> S</w:t>
      </w:r>
      <w:r w:rsidRPr="00DA00D0">
        <w:rPr>
          <w:rFonts w:ascii="Verdana" w:hAnsi="Verdana"/>
          <w:sz w:val="20"/>
        </w:rPr>
        <w:t>ecret</w:t>
      </w:r>
      <w:r>
        <w:rPr>
          <w:rFonts w:ascii="Verdana" w:hAnsi="Verdana"/>
          <w:sz w:val="20"/>
        </w:rPr>
        <w:t>a</w:t>
      </w:r>
      <w:r w:rsidRPr="00DA00D0">
        <w:rPr>
          <w:rFonts w:ascii="Verdana" w:hAnsi="Verdana"/>
          <w:sz w:val="20"/>
        </w:rPr>
        <w:t>rio</w:t>
      </w:r>
    </w:p>
    <w:p w:rsidR="00E60747" w:rsidRDefault="00E60747" w:rsidP="00E60747"/>
    <w:sectPr w:rsidR="00E60747" w:rsidSect="00DD3148">
      <w:headerReference w:type="even" r:id="rId8"/>
      <w:headerReference w:type="default" r:id="rId9"/>
      <w:footerReference w:type="even" r:id="rId10"/>
      <w:footerReference w:type="default" r:id="rId11"/>
      <w:pgSz w:w="12240" w:h="15840"/>
      <w:pgMar w:top="1872" w:right="1872" w:bottom="1584" w:left="187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11C" w:rsidRDefault="000F111C" w:rsidP="009A657F">
      <w:r>
        <w:separator/>
      </w:r>
    </w:p>
  </w:endnote>
  <w:endnote w:type="continuationSeparator" w:id="0">
    <w:p w:rsidR="000F111C" w:rsidRDefault="000F111C" w:rsidP="009A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262" w:rsidRDefault="0009700C">
    <w:pPr>
      <w:pStyle w:val="Piedepgina"/>
      <w:framePr w:wrap="around" w:vAnchor="text" w:hAnchor="margin" w:xAlign="right" w:y="1"/>
      <w:rPr>
        <w:rStyle w:val="Nmerodepgina"/>
      </w:rPr>
    </w:pPr>
    <w:r>
      <w:rPr>
        <w:rStyle w:val="Nmerodepgina"/>
      </w:rPr>
      <w:fldChar w:fldCharType="begin"/>
    </w:r>
    <w:r w:rsidR="00236262">
      <w:rPr>
        <w:rStyle w:val="Nmerodepgina"/>
      </w:rPr>
      <w:instrText xml:space="preserve">PAGE  </w:instrText>
    </w:r>
    <w:r>
      <w:rPr>
        <w:rStyle w:val="Nmerodepgina"/>
      </w:rPr>
      <w:fldChar w:fldCharType="end"/>
    </w:r>
  </w:p>
  <w:p w:rsidR="00236262" w:rsidRDefault="0023626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262" w:rsidRDefault="0023626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11C" w:rsidRDefault="000F111C" w:rsidP="009A657F">
      <w:r>
        <w:separator/>
      </w:r>
    </w:p>
  </w:footnote>
  <w:footnote w:type="continuationSeparator" w:id="0">
    <w:p w:rsidR="000F111C" w:rsidRDefault="000F111C" w:rsidP="009A657F">
      <w:r>
        <w:continuationSeparator/>
      </w:r>
    </w:p>
  </w:footnote>
  <w:footnote w:id="1">
    <w:p w:rsidR="009B1823" w:rsidRPr="009B1823" w:rsidRDefault="009B1823" w:rsidP="009B1823">
      <w:pPr>
        <w:pStyle w:val="Textonotapie"/>
        <w:jc w:val="both"/>
        <w:rPr>
          <w:lang w:val="es-CR"/>
        </w:rPr>
      </w:pPr>
      <w:r>
        <w:rPr>
          <w:rStyle w:val="Refdenotaalpie"/>
        </w:rPr>
        <w:footnoteRef/>
      </w:r>
      <w:r>
        <w:t xml:space="preserve"> </w:t>
      </w:r>
      <w:r w:rsidRPr="009B1823">
        <w:rPr>
          <w:rFonts w:ascii="Verdana" w:eastAsia="MS Mincho" w:hAnsi="Verdana"/>
          <w:sz w:val="16"/>
          <w:szCs w:val="16"/>
          <w:lang w:val="es-CR"/>
        </w:rPr>
        <w:t>El Juez Roberto F. Caldas, por razones de fuerza mayor aceptadas por el Pleno, no participó en la deliberación y firma de la presente Resolución.</w:t>
      </w:r>
    </w:p>
  </w:footnote>
  <w:footnote w:id="2">
    <w:p w:rsidR="00254129" w:rsidRPr="00254129" w:rsidRDefault="00254129" w:rsidP="002777F0">
      <w:pPr>
        <w:pStyle w:val="Textonotapie"/>
        <w:jc w:val="both"/>
      </w:pPr>
      <w:r>
        <w:rPr>
          <w:rStyle w:val="Refdenotaalpie"/>
        </w:rPr>
        <w:footnoteRef/>
      </w:r>
      <w:r>
        <w:t xml:space="preserve"> </w:t>
      </w:r>
      <w:r w:rsidR="002777F0" w:rsidRPr="005E5FBB">
        <w:rPr>
          <w:rFonts w:ascii="Verdana" w:hAnsi="Verdana"/>
          <w:sz w:val="16"/>
          <w:lang w:val="es-MX"/>
        </w:rPr>
        <w:t xml:space="preserve">En el escrito de solicitud de medidas provisionales, </w:t>
      </w:r>
      <w:r w:rsidR="00480451">
        <w:rPr>
          <w:rFonts w:ascii="Verdana" w:hAnsi="Verdana"/>
          <w:sz w:val="16"/>
          <w:lang w:val="es-MX"/>
        </w:rPr>
        <w:t xml:space="preserve">se </w:t>
      </w:r>
      <w:r w:rsidR="002777F0">
        <w:rPr>
          <w:rFonts w:ascii="Verdana" w:hAnsi="Verdana"/>
          <w:sz w:val="16"/>
          <w:lang w:val="es-MX"/>
        </w:rPr>
        <w:t xml:space="preserve">mencionan </w:t>
      </w:r>
      <w:r w:rsidR="002777F0" w:rsidRPr="005E5FBB">
        <w:rPr>
          <w:rFonts w:ascii="Verdana" w:hAnsi="Verdana"/>
          <w:sz w:val="16"/>
          <w:lang w:val="es-MX"/>
        </w:rPr>
        <w:t xml:space="preserve">archivos que </w:t>
      </w:r>
      <w:r w:rsidR="00480451">
        <w:rPr>
          <w:rFonts w:ascii="Verdana" w:hAnsi="Verdana"/>
          <w:sz w:val="16"/>
          <w:lang w:val="es-MX"/>
        </w:rPr>
        <w:t xml:space="preserve">indican </w:t>
      </w:r>
      <w:r w:rsidR="002777F0" w:rsidRPr="005E5FBB">
        <w:rPr>
          <w:rFonts w:ascii="Verdana" w:hAnsi="Verdana"/>
          <w:sz w:val="16"/>
          <w:lang w:val="es-MX"/>
        </w:rPr>
        <w:t>deben encont</w:t>
      </w:r>
      <w:r w:rsidR="002777F0">
        <w:rPr>
          <w:rFonts w:ascii="Verdana" w:hAnsi="Verdana"/>
          <w:sz w:val="16"/>
          <w:lang w:val="es-MX"/>
        </w:rPr>
        <w:t>rarse en poder de la Corte</w:t>
      </w:r>
      <w:r w:rsidR="002777F0" w:rsidRPr="005E5FBB">
        <w:rPr>
          <w:rFonts w:ascii="Verdana" w:hAnsi="Verdana"/>
          <w:sz w:val="16"/>
          <w:lang w:val="es-MX"/>
        </w:rPr>
        <w:t>, los cuales fueron presentados en la solicitud de medidas provisionales resuelta en 28 de mayo de 2014</w:t>
      </w:r>
      <w:r w:rsidR="00480451">
        <w:rPr>
          <w:rFonts w:ascii="Verdana" w:hAnsi="Verdana"/>
          <w:sz w:val="16"/>
          <w:lang w:val="es-MX"/>
        </w:rPr>
        <w:t>.</w:t>
      </w:r>
    </w:p>
  </w:footnote>
  <w:footnote w:id="3">
    <w:p w:rsidR="00236262" w:rsidRPr="00145C83" w:rsidRDefault="00236262" w:rsidP="009A657F">
      <w:pPr>
        <w:pStyle w:val="Textonotapie"/>
        <w:spacing w:before="120" w:after="120"/>
        <w:jc w:val="both"/>
        <w:rPr>
          <w:rFonts w:ascii="Verdana" w:hAnsi="Verdana"/>
          <w:sz w:val="16"/>
          <w:szCs w:val="16"/>
        </w:rPr>
      </w:pPr>
      <w:r w:rsidRPr="00B743CC">
        <w:rPr>
          <w:rStyle w:val="Refdenotaalpie"/>
          <w:rFonts w:ascii="Verdana" w:hAnsi="Verdana"/>
          <w:sz w:val="16"/>
          <w:szCs w:val="16"/>
        </w:rPr>
        <w:footnoteRef/>
      </w:r>
      <w:r w:rsidR="00945521">
        <w:rPr>
          <w:rFonts w:ascii="Verdana" w:hAnsi="Verdana" w:cs="Helvetica"/>
          <w:i/>
          <w:sz w:val="16"/>
          <w:szCs w:val="16"/>
          <w:lang w:bidi="en-US"/>
        </w:rPr>
        <w:t xml:space="preserve"> </w:t>
      </w:r>
      <w:r w:rsidRPr="00B743CC">
        <w:rPr>
          <w:rFonts w:ascii="Verdana" w:hAnsi="Verdana" w:cs="Helvetica"/>
          <w:i/>
          <w:sz w:val="16"/>
          <w:szCs w:val="16"/>
          <w:lang w:bidi="en-US"/>
        </w:rPr>
        <w:t xml:space="preserve">Cfr. Caso del Periódico “La Nación”. </w:t>
      </w:r>
      <w:r w:rsidRPr="00B743CC">
        <w:rPr>
          <w:rFonts w:ascii="Verdana" w:hAnsi="Verdana" w:cs="Helvetica"/>
          <w:sz w:val="16"/>
          <w:szCs w:val="16"/>
          <w:lang w:bidi="en-US"/>
        </w:rPr>
        <w:t xml:space="preserve">Medidas Provisionales respecto de Costa Rica. Resolución de la Corte de 7 de septiembre de 2001, Considerando </w:t>
      </w:r>
      <w:r w:rsidR="00462545">
        <w:rPr>
          <w:rFonts w:ascii="Verdana" w:hAnsi="Verdana" w:cs="Helvetica"/>
          <w:sz w:val="16"/>
          <w:szCs w:val="16"/>
          <w:lang w:bidi="en-US"/>
        </w:rPr>
        <w:t>4</w:t>
      </w:r>
      <w:r w:rsidR="00945521">
        <w:rPr>
          <w:rFonts w:ascii="Verdana" w:hAnsi="Verdana" w:cs="Helvetica"/>
          <w:sz w:val="16"/>
          <w:szCs w:val="16"/>
          <w:lang w:bidi="en-US"/>
        </w:rPr>
        <w:t>, y</w:t>
      </w:r>
      <w:r w:rsidRPr="00B743CC">
        <w:rPr>
          <w:rFonts w:ascii="Verdana" w:hAnsi="Verdana" w:cs="Helvetica"/>
          <w:sz w:val="16"/>
          <w:szCs w:val="16"/>
          <w:lang w:bidi="en-US"/>
        </w:rPr>
        <w:t xml:space="preserve"> </w:t>
      </w:r>
      <w:r w:rsidR="00462545" w:rsidRPr="00751306">
        <w:rPr>
          <w:rStyle w:val="Textoennegrita"/>
          <w:rFonts w:ascii="Verdana" w:hAnsi="Verdana"/>
          <w:b w:val="0"/>
          <w:i/>
          <w:color w:val="000000"/>
          <w:sz w:val="16"/>
          <w:szCs w:val="16"/>
          <w:shd w:val="clear" w:color="auto" w:fill="FFFFFF"/>
        </w:rPr>
        <w:t>Caso Durand y Ugarte Vs. Perú. Medidas Provisionales</w:t>
      </w:r>
      <w:r w:rsidR="00462545" w:rsidRPr="00751306">
        <w:rPr>
          <w:rStyle w:val="Textoennegrita"/>
          <w:rFonts w:ascii="Verdana" w:hAnsi="Verdana"/>
          <w:b w:val="0"/>
          <w:color w:val="000000"/>
          <w:sz w:val="16"/>
          <w:szCs w:val="16"/>
          <w:shd w:val="clear" w:color="auto" w:fill="FFFFFF"/>
        </w:rPr>
        <w:t>. Adopción de Medidas Urgentes. Resolución del Presidente de la Corte Interamericana de Derechos Humanos de 17 de diciembre del 2017</w:t>
      </w:r>
      <w:r w:rsidR="00005772" w:rsidRPr="00005772">
        <w:rPr>
          <w:rFonts w:ascii="Verdana" w:hAnsi="Verdana" w:cs="Helvetica"/>
          <w:sz w:val="16"/>
          <w:szCs w:val="16"/>
          <w:lang w:bidi="en-US"/>
        </w:rPr>
        <w:t xml:space="preserve">, Considerando </w:t>
      </w:r>
      <w:r w:rsidR="00462545">
        <w:rPr>
          <w:rFonts w:ascii="Verdana" w:hAnsi="Verdana" w:cs="Helvetica"/>
          <w:sz w:val="16"/>
          <w:szCs w:val="16"/>
          <w:lang w:bidi="en-US"/>
        </w:rPr>
        <w:t>6</w:t>
      </w:r>
      <w:r w:rsidR="00005772" w:rsidRPr="00005772">
        <w:rPr>
          <w:rFonts w:ascii="Verdana" w:hAnsi="Verdana" w:cs="Helvetica"/>
          <w:sz w:val="16"/>
          <w:szCs w:val="16"/>
          <w:lang w:bidi="en-US"/>
        </w:rPr>
        <w:t>.</w:t>
      </w:r>
      <w:r w:rsidRPr="00145C83">
        <w:rPr>
          <w:rFonts w:ascii="Verdana" w:hAnsi="Verdana"/>
          <w:sz w:val="16"/>
          <w:szCs w:val="16"/>
        </w:rPr>
        <w:t xml:space="preserve"> </w:t>
      </w:r>
    </w:p>
  </w:footnote>
  <w:footnote w:id="4">
    <w:p w:rsidR="00236262" w:rsidRPr="00B743CC" w:rsidRDefault="00236262" w:rsidP="009A657F">
      <w:pPr>
        <w:jc w:val="both"/>
        <w:rPr>
          <w:rFonts w:ascii="Verdana" w:hAnsi="Verdana"/>
          <w:sz w:val="16"/>
          <w:szCs w:val="16"/>
        </w:rPr>
      </w:pPr>
      <w:r w:rsidRPr="00B743CC">
        <w:rPr>
          <w:rStyle w:val="Refdenotaalpie"/>
          <w:rFonts w:ascii="Verdana" w:hAnsi="Verdana"/>
          <w:sz w:val="16"/>
          <w:szCs w:val="16"/>
        </w:rPr>
        <w:footnoteRef/>
      </w:r>
      <w:r w:rsidR="00945521">
        <w:rPr>
          <w:rFonts w:ascii="Verdana" w:hAnsi="Verdana"/>
          <w:sz w:val="16"/>
          <w:szCs w:val="16"/>
        </w:rPr>
        <w:t xml:space="preserve"> </w:t>
      </w:r>
      <w:r w:rsidRPr="00B743CC">
        <w:rPr>
          <w:rFonts w:ascii="Verdana" w:hAnsi="Verdana"/>
          <w:i/>
          <w:sz w:val="16"/>
          <w:szCs w:val="16"/>
        </w:rPr>
        <w:t xml:space="preserve">Cfr. </w:t>
      </w:r>
      <w:r w:rsidRPr="00B743CC">
        <w:rPr>
          <w:rStyle w:val="nfasis"/>
          <w:rFonts w:ascii="Verdana" w:hAnsi="Verdana" w:cs="Arial"/>
          <w:sz w:val="16"/>
          <w:szCs w:val="16"/>
        </w:rPr>
        <w:t>Caso Bámaca Velásquez</w:t>
      </w:r>
      <w:r w:rsidR="00145C83">
        <w:rPr>
          <w:rStyle w:val="nfasis"/>
          <w:rFonts w:ascii="Verdana" w:hAnsi="Verdana" w:cs="Arial"/>
          <w:sz w:val="16"/>
          <w:szCs w:val="16"/>
        </w:rPr>
        <w:t xml:space="preserve"> respecto Guatemala</w:t>
      </w:r>
      <w:r w:rsidRPr="00B743CC">
        <w:rPr>
          <w:rStyle w:val="nfasis"/>
          <w:rFonts w:ascii="Verdana" w:hAnsi="Verdana" w:cs="Arial"/>
          <w:sz w:val="16"/>
          <w:szCs w:val="16"/>
        </w:rPr>
        <w:t xml:space="preserve">. </w:t>
      </w:r>
      <w:r w:rsidRPr="00B743CC">
        <w:rPr>
          <w:rFonts w:ascii="Verdana" w:hAnsi="Verdana" w:cs="Arial"/>
          <w:sz w:val="16"/>
          <w:szCs w:val="16"/>
        </w:rPr>
        <w:t xml:space="preserve">Medidas Provisionales. Resolución de la Corte de 20 de noviembre de 2003, Considerando </w:t>
      </w:r>
      <w:r w:rsidR="00462545">
        <w:rPr>
          <w:rFonts w:ascii="Verdana" w:hAnsi="Verdana" w:cs="Arial"/>
          <w:sz w:val="16"/>
          <w:szCs w:val="16"/>
        </w:rPr>
        <w:t>10</w:t>
      </w:r>
      <w:r w:rsidR="00945521">
        <w:rPr>
          <w:rFonts w:ascii="Verdana" w:hAnsi="Verdana" w:cs="Arial"/>
          <w:sz w:val="16"/>
          <w:szCs w:val="16"/>
        </w:rPr>
        <w:t>, y</w:t>
      </w:r>
      <w:r w:rsidR="00145C83">
        <w:rPr>
          <w:rFonts w:ascii="Verdana" w:hAnsi="Verdana" w:cs="Arial"/>
          <w:sz w:val="16"/>
          <w:szCs w:val="16"/>
        </w:rPr>
        <w:t xml:space="preserve"> </w:t>
      </w:r>
      <w:r w:rsidR="00462545" w:rsidRPr="00751306">
        <w:rPr>
          <w:rStyle w:val="Textoennegrita"/>
          <w:rFonts w:ascii="Verdana" w:hAnsi="Verdana"/>
          <w:b w:val="0"/>
          <w:i/>
          <w:color w:val="000000"/>
          <w:sz w:val="16"/>
          <w:szCs w:val="16"/>
          <w:shd w:val="clear" w:color="auto" w:fill="FFFFFF"/>
        </w:rPr>
        <w:t>Asunto Rojas Madrigal en relación con el Caso Amrhein y otros Vs. Costa Rica.</w:t>
      </w:r>
      <w:r w:rsidR="00462545" w:rsidRPr="00751306">
        <w:rPr>
          <w:rStyle w:val="Textoennegrita"/>
          <w:rFonts w:ascii="Verdana" w:hAnsi="Verdana"/>
          <w:b w:val="0"/>
          <w:color w:val="000000"/>
          <w:sz w:val="16"/>
          <w:szCs w:val="16"/>
          <w:shd w:val="clear" w:color="auto" w:fill="FFFFFF"/>
        </w:rPr>
        <w:t xml:space="preserve"> Rechazo de la Solicitud de Medidas Provisionales. Resolución de la Corte Interamericana de Derechos Humanos de 18 de noviembre de 2015</w:t>
      </w:r>
      <w:r w:rsidR="00145C83">
        <w:rPr>
          <w:rFonts w:ascii="Verdana" w:hAnsi="Verdana" w:cs="Arial"/>
          <w:sz w:val="16"/>
          <w:szCs w:val="16"/>
        </w:rPr>
        <w:t xml:space="preserve">, Considerando </w:t>
      </w:r>
      <w:r w:rsidR="00462545">
        <w:rPr>
          <w:rFonts w:ascii="Verdana" w:hAnsi="Verdana" w:cs="Arial"/>
          <w:sz w:val="16"/>
          <w:szCs w:val="16"/>
        </w:rPr>
        <w:t>1</w:t>
      </w:r>
      <w:r w:rsidR="00145C83">
        <w:rPr>
          <w:rFonts w:ascii="Verdana" w:hAnsi="Verdana" w:cs="Arial"/>
          <w:sz w:val="16"/>
          <w:szCs w:val="16"/>
        </w:rPr>
        <w:t>.</w:t>
      </w:r>
    </w:p>
    <w:p w:rsidR="00236262" w:rsidRPr="00190A56" w:rsidRDefault="00236262" w:rsidP="009A657F">
      <w:pPr>
        <w:pStyle w:val="Textonotapie"/>
        <w:jc w:val="both"/>
        <w:rPr>
          <w:rFonts w:ascii="Verdana" w:hAnsi="Verdana"/>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262" w:rsidRDefault="0009700C">
    <w:pPr>
      <w:pStyle w:val="Encabezado"/>
      <w:framePr w:wrap="around" w:vAnchor="text" w:hAnchor="margin" w:xAlign="center" w:y="1"/>
      <w:rPr>
        <w:rStyle w:val="Nmerodepgina"/>
      </w:rPr>
    </w:pPr>
    <w:r>
      <w:rPr>
        <w:rStyle w:val="Nmerodepgina"/>
      </w:rPr>
      <w:fldChar w:fldCharType="begin"/>
    </w:r>
    <w:r w:rsidR="00236262">
      <w:rPr>
        <w:rStyle w:val="Nmerodepgina"/>
      </w:rPr>
      <w:instrText xml:space="preserve">PAGE  </w:instrText>
    </w:r>
    <w:r>
      <w:rPr>
        <w:rStyle w:val="Nmerodepgina"/>
      </w:rPr>
      <w:fldChar w:fldCharType="end"/>
    </w:r>
  </w:p>
  <w:p w:rsidR="00236262" w:rsidRDefault="0023626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262" w:rsidRPr="00B6639D" w:rsidRDefault="00236262" w:rsidP="00D957DF">
    <w:pPr>
      <w:pStyle w:val="Encabezado"/>
      <w:framePr w:wrap="around" w:vAnchor="text" w:hAnchor="page" w:x="6022" w:y="-14"/>
      <w:rPr>
        <w:rStyle w:val="Nmerodepgina"/>
        <w:rFonts w:ascii="Verdana" w:hAnsi="Verdana"/>
        <w:sz w:val="20"/>
      </w:rPr>
    </w:pPr>
    <w:r w:rsidRPr="00B6639D">
      <w:rPr>
        <w:rStyle w:val="Nmerodepgina"/>
        <w:rFonts w:ascii="Verdana" w:hAnsi="Verdana"/>
        <w:sz w:val="20"/>
      </w:rPr>
      <w:t>-</w:t>
    </w:r>
    <w:r w:rsidR="0009700C" w:rsidRPr="00B6639D">
      <w:rPr>
        <w:rStyle w:val="Nmerodepgina"/>
        <w:sz w:val="20"/>
      </w:rPr>
      <w:fldChar w:fldCharType="begin"/>
    </w:r>
    <w:r w:rsidRPr="00B6639D">
      <w:rPr>
        <w:rStyle w:val="Nmerodepgina"/>
        <w:rFonts w:ascii="Verdana" w:hAnsi="Verdana"/>
        <w:sz w:val="20"/>
      </w:rPr>
      <w:instrText xml:space="preserve">PAGE  </w:instrText>
    </w:r>
    <w:r w:rsidR="0009700C" w:rsidRPr="00B6639D">
      <w:rPr>
        <w:rStyle w:val="Nmerodepgina"/>
        <w:sz w:val="20"/>
      </w:rPr>
      <w:fldChar w:fldCharType="separate"/>
    </w:r>
    <w:r w:rsidR="009E7D3A">
      <w:rPr>
        <w:rStyle w:val="Nmerodepgina"/>
        <w:rFonts w:ascii="Verdana" w:hAnsi="Verdana"/>
        <w:noProof/>
        <w:sz w:val="20"/>
      </w:rPr>
      <w:t>4</w:t>
    </w:r>
    <w:r w:rsidR="0009700C" w:rsidRPr="00B6639D">
      <w:rPr>
        <w:rStyle w:val="Nmerodepgina"/>
        <w:sz w:val="20"/>
      </w:rPr>
      <w:fldChar w:fldCharType="end"/>
    </w:r>
    <w:r w:rsidRPr="00B6639D">
      <w:rPr>
        <w:rStyle w:val="Nmerodepgina"/>
        <w:rFonts w:ascii="Verdana" w:hAnsi="Verdana"/>
        <w:sz w:val="20"/>
      </w:rPr>
      <w:t>-</w:t>
    </w:r>
  </w:p>
  <w:p w:rsidR="00236262" w:rsidRDefault="002362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078B"/>
    <w:multiLevelType w:val="hybridMultilevel"/>
    <w:tmpl w:val="880A4D4C"/>
    <w:lvl w:ilvl="0" w:tplc="849CD9D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4C4934"/>
    <w:multiLevelType w:val="hybridMultilevel"/>
    <w:tmpl w:val="58C632EE"/>
    <w:lvl w:ilvl="0" w:tplc="EDA20A0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63566A"/>
    <w:multiLevelType w:val="hybridMultilevel"/>
    <w:tmpl w:val="86DACBBC"/>
    <w:lvl w:ilvl="0" w:tplc="EE109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CA25950"/>
    <w:multiLevelType w:val="hybridMultilevel"/>
    <w:tmpl w:val="43D0FC48"/>
    <w:lvl w:ilvl="0" w:tplc="2214BF8C">
      <w:start w:val="1"/>
      <w:numFmt w:val="lowerRoman"/>
      <w:lvlText w:val="%1."/>
      <w:lvlJc w:val="left"/>
      <w:pPr>
        <w:ind w:left="720" w:hanging="360"/>
      </w:pPr>
      <w:rPr>
        <w:rFonts w:ascii="Verdana" w:eastAsia="Calibri"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4528AE"/>
    <w:multiLevelType w:val="hybridMultilevel"/>
    <w:tmpl w:val="CD62A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4010E1"/>
    <w:multiLevelType w:val="hybridMultilevel"/>
    <w:tmpl w:val="FAECE968"/>
    <w:lvl w:ilvl="0" w:tplc="F172E020">
      <w:start w:val="1"/>
      <w:numFmt w:val="decimal"/>
      <w:lvlText w:val="%1."/>
      <w:lvlJc w:val="left"/>
      <w:pPr>
        <w:tabs>
          <w:tab w:val="num" w:pos="360"/>
        </w:tabs>
        <w:ind w:left="360" w:hanging="360"/>
      </w:pPr>
      <w:rPr>
        <w:rFonts w:ascii="Verdana" w:hAnsi="Verdana" w:hint="default"/>
        <w:b w:val="0"/>
        <w:sz w:val="20"/>
      </w:rPr>
    </w:lvl>
    <w:lvl w:ilvl="1" w:tplc="0409000F">
      <w:start w:val="1"/>
      <w:numFmt w:val="decimal"/>
      <w:lvlText w:val="%2."/>
      <w:lvlJc w:val="left"/>
      <w:pPr>
        <w:tabs>
          <w:tab w:val="num" w:pos="1440"/>
        </w:tabs>
        <w:ind w:left="1440" w:hanging="360"/>
      </w:pPr>
      <w:rPr>
        <w:rFonts w:hint="default"/>
        <w:b w:val="0"/>
      </w:rPr>
    </w:lvl>
    <w:lvl w:ilvl="2" w:tplc="92DEE256">
      <w:start w:val="1"/>
      <w:numFmt w:val="lowerLetter"/>
      <w:lvlText w:val="%3."/>
      <w:lvlJc w:val="left"/>
      <w:pPr>
        <w:tabs>
          <w:tab w:val="num" w:pos="2340"/>
        </w:tabs>
        <w:ind w:left="2340" w:hanging="360"/>
      </w:pPr>
      <w:rPr>
        <w:rFonts w:hint="default"/>
      </w:rPr>
    </w:lvl>
    <w:lvl w:ilvl="3" w:tplc="A9E0C762">
      <w:start w:val="1"/>
      <w:numFmt w:val="lowerLetter"/>
      <w:lvlText w:val="%4)"/>
      <w:lvlJc w:val="left"/>
      <w:pPr>
        <w:tabs>
          <w:tab w:val="num" w:pos="1440"/>
        </w:tabs>
        <w:ind w:left="144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57F"/>
    <w:rsid w:val="00005772"/>
    <w:rsid w:val="00026E62"/>
    <w:rsid w:val="0009700C"/>
    <w:rsid w:val="000A6189"/>
    <w:rsid w:val="000B2944"/>
    <w:rsid w:val="000D2DA0"/>
    <w:rsid w:val="000E6360"/>
    <w:rsid w:val="000F111C"/>
    <w:rsid w:val="000F1DEC"/>
    <w:rsid w:val="000F799C"/>
    <w:rsid w:val="001372AE"/>
    <w:rsid w:val="00145C83"/>
    <w:rsid w:val="001A188F"/>
    <w:rsid w:val="001A5257"/>
    <w:rsid w:val="001B3DA5"/>
    <w:rsid w:val="001E6C17"/>
    <w:rsid w:val="00236262"/>
    <w:rsid w:val="00254129"/>
    <w:rsid w:val="002777F0"/>
    <w:rsid w:val="00284789"/>
    <w:rsid w:val="002A06D8"/>
    <w:rsid w:val="002F1D39"/>
    <w:rsid w:val="003047DF"/>
    <w:rsid w:val="0031502F"/>
    <w:rsid w:val="00325140"/>
    <w:rsid w:val="00336A87"/>
    <w:rsid w:val="00384963"/>
    <w:rsid w:val="003A579D"/>
    <w:rsid w:val="003D5176"/>
    <w:rsid w:val="0040400C"/>
    <w:rsid w:val="00462545"/>
    <w:rsid w:val="00477F95"/>
    <w:rsid w:val="00480451"/>
    <w:rsid w:val="004A1637"/>
    <w:rsid w:val="004B550E"/>
    <w:rsid w:val="004F542B"/>
    <w:rsid w:val="00516368"/>
    <w:rsid w:val="005205C4"/>
    <w:rsid w:val="00590A09"/>
    <w:rsid w:val="005B463D"/>
    <w:rsid w:val="00605DAC"/>
    <w:rsid w:val="0062203B"/>
    <w:rsid w:val="00644041"/>
    <w:rsid w:val="00671F9C"/>
    <w:rsid w:val="00672D3A"/>
    <w:rsid w:val="0068241A"/>
    <w:rsid w:val="006E0AE8"/>
    <w:rsid w:val="00723800"/>
    <w:rsid w:val="00751306"/>
    <w:rsid w:val="007743EC"/>
    <w:rsid w:val="007D6ABB"/>
    <w:rsid w:val="00831A91"/>
    <w:rsid w:val="0083636F"/>
    <w:rsid w:val="008428B0"/>
    <w:rsid w:val="00845F5F"/>
    <w:rsid w:val="00851E58"/>
    <w:rsid w:val="008A6E50"/>
    <w:rsid w:val="009150B2"/>
    <w:rsid w:val="00945521"/>
    <w:rsid w:val="009517E5"/>
    <w:rsid w:val="00956436"/>
    <w:rsid w:val="00990B45"/>
    <w:rsid w:val="009A3FDC"/>
    <w:rsid w:val="009A657F"/>
    <w:rsid w:val="009B1823"/>
    <w:rsid w:val="009E7D3A"/>
    <w:rsid w:val="00A279EF"/>
    <w:rsid w:val="00A36294"/>
    <w:rsid w:val="00A4088D"/>
    <w:rsid w:val="00A451CC"/>
    <w:rsid w:val="00A73D13"/>
    <w:rsid w:val="00A87301"/>
    <w:rsid w:val="00A92ABF"/>
    <w:rsid w:val="00AA092E"/>
    <w:rsid w:val="00AA38B9"/>
    <w:rsid w:val="00AC51CA"/>
    <w:rsid w:val="00B20C7F"/>
    <w:rsid w:val="00B30997"/>
    <w:rsid w:val="00BB087B"/>
    <w:rsid w:val="00BB75B6"/>
    <w:rsid w:val="00BF2223"/>
    <w:rsid w:val="00C14CCE"/>
    <w:rsid w:val="00C1623C"/>
    <w:rsid w:val="00C45778"/>
    <w:rsid w:val="00C87EAF"/>
    <w:rsid w:val="00CC0B5C"/>
    <w:rsid w:val="00CC6797"/>
    <w:rsid w:val="00CC7D1D"/>
    <w:rsid w:val="00D301C6"/>
    <w:rsid w:val="00D36A2C"/>
    <w:rsid w:val="00D40D8B"/>
    <w:rsid w:val="00D957DF"/>
    <w:rsid w:val="00DB21D4"/>
    <w:rsid w:val="00DC7B99"/>
    <w:rsid w:val="00DD3148"/>
    <w:rsid w:val="00DD7FEA"/>
    <w:rsid w:val="00DF0311"/>
    <w:rsid w:val="00DF2F8A"/>
    <w:rsid w:val="00E314A2"/>
    <w:rsid w:val="00E512B3"/>
    <w:rsid w:val="00E520C3"/>
    <w:rsid w:val="00E60747"/>
    <w:rsid w:val="00E84E15"/>
    <w:rsid w:val="00E8562C"/>
    <w:rsid w:val="00EC2982"/>
    <w:rsid w:val="00ED4560"/>
    <w:rsid w:val="00F14AE3"/>
    <w:rsid w:val="00F407A4"/>
    <w:rsid w:val="00F65B50"/>
    <w:rsid w:val="00F829DB"/>
    <w:rsid w:val="00FB42D3"/>
    <w:rsid w:val="00FC783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57F"/>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9A657F"/>
    <w:pPr>
      <w:keepNext/>
      <w:jc w:val="center"/>
      <w:outlineLvl w:val="0"/>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9A657F"/>
    <w:rPr>
      <w:rFonts w:ascii="Verdana" w:eastAsia="Times New Roman" w:hAnsi="Verdana" w:cs="Times New Roman"/>
      <w:b/>
      <w:bCs/>
      <w:sz w:val="20"/>
      <w:szCs w:val="24"/>
      <w:lang w:val="es-ES" w:eastAsia="es-ES"/>
    </w:rPr>
  </w:style>
  <w:style w:type="paragraph" w:styleId="Encabezado">
    <w:name w:val="header"/>
    <w:basedOn w:val="Normal"/>
    <w:link w:val="EncabezadoCar"/>
    <w:rsid w:val="009A657F"/>
    <w:pPr>
      <w:tabs>
        <w:tab w:val="center" w:pos="4320"/>
        <w:tab w:val="right" w:pos="8640"/>
      </w:tabs>
    </w:pPr>
    <w:rPr>
      <w:rFonts w:ascii="Garamond" w:hAnsi="Garamond"/>
      <w:szCs w:val="20"/>
      <w:lang w:val="es-ES_tradnl" w:eastAsia="en-US"/>
    </w:rPr>
  </w:style>
  <w:style w:type="character" w:customStyle="1" w:styleId="EncabezadoCar">
    <w:name w:val="Encabezado Car"/>
    <w:link w:val="Encabezado"/>
    <w:rsid w:val="009A657F"/>
    <w:rPr>
      <w:rFonts w:ascii="Garamond" w:eastAsia="Times New Roman" w:hAnsi="Garamond" w:cs="Times New Roman"/>
      <w:sz w:val="24"/>
      <w:szCs w:val="20"/>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notente,C,ft"/>
    <w:basedOn w:val="Normal"/>
    <w:link w:val="TextonotapieCar"/>
    <w:qFormat/>
    <w:rsid w:val="009A657F"/>
    <w:rPr>
      <w:rFonts w:ascii="Times" w:hAnsi="Times"/>
      <w:sz w:val="20"/>
      <w:szCs w:val="20"/>
      <w:lang w:val="es-ES_tradnl" w:eastAsia="en-U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C Car"/>
    <w:link w:val="Textonotapie"/>
    <w:rsid w:val="009A657F"/>
    <w:rPr>
      <w:rFonts w:ascii="Times" w:eastAsia="Times New Roman" w:hAnsi="Times"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
    <w:uiPriority w:val="99"/>
    <w:rsid w:val="009A657F"/>
    <w:rPr>
      <w:vertAlign w:val="superscript"/>
    </w:rPr>
  </w:style>
  <w:style w:type="paragraph" w:styleId="Textoindependiente">
    <w:name w:val="Body Text"/>
    <w:basedOn w:val="Normal"/>
    <w:link w:val="TextoindependienteCar"/>
    <w:rsid w:val="009A657F"/>
    <w:pPr>
      <w:widowControl w:val="0"/>
      <w:tabs>
        <w:tab w:val="left" w:pos="360"/>
      </w:tabs>
      <w:ind w:right="720"/>
      <w:jc w:val="both"/>
    </w:pPr>
    <w:rPr>
      <w:rFonts w:ascii="Garamond" w:hAnsi="Garamond"/>
      <w:szCs w:val="20"/>
      <w:lang w:val="es-ES_tradnl" w:eastAsia="en-US"/>
    </w:rPr>
  </w:style>
  <w:style w:type="character" w:customStyle="1" w:styleId="TextoindependienteCar">
    <w:name w:val="Texto independiente Car"/>
    <w:link w:val="Textoindependiente"/>
    <w:rsid w:val="009A657F"/>
    <w:rPr>
      <w:rFonts w:ascii="Garamond" w:eastAsia="Times New Roman" w:hAnsi="Garamond" w:cs="Times New Roman"/>
      <w:sz w:val="24"/>
      <w:szCs w:val="20"/>
      <w:lang w:val="es-ES_tradnl"/>
    </w:rPr>
  </w:style>
  <w:style w:type="paragraph" w:customStyle="1" w:styleId="Lneadereferencia">
    <w:name w:val="Línea de referencia"/>
    <w:basedOn w:val="Sangradetextonormal"/>
    <w:rsid w:val="009A657F"/>
    <w:pPr>
      <w:spacing w:after="0"/>
      <w:ind w:left="0"/>
      <w:jc w:val="both"/>
    </w:pPr>
    <w:rPr>
      <w:rFonts w:ascii="Garamond" w:hAnsi="Garamond"/>
      <w:szCs w:val="20"/>
      <w:lang w:val="es-ES_tradnl" w:eastAsia="en-US"/>
    </w:rPr>
  </w:style>
  <w:style w:type="paragraph" w:styleId="Sangra3detindependiente">
    <w:name w:val="Body Text Indent 3"/>
    <w:basedOn w:val="Normal"/>
    <w:link w:val="Sangra3detindependienteCar"/>
    <w:rsid w:val="009A657F"/>
    <w:pPr>
      <w:ind w:left="1440"/>
      <w:jc w:val="both"/>
    </w:pPr>
    <w:rPr>
      <w:rFonts w:ascii="Garamond" w:hAnsi="Garamond"/>
      <w:b/>
      <w:szCs w:val="20"/>
      <w:lang w:val="es-ES_tradnl" w:eastAsia="en-US"/>
    </w:rPr>
  </w:style>
  <w:style w:type="character" w:customStyle="1" w:styleId="Sangra3detindependienteCar">
    <w:name w:val="Sangría 3 de t. independiente Car"/>
    <w:link w:val="Sangra3detindependiente"/>
    <w:rsid w:val="009A657F"/>
    <w:rPr>
      <w:rFonts w:ascii="Garamond" w:eastAsia="Times New Roman" w:hAnsi="Garamond" w:cs="Times New Roman"/>
      <w:b/>
      <w:sz w:val="24"/>
      <w:szCs w:val="20"/>
      <w:lang w:val="es-ES_tradnl"/>
    </w:rPr>
  </w:style>
  <w:style w:type="character" w:styleId="nfasis">
    <w:name w:val="Emphasis"/>
    <w:qFormat/>
    <w:rsid w:val="009A657F"/>
    <w:rPr>
      <w:i/>
      <w:iCs/>
    </w:rPr>
  </w:style>
  <w:style w:type="paragraph" w:styleId="Piedepgina">
    <w:name w:val="footer"/>
    <w:basedOn w:val="Normal"/>
    <w:link w:val="PiedepginaCar"/>
    <w:semiHidden/>
    <w:rsid w:val="009A657F"/>
    <w:pPr>
      <w:tabs>
        <w:tab w:val="center" w:pos="4320"/>
        <w:tab w:val="right" w:pos="8640"/>
      </w:tabs>
    </w:pPr>
  </w:style>
  <w:style w:type="character" w:customStyle="1" w:styleId="PiedepginaCar">
    <w:name w:val="Pie de página Car"/>
    <w:link w:val="Piedepgina"/>
    <w:semiHidden/>
    <w:rsid w:val="009A657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9A657F"/>
  </w:style>
  <w:style w:type="paragraph" w:customStyle="1" w:styleId="Prrafodelista1">
    <w:name w:val="Párrafo de lista1"/>
    <w:aliases w:val="Footnote"/>
    <w:basedOn w:val="Normal"/>
    <w:qFormat/>
    <w:rsid w:val="009A657F"/>
    <w:pPr>
      <w:contextualSpacing/>
    </w:pPr>
    <w:rPr>
      <w:rFonts w:ascii="Verdana" w:eastAsia="Batang" w:hAnsi="Verdana"/>
      <w:sz w:val="16"/>
      <w:szCs w:val="22"/>
      <w:lang w:eastAsia="en-US"/>
    </w:rPr>
  </w:style>
  <w:style w:type="paragraph" w:styleId="Prrafodelista">
    <w:name w:val="List Paragraph"/>
    <w:aliases w:val="Colorful List - Accent 11"/>
    <w:basedOn w:val="Normal"/>
    <w:link w:val="PrrafodelistaCar"/>
    <w:uiPriority w:val="34"/>
    <w:qFormat/>
    <w:rsid w:val="009A657F"/>
    <w:pPr>
      <w:ind w:left="720"/>
    </w:pPr>
  </w:style>
  <w:style w:type="character" w:customStyle="1" w:styleId="PrrafodelistaCar">
    <w:name w:val="Párrafo de lista Car"/>
    <w:aliases w:val="Colorful List - Accent 11 Car"/>
    <w:link w:val="Prrafodelista"/>
    <w:locked/>
    <w:rsid w:val="009A657F"/>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semiHidden/>
    <w:unhideWhenUsed/>
    <w:rsid w:val="009A657F"/>
    <w:pPr>
      <w:spacing w:after="120"/>
      <w:ind w:left="283"/>
    </w:pPr>
  </w:style>
  <w:style w:type="character" w:customStyle="1" w:styleId="SangradetextonormalCar">
    <w:name w:val="Sangría de texto normal Car"/>
    <w:link w:val="Sangradetextonormal"/>
    <w:uiPriority w:val="99"/>
    <w:semiHidden/>
    <w:rsid w:val="009A657F"/>
    <w:rPr>
      <w:rFonts w:ascii="Times New Roman" w:eastAsia="Times New Roman" w:hAnsi="Times New Roman" w:cs="Times New Roman"/>
      <w:sz w:val="24"/>
      <w:szCs w:val="24"/>
      <w:lang w:val="es-ES" w:eastAsia="es-ES"/>
    </w:rPr>
  </w:style>
  <w:style w:type="character" w:styleId="Refdecomentario">
    <w:name w:val="annotation reference"/>
    <w:uiPriority w:val="99"/>
    <w:semiHidden/>
    <w:unhideWhenUsed/>
    <w:rsid w:val="00D957DF"/>
    <w:rPr>
      <w:sz w:val="16"/>
      <w:szCs w:val="16"/>
    </w:rPr>
  </w:style>
  <w:style w:type="paragraph" w:styleId="Textocomentario">
    <w:name w:val="annotation text"/>
    <w:basedOn w:val="Normal"/>
    <w:link w:val="TextocomentarioCar"/>
    <w:uiPriority w:val="99"/>
    <w:semiHidden/>
    <w:unhideWhenUsed/>
    <w:rsid w:val="00D957DF"/>
    <w:rPr>
      <w:sz w:val="20"/>
      <w:szCs w:val="20"/>
    </w:rPr>
  </w:style>
  <w:style w:type="character" w:customStyle="1" w:styleId="TextocomentarioCar">
    <w:name w:val="Texto comentario Car"/>
    <w:link w:val="Textocomentario"/>
    <w:uiPriority w:val="99"/>
    <w:semiHidden/>
    <w:rsid w:val="00D957D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957DF"/>
    <w:rPr>
      <w:b/>
      <w:bCs/>
    </w:rPr>
  </w:style>
  <w:style w:type="character" w:customStyle="1" w:styleId="AsuntodelcomentarioCar">
    <w:name w:val="Asunto del comentario Car"/>
    <w:link w:val="Asuntodelcomentario"/>
    <w:uiPriority w:val="99"/>
    <w:semiHidden/>
    <w:rsid w:val="00D957DF"/>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957DF"/>
    <w:rPr>
      <w:rFonts w:ascii="Tahoma" w:hAnsi="Tahoma" w:cs="Tahoma"/>
      <w:sz w:val="16"/>
      <w:szCs w:val="16"/>
    </w:rPr>
  </w:style>
  <w:style w:type="character" w:customStyle="1" w:styleId="TextodegloboCar">
    <w:name w:val="Texto de globo Car"/>
    <w:link w:val="Textodeglobo"/>
    <w:uiPriority w:val="99"/>
    <w:semiHidden/>
    <w:rsid w:val="00D957DF"/>
    <w:rPr>
      <w:rFonts w:ascii="Tahoma" w:eastAsia="Times New Roman" w:hAnsi="Tahoma" w:cs="Tahoma"/>
      <w:sz w:val="16"/>
      <w:szCs w:val="16"/>
      <w:lang w:val="es-ES" w:eastAsia="es-ES"/>
    </w:rPr>
  </w:style>
  <w:style w:type="character" w:styleId="Textoennegrita">
    <w:name w:val="Strong"/>
    <w:uiPriority w:val="22"/>
    <w:qFormat/>
    <w:rsid w:val="004625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77CB3-8614-4487-A96B-9470A44E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5665</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2018-02-15T15:13:00Z</cp:lastPrinted>
  <dcterms:created xsi:type="dcterms:W3CDTF">2018-02-15T15:13:00Z</dcterms:created>
  <dcterms:modified xsi:type="dcterms:W3CDTF">2018-02-15T15:13:00Z</dcterms:modified>
</cp:coreProperties>
</file>