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10E" w:rsidRPr="005254A8" w:rsidRDefault="00E2210E" w:rsidP="00FF0A5B">
      <w:pPr>
        <w:jc w:val="center"/>
        <w:rPr>
          <w:rFonts w:eastAsia="Times New Roman" w:cs="Verdana"/>
          <w:b/>
          <w:bCs/>
          <w:caps/>
          <w:snapToGrid w:val="0"/>
          <w:lang w:val="es-CR" w:eastAsia="es-ES"/>
        </w:rPr>
      </w:pPr>
      <w:r w:rsidRPr="005254A8">
        <w:rPr>
          <w:rFonts w:eastAsia="Times New Roman" w:cs="Verdana"/>
          <w:b/>
          <w:bCs/>
          <w:caps/>
          <w:snapToGrid w:val="0"/>
          <w:lang w:val="es-CR" w:eastAsia="es-ES"/>
        </w:rPr>
        <w:t>Corte Interamericana de Derechos Humanos</w:t>
      </w:r>
    </w:p>
    <w:p w:rsidR="00E2210E" w:rsidRPr="005254A8" w:rsidRDefault="00E2210E" w:rsidP="00FF0A5B">
      <w:pPr>
        <w:jc w:val="center"/>
        <w:rPr>
          <w:rFonts w:eastAsia="Times New Roman" w:cs="Verdana"/>
          <w:b/>
          <w:bCs/>
          <w:caps/>
          <w:snapToGrid w:val="0"/>
          <w:lang w:val="es-CR" w:eastAsia="es-ES"/>
        </w:rPr>
      </w:pPr>
    </w:p>
    <w:p w:rsidR="00E2210E" w:rsidRPr="005254A8" w:rsidRDefault="00E2210E" w:rsidP="00FF0A5B">
      <w:pPr>
        <w:jc w:val="center"/>
        <w:rPr>
          <w:rFonts w:eastAsia="Times New Roman" w:cs="Verdana"/>
          <w:b/>
          <w:bCs/>
          <w:caps/>
          <w:snapToGrid w:val="0"/>
          <w:lang w:val="es-CR" w:eastAsia="es-ES"/>
        </w:rPr>
      </w:pPr>
    </w:p>
    <w:p w:rsidR="00E2210E" w:rsidRPr="005254A8" w:rsidRDefault="001B27F7" w:rsidP="00FF0A5B">
      <w:pPr>
        <w:jc w:val="center"/>
        <w:rPr>
          <w:rFonts w:eastAsia="Times New Roman" w:cs="Verdana"/>
          <w:b/>
          <w:bCs/>
          <w:caps/>
          <w:snapToGrid w:val="0"/>
          <w:lang w:val="es-CR" w:eastAsia="es-ES"/>
        </w:rPr>
      </w:pPr>
      <w:r>
        <w:rPr>
          <w:rFonts w:eastAsia="MS Mincho"/>
          <w:b/>
          <w:lang w:val="es-CR"/>
        </w:rPr>
        <w:t xml:space="preserve">CASO </w:t>
      </w:r>
      <w:r w:rsidR="00AF2061">
        <w:rPr>
          <w:rFonts w:eastAsia="MS Mincho"/>
          <w:b/>
          <w:lang w:val="es-CR"/>
        </w:rPr>
        <w:t>ZEGARRA MARÍN</w:t>
      </w:r>
      <w:r w:rsidR="00692409">
        <w:rPr>
          <w:rFonts w:eastAsia="MS Mincho"/>
          <w:b/>
          <w:lang w:val="es-CR"/>
        </w:rPr>
        <w:t xml:space="preserve"> </w:t>
      </w:r>
      <w:r w:rsidR="00692409" w:rsidRPr="00692409">
        <w:rPr>
          <w:rFonts w:eastAsia="MS Mincho"/>
          <w:b/>
          <w:i/>
          <w:lang w:val="es-CR"/>
        </w:rPr>
        <w:t>VS</w:t>
      </w:r>
      <w:r w:rsidR="00692409">
        <w:rPr>
          <w:rFonts w:eastAsia="MS Mincho"/>
          <w:b/>
          <w:lang w:val="es-CR"/>
        </w:rPr>
        <w:t xml:space="preserve">. </w:t>
      </w:r>
      <w:r w:rsidR="00AF2061">
        <w:rPr>
          <w:rFonts w:eastAsia="MS Mincho"/>
          <w:b/>
          <w:lang w:val="es-CR"/>
        </w:rPr>
        <w:t>PERÚ</w:t>
      </w:r>
    </w:p>
    <w:p w:rsidR="00E2210E" w:rsidRPr="005254A8" w:rsidRDefault="00E2210E" w:rsidP="00FF0A5B">
      <w:pPr>
        <w:jc w:val="center"/>
        <w:rPr>
          <w:rFonts w:eastAsia="Times New Roman" w:cs="Verdana"/>
          <w:b/>
          <w:bCs/>
          <w:caps/>
          <w:snapToGrid w:val="0"/>
          <w:lang w:val="es-CR" w:eastAsia="es-ES"/>
        </w:rPr>
      </w:pPr>
    </w:p>
    <w:p w:rsidR="00E2210E" w:rsidRPr="005254A8" w:rsidRDefault="00E2210E" w:rsidP="00FF0A5B">
      <w:pPr>
        <w:jc w:val="center"/>
        <w:rPr>
          <w:rFonts w:eastAsia="Times New Roman" w:cs="Verdana"/>
          <w:b/>
          <w:bCs/>
          <w:caps/>
          <w:snapToGrid w:val="0"/>
          <w:lang w:val="es-CR" w:eastAsia="es-ES"/>
        </w:rPr>
      </w:pPr>
    </w:p>
    <w:p w:rsidR="00E2210E" w:rsidRPr="005254A8" w:rsidRDefault="00E2210E" w:rsidP="00FF0A5B">
      <w:pPr>
        <w:jc w:val="center"/>
        <w:rPr>
          <w:rFonts w:eastAsia="Times New Roman" w:cs="Verdana"/>
          <w:b/>
          <w:bCs/>
          <w:caps/>
          <w:snapToGrid w:val="0"/>
          <w:lang w:val="es-CR" w:eastAsia="es-ES"/>
        </w:rPr>
      </w:pPr>
      <w:r w:rsidRPr="005254A8">
        <w:rPr>
          <w:rFonts w:eastAsia="Times New Roman" w:cs="Verdana"/>
          <w:b/>
          <w:bCs/>
          <w:caps/>
          <w:snapToGrid w:val="0"/>
          <w:lang w:val="es-CR" w:eastAsia="es-ES"/>
        </w:rPr>
        <w:t xml:space="preserve">Sentencia de </w:t>
      </w:r>
      <w:r w:rsidR="0078731F">
        <w:rPr>
          <w:rFonts w:eastAsia="Times New Roman" w:cs="Verdana"/>
          <w:b/>
          <w:bCs/>
          <w:caps/>
          <w:snapToGrid w:val="0"/>
          <w:lang w:val="es-CR" w:eastAsia="es-ES"/>
        </w:rPr>
        <w:t xml:space="preserve">8 de </w:t>
      </w:r>
      <w:r w:rsidR="00CE235B">
        <w:rPr>
          <w:rFonts w:eastAsia="Times New Roman" w:cs="Verdana"/>
          <w:b/>
          <w:bCs/>
          <w:caps/>
          <w:snapToGrid w:val="0"/>
          <w:lang w:val="es-CR" w:eastAsia="es-ES"/>
        </w:rPr>
        <w:t>Febrero de 2018</w:t>
      </w:r>
    </w:p>
    <w:p w:rsidR="00E2210E" w:rsidRPr="005254A8" w:rsidRDefault="00E2210E" w:rsidP="00FF0A5B">
      <w:pPr>
        <w:jc w:val="center"/>
        <w:rPr>
          <w:rFonts w:eastAsia="Times New Roman" w:cs="Verdana"/>
          <w:b/>
          <w:bCs/>
          <w:caps/>
          <w:snapToGrid w:val="0"/>
          <w:lang w:val="es-CR" w:eastAsia="es-ES"/>
        </w:rPr>
      </w:pPr>
    </w:p>
    <w:p w:rsidR="00AA0B89" w:rsidRDefault="00D16E71" w:rsidP="00FF0A5B">
      <w:pPr>
        <w:jc w:val="center"/>
        <w:rPr>
          <w:rFonts w:eastAsia="Times New Roman" w:cs="Verdana"/>
          <w:b/>
          <w:bCs/>
          <w:i/>
          <w:snapToGrid w:val="0"/>
          <w:lang w:val="es-CR" w:eastAsia="es-ES"/>
        </w:rPr>
      </w:pPr>
      <w:r>
        <w:rPr>
          <w:rFonts w:eastAsia="Times New Roman" w:cs="Verdana"/>
          <w:b/>
          <w:bCs/>
          <w:i/>
          <w:snapToGrid w:val="0"/>
          <w:lang w:val="es-CR" w:eastAsia="es-ES"/>
        </w:rPr>
        <w:t xml:space="preserve">(Interpretación de </w:t>
      </w:r>
      <w:r w:rsidR="00E2210E" w:rsidRPr="005254A8">
        <w:rPr>
          <w:rFonts w:eastAsia="Times New Roman" w:cs="Verdana"/>
          <w:b/>
          <w:bCs/>
          <w:i/>
          <w:snapToGrid w:val="0"/>
          <w:lang w:val="es-CR" w:eastAsia="es-ES"/>
        </w:rPr>
        <w:t>Sentencia de</w:t>
      </w:r>
      <w:r w:rsidR="00AA0B89">
        <w:rPr>
          <w:rFonts w:eastAsia="Times New Roman" w:cs="Verdana"/>
          <w:b/>
          <w:bCs/>
          <w:i/>
          <w:snapToGrid w:val="0"/>
          <w:lang w:val="es-CR" w:eastAsia="es-ES"/>
        </w:rPr>
        <w:t xml:space="preserve"> </w:t>
      </w:r>
      <w:r w:rsidR="00E2210E" w:rsidRPr="005254A8">
        <w:rPr>
          <w:rFonts w:eastAsia="Times New Roman" w:cs="Verdana"/>
          <w:b/>
          <w:bCs/>
          <w:i/>
          <w:snapToGrid w:val="0"/>
          <w:lang w:val="es-CR" w:eastAsia="es-ES"/>
        </w:rPr>
        <w:t xml:space="preserve">Excepciones Preliminares, </w:t>
      </w:r>
    </w:p>
    <w:p w:rsidR="00E2210E" w:rsidRPr="005254A8" w:rsidRDefault="00E2210E" w:rsidP="00FF0A5B">
      <w:pPr>
        <w:jc w:val="center"/>
        <w:rPr>
          <w:rFonts w:eastAsia="Times New Roman" w:cs="Verdana"/>
          <w:b/>
          <w:bCs/>
          <w:i/>
          <w:snapToGrid w:val="0"/>
          <w:lang w:val="es-CR" w:eastAsia="es-ES"/>
        </w:rPr>
      </w:pPr>
      <w:r w:rsidRPr="005254A8">
        <w:rPr>
          <w:rFonts w:eastAsia="Times New Roman" w:cs="Verdana"/>
          <w:b/>
          <w:bCs/>
          <w:i/>
          <w:snapToGrid w:val="0"/>
          <w:lang w:val="es-CR" w:eastAsia="es-ES"/>
        </w:rPr>
        <w:t>Fondo, Reparaciones y Costas</w:t>
      </w:r>
      <w:r w:rsidRPr="005254A8">
        <w:rPr>
          <w:rFonts w:eastAsia="Times New Roman" w:cs="Verdana"/>
          <w:b/>
          <w:bCs/>
          <w:i/>
          <w:caps/>
          <w:snapToGrid w:val="0"/>
          <w:lang w:val="es-CR" w:eastAsia="es-ES"/>
        </w:rPr>
        <w:t>)</w:t>
      </w:r>
    </w:p>
    <w:p w:rsidR="00E2210E" w:rsidRDefault="00E2210E" w:rsidP="00FF0A5B">
      <w:pPr>
        <w:jc w:val="both"/>
        <w:rPr>
          <w:lang w:val="es-CR"/>
        </w:rPr>
      </w:pPr>
    </w:p>
    <w:p w:rsidR="00A607FF" w:rsidRPr="005254A8" w:rsidRDefault="00A607FF" w:rsidP="00FF0A5B">
      <w:pPr>
        <w:jc w:val="both"/>
        <w:rPr>
          <w:lang w:val="es-CR"/>
        </w:rPr>
      </w:pPr>
    </w:p>
    <w:p w:rsidR="00E2210E" w:rsidRPr="005254A8" w:rsidRDefault="00E2210E" w:rsidP="00FF0A5B">
      <w:pPr>
        <w:jc w:val="both"/>
        <w:rPr>
          <w:lang w:val="es-CR"/>
        </w:rPr>
      </w:pPr>
    </w:p>
    <w:p w:rsidR="00E2210E" w:rsidRPr="005254A8" w:rsidRDefault="00E2210E" w:rsidP="00FF0A5B">
      <w:pPr>
        <w:rPr>
          <w:lang w:val="es-CR"/>
        </w:rPr>
      </w:pPr>
      <w:r w:rsidRPr="005254A8">
        <w:rPr>
          <w:lang w:val="es-CR"/>
        </w:rPr>
        <w:t>En el caso</w:t>
      </w:r>
      <w:r w:rsidR="00692409">
        <w:rPr>
          <w:lang w:val="es-CR"/>
        </w:rPr>
        <w:t xml:space="preserve"> </w:t>
      </w:r>
      <w:r w:rsidR="00AF2061">
        <w:rPr>
          <w:i/>
          <w:lang w:val="es-CR"/>
        </w:rPr>
        <w:t>Zegarra Marín</w:t>
      </w:r>
      <w:r w:rsidR="00692409">
        <w:rPr>
          <w:i/>
          <w:lang w:val="es-CR"/>
        </w:rPr>
        <w:t xml:space="preserve"> Vs. </w:t>
      </w:r>
      <w:r w:rsidR="00AF2061">
        <w:rPr>
          <w:i/>
          <w:lang w:val="es-CR"/>
        </w:rPr>
        <w:t>Perú</w:t>
      </w:r>
      <w:r w:rsidR="00692409">
        <w:rPr>
          <w:i/>
          <w:lang w:val="es-CR"/>
        </w:rPr>
        <w:t xml:space="preserve">, </w:t>
      </w:r>
      <w:r w:rsidRPr="005254A8">
        <w:rPr>
          <w:lang w:val="es-CR"/>
        </w:rPr>
        <w:t xml:space="preserve"> </w:t>
      </w:r>
    </w:p>
    <w:p w:rsidR="00E2210E" w:rsidRPr="005254A8" w:rsidRDefault="00E2210E" w:rsidP="00FF0A5B">
      <w:pPr>
        <w:rPr>
          <w:lang w:val="es-CR"/>
        </w:rPr>
      </w:pPr>
    </w:p>
    <w:p w:rsidR="00A044D9" w:rsidRDefault="00A044D9" w:rsidP="00FF0A5B">
      <w:pPr>
        <w:rPr>
          <w:lang w:val="es-CR"/>
        </w:rPr>
      </w:pPr>
      <w:proofErr w:type="gramStart"/>
      <w:r>
        <w:rPr>
          <w:lang w:val="es-CR"/>
        </w:rPr>
        <w:t>la</w:t>
      </w:r>
      <w:proofErr w:type="gramEnd"/>
      <w:r>
        <w:rPr>
          <w:lang w:val="es-CR"/>
        </w:rPr>
        <w:t xml:space="preserve"> Corte Interamericana de Derechos Humanos (en adelante “la Corte Interamericana”, “la Corte” </w:t>
      </w:r>
      <w:r>
        <w:rPr>
          <w:rFonts w:cs="Verdana"/>
          <w:lang w:val="es-CR"/>
        </w:rPr>
        <w:t>o “el Tribunal”</w:t>
      </w:r>
      <w:r>
        <w:rPr>
          <w:lang w:val="es-CR"/>
        </w:rPr>
        <w:t>), integrada por los siguientes Jueces</w:t>
      </w:r>
      <w:r>
        <w:rPr>
          <w:rStyle w:val="Refdenotaalpie"/>
          <w:lang w:val="es-CR"/>
        </w:rPr>
        <w:footnoteReference w:customMarkFollows="1" w:id="1"/>
        <w:sym w:font="Symbol" w:char="F02A"/>
      </w:r>
      <w:r>
        <w:rPr>
          <w:lang w:val="es-CR"/>
        </w:rPr>
        <w:t>:</w:t>
      </w:r>
    </w:p>
    <w:p w:rsidR="00A044D9" w:rsidRDefault="00A044D9" w:rsidP="00FF0A5B">
      <w:pPr>
        <w:rPr>
          <w:lang w:val="es-CR"/>
        </w:rPr>
      </w:pPr>
    </w:p>
    <w:p w:rsidR="00A044D9" w:rsidRPr="006254E1" w:rsidRDefault="00C93D99" w:rsidP="00FF0A5B">
      <w:pPr>
        <w:tabs>
          <w:tab w:val="left" w:pos="567"/>
          <w:tab w:val="left" w:pos="720"/>
        </w:tabs>
        <w:rPr>
          <w:rFonts w:eastAsia="Times New Roman" w:cs="Verdana"/>
          <w:lang w:val="es-CR"/>
        </w:rPr>
      </w:pPr>
      <w:r w:rsidRPr="006254E1">
        <w:rPr>
          <w:rFonts w:eastAsia="Times New Roman" w:cs="Verdana"/>
          <w:lang w:val="es-CR"/>
        </w:rPr>
        <w:t xml:space="preserve">Eduardo Ferrer Mac-Gregor Poisot, </w:t>
      </w:r>
      <w:r w:rsidR="0078731F">
        <w:rPr>
          <w:rFonts w:eastAsia="Times New Roman" w:cs="Verdana"/>
          <w:lang w:val="es-CR"/>
        </w:rPr>
        <w:t>Presidente</w:t>
      </w:r>
      <w:r w:rsidR="00A044D9" w:rsidRPr="006254E1">
        <w:rPr>
          <w:rFonts w:eastAsia="Times New Roman" w:cs="Verdana"/>
          <w:lang w:val="es-CR"/>
        </w:rPr>
        <w:t>;</w:t>
      </w:r>
    </w:p>
    <w:p w:rsidR="00AF2061" w:rsidRPr="006254E1" w:rsidRDefault="00A95B12" w:rsidP="00FF0A5B">
      <w:pPr>
        <w:tabs>
          <w:tab w:val="left" w:pos="567"/>
          <w:tab w:val="left" w:pos="720"/>
        </w:tabs>
        <w:rPr>
          <w:rFonts w:eastAsia="Times New Roman" w:cs="Verdana"/>
          <w:lang w:val="es-CR"/>
        </w:rPr>
      </w:pPr>
      <w:r w:rsidRPr="006254E1">
        <w:rPr>
          <w:rFonts w:eastAsia="Times New Roman" w:cs="Verdana"/>
          <w:lang w:val="es-CR"/>
        </w:rPr>
        <w:t>Eduardo Vio Gross</w:t>
      </w:r>
      <w:r w:rsidR="0078731F">
        <w:rPr>
          <w:rFonts w:eastAsia="Times New Roman" w:cs="Verdana"/>
          <w:lang w:val="es-CR"/>
        </w:rPr>
        <w:t>i, Vicepresidente</w:t>
      </w:r>
      <w:r w:rsidR="00AF2061" w:rsidRPr="006254E1">
        <w:rPr>
          <w:rFonts w:eastAsia="Times New Roman" w:cs="Verdana"/>
          <w:lang w:val="es-CR"/>
        </w:rPr>
        <w:t>;</w:t>
      </w:r>
    </w:p>
    <w:p w:rsidR="003F7CE9" w:rsidRPr="006254E1" w:rsidRDefault="0078731F" w:rsidP="003F7CE9">
      <w:pPr>
        <w:tabs>
          <w:tab w:val="left" w:pos="567"/>
          <w:tab w:val="left" w:pos="720"/>
        </w:tabs>
        <w:rPr>
          <w:rFonts w:eastAsia="Times New Roman" w:cs="Verdana"/>
          <w:lang w:val="es-CR"/>
        </w:rPr>
      </w:pPr>
      <w:r>
        <w:rPr>
          <w:rFonts w:eastAsia="Times New Roman" w:cs="Verdana"/>
          <w:lang w:val="es-CR"/>
        </w:rPr>
        <w:t>Roberto F. Caldas</w:t>
      </w:r>
      <w:r w:rsidR="003F7CE9" w:rsidRPr="006254E1">
        <w:rPr>
          <w:rFonts w:eastAsia="Times New Roman" w:cs="Verdana"/>
          <w:lang w:val="es-CR"/>
        </w:rPr>
        <w:t>;</w:t>
      </w:r>
    </w:p>
    <w:p w:rsidR="00AF2061" w:rsidRPr="006254E1" w:rsidRDefault="00AF2061" w:rsidP="00FF0A5B">
      <w:pPr>
        <w:tabs>
          <w:tab w:val="left" w:pos="567"/>
          <w:tab w:val="left" w:pos="720"/>
        </w:tabs>
        <w:rPr>
          <w:rFonts w:eastAsia="Times New Roman" w:cs="Verdana"/>
          <w:lang w:val="es-CR"/>
        </w:rPr>
      </w:pPr>
      <w:r w:rsidRPr="006254E1">
        <w:rPr>
          <w:rFonts w:eastAsia="Times New Roman" w:cs="Verdana"/>
          <w:lang w:val="es-CR"/>
        </w:rPr>
        <w:t>Humberto Antonio Sierra Porto, Juez;</w:t>
      </w:r>
    </w:p>
    <w:p w:rsidR="00AF2061" w:rsidRPr="00E775E4" w:rsidRDefault="00AF2061" w:rsidP="00FF0A5B">
      <w:pPr>
        <w:tabs>
          <w:tab w:val="left" w:pos="567"/>
          <w:tab w:val="left" w:pos="720"/>
        </w:tabs>
        <w:rPr>
          <w:rFonts w:eastAsia="Times New Roman" w:cs="Verdana"/>
          <w:lang w:val="es-CR"/>
        </w:rPr>
      </w:pPr>
      <w:r w:rsidRPr="00E775E4">
        <w:rPr>
          <w:rFonts w:eastAsia="Times New Roman" w:cs="Verdana"/>
          <w:lang w:val="es-CR"/>
        </w:rPr>
        <w:t>Elizabeth Odio Benito, Jueza;</w:t>
      </w:r>
    </w:p>
    <w:p w:rsidR="00E2210E" w:rsidRPr="00E775E4" w:rsidRDefault="00182158" w:rsidP="00FF0A5B">
      <w:pPr>
        <w:tabs>
          <w:tab w:val="left" w:pos="567"/>
          <w:tab w:val="left" w:pos="720"/>
        </w:tabs>
        <w:rPr>
          <w:rFonts w:eastAsia="Times New Roman" w:cs="Verdana"/>
          <w:lang w:val="es-CR"/>
        </w:rPr>
      </w:pPr>
      <w:r w:rsidRPr="00E775E4">
        <w:rPr>
          <w:rFonts w:eastAsia="Times New Roman" w:cs="Verdana"/>
          <w:lang w:val="es-CR"/>
        </w:rPr>
        <w:t>Eugenio Raúl Zaffaroni, Juez</w:t>
      </w:r>
      <w:r w:rsidR="00AF2061" w:rsidRPr="00E775E4">
        <w:rPr>
          <w:rFonts w:eastAsia="Times New Roman" w:cs="Verdana"/>
          <w:lang w:val="es-CR"/>
        </w:rPr>
        <w:t>, y</w:t>
      </w:r>
    </w:p>
    <w:p w:rsidR="00AF2061" w:rsidRDefault="00AF2061" w:rsidP="00FF0A5B">
      <w:pPr>
        <w:tabs>
          <w:tab w:val="left" w:pos="567"/>
          <w:tab w:val="left" w:pos="720"/>
        </w:tabs>
        <w:rPr>
          <w:rFonts w:eastAsia="Times New Roman" w:cs="Verdana"/>
          <w:lang w:val="es-CR"/>
        </w:rPr>
      </w:pPr>
      <w:r w:rsidRPr="00E775E4">
        <w:rPr>
          <w:rFonts w:eastAsia="Times New Roman" w:cs="Verdana"/>
          <w:lang w:val="es-CR"/>
        </w:rPr>
        <w:t>Patricio Pazmiño Freire, Juez;</w:t>
      </w:r>
      <w:r>
        <w:rPr>
          <w:rFonts w:eastAsia="Times New Roman" w:cs="Verdana"/>
          <w:lang w:val="es-CR"/>
        </w:rPr>
        <w:t xml:space="preserve"> </w:t>
      </w:r>
    </w:p>
    <w:p w:rsidR="00182158" w:rsidRPr="005254A8" w:rsidRDefault="00182158" w:rsidP="00FF0A5B">
      <w:pPr>
        <w:tabs>
          <w:tab w:val="left" w:pos="567"/>
          <w:tab w:val="left" w:pos="720"/>
        </w:tabs>
        <w:rPr>
          <w:lang w:val="es-CR"/>
        </w:rPr>
      </w:pPr>
    </w:p>
    <w:p w:rsidR="00E2210E" w:rsidRPr="005254A8" w:rsidRDefault="00E2210E" w:rsidP="00FF0A5B">
      <w:pPr>
        <w:tabs>
          <w:tab w:val="left" w:pos="720"/>
        </w:tabs>
        <w:rPr>
          <w:lang w:val="es-CR"/>
        </w:rPr>
      </w:pPr>
      <w:proofErr w:type="gramStart"/>
      <w:r w:rsidRPr="005254A8">
        <w:rPr>
          <w:lang w:val="es-CR"/>
        </w:rPr>
        <w:t>presentes</w:t>
      </w:r>
      <w:proofErr w:type="gramEnd"/>
      <w:r w:rsidRPr="005254A8">
        <w:rPr>
          <w:lang w:val="es-CR"/>
        </w:rPr>
        <w:t>, además,</w:t>
      </w:r>
    </w:p>
    <w:p w:rsidR="00E2210E" w:rsidRPr="005254A8" w:rsidRDefault="00E2210E" w:rsidP="00FF0A5B">
      <w:pPr>
        <w:tabs>
          <w:tab w:val="left" w:pos="720"/>
        </w:tabs>
        <w:rPr>
          <w:lang w:val="es-CR"/>
        </w:rPr>
      </w:pPr>
    </w:p>
    <w:p w:rsidR="00E2210E" w:rsidRPr="005254A8" w:rsidRDefault="00E2210E" w:rsidP="00FF0A5B">
      <w:pPr>
        <w:tabs>
          <w:tab w:val="left" w:pos="720"/>
        </w:tabs>
        <w:rPr>
          <w:lang w:val="es-CR"/>
        </w:rPr>
      </w:pPr>
      <w:r w:rsidRPr="005254A8">
        <w:rPr>
          <w:lang w:val="es-CR"/>
        </w:rPr>
        <w:t xml:space="preserve">Pablo Saavedra Alessandri, Secretario, y </w:t>
      </w:r>
    </w:p>
    <w:p w:rsidR="00E2210E" w:rsidRPr="005254A8" w:rsidRDefault="00E2210E" w:rsidP="00FF0A5B">
      <w:pPr>
        <w:tabs>
          <w:tab w:val="left" w:pos="720"/>
        </w:tabs>
        <w:rPr>
          <w:lang w:val="es-CR"/>
        </w:rPr>
      </w:pPr>
      <w:r w:rsidRPr="005254A8">
        <w:rPr>
          <w:lang w:val="es-CR" w:eastAsia="es-MX"/>
        </w:rPr>
        <w:t>Emilia Segares Rodríguez, Secretaria Adjunta,</w:t>
      </w:r>
    </w:p>
    <w:p w:rsidR="00E2210E" w:rsidRPr="005254A8" w:rsidRDefault="00E2210E" w:rsidP="00FF0A5B">
      <w:pPr>
        <w:jc w:val="both"/>
        <w:rPr>
          <w:lang w:val="es-CR"/>
        </w:rPr>
      </w:pPr>
    </w:p>
    <w:p w:rsidR="00953CBF" w:rsidRDefault="00E2210E" w:rsidP="00FF0A5B">
      <w:pPr>
        <w:autoSpaceDE w:val="0"/>
        <w:autoSpaceDN w:val="0"/>
        <w:adjustRightInd w:val="0"/>
        <w:jc w:val="both"/>
        <w:rPr>
          <w:rFonts w:eastAsia="Calibri" w:cs="Verdana"/>
          <w:lang w:val="es-CR"/>
        </w:rPr>
      </w:pPr>
      <w:r w:rsidRPr="005254A8">
        <w:rPr>
          <w:rFonts w:eastAsia="Calibri" w:cs="Verdana"/>
          <w:lang w:val="es-CR"/>
        </w:rPr>
        <w:t>de conformidad con el artículo 67 de la Convención Americana sobre Derechos Humanos (en adelante también “la Convención Americana” o “la Convención”) y el artículo 68 del Reglamento de la Corte (en adelante “el Reglamento”), resuelve la solicitud</w:t>
      </w:r>
      <w:r w:rsidR="00D21DA1">
        <w:rPr>
          <w:rFonts w:eastAsia="Calibri" w:cs="Verdana"/>
          <w:lang w:val="es-CR"/>
        </w:rPr>
        <w:t xml:space="preserve"> </w:t>
      </w:r>
      <w:r w:rsidRPr="005254A8">
        <w:rPr>
          <w:rFonts w:eastAsia="Calibri" w:cs="Verdana"/>
          <w:lang w:val="es-CR"/>
        </w:rPr>
        <w:t>de interpretación de la Sentencia de excepciones preliminares, fondo, reparaciones y costas</w:t>
      </w:r>
      <w:r w:rsidR="001B27F7">
        <w:rPr>
          <w:rFonts w:eastAsia="Calibri" w:cs="Verdana"/>
          <w:lang w:val="es-CR"/>
        </w:rPr>
        <w:t xml:space="preserve"> emitida por este Tribunal el </w:t>
      </w:r>
      <w:r w:rsidR="00993C61">
        <w:rPr>
          <w:rFonts w:eastAsia="Calibri" w:cs="Verdana"/>
          <w:lang w:val="es-CR"/>
        </w:rPr>
        <w:t>15</w:t>
      </w:r>
      <w:r w:rsidRPr="005254A8">
        <w:rPr>
          <w:rFonts w:eastAsia="Calibri" w:cs="Verdana"/>
          <w:lang w:val="es-CR"/>
        </w:rPr>
        <w:t xml:space="preserve"> de </w:t>
      </w:r>
      <w:r w:rsidR="00993C61">
        <w:rPr>
          <w:rFonts w:eastAsia="Calibri" w:cs="Verdana"/>
          <w:lang w:val="es-CR"/>
        </w:rPr>
        <w:t>febrero</w:t>
      </w:r>
      <w:r w:rsidR="00692409">
        <w:rPr>
          <w:rFonts w:eastAsia="Calibri" w:cs="Verdana"/>
          <w:lang w:val="es-CR"/>
        </w:rPr>
        <w:t xml:space="preserve"> de 201</w:t>
      </w:r>
      <w:r w:rsidR="00993C61">
        <w:rPr>
          <w:rFonts w:eastAsia="Calibri" w:cs="Verdana"/>
          <w:lang w:val="es-CR"/>
        </w:rPr>
        <w:t>7</w:t>
      </w:r>
      <w:r w:rsidRPr="005254A8">
        <w:rPr>
          <w:rFonts w:eastAsia="Calibri" w:cs="Verdana"/>
          <w:lang w:val="es-CR"/>
        </w:rPr>
        <w:t xml:space="preserve"> en el presente caso (en adelante también “l</w:t>
      </w:r>
      <w:r w:rsidR="001B27F7">
        <w:rPr>
          <w:rFonts w:eastAsia="Calibri" w:cs="Verdana"/>
          <w:lang w:val="es-CR"/>
        </w:rPr>
        <w:t>a Sentencia”</w:t>
      </w:r>
      <w:r w:rsidR="002D6FB8">
        <w:rPr>
          <w:rFonts w:eastAsia="Calibri" w:cs="Verdana"/>
          <w:lang w:val="es-CR"/>
        </w:rPr>
        <w:t xml:space="preserve"> o “el Fallo”</w:t>
      </w:r>
      <w:r w:rsidR="001B27F7">
        <w:rPr>
          <w:rFonts w:eastAsia="Calibri" w:cs="Verdana"/>
          <w:lang w:val="es-CR"/>
        </w:rPr>
        <w:t xml:space="preserve">), interpuesta el </w:t>
      </w:r>
      <w:r w:rsidR="00D21DA1">
        <w:rPr>
          <w:rFonts w:eastAsia="Calibri" w:cs="Verdana"/>
          <w:lang w:val="es-CR"/>
        </w:rPr>
        <w:t>8</w:t>
      </w:r>
      <w:r w:rsidRPr="004E7D90">
        <w:rPr>
          <w:rFonts w:eastAsia="Calibri" w:cs="Verdana"/>
          <w:lang w:val="es-CR"/>
        </w:rPr>
        <w:t xml:space="preserve"> de </w:t>
      </w:r>
      <w:r w:rsidR="00FF22DA">
        <w:rPr>
          <w:rFonts w:eastAsia="Calibri" w:cs="Verdana"/>
          <w:lang w:val="es-CR"/>
        </w:rPr>
        <w:t>a</w:t>
      </w:r>
      <w:r w:rsidR="00D21DA1">
        <w:rPr>
          <w:rFonts w:eastAsia="Calibri" w:cs="Verdana"/>
          <w:lang w:val="es-CR"/>
        </w:rPr>
        <w:t>gosto</w:t>
      </w:r>
      <w:r w:rsidR="001B27F7" w:rsidRPr="004E7D90">
        <w:rPr>
          <w:rFonts w:eastAsia="Calibri" w:cs="Verdana"/>
          <w:lang w:val="es-CR"/>
        </w:rPr>
        <w:t xml:space="preserve"> de 201</w:t>
      </w:r>
      <w:r w:rsidR="00B12C18" w:rsidRPr="004E7D90">
        <w:rPr>
          <w:rFonts w:eastAsia="Calibri" w:cs="Verdana"/>
          <w:lang w:val="es-CR"/>
        </w:rPr>
        <w:t>7</w:t>
      </w:r>
      <w:r w:rsidR="001B27F7" w:rsidRPr="004E7D90">
        <w:rPr>
          <w:rFonts w:eastAsia="Calibri" w:cs="Verdana"/>
          <w:lang w:val="es-CR"/>
        </w:rPr>
        <w:t xml:space="preserve"> </w:t>
      </w:r>
      <w:r w:rsidR="00F61678">
        <w:rPr>
          <w:rFonts w:eastAsia="Calibri" w:cs="Verdana"/>
          <w:lang w:val="es-CR"/>
        </w:rPr>
        <w:t>por la República</w:t>
      </w:r>
      <w:r w:rsidRPr="004E7D90">
        <w:rPr>
          <w:lang w:val="es-CR"/>
        </w:rPr>
        <w:t xml:space="preserve"> del </w:t>
      </w:r>
      <w:r w:rsidR="00D21DA1">
        <w:rPr>
          <w:lang w:val="es-CR"/>
        </w:rPr>
        <w:t>Perú</w:t>
      </w:r>
      <w:r w:rsidRPr="004E7D90">
        <w:rPr>
          <w:lang w:val="es-CR"/>
        </w:rPr>
        <w:t xml:space="preserve"> </w:t>
      </w:r>
      <w:r w:rsidRPr="004E7D90">
        <w:rPr>
          <w:bCs/>
          <w:lang w:val="es-CR"/>
        </w:rPr>
        <w:t xml:space="preserve">(en adelante </w:t>
      </w:r>
      <w:r w:rsidR="00F61678">
        <w:rPr>
          <w:lang w:val="es-CR"/>
        </w:rPr>
        <w:t>“</w:t>
      </w:r>
      <w:r w:rsidRPr="004E7D90">
        <w:rPr>
          <w:bCs/>
          <w:lang w:val="es-CR"/>
        </w:rPr>
        <w:t>el Estado” o “</w:t>
      </w:r>
      <w:r w:rsidR="00D21DA1">
        <w:rPr>
          <w:bCs/>
          <w:lang w:val="es-CR"/>
        </w:rPr>
        <w:t>Perú</w:t>
      </w:r>
      <w:r w:rsidRPr="004E7D90">
        <w:rPr>
          <w:bCs/>
          <w:lang w:val="es-CR"/>
        </w:rPr>
        <w:t>”)</w:t>
      </w:r>
      <w:r w:rsidRPr="004E7D90">
        <w:rPr>
          <w:rFonts w:eastAsia="Calibri" w:cs="Verdana"/>
          <w:lang w:val="es-CR"/>
        </w:rPr>
        <w:t>.</w:t>
      </w:r>
      <w:r w:rsidRPr="005254A8">
        <w:rPr>
          <w:rFonts w:eastAsia="Calibri" w:cs="Verdana"/>
          <w:lang w:val="es-CR"/>
        </w:rPr>
        <w:t xml:space="preserve"> </w:t>
      </w:r>
    </w:p>
    <w:p w:rsidR="00A57E67" w:rsidRDefault="00A57E67" w:rsidP="00FF0A5B">
      <w:pPr>
        <w:autoSpaceDE w:val="0"/>
        <w:autoSpaceDN w:val="0"/>
        <w:adjustRightInd w:val="0"/>
        <w:jc w:val="both"/>
        <w:rPr>
          <w:rFonts w:eastAsia="Calibri" w:cs="Verdana"/>
          <w:lang w:val="es-CR"/>
        </w:rPr>
      </w:pPr>
    </w:p>
    <w:p w:rsidR="00796881" w:rsidRDefault="00796881" w:rsidP="00FF0A5B">
      <w:pPr>
        <w:pStyle w:val="Ttulo1"/>
        <w:rPr>
          <w:rFonts w:eastAsia="Calibri"/>
          <w:bCs w:val="0"/>
          <w:iCs w:val="0"/>
          <w:caps w:val="0"/>
          <w:snapToGrid/>
          <w:lang w:eastAsia="en-US"/>
        </w:rPr>
      </w:pPr>
    </w:p>
    <w:p w:rsidR="00E2210E" w:rsidRPr="005254A8" w:rsidRDefault="00E2210E" w:rsidP="00FF0A5B">
      <w:pPr>
        <w:pStyle w:val="Ttulo1"/>
      </w:pPr>
      <w:r w:rsidRPr="005254A8">
        <w:t>I</w:t>
      </w:r>
      <w:r w:rsidRPr="005254A8">
        <w:rPr>
          <w:b w:val="0"/>
          <w:bCs w:val="0"/>
          <w:caps w:val="0"/>
          <w:kern w:val="32"/>
        </w:rPr>
        <w:br/>
      </w:r>
      <w:r w:rsidRPr="005254A8">
        <w:rPr>
          <w:rFonts w:eastAsia="Calibri"/>
        </w:rPr>
        <w:t>SOLICITUD DE INTERPRETACIÓN</w:t>
      </w:r>
      <w:r w:rsidRPr="005254A8">
        <w:rPr>
          <w:b w:val="0"/>
          <w:bCs w:val="0"/>
          <w:caps w:val="0"/>
          <w:kern w:val="32"/>
        </w:rPr>
        <w:br/>
      </w:r>
      <w:r w:rsidRPr="005254A8">
        <w:rPr>
          <w:rFonts w:eastAsia="Calibri"/>
        </w:rPr>
        <w:t>Y PROCEDIMIENTO ANTE LA CORTE</w:t>
      </w:r>
    </w:p>
    <w:p w:rsidR="00E2210E" w:rsidRPr="005254A8" w:rsidRDefault="00E2210E" w:rsidP="00FF0A5B">
      <w:pPr>
        <w:jc w:val="both"/>
        <w:rPr>
          <w:lang w:val="es-CR"/>
        </w:rPr>
      </w:pPr>
    </w:p>
    <w:p w:rsidR="00F854DD" w:rsidRPr="00F854DD" w:rsidRDefault="001B27F7" w:rsidP="00FF0A5B">
      <w:pPr>
        <w:numPr>
          <w:ilvl w:val="0"/>
          <w:numId w:val="1"/>
        </w:numPr>
        <w:tabs>
          <w:tab w:val="num" w:pos="720"/>
        </w:tabs>
        <w:autoSpaceDE w:val="0"/>
        <w:autoSpaceDN w:val="0"/>
        <w:adjustRightInd w:val="0"/>
        <w:ind w:left="0"/>
        <w:jc w:val="both"/>
        <w:rPr>
          <w:rFonts w:eastAsia="Calibri" w:cs="Verdana"/>
          <w:lang w:val="es-CR"/>
        </w:rPr>
      </w:pPr>
      <w:r>
        <w:rPr>
          <w:rFonts w:eastAsia="Calibri" w:cs="Verdana"/>
          <w:lang w:val="es-CR"/>
        </w:rPr>
        <w:t xml:space="preserve">El </w:t>
      </w:r>
      <w:r w:rsidR="00F835AC">
        <w:rPr>
          <w:rFonts w:eastAsia="Calibri" w:cs="Verdana"/>
          <w:lang w:val="es-CR"/>
        </w:rPr>
        <w:t>15</w:t>
      </w:r>
      <w:r w:rsidR="000D1D56">
        <w:rPr>
          <w:rFonts w:eastAsia="Calibri" w:cs="Verdana"/>
          <w:lang w:val="es-CR"/>
        </w:rPr>
        <w:t xml:space="preserve"> de </w:t>
      </w:r>
      <w:r w:rsidR="00F835AC">
        <w:rPr>
          <w:rFonts w:eastAsia="Calibri" w:cs="Verdana"/>
          <w:lang w:val="es-CR"/>
        </w:rPr>
        <w:t>febrero de 2017</w:t>
      </w:r>
      <w:r w:rsidR="00E2210E" w:rsidRPr="005254A8">
        <w:rPr>
          <w:rFonts w:eastAsia="Calibri" w:cs="Verdana"/>
          <w:lang w:val="es-CR"/>
        </w:rPr>
        <w:t xml:space="preserve"> </w:t>
      </w:r>
      <w:r w:rsidR="00E2210E" w:rsidRPr="005254A8">
        <w:rPr>
          <w:lang w:val="es-CR"/>
        </w:rPr>
        <w:t>la Corte emitió la Sentencia</w:t>
      </w:r>
      <w:r w:rsidR="00AA4F29">
        <w:rPr>
          <w:lang w:val="es-CR"/>
        </w:rPr>
        <w:t xml:space="preserve"> de</w:t>
      </w:r>
      <w:r w:rsidR="005F36A8">
        <w:rPr>
          <w:lang w:val="es-CR"/>
        </w:rPr>
        <w:t xml:space="preserve"> </w:t>
      </w:r>
      <w:r w:rsidR="003104C4">
        <w:rPr>
          <w:lang w:val="es-CR"/>
        </w:rPr>
        <w:t>e</w:t>
      </w:r>
      <w:r w:rsidR="005F36A8">
        <w:rPr>
          <w:lang w:val="es-CR"/>
        </w:rPr>
        <w:t xml:space="preserve">xcepciones </w:t>
      </w:r>
      <w:r w:rsidR="003104C4">
        <w:rPr>
          <w:lang w:val="es-CR"/>
        </w:rPr>
        <w:t>pre</w:t>
      </w:r>
      <w:r w:rsidR="005F36A8">
        <w:rPr>
          <w:lang w:val="es-CR"/>
        </w:rPr>
        <w:t xml:space="preserve">liminares, </w:t>
      </w:r>
      <w:r w:rsidR="003104C4">
        <w:rPr>
          <w:lang w:val="es-CR"/>
        </w:rPr>
        <w:t>f</w:t>
      </w:r>
      <w:r w:rsidR="005F36A8">
        <w:rPr>
          <w:lang w:val="es-CR"/>
        </w:rPr>
        <w:t xml:space="preserve">ondo, </w:t>
      </w:r>
      <w:r w:rsidR="003104C4">
        <w:rPr>
          <w:lang w:val="es-CR"/>
        </w:rPr>
        <w:t>r</w:t>
      </w:r>
      <w:r w:rsidR="005F36A8">
        <w:rPr>
          <w:lang w:val="es-CR"/>
        </w:rPr>
        <w:t xml:space="preserve">eparaciones y </w:t>
      </w:r>
      <w:r w:rsidR="003104C4">
        <w:rPr>
          <w:lang w:val="es-CR"/>
        </w:rPr>
        <w:t>c</w:t>
      </w:r>
      <w:r w:rsidR="005F36A8">
        <w:rPr>
          <w:lang w:val="es-CR"/>
        </w:rPr>
        <w:t>os</w:t>
      </w:r>
      <w:r w:rsidR="00217F39">
        <w:rPr>
          <w:lang w:val="es-CR"/>
        </w:rPr>
        <w:t xml:space="preserve">tas en el caso </w:t>
      </w:r>
      <w:r w:rsidR="00F835AC">
        <w:rPr>
          <w:i/>
          <w:spacing w:val="-2"/>
        </w:rPr>
        <w:t>Zegarra Marín</w:t>
      </w:r>
      <w:r w:rsidR="000D1D56">
        <w:rPr>
          <w:i/>
          <w:spacing w:val="-2"/>
        </w:rPr>
        <w:t xml:space="preserve"> Vs. </w:t>
      </w:r>
      <w:r w:rsidR="00F835AC">
        <w:rPr>
          <w:i/>
          <w:spacing w:val="-2"/>
        </w:rPr>
        <w:t>Perú</w:t>
      </w:r>
      <w:r w:rsidR="00E2210E" w:rsidRPr="005254A8">
        <w:rPr>
          <w:lang w:val="es-CR"/>
        </w:rPr>
        <w:t xml:space="preserve">, la </w:t>
      </w:r>
      <w:r w:rsidR="000D1D56">
        <w:rPr>
          <w:lang w:val="es-CR"/>
        </w:rPr>
        <w:t xml:space="preserve">cual fue notificada </w:t>
      </w:r>
      <w:r w:rsidR="00880F18">
        <w:rPr>
          <w:lang w:val="es-CR"/>
        </w:rPr>
        <w:t>a l</w:t>
      </w:r>
      <w:r w:rsidR="002E43EB">
        <w:rPr>
          <w:lang w:val="es-CR"/>
        </w:rPr>
        <w:t>o</w:t>
      </w:r>
      <w:r w:rsidR="00821F66">
        <w:rPr>
          <w:lang w:val="es-CR"/>
        </w:rPr>
        <w:t xml:space="preserve">s </w:t>
      </w:r>
      <w:r w:rsidR="00F835AC">
        <w:rPr>
          <w:lang w:val="es-CR"/>
        </w:rPr>
        <w:t>defensores públicos interamericanos (</w:t>
      </w:r>
      <w:r w:rsidR="00F835AC" w:rsidRPr="00F835AC">
        <w:rPr>
          <w:lang w:val="es-CR"/>
        </w:rPr>
        <w:t>en adelante</w:t>
      </w:r>
      <w:r w:rsidR="00F835AC">
        <w:rPr>
          <w:lang w:val="es-CR"/>
        </w:rPr>
        <w:t xml:space="preserve"> “los defensores” o “los representantes”)</w:t>
      </w:r>
      <w:r w:rsidR="00880F18" w:rsidRPr="00E452FA">
        <w:rPr>
          <w:lang w:val="es-CR"/>
        </w:rPr>
        <w:t xml:space="preserve">, al Estado, </w:t>
      </w:r>
      <w:r w:rsidR="00E2210E" w:rsidRPr="00E452FA">
        <w:rPr>
          <w:lang w:val="es-CR"/>
        </w:rPr>
        <w:t>y a la Comisión</w:t>
      </w:r>
      <w:r w:rsidR="009F40BF" w:rsidRPr="00E452FA">
        <w:rPr>
          <w:lang w:val="es-CR"/>
        </w:rPr>
        <w:t xml:space="preserve"> Interamericana de Derechos Humanos (en adelante “la Comisión Interamericana” o “la Comisión”</w:t>
      </w:r>
      <w:r w:rsidR="00FC4F8E" w:rsidRPr="00E452FA">
        <w:rPr>
          <w:lang w:val="es-CR"/>
        </w:rPr>
        <w:t>)</w:t>
      </w:r>
      <w:r w:rsidR="00390CB8" w:rsidRPr="00E452FA">
        <w:rPr>
          <w:lang w:val="es-CR"/>
        </w:rPr>
        <w:t xml:space="preserve"> </w:t>
      </w:r>
      <w:r w:rsidR="00F835AC" w:rsidRPr="00E452FA">
        <w:rPr>
          <w:lang w:val="es-CR"/>
        </w:rPr>
        <w:t xml:space="preserve">el </w:t>
      </w:r>
      <w:r w:rsidR="00EF1538" w:rsidRPr="00E452FA">
        <w:rPr>
          <w:lang w:val="es-CR"/>
        </w:rPr>
        <w:t>1</w:t>
      </w:r>
      <w:r w:rsidR="00EF1538">
        <w:rPr>
          <w:lang w:val="es-CR"/>
        </w:rPr>
        <w:t>1</w:t>
      </w:r>
      <w:r w:rsidR="00EF1538" w:rsidRPr="00E452FA">
        <w:rPr>
          <w:lang w:val="es-CR"/>
        </w:rPr>
        <w:t xml:space="preserve"> </w:t>
      </w:r>
      <w:r w:rsidR="00F835AC" w:rsidRPr="00E452FA">
        <w:rPr>
          <w:lang w:val="es-CR"/>
        </w:rPr>
        <w:t xml:space="preserve">de </w:t>
      </w:r>
      <w:r w:rsidR="00F835AC">
        <w:rPr>
          <w:lang w:val="es-CR"/>
        </w:rPr>
        <w:t>mayo</w:t>
      </w:r>
      <w:r w:rsidR="00F835AC" w:rsidRPr="00E452FA">
        <w:rPr>
          <w:lang w:val="es-CR"/>
        </w:rPr>
        <w:t xml:space="preserve"> de 2017</w:t>
      </w:r>
      <w:r w:rsidR="00E2210E" w:rsidRPr="00E452FA">
        <w:rPr>
          <w:lang w:val="es-CR"/>
        </w:rPr>
        <w:t>.</w:t>
      </w:r>
    </w:p>
    <w:p w:rsidR="00F854DD" w:rsidRPr="00F854DD" w:rsidRDefault="00F854DD" w:rsidP="00FF0A5B">
      <w:pPr>
        <w:autoSpaceDE w:val="0"/>
        <w:autoSpaceDN w:val="0"/>
        <w:adjustRightInd w:val="0"/>
        <w:jc w:val="both"/>
        <w:rPr>
          <w:rFonts w:eastAsia="Calibri" w:cs="Verdana"/>
          <w:lang w:val="es-CR"/>
        </w:rPr>
      </w:pPr>
    </w:p>
    <w:p w:rsidR="00AE0848" w:rsidRPr="00E85CF0" w:rsidRDefault="00E2210E" w:rsidP="00FF0A5B">
      <w:pPr>
        <w:numPr>
          <w:ilvl w:val="0"/>
          <w:numId w:val="1"/>
        </w:numPr>
        <w:tabs>
          <w:tab w:val="num" w:pos="720"/>
        </w:tabs>
        <w:autoSpaceDE w:val="0"/>
        <w:autoSpaceDN w:val="0"/>
        <w:adjustRightInd w:val="0"/>
        <w:ind w:left="0"/>
        <w:jc w:val="both"/>
        <w:rPr>
          <w:rFonts w:eastAsia="Calibri" w:cs="Verdana"/>
          <w:strike/>
          <w:lang w:val="es-CR"/>
        </w:rPr>
      </w:pPr>
      <w:r w:rsidRPr="005254A8">
        <w:rPr>
          <w:lang w:val="es-CR"/>
        </w:rPr>
        <w:t xml:space="preserve"> </w:t>
      </w:r>
      <w:r w:rsidR="00390CB8" w:rsidRPr="00880F18">
        <w:rPr>
          <w:rFonts w:eastAsia="Calibri" w:cs="Verdana"/>
          <w:lang w:val="es-CR"/>
        </w:rPr>
        <w:t xml:space="preserve">El </w:t>
      </w:r>
      <w:r w:rsidR="00EC31F2">
        <w:rPr>
          <w:rFonts w:eastAsia="Calibri" w:cs="Verdana"/>
          <w:lang w:val="es-CR"/>
        </w:rPr>
        <w:t>8</w:t>
      </w:r>
      <w:r w:rsidR="007B5272">
        <w:rPr>
          <w:rFonts w:eastAsia="Calibri" w:cs="Verdana"/>
          <w:lang w:val="es-CR"/>
        </w:rPr>
        <w:t xml:space="preserve"> de a</w:t>
      </w:r>
      <w:r w:rsidR="00EC31F2">
        <w:rPr>
          <w:rFonts w:eastAsia="Calibri" w:cs="Verdana"/>
          <w:lang w:val="es-CR"/>
        </w:rPr>
        <w:t>gosto</w:t>
      </w:r>
      <w:r w:rsidR="007B5272">
        <w:rPr>
          <w:rFonts w:eastAsia="Calibri" w:cs="Verdana"/>
          <w:lang w:val="es-CR"/>
        </w:rPr>
        <w:t xml:space="preserve"> de 2017</w:t>
      </w:r>
      <w:r w:rsidR="003316BD" w:rsidRPr="00880F18">
        <w:rPr>
          <w:rFonts w:eastAsia="Calibri" w:cs="Verdana"/>
          <w:lang w:val="es-CR"/>
        </w:rPr>
        <w:t xml:space="preserve"> </w:t>
      </w:r>
      <w:r w:rsidR="0086477A" w:rsidRPr="004E7D90">
        <w:rPr>
          <w:rFonts w:eastAsia="Calibri" w:cs="Verdana"/>
          <w:lang w:val="es-CR"/>
        </w:rPr>
        <w:t xml:space="preserve">el Estado sometió a la Corte una solicitud de interpretación de la Sentencia, </w:t>
      </w:r>
      <w:r w:rsidR="00EF1538">
        <w:rPr>
          <w:rFonts w:eastAsia="Calibri" w:cs="Verdana"/>
          <w:lang w:val="es-CR"/>
        </w:rPr>
        <w:t>a fin de</w:t>
      </w:r>
      <w:r w:rsidR="0086477A" w:rsidRPr="004E7D90">
        <w:rPr>
          <w:rFonts w:eastAsia="Calibri" w:cs="Verdana"/>
          <w:lang w:val="es-CR"/>
        </w:rPr>
        <w:t xml:space="preserve"> aclarar aspectos vinculados </w:t>
      </w:r>
      <w:r w:rsidR="00EF1538">
        <w:rPr>
          <w:rFonts w:eastAsia="Calibri" w:cs="Verdana"/>
          <w:lang w:val="es-CR"/>
        </w:rPr>
        <w:t xml:space="preserve">con el </w:t>
      </w:r>
      <w:r w:rsidR="00AE0848">
        <w:rPr>
          <w:rFonts w:eastAsia="Calibri" w:cs="Verdana"/>
          <w:lang w:val="es-CR"/>
        </w:rPr>
        <w:t xml:space="preserve">párrafo </w:t>
      </w:r>
      <w:r w:rsidR="00890A3A">
        <w:rPr>
          <w:rFonts w:eastAsia="Calibri" w:cs="Verdana"/>
          <w:lang w:val="es-CR"/>
        </w:rPr>
        <w:t>202 de la Sentencia.</w:t>
      </w:r>
      <w:r w:rsidR="005B1513" w:rsidRPr="00890A3A">
        <w:rPr>
          <w:rFonts w:eastAsia="Calibri" w:cs="Verdana"/>
          <w:lang w:val="es-CR"/>
        </w:rPr>
        <w:t xml:space="preserve"> </w:t>
      </w:r>
      <w:r w:rsidR="005B1513" w:rsidRPr="00890A3A">
        <w:rPr>
          <w:b/>
          <w:sz w:val="16"/>
          <w:szCs w:val="16"/>
        </w:rPr>
        <w:t>[F. 128</w:t>
      </w:r>
      <w:r w:rsidR="00EF1538" w:rsidRPr="0044361C">
        <w:rPr>
          <w:rFonts w:eastAsia="Calibri" w:cs="Verdana"/>
        </w:rPr>
        <w:t xml:space="preserve">] </w:t>
      </w:r>
      <w:r w:rsidR="00AE0848" w:rsidRPr="00EF1538">
        <w:rPr>
          <w:rFonts w:eastAsia="Calibri" w:cs="Verdana"/>
          <w:lang w:val="es-CR"/>
        </w:rPr>
        <w:t>En</w:t>
      </w:r>
      <w:r w:rsidR="00AE0848" w:rsidRPr="00890A3A">
        <w:rPr>
          <w:rFonts w:eastAsia="Calibri" w:cs="Verdana"/>
          <w:lang w:val="es-CR"/>
        </w:rPr>
        <w:t xml:space="preserve"> este </w:t>
      </w:r>
      <w:r w:rsidR="00AE0848" w:rsidRPr="00890A3A">
        <w:rPr>
          <w:rFonts w:eastAsia="Calibri" w:cs="Verdana"/>
          <w:lang w:val="es-CR"/>
        </w:rPr>
        <w:lastRenderedPageBreak/>
        <w:t>sentido</w:t>
      </w:r>
      <w:r w:rsidR="00A57E67" w:rsidRPr="00890A3A">
        <w:rPr>
          <w:rFonts w:eastAsia="Calibri" w:cs="Verdana"/>
          <w:lang w:val="es-CR"/>
        </w:rPr>
        <w:t>, el Estado</w:t>
      </w:r>
      <w:r w:rsidR="00AE0848" w:rsidRPr="00890A3A">
        <w:rPr>
          <w:rFonts w:eastAsia="Calibri" w:cs="Verdana"/>
          <w:lang w:val="es-CR"/>
        </w:rPr>
        <w:t xml:space="preserve"> solicitó a la Corte aclarar y precisar</w:t>
      </w:r>
      <w:r w:rsidR="0072385A">
        <w:rPr>
          <w:rFonts w:eastAsia="Calibri" w:cs="Verdana"/>
          <w:lang w:val="es-CR"/>
        </w:rPr>
        <w:t xml:space="preserve"> los efectos jurídicos que tendría la Sentencia de la </w:t>
      </w:r>
      <w:r w:rsidR="0072385A" w:rsidRPr="00E85CF0">
        <w:rPr>
          <w:rFonts w:eastAsia="Calibri" w:cs="Verdana"/>
          <w:lang w:val="es-CR"/>
        </w:rPr>
        <w:t xml:space="preserve">Quinta Sala Penal de la Corte Superior de Justicia de Lima del 8 de noviembre de 1996 y la responsabilidad penal que deriva de la misma. </w:t>
      </w:r>
    </w:p>
    <w:p w:rsidR="00880F18" w:rsidRPr="00D16E71" w:rsidRDefault="00880F18" w:rsidP="0072385A">
      <w:pPr>
        <w:pStyle w:val="MediumGrid1-Accent21"/>
        <w:ind w:left="0"/>
        <w:rPr>
          <w:rFonts w:eastAsia="Calibri" w:cs="Verdana"/>
          <w:lang w:val="es-CR"/>
        </w:rPr>
      </w:pPr>
    </w:p>
    <w:p w:rsidR="00E85CF0" w:rsidRPr="00D16E71" w:rsidRDefault="00F854DD" w:rsidP="00D16E71">
      <w:pPr>
        <w:numPr>
          <w:ilvl w:val="0"/>
          <w:numId w:val="1"/>
        </w:numPr>
        <w:tabs>
          <w:tab w:val="num" w:pos="720"/>
        </w:tabs>
        <w:autoSpaceDE w:val="0"/>
        <w:autoSpaceDN w:val="0"/>
        <w:adjustRightInd w:val="0"/>
        <w:ind w:left="0"/>
        <w:jc w:val="both"/>
        <w:rPr>
          <w:rFonts w:eastAsia="Calibri" w:cs="Verdana"/>
          <w:u w:val="single"/>
          <w:lang w:val="es-CR"/>
        </w:rPr>
      </w:pPr>
      <w:r w:rsidRPr="00E85CF0">
        <w:rPr>
          <w:rFonts w:eastAsia="Calibri" w:cs="Verdana"/>
          <w:lang w:val="es-CR"/>
        </w:rPr>
        <w:t xml:space="preserve">El </w:t>
      </w:r>
      <w:r w:rsidR="00A57E67" w:rsidRPr="00E85CF0">
        <w:rPr>
          <w:rFonts w:eastAsia="Calibri" w:cs="Verdana"/>
          <w:lang w:val="es-CR"/>
        </w:rPr>
        <w:t>10</w:t>
      </w:r>
      <w:r w:rsidR="00F60459" w:rsidRPr="00E85CF0">
        <w:rPr>
          <w:rFonts w:eastAsia="Calibri" w:cs="Verdana"/>
          <w:lang w:val="es-CR"/>
        </w:rPr>
        <w:t xml:space="preserve"> de </w:t>
      </w:r>
      <w:r w:rsidR="00A57E67" w:rsidRPr="00E85CF0">
        <w:rPr>
          <w:rFonts w:eastAsia="Calibri" w:cs="Verdana"/>
          <w:lang w:val="es-CR"/>
        </w:rPr>
        <w:t>agosto</w:t>
      </w:r>
      <w:r w:rsidR="00F60459" w:rsidRPr="00E85CF0">
        <w:rPr>
          <w:rFonts w:eastAsia="Calibri" w:cs="Verdana"/>
          <w:lang w:val="es-CR"/>
        </w:rPr>
        <w:t xml:space="preserve"> de 2017</w:t>
      </w:r>
      <w:r w:rsidR="00E2210E" w:rsidRPr="00E85CF0">
        <w:rPr>
          <w:rFonts w:eastAsia="Calibri" w:cs="Verdana"/>
          <w:lang w:val="es-CR"/>
        </w:rPr>
        <w:t>, siguiendo instrucciones del Presidente</w:t>
      </w:r>
      <w:r w:rsidR="00880F18" w:rsidRPr="00E85CF0">
        <w:rPr>
          <w:rFonts w:eastAsia="Calibri" w:cs="Verdana"/>
          <w:lang w:val="es-CR"/>
        </w:rPr>
        <w:t xml:space="preserve"> de la Corte, la Secretaría de la Corte (en adelante “la Secretar</w:t>
      </w:r>
      <w:r w:rsidR="002E43EB" w:rsidRPr="00E85CF0">
        <w:rPr>
          <w:rFonts w:eastAsia="Calibri" w:cs="Verdana"/>
          <w:lang w:val="es-CR"/>
        </w:rPr>
        <w:t>í</w:t>
      </w:r>
      <w:r w:rsidR="00880F18" w:rsidRPr="00E85CF0">
        <w:rPr>
          <w:rFonts w:eastAsia="Calibri" w:cs="Verdana"/>
          <w:lang w:val="es-CR"/>
        </w:rPr>
        <w:t xml:space="preserve">a”), </w:t>
      </w:r>
      <w:r w:rsidR="00EF1538" w:rsidRPr="00E85CF0">
        <w:rPr>
          <w:rFonts w:eastAsia="Calibri" w:cs="Verdana"/>
          <w:lang w:val="es-CR"/>
        </w:rPr>
        <w:t>solici</w:t>
      </w:r>
      <w:r w:rsidR="00880F18" w:rsidRPr="00E85CF0">
        <w:rPr>
          <w:rFonts w:eastAsia="Calibri" w:cs="Verdana"/>
          <w:lang w:val="es-CR"/>
        </w:rPr>
        <w:t xml:space="preserve">tó a las partes que presentaran de </w:t>
      </w:r>
      <w:r w:rsidR="00880F18" w:rsidRPr="000805F8">
        <w:rPr>
          <w:rFonts w:eastAsia="Calibri" w:cs="Verdana"/>
          <w:lang w:val="es-CR"/>
        </w:rPr>
        <w:t>manera improrrogable</w:t>
      </w:r>
      <w:r w:rsidR="00EF1538" w:rsidRPr="00D16E71">
        <w:rPr>
          <w:rFonts w:eastAsia="Calibri" w:cs="Verdana"/>
          <w:lang w:val="es-CR"/>
        </w:rPr>
        <w:t>,</w:t>
      </w:r>
      <w:r w:rsidR="00880F18" w:rsidRPr="00D16E71">
        <w:rPr>
          <w:rFonts w:eastAsia="Calibri" w:cs="Verdana"/>
          <w:lang w:val="es-CR"/>
        </w:rPr>
        <w:t xml:space="preserve"> a más tardar el </w:t>
      </w:r>
      <w:r w:rsidR="00A57E67" w:rsidRPr="00D16E71">
        <w:rPr>
          <w:rFonts w:eastAsia="Calibri" w:cs="Verdana"/>
          <w:lang w:val="es-CR"/>
        </w:rPr>
        <w:t>11</w:t>
      </w:r>
      <w:r w:rsidR="00F60459" w:rsidRPr="00D16E71">
        <w:rPr>
          <w:rFonts w:eastAsia="Calibri" w:cs="Verdana"/>
          <w:lang w:val="es-CR"/>
        </w:rPr>
        <w:t xml:space="preserve"> de </w:t>
      </w:r>
      <w:r w:rsidR="00A57E67" w:rsidRPr="00D16E71">
        <w:rPr>
          <w:rFonts w:eastAsia="Calibri" w:cs="Verdana"/>
          <w:lang w:val="es-CR"/>
        </w:rPr>
        <w:t>septiembre</w:t>
      </w:r>
      <w:r w:rsidR="00F60459" w:rsidRPr="00D16E71">
        <w:rPr>
          <w:rFonts w:eastAsia="Calibri" w:cs="Verdana"/>
          <w:lang w:val="es-CR"/>
        </w:rPr>
        <w:t xml:space="preserve"> de 2017</w:t>
      </w:r>
      <w:r w:rsidR="00EF1538" w:rsidRPr="00D16E71">
        <w:rPr>
          <w:rFonts w:eastAsia="Calibri" w:cs="Verdana"/>
          <w:lang w:val="es-CR"/>
        </w:rPr>
        <w:t>,</w:t>
      </w:r>
      <w:r w:rsidR="00F60459" w:rsidRPr="00D16E71">
        <w:rPr>
          <w:rFonts w:eastAsia="Calibri" w:cs="Verdana"/>
          <w:lang w:val="es-CR"/>
        </w:rPr>
        <w:t xml:space="preserve"> </w:t>
      </w:r>
      <w:r w:rsidR="00880F18" w:rsidRPr="00D16E71">
        <w:rPr>
          <w:rFonts w:eastAsia="Calibri" w:cs="Verdana"/>
          <w:lang w:val="es-CR"/>
        </w:rPr>
        <w:t>los alegatos escritos qu</w:t>
      </w:r>
      <w:r w:rsidR="00A57E67" w:rsidRPr="00D16E71">
        <w:rPr>
          <w:rFonts w:eastAsia="Calibri" w:cs="Verdana"/>
          <w:lang w:val="es-CR"/>
        </w:rPr>
        <w:t>e consideraran pertinentes a la referida demanda</w:t>
      </w:r>
      <w:r w:rsidR="00880F18" w:rsidRPr="00D16E71">
        <w:rPr>
          <w:rFonts w:eastAsia="Calibri" w:cs="Verdana"/>
          <w:lang w:val="es-CR"/>
        </w:rPr>
        <w:t xml:space="preserve"> de interpretación. Asimismo, de conformidad con lo dispuesto en el artículo </w:t>
      </w:r>
      <w:r w:rsidR="00A57E67" w:rsidRPr="00D16E71">
        <w:rPr>
          <w:rFonts w:eastAsia="Calibri" w:cs="Verdana"/>
          <w:lang w:val="es-CR"/>
        </w:rPr>
        <w:t>68</w:t>
      </w:r>
      <w:r w:rsidR="00880F18" w:rsidRPr="00D16E71">
        <w:rPr>
          <w:rFonts w:eastAsia="Calibri" w:cs="Verdana"/>
          <w:lang w:val="es-CR"/>
        </w:rPr>
        <w:t>.4 del Reglamento, se recordó al Estado que “la demanda de interpretación no suspende la ejecución de la Sentencia emitida en el presente caso”.</w:t>
      </w:r>
      <w:r w:rsidR="00E2210E" w:rsidRPr="00D16E71">
        <w:rPr>
          <w:b/>
          <w:lang w:val="es-CR"/>
        </w:rPr>
        <w:t xml:space="preserve"> </w:t>
      </w:r>
    </w:p>
    <w:p w:rsidR="00F854DD" w:rsidRPr="00D16E71" w:rsidRDefault="00F854DD" w:rsidP="00E85CF0">
      <w:pPr>
        <w:autoSpaceDE w:val="0"/>
        <w:autoSpaceDN w:val="0"/>
        <w:adjustRightInd w:val="0"/>
        <w:jc w:val="both"/>
        <w:rPr>
          <w:rFonts w:eastAsia="Calibri" w:cs="Verdana"/>
          <w:u w:val="single"/>
          <w:lang w:val="es-CR"/>
        </w:rPr>
      </w:pPr>
    </w:p>
    <w:p w:rsidR="00E2210E" w:rsidRPr="00D9534B" w:rsidRDefault="00E2210E" w:rsidP="00C325A4">
      <w:pPr>
        <w:numPr>
          <w:ilvl w:val="0"/>
          <w:numId w:val="1"/>
        </w:numPr>
        <w:tabs>
          <w:tab w:val="num" w:pos="720"/>
        </w:tabs>
        <w:autoSpaceDE w:val="0"/>
        <w:autoSpaceDN w:val="0"/>
        <w:adjustRightInd w:val="0"/>
        <w:ind w:left="0"/>
        <w:jc w:val="both"/>
        <w:rPr>
          <w:rFonts w:eastAsia="Calibri" w:cs="Verdana"/>
          <w:u w:val="single"/>
          <w:lang w:val="es-CR"/>
        </w:rPr>
      </w:pPr>
      <w:r w:rsidRPr="00E85CF0">
        <w:rPr>
          <w:rFonts w:eastAsia="Calibri" w:cs="Verdana"/>
          <w:lang w:val="es-CR"/>
        </w:rPr>
        <w:t xml:space="preserve">El </w:t>
      </w:r>
      <w:r w:rsidR="00A57E67" w:rsidRPr="00E85CF0">
        <w:rPr>
          <w:rFonts w:eastAsia="Calibri" w:cs="Verdana"/>
          <w:lang w:val="es-CR"/>
        </w:rPr>
        <w:t>4</w:t>
      </w:r>
      <w:r w:rsidR="00AE441C" w:rsidRPr="00E85CF0">
        <w:rPr>
          <w:rFonts w:eastAsia="Calibri" w:cs="Verdana"/>
          <w:lang w:val="es-CR"/>
        </w:rPr>
        <w:t xml:space="preserve"> </w:t>
      </w:r>
      <w:r w:rsidR="00A57E67" w:rsidRPr="00E85CF0">
        <w:rPr>
          <w:rFonts w:eastAsia="Calibri" w:cs="Verdana"/>
          <w:lang w:val="es-CR"/>
        </w:rPr>
        <w:t xml:space="preserve">y 7 </w:t>
      </w:r>
      <w:r w:rsidR="00F854DD" w:rsidRPr="00E85CF0">
        <w:rPr>
          <w:rFonts w:eastAsia="Calibri" w:cs="Verdana"/>
          <w:lang w:val="es-CR"/>
        </w:rPr>
        <w:t xml:space="preserve">de </w:t>
      </w:r>
      <w:r w:rsidR="00A57E67" w:rsidRPr="00E85CF0">
        <w:rPr>
          <w:rFonts w:eastAsia="Calibri" w:cs="Verdana"/>
          <w:lang w:val="es-CR"/>
        </w:rPr>
        <w:t>septiembre</w:t>
      </w:r>
      <w:r w:rsidRPr="00E85CF0">
        <w:rPr>
          <w:rFonts w:eastAsia="Calibri" w:cs="Verdana"/>
          <w:lang w:val="es-CR"/>
        </w:rPr>
        <w:t xml:space="preserve"> de 201</w:t>
      </w:r>
      <w:r w:rsidR="00AE441C" w:rsidRPr="00E85CF0">
        <w:rPr>
          <w:rFonts w:eastAsia="Calibri" w:cs="Verdana"/>
          <w:lang w:val="es-CR"/>
        </w:rPr>
        <w:t>7</w:t>
      </w:r>
      <w:r w:rsidRPr="00E85CF0">
        <w:rPr>
          <w:rFonts w:eastAsia="Calibri" w:cs="Verdana"/>
          <w:lang w:val="es-CR"/>
        </w:rPr>
        <w:t xml:space="preserve"> la Comisión </w:t>
      </w:r>
      <w:r w:rsidR="00F854DD" w:rsidRPr="00E85CF0">
        <w:rPr>
          <w:rFonts w:eastAsia="Calibri" w:cs="Verdana"/>
          <w:lang w:val="es-CR"/>
        </w:rPr>
        <w:t>y l</w:t>
      </w:r>
      <w:r w:rsidR="00A57E67" w:rsidRPr="00E85CF0">
        <w:rPr>
          <w:rFonts w:eastAsia="Calibri" w:cs="Verdana"/>
          <w:lang w:val="es-CR"/>
        </w:rPr>
        <w:t>os</w:t>
      </w:r>
      <w:r w:rsidR="00AE441C" w:rsidRPr="00E85CF0">
        <w:rPr>
          <w:rFonts w:eastAsia="Calibri" w:cs="Verdana"/>
          <w:lang w:val="es-CR"/>
        </w:rPr>
        <w:t xml:space="preserve"> </w:t>
      </w:r>
      <w:r w:rsidR="00A57E67" w:rsidRPr="00E85CF0">
        <w:rPr>
          <w:rFonts w:eastAsia="Calibri" w:cs="Verdana"/>
          <w:lang w:val="es-CR"/>
        </w:rPr>
        <w:t>representantes, respectivamente,</w:t>
      </w:r>
      <w:r w:rsidR="00AE441C" w:rsidRPr="00E85CF0">
        <w:rPr>
          <w:rFonts w:eastAsia="Calibri" w:cs="Verdana"/>
          <w:lang w:val="es-CR"/>
        </w:rPr>
        <w:t xml:space="preserve"> </w:t>
      </w:r>
      <w:r w:rsidRPr="00D16E71">
        <w:rPr>
          <w:rFonts w:eastAsia="Calibri" w:cs="Verdana"/>
          <w:lang w:val="es-CR"/>
        </w:rPr>
        <w:t>present</w:t>
      </w:r>
      <w:r w:rsidR="00F854DD" w:rsidRPr="00D16E71">
        <w:rPr>
          <w:rFonts w:eastAsia="Calibri" w:cs="Verdana"/>
          <w:lang w:val="es-CR"/>
        </w:rPr>
        <w:t>aron</w:t>
      </w:r>
      <w:r w:rsidRPr="00D16E71">
        <w:rPr>
          <w:rFonts w:eastAsia="Calibri" w:cs="Verdana"/>
          <w:lang w:val="es-CR"/>
        </w:rPr>
        <w:t xml:space="preserve"> sus </w:t>
      </w:r>
      <w:r w:rsidR="00EA01CE" w:rsidRPr="00D16E71">
        <w:rPr>
          <w:rFonts w:eastAsia="Calibri" w:cs="Verdana"/>
          <w:lang w:val="es-CR"/>
        </w:rPr>
        <w:t xml:space="preserve">respectivas observaciones y </w:t>
      </w:r>
      <w:r w:rsidRPr="00D16E71">
        <w:rPr>
          <w:rFonts w:eastAsia="Calibri" w:cs="Verdana"/>
          <w:lang w:val="es-CR"/>
        </w:rPr>
        <w:t xml:space="preserve">alegatos </w:t>
      </w:r>
      <w:r w:rsidR="00EA01CE" w:rsidRPr="00D16E71">
        <w:rPr>
          <w:rFonts w:eastAsia="Calibri" w:cs="Verdana"/>
          <w:lang w:val="es-CR"/>
        </w:rPr>
        <w:t>sobre</w:t>
      </w:r>
      <w:r w:rsidRPr="00D16E71">
        <w:rPr>
          <w:rFonts w:eastAsia="Calibri" w:cs="Verdana"/>
          <w:lang w:val="es-CR"/>
        </w:rPr>
        <w:t xml:space="preserve"> la</w:t>
      </w:r>
      <w:r w:rsidR="00AE441C" w:rsidRPr="00D16E71">
        <w:rPr>
          <w:rFonts w:eastAsia="Calibri" w:cs="Verdana"/>
          <w:lang w:val="es-CR"/>
        </w:rPr>
        <w:t>s</w:t>
      </w:r>
      <w:r w:rsidRPr="00D16E71">
        <w:rPr>
          <w:rFonts w:eastAsia="Calibri" w:cs="Verdana"/>
          <w:lang w:val="es-CR"/>
        </w:rPr>
        <w:t xml:space="preserve"> solicitud</w:t>
      </w:r>
      <w:r w:rsidR="00AE441C" w:rsidRPr="00D16E71">
        <w:rPr>
          <w:rFonts w:eastAsia="Calibri" w:cs="Verdana"/>
          <w:lang w:val="es-CR"/>
        </w:rPr>
        <w:t>es</w:t>
      </w:r>
      <w:r w:rsidRPr="00D16E71">
        <w:rPr>
          <w:rFonts w:eastAsia="Calibri" w:cs="Verdana"/>
          <w:lang w:val="es-CR"/>
        </w:rPr>
        <w:t xml:space="preserve"> de interpretación </w:t>
      </w:r>
      <w:r w:rsidR="00AE441C" w:rsidRPr="00D16E71">
        <w:rPr>
          <w:rFonts w:eastAsia="Calibri" w:cs="Verdana"/>
          <w:lang w:val="es-CR"/>
        </w:rPr>
        <w:t>presentadas</w:t>
      </w:r>
    </w:p>
    <w:p w:rsidR="00F854DD" w:rsidRPr="00F854DD" w:rsidRDefault="00F854DD" w:rsidP="004A6CA8">
      <w:pPr>
        <w:autoSpaceDE w:val="0"/>
        <w:autoSpaceDN w:val="0"/>
        <w:adjustRightInd w:val="0"/>
        <w:rPr>
          <w:b/>
          <w:bCs/>
          <w:lang w:val="es-CR"/>
        </w:rPr>
      </w:pPr>
    </w:p>
    <w:p w:rsidR="00E2210E" w:rsidRPr="005254A8" w:rsidRDefault="00E2210E" w:rsidP="001B65D6">
      <w:pPr>
        <w:pStyle w:val="Ttulo1"/>
      </w:pPr>
      <w:r w:rsidRPr="005254A8">
        <w:t>II</w:t>
      </w:r>
      <w:r w:rsidRPr="005254A8">
        <w:rPr>
          <w:b w:val="0"/>
          <w:bCs w:val="0"/>
          <w:caps w:val="0"/>
          <w:kern w:val="32"/>
        </w:rPr>
        <w:br/>
      </w:r>
      <w:r w:rsidRPr="005254A8">
        <w:t>COMPETENCIA</w:t>
      </w:r>
    </w:p>
    <w:p w:rsidR="00E2210E" w:rsidRPr="005254A8" w:rsidRDefault="00E2210E" w:rsidP="00A86FE5">
      <w:pPr>
        <w:pStyle w:val="MediumGrid1-Accent21"/>
        <w:ind w:left="0"/>
        <w:rPr>
          <w:szCs w:val="20"/>
          <w:lang w:val="es-CR"/>
        </w:rPr>
      </w:pPr>
    </w:p>
    <w:p w:rsidR="00E2210E" w:rsidRPr="005254A8" w:rsidRDefault="00E2210E" w:rsidP="0044361C">
      <w:pPr>
        <w:numPr>
          <w:ilvl w:val="0"/>
          <w:numId w:val="1"/>
        </w:numPr>
        <w:tabs>
          <w:tab w:val="num" w:pos="720"/>
        </w:tabs>
        <w:autoSpaceDE w:val="0"/>
        <w:autoSpaceDN w:val="0"/>
        <w:adjustRightInd w:val="0"/>
        <w:ind w:left="0"/>
        <w:jc w:val="both"/>
        <w:rPr>
          <w:bCs/>
          <w:lang w:val="es-CR"/>
        </w:rPr>
      </w:pPr>
      <w:bookmarkStart w:id="0" w:name="_Ref392064772"/>
      <w:r w:rsidRPr="005254A8">
        <w:rPr>
          <w:lang w:val="es-CR"/>
        </w:rPr>
        <w:t>El artículo 67 de la Convención establece que:</w:t>
      </w:r>
      <w:bookmarkEnd w:id="0"/>
    </w:p>
    <w:p w:rsidR="00E2210E" w:rsidRPr="00EA01CE" w:rsidRDefault="00E2210E" w:rsidP="0044361C">
      <w:pPr>
        <w:autoSpaceDE w:val="0"/>
        <w:autoSpaceDN w:val="0"/>
        <w:adjustRightInd w:val="0"/>
        <w:jc w:val="both"/>
        <w:rPr>
          <w:bCs/>
          <w:sz w:val="16"/>
          <w:lang w:val="es-CR"/>
        </w:rPr>
      </w:pPr>
    </w:p>
    <w:p w:rsidR="00E2210E" w:rsidRPr="0044361C" w:rsidRDefault="00E2210E" w:rsidP="0044361C">
      <w:pPr>
        <w:ind w:left="720" w:right="639"/>
        <w:jc w:val="both"/>
        <w:rPr>
          <w:sz w:val="18"/>
          <w:szCs w:val="18"/>
          <w:lang w:val="es-CR"/>
        </w:rPr>
      </w:pPr>
      <w:r w:rsidRPr="0044361C">
        <w:rPr>
          <w:sz w:val="18"/>
          <w:szCs w:val="18"/>
          <w:lang w:val="es-CR"/>
        </w:rPr>
        <w:t>[</w:t>
      </w:r>
      <w:r w:rsidR="00E85CF0">
        <w:rPr>
          <w:sz w:val="18"/>
          <w:szCs w:val="18"/>
          <w:lang w:val="es-CR"/>
        </w:rPr>
        <w:t>E</w:t>
      </w:r>
      <w:r w:rsidRPr="0044361C">
        <w:rPr>
          <w:sz w:val="18"/>
          <w:szCs w:val="18"/>
          <w:lang w:val="es-CR"/>
        </w:rPr>
        <w:t>]l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rsidR="00E2210E" w:rsidRPr="00EA01CE" w:rsidRDefault="00E2210E" w:rsidP="0044361C">
      <w:pPr>
        <w:autoSpaceDE w:val="0"/>
        <w:autoSpaceDN w:val="0"/>
        <w:adjustRightInd w:val="0"/>
        <w:jc w:val="both"/>
        <w:rPr>
          <w:bCs/>
          <w:sz w:val="16"/>
          <w:lang w:val="es-CR"/>
        </w:rPr>
      </w:pPr>
    </w:p>
    <w:p w:rsidR="00E2210E" w:rsidRPr="00E452FA" w:rsidRDefault="00E2210E" w:rsidP="0044361C">
      <w:pPr>
        <w:numPr>
          <w:ilvl w:val="0"/>
          <w:numId w:val="1"/>
        </w:numPr>
        <w:tabs>
          <w:tab w:val="num" w:pos="720"/>
        </w:tabs>
        <w:autoSpaceDE w:val="0"/>
        <w:autoSpaceDN w:val="0"/>
        <w:adjustRightInd w:val="0"/>
        <w:ind w:left="0"/>
        <w:jc w:val="both"/>
        <w:rPr>
          <w:bCs/>
          <w:lang w:val="es-CR"/>
        </w:rPr>
      </w:pPr>
      <w:r w:rsidRPr="00E452FA">
        <w:rPr>
          <w:lang w:val="es-CR"/>
        </w:rPr>
        <w:t>De conformidad con el artículo citado, la Corte es competente para interpretar sus fallos. Para realizar el examen de la solicitud de interpretación y resolver lo que a este respecto corresponda, e</w:t>
      </w:r>
      <w:r w:rsidR="005069DB" w:rsidRPr="00E452FA">
        <w:rPr>
          <w:lang w:val="es-CR"/>
        </w:rPr>
        <w:t>ste</w:t>
      </w:r>
      <w:r w:rsidRPr="00E452FA">
        <w:rPr>
          <w:lang w:val="es-CR"/>
        </w:rPr>
        <w:t xml:space="preserve"> Tribunal debe tener, si es posible, la misma composición que tenía al dictar la Sentencia respectiva, de acuerdo con el artículo 68.3 del Reglamento</w:t>
      </w:r>
      <w:r w:rsidR="00EF1538">
        <w:rPr>
          <w:rStyle w:val="Refdenotaalpie"/>
          <w:lang w:val="es-CR"/>
        </w:rPr>
        <w:footnoteReference w:id="2"/>
      </w:r>
      <w:r w:rsidRPr="00E452FA">
        <w:rPr>
          <w:lang w:val="es-CR"/>
        </w:rPr>
        <w:t xml:space="preserve">. </w:t>
      </w:r>
      <w:r w:rsidR="00E4373B" w:rsidRPr="00E452FA">
        <w:rPr>
          <w:lang w:val="es-CR"/>
        </w:rPr>
        <w:t xml:space="preserve">En esta ocasión, la Corte </w:t>
      </w:r>
      <w:r w:rsidR="00796881">
        <w:rPr>
          <w:lang w:val="es-CR"/>
        </w:rPr>
        <w:t>se integra con los jueces que dictaron la Sentencia cuya interpretación ha sido solicitada por el Estado.</w:t>
      </w:r>
    </w:p>
    <w:p w:rsidR="00FC4F8E" w:rsidRPr="005254A8" w:rsidRDefault="00FC4F8E" w:rsidP="0044361C">
      <w:pPr>
        <w:autoSpaceDE w:val="0"/>
        <w:autoSpaceDN w:val="0"/>
        <w:adjustRightInd w:val="0"/>
        <w:jc w:val="both"/>
        <w:rPr>
          <w:rFonts w:eastAsia="Calibri" w:cs="Verdana"/>
          <w:lang w:val="es-CR"/>
        </w:rPr>
      </w:pPr>
    </w:p>
    <w:p w:rsidR="00E2210E" w:rsidRPr="005254A8" w:rsidRDefault="00E2210E" w:rsidP="0044361C">
      <w:pPr>
        <w:pStyle w:val="Ttulo1"/>
        <w:rPr>
          <w:rFonts w:eastAsia="Calibri"/>
        </w:rPr>
      </w:pPr>
      <w:r w:rsidRPr="005254A8">
        <w:rPr>
          <w:rFonts w:eastAsia="Calibri"/>
        </w:rPr>
        <w:t>III</w:t>
      </w:r>
      <w:r w:rsidRPr="005254A8">
        <w:rPr>
          <w:b w:val="0"/>
          <w:bCs w:val="0"/>
          <w:caps w:val="0"/>
          <w:kern w:val="32"/>
        </w:rPr>
        <w:br/>
      </w:r>
      <w:r w:rsidRPr="005254A8">
        <w:rPr>
          <w:rFonts w:eastAsia="Calibri"/>
        </w:rPr>
        <w:t>ADMISIBILIDAD</w:t>
      </w:r>
    </w:p>
    <w:p w:rsidR="00E2210E" w:rsidRPr="005254A8" w:rsidRDefault="00E2210E" w:rsidP="0044361C">
      <w:pPr>
        <w:autoSpaceDE w:val="0"/>
        <w:autoSpaceDN w:val="0"/>
        <w:adjustRightInd w:val="0"/>
        <w:rPr>
          <w:rFonts w:eastAsia="Calibri" w:cs="Verdana"/>
          <w:b/>
          <w:lang w:val="es-CR"/>
        </w:rPr>
      </w:pPr>
    </w:p>
    <w:p w:rsidR="00B60361" w:rsidRDefault="00E2210E" w:rsidP="0044361C">
      <w:pPr>
        <w:numPr>
          <w:ilvl w:val="0"/>
          <w:numId w:val="1"/>
        </w:numPr>
        <w:tabs>
          <w:tab w:val="num" w:pos="720"/>
        </w:tabs>
        <w:autoSpaceDE w:val="0"/>
        <w:autoSpaceDN w:val="0"/>
        <w:adjustRightInd w:val="0"/>
        <w:ind w:left="0"/>
        <w:jc w:val="both"/>
        <w:rPr>
          <w:rFonts w:eastAsia="Calibri" w:cs="Verdana"/>
          <w:strike/>
          <w:lang w:val="es-CR"/>
        </w:rPr>
      </w:pPr>
      <w:bookmarkStart w:id="1" w:name="_Ref391898657"/>
      <w:r w:rsidRPr="005254A8">
        <w:rPr>
          <w:lang w:val="es-CR"/>
        </w:rPr>
        <w:t xml:space="preserve">Corresponde a la Corte verificar si la solicitud presentada por el Estado cumple con los requisitos establecidos en las normas aplicables a una solicitud de interpretación de Sentencia, a saber, </w:t>
      </w:r>
      <w:r w:rsidR="00A67FC7">
        <w:rPr>
          <w:lang w:val="es-CR"/>
        </w:rPr>
        <w:t>el artículo 67 de la Convención</w:t>
      </w:r>
      <w:r w:rsidRPr="005254A8">
        <w:rPr>
          <w:lang w:val="es-CR"/>
        </w:rPr>
        <w:t xml:space="preserve"> y el artículo 68 del Reglamento</w:t>
      </w:r>
      <w:r w:rsidR="00A67FC7">
        <w:rPr>
          <w:rStyle w:val="Refdenotaalpie"/>
          <w:lang w:val="es-CR"/>
        </w:rPr>
        <w:footnoteReference w:id="3"/>
      </w:r>
      <w:r w:rsidR="00A67FC7">
        <w:rPr>
          <w:lang w:val="es-CR"/>
        </w:rPr>
        <w:t>.</w:t>
      </w:r>
    </w:p>
    <w:p w:rsidR="00195C6C" w:rsidRPr="00195C6C" w:rsidRDefault="00195C6C" w:rsidP="0044361C">
      <w:pPr>
        <w:autoSpaceDE w:val="0"/>
        <w:autoSpaceDN w:val="0"/>
        <w:adjustRightInd w:val="0"/>
        <w:jc w:val="both"/>
        <w:rPr>
          <w:rFonts w:eastAsia="Calibri" w:cs="Verdana"/>
          <w:strike/>
          <w:lang w:val="es-CR"/>
        </w:rPr>
      </w:pPr>
    </w:p>
    <w:p w:rsidR="007F6FBA" w:rsidRDefault="005069DB" w:rsidP="0044361C">
      <w:pPr>
        <w:numPr>
          <w:ilvl w:val="0"/>
          <w:numId w:val="1"/>
        </w:numPr>
        <w:tabs>
          <w:tab w:val="num" w:pos="720"/>
        </w:tabs>
        <w:autoSpaceDE w:val="0"/>
        <w:autoSpaceDN w:val="0"/>
        <w:adjustRightInd w:val="0"/>
        <w:ind w:left="0"/>
        <w:jc w:val="both"/>
        <w:rPr>
          <w:lang w:val="es-CR"/>
        </w:rPr>
      </w:pPr>
      <w:r>
        <w:rPr>
          <w:lang w:val="es-CR"/>
        </w:rPr>
        <w:t>Este Tribunal</w:t>
      </w:r>
      <w:r w:rsidR="00F61678">
        <w:rPr>
          <w:lang w:val="es-CR"/>
        </w:rPr>
        <w:t xml:space="preserve"> nota </w:t>
      </w:r>
      <w:r w:rsidR="007F6FBA" w:rsidRPr="005254A8">
        <w:rPr>
          <w:lang w:val="es-CR"/>
        </w:rPr>
        <w:t xml:space="preserve">que el Estado presentó su solicitud de interpretación de la Sentencia </w:t>
      </w:r>
      <w:r w:rsidR="00796881">
        <w:rPr>
          <w:lang w:val="es-CR"/>
        </w:rPr>
        <w:t xml:space="preserve">el 8 de agosto de 2017, </w:t>
      </w:r>
      <w:r w:rsidR="007F6FBA" w:rsidRPr="005254A8">
        <w:rPr>
          <w:lang w:val="es-CR"/>
        </w:rPr>
        <w:t xml:space="preserve">dentro del plazo de noventa días establecido en el artículo 67 de la Convención, ya que la misma fue notificada el </w:t>
      </w:r>
      <w:r w:rsidR="007F6FBA">
        <w:rPr>
          <w:lang w:val="es-CR"/>
        </w:rPr>
        <w:t>1</w:t>
      </w:r>
      <w:r w:rsidR="00796881">
        <w:rPr>
          <w:lang w:val="es-CR"/>
        </w:rPr>
        <w:t>1</w:t>
      </w:r>
      <w:r w:rsidR="007F6FBA">
        <w:rPr>
          <w:lang w:val="es-CR"/>
        </w:rPr>
        <w:t xml:space="preserve"> </w:t>
      </w:r>
      <w:r w:rsidR="00796881">
        <w:rPr>
          <w:lang w:val="es-CR"/>
        </w:rPr>
        <w:t>mayo</w:t>
      </w:r>
      <w:r w:rsidR="007F6FBA">
        <w:rPr>
          <w:lang w:val="es-CR"/>
        </w:rPr>
        <w:t xml:space="preserve"> de 2017</w:t>
      </w:r>
      <w:r w:rsidR="007F6FBA">
        <w:rPr>
          <w:rStyle w:val="Refdenotaalpie"/>
          <w:lang w:val="es-CR"/>
        </w:rPr>
        <w:footnoteReference w:id="4"/>
      </w:r>
      <w:r w:rsidR="007F6FBA">
        <w:rPr>
          <w:lang w:val="es-CR"/>
        </w:rPr>
        <w:t>.</w:t>
      </w:r>
      <w:r w:rsidR="007F6FBA" w:rsidRPr="005254A8">
        <w:rPr>
          <w:lang w:val="es-CR"/>
        </w:rPr>
        <w:t xml:space="preserve"> Por ende, la solicitud resulta admisible en lo que se refiere al plazo de su presentación.</w:t>
      </w:r>
      <w:r w:rsidR="00796881">
        <w:rPr>
          <w:lang w:val="es-CR"/>
        </w:rPr>
        <w:t xml:space="preserve"> </w:t>
      </w:r>
      <w:r w:rsidR="00796881" w:rsidRPr="00796881">
        <w:t xml:space="preserve">En cuanto a los demás requisitos, la Corte realizará el </w:t>
      </w:r>
      <w:r w:rsidR="00796881" w:rsidRPr="00796881">
        <w:lastRenderedPageBreak/>
        <w:t>análisis respectivo al examinar el contenido de la presente solicitud de interpretación en el próximo capítulo.</w:t>
      </w:r>
    </w:p>
    <w:bookmarkEnd w:id="1"/>
    <w:p w:rsidR="00E2210E" w:rsidRPr="001D431D" w:rsidRDefault="00E2210E" w:rsidP="0044361C">
      <w:pPr>
        <w:rPr>
          <w:strike/>
          <w:lang w:val="es-CR"/>
        </w:rPr>
      </w:pPr>
    </w:p>
    <w:p w:rsidR="00E2210E" w:rsidRPr="005254A8" w:rsidRDefault="00E2210E" w:rsidP="0044361C">
      <w:pPr>
        <w:pStyle w:val="Ttulo1"/>
        <w:rPr>
          <w:rFonts w:eastAsia="Calibri"/>
        </w:rPr>
      </w:pPr>
      <w:r w:rsidRPr="005254A8">
        <w:t>IV</w:t>
      </w:r>
      <w:r w:rsidRPr="005254A8">
        <w:rPr>
          <w:b w:val="0"/>
          <w:bCs w:val="0"/>
          <w:caps w:val="0"/>
          <w:kern w:val="32"/>
        </w:rPr>
        <w:br/>
      </w:r>
      <w:r w:rsidRPr="005254A8">
        <w:rPr>
          <w:rFonts w:eastAsia="Calibri"/>
        </w:rPr>
        <w:t>ANÁLISIS DE LA PROCEDENCIA DE LA SOLICITUD DE INTERPRETACIÓN</w:t>
      </w:r>
    </w:p>
    <w:p w:rsidR="00E2210E" w:rsidRPr="005254A8" w:rsidRDefault="00E2210E" w:rsidP="0044361C">
      <w:pPr>
        <w:jc w:val="both"/>
        <w:rPr>
          <w:lang w:val="es-CR"/>
        </w:rPr>
      </w:pPr>
    </w:p>
    <w:p w:rsidR="00E2210E" w:rsidRPr="00447918" w:rsidRDefault="00E2210E" w:rsidP="00FF0A5B">
      <w:pPr>
        <w:numPr>
          <w:ilvl w:val="0"/>
          <w:numId w:val="1"/>
        </w:numPr>
        <w:tabs>
          <w:tab w:val="num" w:pos="720"/>
        </w:tabs>
        <w:autoSpaceDE w:val="0"/>
        <w:autoSpaceDN w:val="0"/>
        <w:adjustRightInd w:val="0"/>
        <w:ind w:left="0"/>
        <w:jc w:val="both"/>
        <w:rPr>
          <w:b/>
          <w:lang w:val="es-CR"/>
        </w:rPr>
      </w:pPr>
      <w:r w:rsidRPr="005254A8">
        <w:rPr>
          <w:lang w:val="es-CR"/>
        </w:rPr>
        <w:t xml:space="preserve">A continuación, la Corte </w:t>
      </w:r>
      <w:r w:rsidR="005C415A">
        <w:rPr>
          <w:lang w:val="es-CR"/>
        </w:rPr>
        <w:t>examinar</w:t>
      </w:r>
      <w:r w:rsidR="005C415A" w:rsidRPr="005254A8">
        <w:rPr>
          <w:lang w:val="es-CR"/>
        </w:rPr>
        <w:t xml:space="preserve">á </w:t>
      </w:r>
      <w:r w:rsidRPr="005254A8">
        <w:rPr>
          <w:lang w:val="es-CR"/>
        </w:rPr>
        <w:t>la solicitud del Estado</w:t>
      </w:r>
      <w:r w:rsidR="00B539F7">
        <w:rPr>
          <w:lang w:val="es-CR"/>
        </w:rPr>
        <w:t xml:space="preserve"> </w:t>
      </w:r>
      <w:r w:rsidRPr="005254A8">
        <w:rPr>
          <w:lang w:val="es-CR"/>
        </w:rPr>
        <w:t xml:space="preserve">para determinar si, de acuerdo a la normativa y a los </w:t>
      </w:r>
      <w:r w:rsidR="0089205B">
        <w:rPr>
          <w:lang w:val="es-CR"/>
        </w:rPr>
        <w:t>estándares</w:t>
      </w:r>
      <w:r w:rsidR="0089205B" w:rsidRPr="005254A8">
        <w:rPr>
          <w:lang w:val="es-CR"/>
        </w:rPr>
        <w:t xml:space="preserve"> </w:t>
      </w:r>
      <w:r w:rsidRPr="005254A8">
        <w:rPr>
          <w:lang w:val="es-CR"/>
        </w:rPr>
        <w:t>desarrollados en su jurisprudencia, procede aclarar el sentido o alcance de algún punto de la Sentencia.</w:t>
      </w:r>
    </w:p>
    <w:p w:rsidR="00447918" w:rsidRPr="00713802" w:rsidRDefault="00447918" w:rsidP="00FF0A5B">
      <w:pPr>
        <w:autoSpaceDE w:val="0"/>
        <w:autoSpaceDN w:val="0"/>
        <w:adjustRightInd w:val="0"/>
        <w:jc w:val="both"/>
        <w:rPr>
          <w:b/>
          <w:lang w:val="es-CR"/>
        </w:rPr>
      </w:pPr>
    </w:p>
    <w:p w:rsidR="006929B0" w:rsidRDefault="00E2210E" w:rsidP="00FF0A5B">
      <w:pPr>
        <w:numPr>
          <w:ilvl w:val="0"/>
          <w:numId w:val="1"/>
        </w:numPr>
        <w:tabs>
          <w:tab w:val="num" w:pos="720"/>
        </w:tabs>
        <w:autoSpaceDE w:val="0"/>
        <w:autoSpaceDN w:val="0"/>
        <w:adjustRightInd w:val="0"/>
        <w:ind w:left="0"/>
        <w:jc w:val="both"/>
        <w:rPr>
          <w:lang w:val="es-CR"/>
        </w:rPr>
      </w:pPr>
      <w:bookmarkStart w:id="2" w:name="_Ref392082429"/>
      <w:r w:rsidRPr="005254A8">
        <w:rPr>
          <w:lang w:val="es-CR"/>
        </w:rPr>
        <w:t>Para analizar la procedencia de la solicitud del Estado, la Corte toma en consideración su jurisprudencia constante, claramente sustentada en el ordenamiento aplicable, en cuanto a que una solicitud de interpretación de sentencia no puede utilizarse como medio de impugnación de la decisión cuya interpretación se requiere. Dicha solicitud tiene como objeto, exclusivamente, determinar el sentido de un fallo cuando alguna de las partes sostiene que el texto de sus puntos resolutivos o de sus consideraciones carece de claridad o precisión, siempre y cuando esas consideraciones incidan en dicha parte resolutiva</w:t>
      </w:r>
      <w:r w:rsidRPr="005254A8">
        <w:rPr>
          <w:rStyle w:val="Refdenotaalpie"/>
          <w:lang w:val="es-CR"/>
        </w:rPr>
        <w:footnoteReference w:id="5"/>
      </w:r>
      <w:r w:rsidRPr="005254A8">
        <w:rPr>
          <w:lang w:val="es-CR"/>
        </w:rPr>
        <w:t xml:space="preserve">. Por lo tanto, </w:t>
      </w:r>
      <w:r w:rsidR="00CB3CDB">
        <w:rPr>
          <w:lang w:val="es-CR"/>
        </w:rPr>
        <w:t xml:space="preserve">de conformidad con el artículo 31.3 del Reglamento, </w:t>
      </w:r>
      <w:r w:rsidRPr="005254A8">
        <w:rPr>
          <w:lang w:val="es-CR"/>
        </w:rPr>
        <w:t>no se puede solicitar la modificación o anulación de la sentencia respectiva a través de una solicitud de interpretación</w:t>
      </w:r>
      <w:r w:rsidRPr="005254A8">
        <w:rPr>
          <w:rStyle w:val="Refdenotaalpie"/>
          <w:lang w:val="es-CR"/>
        </w:rPr>
        <w:footnoteReference w:id="6"/>
      </w:r>
      <w:r w:rsidRPr="005254A8">
        <w:rPr>
          <w:lang w:val="es-CR"/>
        </w:rPr>
        <w:t>.</w:t>
      </w:r>
      <w:bookmarkEnd w:id="2"/>
    </w:p>
    <w:p w:rsidR="00160AD9" w:rsidRDefault="00160AD9" w:rsidP="0072385A">
      <w:pPr>
        <w:autoSpaceDE w:val="0"/>
        <w:autoSpaceDN w:val="0"/>
        <w:adjustRightInd w:val="0"/>
        <w:jc w:val="both"/>
        <w:rPr>
          <w:lang w:val="es-CR"/>
        </w:rPr>
      </w:pPr>
    </w:p>
    <w:p w:rsidR="00160AD9" w:rsidRPr="00160AD9" w:rsidRDefault="00160AD9" w:rsidP="006F1A16">
      <w:pPr>
        <w:numPr>
          <w:ilvl w:val="0"/>
          <w:numId w:val="1"/>
        </w:numPr>
        <w:tabs>
          <w:tab w:val="clear" w:pos="1427"/>
          <w:tab w:val="num" w:pos="720"/>
        </w:tabs>
        <w:ind w:left="0"/>
        <w:jc w:val="both"/>
        <w:rPr>
          <w:lang w:val="es-CR"/>
        </w:rPr>
      </w:pPr>
      <w:r w:rsidRPr="00F740CD">
        <w:rPr>
          <w:lang w:val="es-CR"/>
        </w:rPr>
        <w:t>Adicionalmente, la Corte ha sostenido la improcedencia de utilizar una solicitud de interpretación para someter cuestiones de hecho y de derecho que ya fueron planteadas en su oportunidad procesal y sobre las cuales la Corte ya adoptó una decisión</w:t>
      </w:r>
      <w:r w:rsidRPr="00F740CD">
        <w:rPr>
          <w:rStyle w:val="Refdenotaalpie"/>
          <w:lang w:val="es-CR"/>
        </w:rPr>
        <w:footnoteReference w:id="7"/>
      </w:r>
      <w:r w:rsidRPr="00F740CD">
        <w:rPr>
          <w:lang w:val="es-CR"/>
        </w:rPr>
        <w:t>, así como para pretender que la Corte valore nuevamente cuestiones que ya han sido resueltas por ésta en su Sentencia</w:t>
      </w:r>
      <w:r w:rsidRPr="00F740CD">
        <w:rPr>
          <w:rStyle w:val="Refdenotaalpie"/>
          <w:lang w:val="es-CR"/>
        </w:rPr>
        <w:footnoteReference w:id="8"/>
      </w:r>
      <w:r w:rsidRPr="00F740CD">
        <w:rPr>
          <w:lang w:val="es-CR"/>
        </w:rPr>
        <w:t>. De igual manera, por esta vía tampoco se puede intentar que se amplíe el alcance de una medida de reparación ordenada oportunamente</w:t>
      </w:r>
      <w:r w:rsidRPr="00F740CD">
        <w:rPr>
          <w:rStyle w:val="Refdenotaalpie"/>
          <w:lang w:val="es-CR"/>
        </w:rPr>
        <w:footnoteReference w:id="9"/>
      </w:r>
      <w:r w:rsidRPr="00F740CD">
        <w:rPr>
          <w:lang w:val="es-CR"/>
        </w:rPr>
        <w:t xml:space="preserve">. Bajo este entendido, la Corte examinará las cuestiones planteadas por </w:t>
      </w:r>
      <w:r>
        <w:rPr>
          <w:lang w:val="es-CR"/>
        </w:rPr>
        <w:t>el Estado</w:t>
      </w:r>
      <w:r w:rsidRPr="00F740CD">
        <w:rPr>
          <w:lang w:val="es-CR"/>
        </w:rPr>
        <w:t xml:space="preserve">, así como los alegatos presentados por </w:t>
      </w:r>
      <w:r>
        <w:rPr>
          <w:lang w:val="es-CR"/>
        </w:rPr>
        <w:t>los</w:t>
      </w:r>
      <w:r w:rsidRPr="00F740CD">
        <w:rPr>
          <w:lang w:val="es-CR"/>
        </w:rPr>
        <w:t xml:space="preserve"> </w:t>
      </w:r>
      <w:r>
        <w:rPr>
          <w:lang w:val="es-CR"/>
        </w:rPr>
        <w:t>representantes</w:t>
      </w:r>
      <w:r w:rsidRPr="00F740CD">
        <w:rPr>
          <w:lang w:val="es-CR"/>
        </w:rPr>
        <w:t xml:space="preserve"> y la Comisión, respectivamente, y determinará la procedencia de las mismas.</w:t>
      </w:r>
    </w:p>
    <w:p w:rsidR="003E08D6" w:rsidRPr="00E73C4F" w:rsidRDefault="003E08D6" w:rsidP="00C325A4">
      <w:pPr>
        <w:autoSpaceDE w:val="0"/>
        <w:autoSpaceDN w:val="0"/>
        <w:adjustRightInd w:val="0"/>
        <w:jc w:val="both"/>
        <w:rPr>
          <w:rFonts w:eastAsia="Calibri" w:cs="Verdana"/>
          <w:highlight w:val="darkCyan"/>
          <w:lang w:val="es-CR"/>
        </w:rPr>
      </w:pPr>
    </w:p>
    <w:p w:rsidR="003E08D6" w:rsidRPr="00E879BC" w:rsidRDefault="003E08D6" w:rsidP="00C325A4">
      <w:pPr>
        <w:autoSpaceDE w:val="0"/>
        <w:autoSpaceDN w:val="0"/>
        <w:adjustRightInd w:val="0"/>
        <w:jc w:val="both"/>
        <w:rPr>
          <w:rFonts w:eastAsia="Calibri" w:cs="Verdana"/>
          <w:i/>
          <w:lang w:val="es-CR"/>
        </w:rPr>
      </w:pPr>
      <w:r>
        <w:rPr>
          <w:rFonts w:eastAsia="Calibri" w:cs="Verdana"/>
          <w:b/>
          <w:lang w:val="es-CR"/>
        </w:rPr>
        <w:t>A.</w:t>
      </w:r>
      <w:r>
        <w:rPr>
          <w:rFonts w:eastAsia="Calibri" w:cs="Verdana"/>
          <w:i/>
          <w:lang w:val="es-CR"/>
        </w:rPr>
        <w:tab/>
      </w:r>
      <w:r w:rsidR="00773354">
        <w:rPr>
          <w:rFonts w:eastAsia="Calibri" w:cs="Verdana"/>
          <w:b/>
          <w:lang w:val="es-CR"/>
        </w:rPr>
        <w:t>Solicitud de interpretación sobre el párrafo 202 de la Sentencia</w:t>
      </w:r>
    </w:p>
    <w:p w:rsidR="003E08D6" w:rsidRDefault="003E08D6" w:rsidP="004A6CA8">
      <w:pPr>
        <w:autoSpaceDE w:val="0"/>
        <w:autoSpaceDN w:val="0"/>
        <w:adjustRightInd w:val="0"/>
        <w:jc w:val="both"/>
        <w:rPr>
          <w:rFonts w:eastAsia="Calibri" w:cs="Verdana"/>
          <w:b/>
          <w:lang w:val="es-CR"/>
        </w:rPr>
      </w:pPr>
    </w:p>
    <w:p w:rsidR="003E08D6" w:rsidRPr="00E879BC" w:rsidRDefault="003E08D6" w:rsidP="001B65D6">
      <w:pPr>
        <w:autoSpaceDE w:val="0"/>
        <w:autoSpaceDN w:val="0"/>
        <w:adjustRightInd w:val="0"/>
        <w:ind w:left="708"/>
        <w:jc w:val="both"/>
        <w:rPr>
          <w:rFonts w:eastAsia="Calibri" w:cs="Verdana"/>
          <w:i/>
          <w:lang w:val="es-CR"/>
        </w:rPr>
      </w:pPr>
      <w:r>
        <w:rPr>
          <w:rFonts w:eastAsia="Calibri" w:cs="Verdana"/>
          <w:i/>
          <w:lang w:val="es-CR"/>
        </w:rPr>
        <w:t xml:space="preserve">1. Argumentos de las partes y de la Comisión </w:t>
      </w:r>
    </w:p>
    <w:p w:rsidR="003E08D6" w:rsidRDefault="003E08D6" w:rsidP="00A86FE5">
      <w:pPr>
        <w:pStyle w:val="MediumGrid1-Accent21"/>
        <w:ind w:left="708"/>
        <w:rPr>
          <w:rFonts w:eastAsia="Calibri" w:cs="Verdana"/>
          <w:i/>
          <w:lang w:val="es-CR"/>
        </w:rPr>
      </w:pPr>
    </w:p>
    <w:p w:rsidR="00195C6C" w:rsidRPr="005B1513" w:rsidRDefault="003E08D6" w:rsidP="0044361C">
      <w:pPr>
        <w:numPr>
          <w:ilvl w:val="0"/>
          <w:numId w:val="1"/>
        </w:numPr>
        <w:tabs>
          <w:tab w:val="num" w:pos="720"/>
        </w:tabs>
        <w:autoSpaceDE w:val="0"/>
        <w:autoSpaceDN w:val="0"/>
        <w:adjustRightInd w:val="0"/>
        <w:ind w:left="0"/>
        <w:jc w:val="both"/>
        <w:rPr>
          <w:rFonts w:eastAsia="Calibri" w:cs="Verdana"/>
          <w:lang w:val="es-CR"/>
        </w:rPr>
      </w:pPr>
      <w:r w:rsidRPr="00F8227F">
        <w:rPr>
          <w:rFonts w:eastAsia="Calibri" w:cs="Verdana"/>
          <w:lang w:val="es-CR"/>
        </w:rPr>
        <w:t xml:space="preserve">El </w:t>
      </w:r>
      <w:r w:rsidRPr="00F8227F">
        <w:rPr>
          <w:rFonts w:eastAsia="Calibri" w:cs="Verdana"/>
          <w:b/>
          <w:i/>
          <w:lang w:val="es-CR"/>
        </w:rPr>
        <w:t>Estado</w:t>
      </w:r>
      <w:r w:rsidRPr="00F8227F">
        <w:rPr>
          <w:rFonts w:eastAsia="Calibri" w:cs="Verdana"/>
          <w:b/>
          <w:lang w:val="es-CR"/>
        </w:rPr>
        <w:t xml:space="preserve"> </w:t>
      </w:r>
      <w:r w:rsidR="00773354" w:rsidRPr="00773354">
        <w:rPr>
          <w:rFonts w:eastAsia="Calibri" w:cs="Verdana"/>
          <w:lang w:val="es-CR"/>
        </w:rPr>
        <w:t xml:space="preserve">solicitó a la Corte aclarar y precisar: i) “Si la sentencia de condena que fue emitida en el proceso penal en contra de Agustín Bladimiro Zegarra Marín </w:t>
      </w:r>
      <w:r w:rsidR="00773354" w:rsidRPr="00773354">
        <w:rPr>
          <w:rFonts w:eastAsia="Calibri" w:cs="Verdana"/>
          <w:bCs/>
          <w:lang w:val="es-CR"/>
        </w:rPr>
        <w:t xml:space="preserve">carece de efectos jurídicos </w:t>
      </w:r>
      <w:r w:rsidR="00773354" w:rsidRPr="00773354">
        <w:rPr>
          <w:rFonts w:eastAsia="Calibri" w:cs="Verdana"/>
          <w:lang w:val="es-CR"/>
        </w:rPr>
        <w:t xml:space="preserve">y tal como señala la sentencia de la Corte </w:t>
      </w:r>
      <w:r w:rsidR="00773354" w:rsidRPr="00773354">
        <w:rPr>
          <w:rFonts w:eastAsia="Calibri" w:cs="Verdana"/>
          <w:bCs/>
          <w:lang w:val="es-CR"/>
        </w:rPr>
        <w:t xml:space="preserve">[…] </w:t>
      </w:r>
      <w:r w:rsidR="00773354" w:rsidRPr="00773354">
        <w:rPr>
          <w:rFonts w:eastAsia="Calibri" w:cs="Verdana"/>
          <w:lang w:val="es-CR"/>
        </w:rPr>
        <w:t xml:space="preserve">en lo que respecta a la víctima en el presente caso, </w:t>
      </w:r>
      <w:r w:rsidR="00773354" w:rsidRPr="00773354">
        <w:rPr>
          <w:rFonts w:eastAsia="Calibri" w:cs="Verdana"/>
          <w:bCs/>
          <w:lang w:val="es-CR"/>
        </w:rPr>
        <w:t>la primera</w:t>
      </w:r>
      <w:r w:rsidR="00773354" w:rsidRPr="00773354">
        <w:rPr>
          <w:rFonts w:eastAsia="Calibri" w:cs="Verdana"/>
          <w:lang w:val="es-CR"/>
        </w:rPr>
        <w:t xml:space="preserve"> </w:t>
      </w:r>
      <w:r w:rsidR="00773354" w:rsidRPr="00773354">
        <w:rPr>
          <w:rFonts w:eastAsia="Calibri" w:cs="Verdana"/>
          <w:bCs/>
          <w:lang w:val="es-CR"/>
        </w:rPr>
        <w:t xml:space="preserve">pregunta </w:t>
      </w:r>
      <w:r w:rsidR="00773354" w:rsidRPr="00773354">
        <w:rPr>
          <w:rFonts w:eastAsia="Calibri" w:cs="Verdana"/>
          <w:lang w:val="es-CR"/>
        </w:rPr>
        <w:t xml:space="preserve">es si el dejar sin efecto la sentencia de la Quinta Sala Penal de la Corte Superior de Justicia de Lima del 8 de noviembre de 1996, en lo que corresponde al señor Zegarra Marín, </w:t>
      </w:r>
      <w:r w:rsidR="00773354" w:rsidRPr="00773354">
        <w:rPr>
          <w:rFonts w:eastAsia="Calibri" w:cs="Verdana"/>
          <w:bCs/>
          <w:i/>
          <w:iCs/>
          <w:lang w:val="es-CR"/>
        </w:rPr>
        <w:t xml:space="preserve">¿Significa que los considerandos </w:t>
      </w:r>
      <w:r w:rsidR="00773354" w:rsidRPr="00773354">
        <w:rPr>
          <w:rFonts w:eastAsia="Calibri" w:cs="Verdana"/>
          <w:i/>
          <w:iCs/>
          <w:lang w:val="es-CR"/>
        </w:rPr>
        <w:t xml:space="preserve">y </w:t>
      </w:r>
      <w:r w:rsidR="00773354" w:rsidRPr="00773354">
        <w:rPr>
          <w:rFonts w:eastAsia="Calibri" w:cs="Verdana"/>
          <w:bCs/>
          <w:i/>
          <w:iCs/>
          <w:lang w:val="es-CR"/>
        </w:rPr>
        <w:t>el fallo de la precitada</w:t>
      </w:r>
      <w:r w:rsidR="00773354" w:rsidRPr="00773354">
        <w:rPr>
          <w:rFonts w:eastAsia="Calibri" w:cs="Verdana"/>
          <w:lang w:val="es-CR"/>
        </w:rPr>
        <w:t xml:space="preserve"> </w:t>
      </w:r>
      <w:r w:rsidR="00773354" w:rsidRPr="00773354">
        <w:rPr>
          <w:rFonts w:eastAsia="Calibri" w:cs="Verdana"/>
          <w:bCs/>
          <w:i/>
          <w:iCs/>
          <w:lang w:val="es-CR"/>
        </w:rPr>
        <w:t>sentencia nacional siguen vigentes e inalterados en lo que corresponde a los</w:t>
      </w:r>
      <w:r w:rsidR="00773354" w:rsidRPr="00773354">
        <w:rPr>
          <w:rFonts w:eastAsia="Calibri" w:cs="Verdana"/>
          <w:lang w:val="es-CR"/>
        </w:rPr>
        <w:t xml:space="preserve"> </w:t>
      </w:r>
      <w:r w:rsidR="00773354" w:rsidRPr="00773354">
        <w:rPr>
          <w:rFonts w:eastAsia="Calibri" w:cs="Verdana"/>
          <w:bCs/>
          <w:i/>
          <w:iCs/>
          <w:lang w:val="es-CR"/>
        </w:rPr>
        <w:t xml:space="preserve">demás sentenciados?” </w:t>
      </w:r>
      <w:r w:rsidR="00773354" w:rsidRPr="00773354">
        <w:rPr>
          <w:rFonts w:eastAsia="Calibri" w:cs="Verdana"/>
          <w:bCs/>
          <w:iCs/>
          <w:lang w:val="es-CR"/>
        </w:rPr>
        <w:t xml:space="preserve">y ii) “si el dejar sin efecto la sentencia condenatoria en lo que corresponde a Zegarra Marín </w:t>
      </w:r>
      <w:r w:rsidR="00773354" w:rsidRPr="00773354">
        <w:rPr>
          <w:rFonts w:eastAsia="Calibri" w:cs="Verdana"/>
          <w:bCs/>
          <w:i/>
          <w:iCs/>
          <w:lang w:val="es-CR"/>
        </w:rPr>
        <w:t xml:space="preserve">¿representa la ausencia de </w:t>
      </w:r>
      <w:r w:rsidR="00773354" w:rsidRPr="00773354">
        <w:rPr>
          <w:rFonts w:eastAsia="Calibri" w:cs="Verdana"/>
          <w:bCs/>
          <w:i/>
          <w:iCs/>
          <w:lang w:val="es-CR"/>
        </w:rPr>
        <w:lastRenderedPageBreak/>
        <w:t>responsabilidad penal respecto a los hechos por los cuales fue condenado el señor Agustín Bladimiro Zegarra Marín?</w:t>
      </w:r>
      <w:r w:rsidR="00773354" w:rsidRPr="00773354">
        <w:rPr>
          <w:rFonts w:eastAsia="Calibri" w:cs="Verdana"/>
          <w:bCs/>
          <w:iCs/>
          <w:lang w:val="es-CR"/>
        </w:rPr>
        <w:t>”.</w:t>
      </w:r>
      <w:r w:rsidR="005B1513">
        <w:rPr>
          <w:rFonts w:eastAsia="Calibri" w:cs="Verdana"/>
          <w:bCs/>
          <w:iCs/>
          <w:lang w:val="es-CR"/>
        </w:rPr>
        <w:t xml:space="preserve"> </w:t>
      </w:r>
    </w:p>
    <w:p w:rsidR="00447918" w:rsidRPr="00F8227F" w:rsidRDefault="00447918" w:rsidP="0044361C">
      <w:pPr>
        <w:autoSpaceDE w:val="0"/>
        <w:autoSpaceDN w:val="0"/>
        <w:adjustRightInd w:val="0"/>
        <w:jc w:val="both"/>
        <w:rPr>
          <w:rFonts w:eastAsia="Calibri" w:cs="Verdana"/>
          <w:i/>
          <w:lang w:val="es-CR"/>
        </w:rPr>
      </w:pPr>
    </w:p>
    <w:p w:rsidR="009C2ED8" w:rsidRPr="0029181D" w:rsidRDefault="009D13F2" w:rsidP="0044361C">
      <w:pPr>
        <w:numPr>
          <w:ilvl w:val="0"/>
          <w:numId w:val="1"/>
        </w:numPr>
        <w:tabs>
          <w:tab w:val="num" w:pos="720"/>
        </w:tabs>
        <w:autoSpaceDE w:val="0"/>
        <w:autoSpaceDN w:val="0"/>
        <w:adjustRightInd w:val="0"/>
        <w:ind w:left="0"/>
        <w:jc w:val="both"/>
        <w:rPr>
          <w:rFonts w:eastAsia="Calibri" w:cs="Verdana"/>
          <w:lang w:val="es-CR"/>
        </w:rPr>
      </w:pPr>
      <w:r>
        <w:rPr>
          <w:rFonts w:eastAsia="Calibri" w:cs="Verdana"/>
          <w:lang w:val="es-CR"/>
        </w:rPr>
        <w:t>L</w:t>
      </w:r>
      <w:r w:rsidR="000805F8">
        <w:rPr>
          <w:rFonts w:eastAsia="Calibri" w:cs="Verdana"/>
          <w:lang w:val="es-CR"/>
        </w:rPr>
        <w:t>o</w:t>
      </w:r>
      <w:r w:rsidR="003E08D6">
        <w:rPr>
          <w:rFonts w:eastAsia="Calibri" w:cs="Verdana"/>
          <w:lang w:val="es-CR"/>
        </w:rPr>
        <w:t xml:space="preserve">s </w:t>
      </w:r>
      <w:r w:rsidR="003E08D6">
        <w:rPr>
          <w:rFonts w:eastAsia="Calibri" w:cs="Verdana"/>
          <w:b/>
          <w:i/>
          <w:lang w:val="es-CR"/>
        </w:rPr>
        <w:t>representantes</w:t>
      </w:r>
      <w:r w:rsidR="003E08D6">
        <w:rPr>
          <w:rFonts w:eastAsia="Calibri" w:cs="Verdana"/>
          <w:lang w:val="es-CR"/>
        </w:rPr>
        <w:t xml:space="preserve"> </w:t>
      </w:r>
      <w:r w:rsidR="00693FC1">
        <w:rPr>
          <w:rFonts w:eastAsia="Calibri" w:cs="Verdana"/>
          <w:lang w:val="es-CR"/>
        </w:rPr>
        <w:t>s</w:t>
      </w:r>
      <w:r w:rsidR="0029181D">
        <w:rPr>
          <w:rFonts w:eastAsia="Calibri" w:cs="Verdana"/>
          <w:lang w:val="es-CR"/>
        </w:rPr>
        <w:t xml:space="preserve">eñalaron que, </w:t>
      </w:r>
      <w:r w:rsidR="00693FC1">
        <w:rPr>
          <w:rFonts w:eastAsia="Calibri" w:cs="Verdana"/>
          <w:lang w:val="es-CR"/>
        </w:rPr>
        <w:t>respecto de la primera consulta realizada por el Estado, parece claro que el Tribunal sólo consideró la situación de la víctima de este caso sin haber</w:t>
      </w:r>
      <w:r w:rsidR="0029181D">
        <w:rPr>
          <w:rFonts w:eastAsia="Calibri" w:cs="Verdana"/>
          <w:lang w:val="es-CR"/>
        </w:rPr>
        <w:t xml:space="preserve"> dictado pronunciamiento alguno en relación al resto de personas que fueron sometidas al proceso penal en el orden nacional en la misma investigación a la que estuvo ligado el señor Zegarra Marín. Además, señalaron que la pregunta del Estado resulta completamente ajena a los hechos del presente caso, la Sentencia dictada por la Corte es clara en este punto y el Estado no indicó de qué modo puede incidir el cuestionamiento que formula en la parte resolutiva del fallo. </w:t>
      </w:r>
      <w:r w:rsidR="00950A40" w:rsidRPr="005B1513">
        <w:rPr>
          <w:rFonts w:eastAsia="Calibri" w:cs="Verdana"/>
          <w:b/>
          <w:sz w:val="16"/>
          <w:szCs w:val="16"/>
          <w:lang w:val="es-CR"/>
        </w:rPr>
        <w:t>[</w:t>
      </w:r>
      <w:r w:rsidR="00950A40">
        <w:rPr>
          <w:rFonts w:eastAsia="Calibri" w:cs="Verdana"/>
          <w:b/>
          <w:sz w:val="16"/>
          <w:szCs w:val="16"/>
          <w:lang w:val="es-CR"/>
        </w:rPr>
        <w:t>F. 162</w:t>
      </w:r>
      <w:r w:rsidR="00950A40" w:rsidRPr="005B1513">
        <w:rPr>
          <w:rFonts w:eastAsia="Calibri" w:cs="Verdana"/>
          <w:b/>
          <w:sz w:val="16"/>
          <w:szCs w:val="16"/>
          <w:lang w:val="es-CR"/>
        </w:rPr>
        <w:t>]</w:t>
      </w:r>
      <w:r w:rsidR="00693FC1">
        <w:rPr>
          <w:rFonts w:eastAsia="Calibri" w:cs="Verdana"/>
          <w:lang w:val="es-CR"/>
        </w:rPr>
        <w:t xml:space="preserve"> </w:t>
      </w:r>
      <w:r w:rsidR="0029181D">
        <w:rPr>
          <w:rFonts w:eastAsia="Calibri" w:cs="Verdana"/>
          <w:lang w:val="es-CR"/>
        </w:rPr>
        <w:t>En relación con el segundo cuestionamiento planteado, los representantes indicaron que “</w:t>
      </w:r>
      <w:r w:rsidR="0029181D" w:rsidRPr="0029181D">
        <w:rPr>
          <w:rFonts w:eastAsia="Calibri" w:cs="Verdana"/>
          <w:lang w:val="es-CR"/>
        </w:rPr>
        <w:t xml:space="preserve">si el </w:t>
      </w:r>
      <w:r w:rsidR="0029181D">
        <w:rPr>
          <w:rFonts w:eastAsia="Calibri" w:cs="Verdana"/>
          <w:lang w:val="es-CR"/>
        </w:rPr>
        <w:t>[señor]</w:t>
      </w:r>
      <w:r w:rsidR="0029181D" w:rsidRPr="0029181D">
        <w:rPr>
          <w:rFonts w:eastAsia="Calibri" w:cs="Verdana"/>
          <w:lang w:val="es-CR"/>
        </w:rPr>
        <w:t xml:space="preserve"> Zegarra Marín reviste estado de inocente, y la</w:t>
      </w:r>
      <w:r w:rsidR="0029181D">
        <w:rPr>
          <w:rFonts w:eastAsia="Calibri" w:cs="Verdana"/>
          <w:lang w:val="es-CR"/>
        </w:rPr>
        <w:t xml:space="preserve"> </w:t>
      </w:r>
      <w:r w:rsidR="0029181D" w:rsidRPr="0029181D">
        <w:rPr>
          <w:rFonts w:eastAsia="Calibri" w:cs="Verdana"/>
          <w:lang w:val="es-CR"/>
        </w:rPr>
        <w:t>sentencia por la cual el Estado lo condenó resulta inválida y carece de efectos</w:t>
      </w:r>
      <w:r w:rsidR="0029181D">
        <w:rPr>
          <w:rFonts w:eastAsia="Calibri" w:cs="Verdana"/>
          <w:lang w:val="es-CR"/>
        </w:rPr>
        <w:t xml:space="preserve"> </w:t>
      </w:r>
      <w:r w:rsidR="0029181D" w:rsidRPr="0029181D">
        <w:rPr>
          <w:rFonts w:eastAsia="Calibri" w:cs="Verdana"/>
          <w:lang w:val="es-CR"/>
        </w:rPr>
        <w:t>jurídicos, el involucrado reasume completamente su estado de inocencia, el que</w:t>
      </w:r>
      <w:r w:rsidR="0029181D">
        <w:rPr>
          <w:rFonts w:eastAsia="Calibri" w:cs="Verdana"/>
          <w:lang w:val="es-CR"/>
        </w:rPr>
        <w:t xml:space="preserve"> </w:t>
      </w:r>
      <w:r w:rsidR="0029181D" w:rsidRPr="0029181D">
        <w:rPr>
          <w:rFonts w:eastAsia="Calibri" w:cs="Verdana"/>
          <w:lang w:val="es-CR"/>
        </w:rPr>
        <w:t>nunca fue legítimamente quebrado y por lo tanto debe ser considerado inocente, lo</w:t>
      </w:r>
      <w:r w:rsidR="0029181D">
        <w:rPr>
          <w:rFonts w:eastAsia="Calibri" w:cs="Verdana"/>
          <w:lang w:val="es-CR"/>
        </w:rPr>
        <w:t xml:space="preserve"> </w:t>
      </w:r>
      <w:r w:rsidR="0029181D" w:rsidRPr="0029181D">
        <w:rPr>
          <w:rFonts w:eastAsia="Calibri" w:cs="Verdana"/>
          <w:lang w:val="es-CR"/>
        </w:rPr>
        <w:t>que por cierto, implica ausencia de responsabilidad penal.</w:t>
      </w:r>
      <w:r w:rsidR="0029181D">
        <w:rPr>
          <w:rFonts w:eastAsia="Calibri" w:cs="Verdana"/>
          <w:lang w:val="es-CR"/>
        </w:rPr>
        <w:t xml:space="preserve"> </w:t>
      </w:r>
      <w:r w:rsidR="0029181D" w:rsidRPr="0029181D">
        <w:rPr>
          <w:rFonts w:eastAsia="Calibri" w:cs="Verdana"/>
          <w:lang w:val="es-CR"/>
        </w:rPr>
        <w:t xml:space="preserve">Así, no se advierte falta de claridad </w:t>
      </w:r>
      <w:r w:rsidR="005C415A">
        <w:rPr>
          <w:rFonts w:eastAsia="Calibri" w:cs="Verdana"/>
          <w:lang w:val="es-CR"/>
        </w:rPr>
        <w:t>sobre</w:t>
      </w:r>
      <w:r w:rsidR="005C415A" w:rsidRPr="0029181D">
        <w:rPr>
          <w:rFonts w:eastAsia="Calibri" w:cs="Verdana"/>
          <w:lang w:val="es-CR"/>
        </w:rPr>
        <w:t xml:space="preserve"> </w:t>
      </w:r>
      <w:r w:rsidR="0029181D" w:rsidRPr="0029181D">
        <w:rPr>
          <w:rFonts w:eastAsia="Calibri" w:cs="Verdana"/>
          <w:lang w:val="es-CR"/>
        </w:rPr>
        <w:t>lo resuelto por la Corte tampoco en este punto y</w:t>
      </w:r>
      <w:r w:rsidR="005C415A">
        <w:rPr>
          <w:rFonts w:eastAsia="Calibri" w:cs="Verdana"/>
          <w:lang w:val="es-CR"/>
        </w:rPr>
        <w:t xml:space="preserve"> por lo</w:t>
      </w:r>
      <w:r w:rsidR="0029181D" w:rsidRPr="0029181D">
        <w:rPr>
          <w:rFonts w:eastAsia="Calibri" w:cs="Verdana"/>
          <w:lang w:val="es-CR"/>
        </w:rPr>
        <w:t xml:space="preserve"> que también debe ser desestimado</w:t>
      </w:r>
      <w:r w:rsidR="0029181D">
        <w:rPr>
          <w:rFonts w:eastAsia="Calibri" w:cs="Verdana"/>
          <w:lang w:val="es-CR"/>
        </w:rPr>
        <w:t>”</w:t>
      </w:r>
      <w:r w:rsidR="0029181D" w:rsidRPr="0029181D">
        <w:rPr>
          <w:rFonts w:eastAsia="Calibri" w:cs="Verdana"/>
          <w:lang w:val="es-CR"/>
        </w:rPr>
        <w:t>.</w:t>
      </w:r>
      <w:r w:rsidR="0029181D">
        <w:rPr>
          <w:rFonts w:eastAsia="Calibri" w:cs="Verdana"/>
          <w:lang w:val="es-CR"/>
        </w:rPr>
        <w:t xml:space="preserve"> </w:t>
      </w:r>
      <w:r w:rsidR="00950A40" w:rsidRPr="005B1513">
        <w:rPr>
          <w:rFonts w:eastAsia="Calibri" w:cs="Verdana"/>
          <w:b/>
          <w:sz w:val="16"/>
          <w:szCs w:val="16"/>
          <w:lang w:val="es-CR"/>
        </w:rPr>
        <w:t>[</w:t>
      </w:r>
      <w:r w:rsidR="00950A40">
        <w:rPr>
          <w:rFonts w:eastAsia="Calibri" w:cs="Verdana"/>
          <w:b/>
          <w:sz w:val="16"/>
          <w:szCs w:val="16"/>
          <w:lang w:val="es-CR"/>
        </w:rPr>
        <w:t>F. 163</w:t>
      </w:r>
      <w:r w:rsidR="00950A40" w:rsidRPr="005B1513">
        <w:rPr>
          <w:rFonts w:eastAsia="Calibri" w:cs="Verdana"/>
          <w:b/>
          <w:sz w:val="16"/>
          <w:szCs w:val="16"/>
          <w:lang w:val="es-CR"/>
        </w:rPr>
        <w:t>]</w:t>
      </w:r>
      <w:r w:rsidR="00950A40">
        <w:rPr>
          <w:rFonts w:eastAsia="Calibri" w:cs="Verdana"/>
          <w:b/>
          <w:sz w:val="16"/>
          <w:szCs w:val="16"/>
          <w:lang w:val="es-CR"/>
        </w:rPr>
        <w:t xml:space="preserve"> </w:t>
      </w:r>
      <w:r w:rsidR="0029181D">
        <w:rPr>
          <w:rFonts w:eastAsia="Calibri" w:cs="Verdana"/>
          <w:lang w:val="es-CR"/>
        </w:rPr>
        <w:t xml:space="preserve">Por lo que los representantes concluyeron que el Estado no señaló de qué modo las preguntas que formula pueden impactar el punto 9 de la parte resolutiva de la Sentencia y en este sentido, </w:t>
      </w:r>
      <w:r w:rsidR="00950A40">
        <w:rPr>
          <w:rFonts w:eastAsia="Calibri" w:cs="Verdana"/>
          <w:lang w:val="es-CR"/>
        </w:rPr>
        <w:t xml:space="preserve">la solicitud de interpretación presentada por el Estado </w:t>
      </w:r>
      <w:r w:rsidR="0029181D">
        <w:rPr>
          <w:rFonts w:eastAsia="Calibri" w:cs="Verdana"/>
          <w:lang w:val="es-CR"/>
        </w:rPr>
        <w:t xml:space="preserve">resulta improcedente porque la Sentencia resulta ser lo suficientemente </w:t>
      </w:r>
      <w:r w:rsidR="00950A40">
        <w:rPr>
          <w:rFonts w:eastAsia="Calibri" w:cs="Verdana"/>
          <w:lang w:val="es-CR"/>
        </w:rPr>
        <w:t xml:space="preserve">clara en los puntos cuestionados en la misma. </w:t>
      </w:r>
    </w:p>
    <w:p w:rsidR="00E36FBD" w:rsidRPr="00DF485E" w:rsidRDefault="00E36FBD" w:rsidP="0044361C">
      <w:pPr>
        <w:autoSpaceDE w:val="0"/>
        <w:autoSpaceDN w:val="0"/>
        <w:adjustRightInd w:val="0"/>
        <w:jc w:val="both"/>
        <w:rPr>
          <w:rFonts w:eastAsia="Calibri" w:cs="Verdana"/>
          <w:i/>
          <w:lang w:val="es-CR"/>
        </w:rPr>
      </w:pPr>
    </w:p>
    <w:p w:rsidR="00275DD6" w:rsidRPr="005B1513" w:rsidRDefault="00650F8A" w:rsidP="004A6CA8">
      <w:pPr>
        <w:numPr>
          <w:ilvl w:val="0"/>
          <w:numId w:val="1"/>
        </w:numPr>
        <w:tabs>
          <w:tab w:val="num" w:pos="720"/>
        </w:tabs>
        <w:autoSpaceDE w:val="0"/>
        <w:autoSpaceDN w:val="0"/>
        <w:adjustRightInd w:val="0"/>
        <w:ind w:left="0"/>
        <w:jc w:val="both"/>
        <w:rPr>
          <w:rFonts w:eastAsia="Calibri" w:cs="Verdana"/>
          <w:lang w:val="es-CR"/>
        </w:rPr>
      </w:pPr>
      <w:r>
        <w:rPr>
          <w:rFonts w:eastAsia="Calibri" w:cs="Verdana"/>
          <w:lang w:val="es-CR"/>
        </w:rPr>
        <w:t xml:space="preserve">La </w:t>
      </w:r>
      <w:r w:rsidRPr="00650F8A">
        <w:rPr>
          <w:rFonts w:eastAsia="Calibri" w:cs="Verdana"/>
          <w:b/>
          <w:i/>
          <w:lang w:val="es-CR"/>
        </w:rPr>
        <w:t>Comisión</w:t>
      </w:r>
      <w:r w:rsidR="00275DD6">
        <w:rPr>
          <w:rFonts w:eastAsia="Calibri" w:cs="Verdana"/>
          <w:lang w:val="es-CR"/>
        </w:rPr>
        <w:t xml:space="preserve"> </w:t>
      </w:r>
      <w:r w:rsidR="005B1513">
        <w:rPr>
          <w:rFonts w:eastAsia="Calibri" w:cs="Verdana"/>
          <w:lang w:val="es-CR"/>
        </w:rPr>
        <w:t xml:space="preserve">consideró que el párrafo referido por el Estado es </w:t>
      </w:r>
      <w:r w:rsidR="005B1513" w:rsidRPr="005B1513">
        <w:rPr>
          <w:rFonts w:eastAsia="Calibri" w:cs="Verdana"/>
          <w:lang w:val="es-CR"/>
        </w:rPr>
        <w:t>suficientemente claro en cuanto al alcance que tiene la medida ordenada por la Corte y respecto de</w:t>
      </w:r>
      <w:r w:rsidR="005B1513">
        <w:rPr>
          <w:rFonts w:eastAsia="Calibri" w:cs="Verdana"/>
          <w:lang w:val="es-CR"/>
        </w:rPr>
        <w:t xml:space="preserve"> </w:t>
      </w:r>
      <w:r w:rsidR="005B1513" w:rsidRPr="005B1513">
        <w:rPr>
          <w:rFonts w:eastAsia="Calibri" w:cs="Verdana"/>
          <w:lang w:val="es-CR"/>
        </w:rPr>
        <w:t>“la víctima en el presente caso”, lo que no incluye a otras personas condenadas en el mismo proceso</w:t>
      </w:r>
      <w:r w:rsidR="005B1513">
        <w:rPr>
          <w:rFonts w:eastAsia="Calibri" w:cs="Verdana"/>
          <w:lang w:val="es-CR"/>
        </w:rPr>
        <w:t xml:space="preserve"> </w:t>
      </w:r>
      <w:r w:rsidR="005B1513" w:rsidRPr="005B1513">
        <w:rPr>
          <w:rFonts w:eastAsia="Calibri" w:cs="Verdana"/>
          <w:lang w:val="es-CR"/>
        </w:rPr>
        <w:t xml:space="preserve">penal. Asimismo, </w:t>
      </w:r>
      <w:r w:rsidR="005B1513">
        <w:rPr>
          <w:rFonts w:eastAsia="Calibri" w:cs="Verdana"/>
          <w:lang w:val="es-CR"/>
        </w:rPr>
        <w:t xml:space="preserve">la Comisión señaló que </w:t>
      </w:r>
      <w:r w:rsidR="005B1513" w:rsidRPr="005B1513">
        <w:rPr>
          <w:rFonts w:eastAsia="Calibri" w:cs="Verdana"/>
          <w:lang w:val="es-CR"/>
        </w:rPr>
        <w:t>de una lectura integral del fallo se desprende que el objetivo perseguido por dicha</w:t>
      </w:r>
      <w:r w:rsidR="005B1513">
        <w:rPr>
          <w:rFonts w:eastAsia="Calibri" w:cs="Verdana"/>
          <w:lang w:val="es-CR"/>
        </w:rPr>
        <w:t xml:space="preserve"> </w:t>
      </w:r>
      <w:r w:rsidR="005B1513" w:rsidRPr="005B1513">
        <w:rPr>
          <w:rFonts w:eastAsia="Calibri" w:cs="Verdana"/>
          <w:lang w:val="es-CR"/>
        </w:rPr>
        <w:t>medida de restitución es justamente retrotraer la situación anterior a que se configuraran las</w:t>
      </w:r>
      <w:r w:rsidR="005B1513">
        <w:rPr>
          <w:rFonts w:eastAsia="Calibri" w:cs="Verdana"/>
          <w:lang w:val="es-CR"/>
        </w:rPr>
        <w:t xml:space="preserve"> </w:t>
      </w:r>
      <w:r w:rsidR="005B1513" w:rsidRPr="005B1513">
        <w:rPr>
          <w:rFonts w:eastAsia="Calibri" w:cs="Verdana"/>
          <w:lang w:val="es-CR"/>
        </w:rPr>
        <w:t>violaciones a la presunción de inocencia y falta de motivación en perjuicio de la víctima, y con base</w:t>
      </w:r>
      <w:r w:rsidR="005B1513">
        <w:rPr>
          <w:rFonts w:eastAsia="Calibri" w:cs="Verdana"/>
          <w:lang w:val="es-CR"/>
        </w:rPr>
        <w:t xml:space="preserve"> </w:t>
      </w:r>
      <w:r w:rsidR="005B1513" w:rsidRPr="005B1513">
        <w:rPr>
          <w:rFonts w:eastAsia="Calibri" w:cs="Verdana"/>
          <w:lang w:val="es-CR"/>
        </w:rPr>
        <w:t>en las cuales se determinó su responsabilidad penal.</w:t>
      </w:r>
      <w:r w:rsidR="005B1513">
        <w:rPr>
          <w:rFonts w:eastAsia="Calibri" w:cs="Verdana"/>
          <w:lang w:val="es-CR"/>
        </w:rPr>
        <w:t xml:space="preserve"> Sin perjuicio de lo anterior, la Comisión Interamericana recomendó a la Corte aclarar que la </w:t>
      </w:r>
      <w:r w:rsidR="005B1513" w:rsidRPr="005B1513">
        <w:rPr>
          <w:rFonts w:eastAsia="Calibri" w:cs="Verdana"/>
          <w:lang w:val="es-CR"/>
        </w:rPr>
        <w:t>declaratoria de responsabilidad internacional del Estado en el presente caso se deriva de una serie</w:t>
      </w:r>
      <w:r w:rsidR="005B1513">
        <w:rPr>
          <w:rFonts w:eastAsia="Calibri" w:cs="Verdana"/>
          <w:lang w:val="es-CR"/>
        </w:rPr>
        <w:t xml:space="preserve"> </w:t>
      </w:r>
      <w:r w:rsidR="005B1513" w:rsidRPr="005B1513">
        <w:rPr>
          <w:rFonts w:eastAsia="Calibri" w:cs="Verdana"/>
          <w:lang w:val="es-CR"/>
        </w:rPr>
        <w:t>de violaciones al debido proceso como la presunción de inocencia en contra del señor Zegarra</w:t>
      </w:r>
      <w:r w:rsidR="005B1513">
        <w:rPr>
          <w:rFonts w:eastAsia="Calibri" w:cs="Verdana"/>
          <w:lang w:val="es-CR"/>
        </w:rPr>
        <w:t xml:space="preserve"> </w:t>
      </w:r>
      <w:r w:rsidR="005B1513" w:rsidRPr="005B1513">
        <w:rPr>
          <w:rFonts w:eastAsia="Calibri" w:cs="Verdana"/>
          <w:lang w:val="es-CR"/>
        </w:rPr>
        <w:t>Marín que, por su propia naturaleza, tienen como efecto generar que la misma sea considerada sin</w:t>
      </w:r>
      <w:r w:rsidR="005B1513">
        <w:rPr>
          <w:rFonts w:eastAsia="Calibri" w:cs="Verdana"/>
          <w:lang w:val="es-CR"/>
        </w:rPr>
        <w:t xml:space="preserve"> </w:t>
      </w:r>
      <w:r w:rsidR="005B1513" w:rsidRPr="005B1513">
        <w:rPr>
          <w:rFonts w:eastAsia="Calibri" w:cs="Verdana"/>
          <w:lang w:val="es-CR"/>
        </w:rPr>
        <w:t>efectos jurídicos.</w:t>
      </w:r>
      <w:r w:rsidR="005B1513">
        <w:rPr>
          <w:rFonts w:eastAsia="Calibri" w:cs="Verdana"/>
          <w:lang w:val="es-CR"/>
        </w:rPr>
        <w:t xml:space="preserve"> Por último, indicó que la Corte </w:t>
      </w:r>
      <w:r w:rsidR="005B1513" w:rsidRPr="005B1513">
        <w:rPr>
          <w:rFonts w:eastAsia="Calibri" w:cs="Verdana"/>
          <w:lang w:val="es-CR"/>
        </w:rPr>
        <w:t>también podría profundizar en que las determinaciones de esta medida</w:t>
      </w:r>
      <w:r w:rsidR="005B1513">
        <w:rPr>
          <w:rFonts w:eastAsia="Calibri" w:cs="Verdana"/>
          <w:lang w:val="es-CR"/>
        </w:rPr>
        <w:t xml:space="preserve"> </w:t>
      </w:r>
      <w:r w:rsidR="005B1513" w:rsidRPr="005B1513">
        <w:rPr>
          <w:rFonts w:eastAsia="Calibri" w:cs="Verdana"/>
          <w:lang w:val="es-CR"/>
        </w:rPr>
        <w:t>de restitución, y específicamente del párrafo 202, tienen en cuenta no sólo la naturaleza de las</w:t>
      </w:r>
      <w:r w:rsidR="005B1513">
        <w:rPr>
          <w:rFonts w:eastAsia="Calibri" w:cs="Verdana"/>
          <w:lang w:val="es-CR"/>
        </w:rPr>
        <w:t xml:space="preserve"> </w:t>
      </w:r>
      <w:r w:rsidR="005B1513" w:rsidRPr="005B1513">
        <w:rPr>
          <w:rFonts w:eastAsia="Calibri" w:cs="Verdana"/>
          <w:lang w:val="es-CR"/>
        </w:rPr>
        <w:t>violaciones acreditadas de la Convención sino también “el transcurso del tiempo y sus</w:t>
      </w:r>
      <w:r w:rsidR="005B1513">
        <w:rPr>
          <w:rFonts w:eastAsia="Calibri" w:cs="Verdana"/>
          <w:lang w:val="es-CR"/>
        </w:rPr>
        <w:t xml:space="preserve"> </w:t>
      </w:r>
      <w:r w:rsidR="005B1513" w:rsidRPr="005B1513">
        <w:rPr>
          <w:rFonts w:eastAsia="Calibri" w:cs="Verdana"/>
          <w:lang w:val="es-CR"/>
        </w:rPr>
        <w:t>consecuencias procesales”.</w:t>
      </w:r>
    </w:p>
    <w:p w:rsidR="005B1513" w:rsidRPr="00447918" w:rsidRDefault="005B1513" w:rsidP="001B65D6">
      <w:pPr>
        <w:autoSpaceDE w:val="0"/>
        <w:autoSpaceDN w:val="0"/>
        <w:adjustRightInd w:val="0"/>
        <w:jc w:val="both"/>
        <w:rPr>
          <w:rFonts w:eastAsia="Calibri" w:cs="Verdana"/>
          <w:i/>
          <w:lang w:val="es-CR"/>
        </w:rPr>
      </w:pPr>
    </w:p>
    <w:p w:rsidR="00B539F7" w:rsidRDefault="003E08D6" w:rsidP="00A86FE5">
      <w:pPr>
        <w:autoSpaceDE w:val="0"/>
        <w:autoSpaceDN w:val="0"/>
        <w:adjustRightInd w:val="0"/>
        <w:jc w:val="both"/>
        <w:rPr>
          <w:rFonts w:eastAsia="Calibri" w:cs="Verdana"/>
          <w:i/>
          <w:lang w:val="es-CR"/>
        </w:rPr>
      </w:pPr>
      <w:r>
        <w:rPr>
          <w:rFonts w:eastAsia="Calibri" w:cs="Verdana"/>
          <w:i/>
          <w:lang w:val="es-CR"/>
        </w:rPr>
        <w:tab/>
        <w:t xml:space="preserve">2. Consideraciones de la Corte </w:t>
      </w:r>
    </w:p>
    <w:p w:rsidR="00B539F7" w:rsidRDefault="00B539F7" w:rsidP="0044361C">
      <w:pPr>
        <w:autoSpaceDE w:val="0"/>
        <w:autoSpaceDN w:val="0"/>
        <w:adjustRightInd w:val="0"/>
        <w:jc w:val="both"/>
        <w:rPr>
          <w:rFonts w:eastAsia="Calibri" w:cs="Verdana"/>
          <w:i/>
          <w:lang w:val="es-CR"/>
        </w:rPr>
      </w:pPr>
    </w:p>
    <w:p w:rsidR="00890A3A" w:rsidRPr="00890A3A" w:rsidRDefault="0009411B" w:rsidP="0044361C">
      <w:pPr>
        <w:numPr>
          <w:ilvl w:val="0"/>
          <w:numId w:val="1"/>
        </w:numPr>
        <w:tabs>
          <w:tab w:val="num" w:pos="720"/>
        </w:tabs>
        <w:autoSpaceDE w:val="0"/>
        <w:autoSpaceDN w:val="0"/>
        <w:adjustRightInd w:val="0"/>
        <w:ind w:left="0"/>
        <w:jc w:val="both"/>
        <w:rPr>
          <w:rFonts w:eastAsia="Calibri" w:cs="Verdana"/>
          <w:i/>
          <w:lang w:val="es-CR"/>
        </w:rPr>
      </w:pPr>
      <w:r>
        <w:rPr>
          <w:rFonts w:eastAsia="Calibri" w:cs="Verdana"/>
          <w:i/>
          <w:lang w:val="es-CR"/>
        </w:rPr>
        <w:t xml:space="preserve"> </w:t>
      </w:r>
      <w:r w:rsidR="00A42EF3">
        <w:rPr>
          <w:rFonts w:eastAsia="Calibri" w:cs="Verdana"/>
          <w:lang w:val="es-CR"/>
        </w:rPr>
        <w:t xml:space="preserve">En relación con la </w:t>
      </w:r>
      <w:r w:rsidR="000805F8">
        <w:rPr>
          <w:rFonts w:eastAsia="Calibri" w:cs="Verdana"/>
          <w:lang w:val="es-CR"/>
        </w:rPr>
        <w:t xml:space="preserve">solicitud </w:t>
      </w:r>
      <w:r w:rsidR="00A42EF3">
        <w:rPr>
          <w:rFonts w:eastAsia="Calibri" w:cs="Verdana"/>
          <w:lang w:val="es-CR"/>
        </w:rPr>
        <w:t xml:space="preserve">planteada por el Estado, </w:t>
      </w:r>
      <w:r w:rsidR="00A42EF3">
        <w:t xml:space="preserve">la Corte recuerda que el párrafo 202 de la Sentencia establece </w:t>
      </w:r>
      <w:r w:rsidR="008C565F">
        <w:t xml:space="preserve">claramente </w:t>
      </w:r>
      <w:r w:rsidR="00A42EF3">
        <w:t>que</w:t>
      </w:r>
      <w:r w:rsidR="00890A3A">
        <w:t>:</w:t>
      </w:r>
    </w:p>
    <w:p w:rsidR="00890A3A" w:rsidRPr="00890A3A" w:rsidRDefault="00890A3A" w:rsidP="0044361C">
      <w:pPr>
        <w:autoSpaceDE w:val="0"/>
        <w:autoSpaceDN w:val="0"/>
        <w:adjustRightInd w:val="0"/>
        <w:jc w:val="both"/>
        <w:rPr>
          <w:rFonts w:eastAsia="Calibri" w:cs="Verdana"/>
          <w:i/>
          <w:lang w:val="es-CR"/>
        </w:rPr>
      </w:pPr>
    </w:p>
    <w:p w:rsidR="00890A3A" w:rsidRDefault="00890A3A" w:rsidP="0044361C">
      <w:pPr>
        <w:autoSpaceDE w:val="0"/>
        <w:autoSpaceDN w:val="0"/>
        <w:adjustRightInd w:val="0"/>
        <w:ind w:left="708"/>
        <w:jc w:val="both"/>
        <w:rPr>
          <w:rFonts w:eastAsia="Calibri" w:cs="Verdana"/>
          <w:sz w:val="18"/>
          <w:szCs w:val="18"/>
          <w:lang w:val="es-CR"/>
        </w:rPr>
      </w:pPr>
      <w:r w:rsidRPr="00890A3A">
        <w:rPr>
          <w:rFonts w:eastAsia="Calibri" w:cs="Verdana"/>
          <w:sz w:val="18"/>
          <w:szCs w:val="18"/>
          <w:lang w:val="es-CR"/>
        </w:rPr>
        <w:t xml:space="preserve">202. En consecuencia, en virtud de las violaciones acreditadas a la Convención Americana, el transcurso del tiempo y sus consecuencias procesales, la Corte determina que la sentencia de condena que fue emitida en el proceso penal en contra de </w:t>
      </w:r>
      <w:r w:rsidRPr="0044361C">
        <w:rPr>
          <w:rFonts w:eastAsia="Calibri" w:cs="Verdana"/>
          <w:sz w:val="18"/>
          <w:szCs w:val="18"/>
          <w:u w:val="single"/>
          <w:lang w:val="es-CR"/>
        </w:rPr>
        <w:t>Agustín Zegarra Marín carece de efectos jurídicos en lo que respecta a la víctima en el presente caso</w:t>
      </w:r>
      <w:r w:rsidRPr="00890A3A">
        <w:rPr>
          <w:rFonts w:eastAsia="Calibri" w:cs="Verdana"/>
          <w:sz w:val="18"/>
          <w:szCs w:val="18"/>
          <w:lang w:val="es-CR"/>
        </w:rPr>
        <w:t xml:space="preserve"> y, por lo tanto, </w:t>
      </w:r>
      <w:r w:rsidRPr="000540CE">
        <w:rPr>
          <w:rFonts w:eastAsia="Calibri" w:cs="Verdana"/>
          <w:sz w:val="18"/>
          <w:szCs w:val="18"/>
          <w:u w:val="single"/>
          <w:lang w:val="es-CR"/>
        </w:rPr>
        <w:t>dispone que el Estado debe adoptar todas las medidas necesarias para dejar sin efecto las consecuencias que de ella se derivan así como los antecedentes judiciales o administrativos, penales o policiales, que existan en su contra a raíz de dicho proceso</w:t>
      </w:r>
      <w:r w:rsidRPr="00890A3A">
        <w:rPr>
          <w:rFonts w:eastAsia="Calibri" w:cs="Verdana"/>
          <w:sz w:val="18"/>
          <w:szCs w:val="18"/>
          <w:lang w:val="es-CR"/>
        </w:rPr>
        <w:t>. Para ello, el Estado cuenta con un plazo de un año contado a partir de la notificación de la presente Sentencia</w:t>
      </w:r>
      <w:r w:rsidR="000805F8">
        <w:rPr>
          <w:rFonts w:eastAsia="Calibri" w:cs="Verdana"/>
          <w:sz w:val="18"/>
          <w:szCs w:val="18"/>
          <w:lang w:val="es-CR"/>
        </w:rPr>
        <w:t xml:space="preserve"> [subrayado añadido].</w:t>
      </w:r>
    </w:p>
    <w:p w:rsidR="00890A3A" w:rsidRPr="00890A3A" w:rsidRDefault="00890A3A" w:rsidP="0044361C">
      <w:pPr>
        <w:autoSpaceDE w:val="0"/>
        <w:autoSpaceDN w:val="0"/>
        <w:adjustRightInd w:val="0"/>
        <w:ind w:left="708"/>
        <w:jc w:val="both"/>
        <w:rPr>
          <w:rFonts w:eastAsia="Calibri" w:cs="Verdana"/>
          <w:i/>
          <w:lang w:val="es-CR"/>
        </w:rPr>
      </w:pPr>
    </w:p>
    <w:p w:rsidR="0009411B" w:rsidRPr="00BB0B58" w:rsidRDefault="00A42EF3" w:rsidP="0044361C">
      <w:pPr>
        <w:numPr>
          <w:ilvl w:val="0"/>
          <w:numId w:val="1"/>
        </w:numPr>
        <w:tabs>
          <w:tab w:val="num" w:pos="720"/>
        </w:tabs>
        <w:autoSpaceDE w:val="0"/>
        <w:autoSpaceDN w:val="0"/>
        <w:adjustRightInd w:val="0"/>
        <w:ind w:left="0"/>
        <w:jc w:val="both"/>
        <w:rPr>
          <w:rFonts w:eastAsia="Calibri" w:cs="Verdana"/>
          <w:i/>
          <w:lang w:val="es-CR"/>
        </w:rPr>
      </w:pPr>
      <w:r>
        <w:t xml:space="preserve">Con base en lo anterior, la Corte </w:t>
      </w:r>
      <w:r w:rsidR="00C325A4">
        <w:t xml:space="preserve">reitera </w:t>
      </w:r>
      <w:r>
        <w:t xml:space="preserve">que la Sentencia de condena dictada en el proceso penal </w:t>
      </w:r>
      <w:r w:rsidR="008C565F">
        <w:t xml:space="preserve">carece de efectos jurídicos solamente respecto de las disposiciones referentes al señor Zegarra Marín, lo que no incluye a otras personas condenadas en el mismo proceso penal. </w:t>
      </w:r>
      <w:r w:rsidR="006F1A16">
        <w:t xml:space="preserve">Dicha </w:t>
      </w:r>
      <w:r w:rsidR="006F1A16">
        <w:lastRenderedPageBreak/>
        <w:t xml:space="preserve">formulación es clara </w:t>
      </w:r>
      <w:r w:rsidR="000540CE">
        <w:t>al respecto</w:t>
      </w:r>
      <w:r w:rsidR="006F1A16">
        <w:t xml:space="preserve">. </w:t>
      </w:r>
      <w:r w:rsidR="00C325A4">
        <w:t>En consecuencia, el texto del referido párrafo 202 es suficientemente claro y preciso, por lo cual desestima la primera pregunta planteada por el Estado.</w:t>
      </w:r>
    </w:p>
    <w:p w:rsidR="008C565F" w:rsidRPr="008C565F" w:rsidRDefault="008C565F" w:rsidP="0044361C">
      <w:pPr>
        <w:autoSpaceDE w:val="0"/>
        <w:autoSpaceDN w:val="0"/>
        <w:adjustRightInd w:val="0"/>
        <w:jc w:val="both"/>
        <w:rPr>
          <w:rFonts w:eastAsia="Calibri" w:cs="Verdana"/>
          <w:i/>
          <w:lang w:val="es-CR"/>
        </w:rPr>
      </w:pPr>
    </w:p>
    <w:p w:rsidR="00890A3A" w:rsidRPr="00890A3A" w:rsidRDefault="0076056B" w:rsidP="0044361C">
      <w:pPr>
        <w:numPr>
          <w:ilvl w:val="0"/>
          <w:numId w:val="1"/>
        </w:numPr>
        <w:tabs>
          <w:tab w:val="num" w:pos="720"/>
        </w:tabs>
        <w:autoSpaceDE w:val="0"/>
        <w:autoSpaceDN w:val="0"/>
        <w:adjustRightInd w:val="0"/>
        <w:ind w:left="0"/>
        <w:jc w:val="both"/>
        <w:rPr>
          <w:rFonts w:eastAsia="Calibri" w:cs="Verdana"/>
          <w:i/>
          <w:lang w:val="es-CR"/>
        </w:rPr>
      </w:pPr>
      <w:r>
        <w:rPr>
          <w:rFonts w:eastAsia="Calibri" w:cs="Verdana"/>
          <w:lang w:val="es-CR"/>
        </w:rPr>
        <w:t xml:space="preserve">Respecto de la segunda </w:t>
      </w:r>
      <w:r w:rsidR="000805F8">
        <w:rPr>
          <w:rFonts w:eastAsia="Calibri" w:cs="Verdana"/>
          <w:lang w:val="es-CR"/>
        </w:rPr>
        <w:t>solicitud de aclaración</w:t>
      </w:r>
      <w:r>
        <w:rPr>
          <w:rFonts w:eastAsia="Calibri" w:cs="Verdana"/>
          <w:lang w:val="es-CR"/>
        </w:rPr>
        <w:t xml:space="preserve">, </w:t>
      </w:r>
      <w:r w:rsidR="00890A3A">
        <w:t xml:space="preserve">la Corte estima que de acuerdo a lo establecido en </w:t>
      </w:r>
      <w:r w:rsidR="001B65D6">
        <w:t xml:space="preserve">los </w:t>
      </w:r>
      <w:r w:rsidR="00890A3A">
        <w:t>párrafo</w:t>
      </w:r>
      <w:r w:rsidR="001B65D6">
        <w:t>s</w:t>
      </w:r>
      <w:r w:rsidR="00890A3A">
        <w:t xml:space="preserve"> 159 </w:t>
      </w:r>
      <w:r w:rsidR="001B65D6">
        <w:t xml:space="preserve">y 200 </w:t>
      </w:r>
      <w:r w:rsidR="00890A3A">
        <w:t>de la Sentencia</w:t>
      </w:r>
      <w:r w:rsidR="00890A3A">
        <w:rPr>
          <w:rFonts w:eastAsia="Calibri" w:cs="Verdana"/>
          <w:lang w:val="es-CR"/>
        </w:rPr>
        <w:t>,</w:t>
      </w:r>
      <w:r w:rsidR="008F6569">
        <w:rPr>
          <w:rFonts w:eastAsia="Calibri" w:cs="Verdana"/>
          <w:lang w:val="es-CR"/>
        </w:rPr>
        <w:t xml:space="preserve"> </w:t>
      </w:r>
      <w:r w:rsidR="008F6569">
        <w:rPr>
          <w:lang w:val="es-CR"/>
        </w:rPr>
        <w:t>e</w:t>
      </w:r>
      <w:r w:rsidR="008F6569" w:rsidRPr="008F6569">
        <w:rPr>
          <w:lang w:val="es-CR"/>
        </w:rPr>
        <w:t xml:space="preserve">l Estado </w:t>
      </w:r>
      <w:r w:rsidR="008F6569">
        <w:rPr>
          <w:lang w:val="es-CR"/>
        </w:rPr>
        <w:t xml:space="preserve">fue declarado </w:t>
      </w:r>
      <w:r w:rsidR="008F6569" w:rsidRPr="008F6569">
        <w:rPr>
          <w:lang w:val="es-CR"/>
        </w:rPr>
        <w:t xml:space="preserve">responsable por </w:t>
      </w:r>
      <w:r w:rsidR="008F6569" w:rsidRPr="008F6569">
        <w:rPr>
          <w:rFonts w:cs="Arial"/>
          <w:lang w:val="es-CR"/>
        </w:rPr>
        <w:t>la violación de los artículos 8.1 y 8.2 de la Convención Americana, con motivo principalmente de infracciones a</w:t>
      </w:r>
      <w:r w:rsidR="007E2744">
        <w:rPr>
          <w:rFonts w:cs="Arial"/>
          <w:lang w:val="es-CR"/>
        </w:rPr>
        <w:t>l derecho a la</w:t>
      </w:r>
      <w:r w:rsidR="008F6569" w:rsidRPr="008F6569">
        <w:rPr>
          <w:rFonts w:cs="Arial"/>
          <w:lang w:val="es-CR"/>
        </w:rPr>
        <w:t xml:space="preserve"> presunción de inocencia y el deber de motivar en la sentencia emitida por la Quinta Sala Penal de la Corte Superior de Jus</w:t>
      </w:r>
      <w:r w:rsidR="008F6569">
        <w:rPr>
          <w:rFonts w:cs="Arial"/>
          <w:lang w:val="es-CR"/>
        </w:rPr>
        <w:t xml:space="preserve">ticia de 8 de noviembre de 1996. </w:t>
      </w:r>
      <w:r w:rsidR="001B65D6">
        <w:rPr>
          <w:rFonts w:cs="Arial"/>
          <w:lang w:val="es-CR"/>
        </w:rPr>
        <w:t xml:space="preserve">Al respecto, </w:t>
      </w:r>
      <w:r w:rsidR="001B65D6">
        <w:rPr>
          <w:lang w:val="es-CR"/>
        </w:rPr>
        <w:t>l</w:t>
      </w:r>
      <w:r w:rsidR="008F6569" w:rsidRPr="008F6569">
        <w:rPr>
          <w:lang w:val="es-CR"/>
        </w:rPr>
        <w:t>a Corte</w:t>
      </w:r>
      <w:r w:rsidR="00890A3A">
        <w:rPr>
          <w:lang w:val="es-CR"/>
        </w:rPr>
        <w:t xml:space="preserve"> reitera lo dispuesto en el párrafo 201 de la Sentencia respecto de que</w:t>
      </w:r>
      <w:r w:rsidR="003E557F">
        <w:rPr>
          <w:lang w:val="es-CR"/>
        </w:rPr>
        <w:t>,</w:t>
      </w:r>
      <w:r w:rsidR="00890A3A">
        <w:rPr>
          <w:lang w:val="es-CR"/>
        </w:rPr>
        <w:t xml:space="preserve"> </w:t>
      </w:r>
      <w:r w:rsidR="008F6569" w:rsidRPr="008F6569">
        <w:rPr>
          <w:lang w:val="es-CR"/>
        </w:rPr>
        <w:t>en este caso al momento de emisión de la Sentencia</w:t>
      </w:r>
      <w:r w:rsidR="003E557F">
        <w:rPr>
          <w:lang w:val="es-CR"/>
        </w:rPr>
        <w:t>,</w:t>
      </w:r>
      <w:r w:rsidR="008F6569" w:rsidRPr="008F6569">
        <w:rPr>
          <w:lang w:val="es-CR"/>
        </w:rPr>
        <w:t xml:space="preserve"> el señor Zegarra Marín ya ha</w:t>
      </w:r>
      <w:r w:rsidR="008F6569">
        <w:rPr>
          <w:lang w:val="es-CR"/>
        </w:rPr>
        <w:t>bía</w:t>
      </w:r>
      <w:r w:rsidR="008F6569" w:rsidRPr="008F6569">
        <w:rPr>
          <w:lang w:val="es-CR"/>
        </w:rPr>
        <w:t xml:space="preserve"> sido puesto en libertad y ha</w:t>
      </w:r>
      <w:r w:rsidR="008F6569">
        <w:rPr>
          <w:lang w:val="es-CR"/>
        </w:rPr>
        <w:t>bía</w:t>
      </w:r>
      <w:r w:rsidR="008F6569" w:rsidRPr="008F6569">
        <w:rPr>
          <w:lang w:val="es-CR"/>
        </w:rPr>
        <w:t xml:space="preserve"> cumplido</w:t>
      </w:r>
      <w:r w:rsidR="008F6569">
        <w:rPr>
          <w:lang w:val="es-CR"/>
        </w:rPr>
        <w:t xml:space="preserve"> con la totalidad de su condena. </w:t>
      </w:r>
      <w:r w:rsidR="008F6569" w:rsidRPr="008F6569">
        <w:rPr>
          <w:lang w:val="es-CR"/>
        </w:rPr>
        <w:t>Asimismo, la Corte recuerda que no es un tribunal penal que analice la responsabilidad de los individuos</w:t>
      </w:r>
      <w:r w:rsidR="008F6569">
        <w:rPr>
          <w:rStyle w:val="Refdenotaalpie"/>
          <w:lang w:val="es-CR"/>
        </w:rPr>
        <w:footnoteReference w:id="10"/>
      </w:r>
      <w:r w:rsidR="008F6569" w:rsidRPr="008F6569">
        <w:rPr>
          <w:lang w:val="es-CR"/>
        </w:rPr>
        <w:t>. Corresponde a los tribunales nacionales aplicar la ley penal a quienes cometen delitos. En este sentido, el presente caso no se refi</w:t>
      </w:r>
      <w:r w:rsidR="000540CE">
        <w:rPr>
          <w:lang w:val="es-CR"/>
        </w:rPr>
        <w:t xml:space="preserve">rió </w:t>
      </w:r>
      <w:r w:rsidR="008F6569" w:rsidRPr="008F6569">
        <w:rPr>
          <w:lang w:val="es-CR"/>
        </w:rPr>
        <w:t>a la valoración de la inocencia o culpabilidad del señor Zegarra Marín en relación co</w:t>
      </w:r>
      <w:r w:rsidR="000540CE">
        <w:rPr>
          <w:lang w:val="es-CR"/>
        </w:rPr>
        <w:t>n los hechos que se le atribuyeron</w:t>
      </w:r>
      <w:r w:rsidR="008F6569" w:rsidRPr="008F6569">
        <w:rPr>
          <w:lang w:val="es-CR"/>
        </w:rPr>
        <w:t>, sino a la conformidad de las normas que regulaban el procedimiento y su aplicación en el caso</w:t>
      </w:r>
      <w:r w:rsidR="000540CE">
        <w:rPr>
          <w:lang w:val="es-CR"/>
        </w:rPr>
        <w:t xml:space="preserve"> concreto</w:t>
      </w:r>
      <w:r w:rsidR="00C325A4">
        <w:rPr>
          <w:lang w:val="es-CR"/>
        </w:rPr>
        <w:t xml:space="preserve">, lo cual </w:t>
      </w:r>
      <w:r w:rsidR="001B65D6">
        <w:rPr>
          <w:lang w:val="es-CR"/>
        </w:rPr>
        <w:t xml:space="preserve">en </w:t>
      </w:r>
      <w:r w:rsidR="000540CE">
        <w:rPr>
          <w:lang w:val="es-CR"/>
        </w:rPr>
        <w:t xml:space="preserve">la Sentencia de la Corte </w:t>
      </w:r>
      <w:r w:rsidR="001B65D6">
        <w:rPr>
          <w:lang w:val="es-CR"/>
        </w:rPr>
        <w:t xml:space="preserve">se acreditó </w:t>
      </w:r>
      <w:r w:rsidR="00C325A4">
        <w:rPr>
          <w:lang w:val="es-CR"/>
        </w:rPr>
        <w:t xml:space="preserve">la violación de derechos humanos reconocidos en </w:t>
      </w:r>
      <w:r w:rsidR="007E2744">
        <w:rPr>
          <w:lang w:val="es-CR"/>
        </w:rPr>
        <w:t xml:space="preserve">la Convención Americana. </w:t>
      </w:r>
    </w:p>
    <w:p w:rsidR="00890A3A" w:rsidRDefault="00890A3A" w:rsidP="00890A3A">
      <w:pPr>
        <w:autoSpaceDE w:val="0"/>
        <w:autoSpaceDN w:val="0"/>
        <w:adjustRightInd w:val="0"/>
        <w:jc w:val="both"/>
        <w:rPr>
          <w:rFonts w:eastAsia="Calibri" w:cs="Verdana"/>
          <w:i/>
          <w:lang w:val="es-CR"/>
        </w:rPr>
      </w:pPr>
    </w:p>
    <w:p w:rsidR="00890A3A" w:rsidRPr="00890A3A" w:rsidRDefault="00890A3A" w:rsidP="00FF0A5B">
      <w:pPr>
        <w:numPr>
          <w:ilvl w:val="0"/>
          <w:numId w:val="1"/>
        </w:numPr>
        <w:tabs>
          <w:tab w:val="num" w:pos="720"/>
        </w:tabs>
        <w:autoSpaceDE w:val="0"/>
        <w:autoSpaceDN w:val="0"/>
        <w:adjustRightInd w:val="0"/>
        <w:ind w:left="0"/>
        <w:jc w:val="both"/>
        <w:rPr>
          <w:rFonts w:cs="Arial"/>
          <w:lang w:val="es-CR"/>
        </w:rPr>
      </w:pPr>
      <w:r w:rsidRPr="00890A3A">
        <w:rPr>
          <w:rFonts w:cs="Arial"/>
          <w:lang w:val="es-CR"/>
        </w:rPr>
        <w:t>Asimismo</w:t>
      </w:r>
      <w:r>
        <w:rPr>
          <w:rFonts w:cs="Arial"/>
          <w:lang w:val="es-CR"/>
        </w:rPr>
        <w:t xml:space="preserve">, la Corte </w:t>
      </w:r>
      <w:r w:rsidR="00C5350D">
        <w:rPr>
          <w:rFonts w:cs="Arial"/>
          <w:lang w:val="es-CR"/>
        </w:rPr>
        <w:t>reitera</w:t>
      </w:r>
      <w:r w:rsidR="00C325A4">
        <w:rPr>
          <w:rFonts w:cs="Arial"/>
          <w:lang w:val="es-CR"/>
        </w:rPr>
        <w:t xml:space="preserve"> que, </w:t>
      </w:r>
      <w:r>
        <w:rPr>
          <w:rFonts w:cs="Arial"/>
          <w:lang w:val="es-CR"/>
        </w:rPr>
        <w:t xml:space="preserve">según lo dispuesto en el párrafo 199 de la Sentencia, </w:t>
      </w:r>
      <w:r w:rsidRPr="00890A3A">
        <w:rPr>
          <w:rFonts w:cs="Arial"/>
        </w:rPr>
        <w:t xml:space="preserve">el Estado </w:t>
      </w:r>
      <w:r>
        <w:rPr>
          <w:rFonts w:cs="Arial"/>
        </w:rPr>
        <w:t>indic</w:t>
      </w:r>
      <w:r w:rsidRPr="00890A3A">
        <w:rPr>
          <w:rFonts w:cs="Arial"/>
        </w:rPr>
        <w:t>ó que no exist</w:t>
      </w:r>
      <w:r w:rsidR="007E2744">
        <w:rPr>
          <w:rFonts w:cs="Arial"/>
        </w:rPr>
        <w:t>ía</w:t>
      </w:r>
      <w:r w:rsidRPr="00890A3A">
        <w:rPr>
          <w:rFonts w:cs="Arial"/>
        </w:rPr>
        <w:t xml:space="preserve"> en derecho interno un mecanismo para revisar sentencias ejecutoriadas ya que esto contravendría el principio constitucional de la cosa juzgada. Posteriormente, en sus alegatos finales el Estado señaló que no </w:t>
      </w:r>
      <w:r w:rsidR="007E2744" w:rsidRPr="00890A3A">
        <w:rPr>
          <w:rFonts w:cs="Arial"/>
        </w:rPr>
        <w:t>exist</w:t>
      </w:r>
      <w:r w:rsidR="007E2744">
        <w:rPr>
          <w:rFonts w:cs="Arial"/>
        </w:rPr>
        <w:t>ía</w:t>
      </w:r>
      <w:r w:rsidR="007E2744" w:rsidRPr="00890A3A">
        <w:rPr>
          <w:rFonts w:cs="Arial"/>
        </w:rPr>
        <w:t xml:space="preserve"> </w:t>
      </w:r>
      <w:r w:rsidRPr="00890A3A">
        <w:rPr>
          <w:rFonts w:cs="Arial"/>
        </w:rPr>
        <w:t>un recurso interno que pu</w:t>
      </w:r>
      <w:r w:rsidR="001B65D6">
        <w:rPr>
          <w:rFonts w:cs="Arial"/>
        </w:rPr>
        <w:t>diera</w:t>
      </w:r>
      <w:r w:rsidRPr="00890A3A">
        <w:rPr>
          <w:rFonts w:cs="Arial"/>
        </w:rPr>
        <w:t xml:space="preserve"> ser empleado para la reapertura del proceso penal; no obstante, la única posibilidad para ello</w:t>
      </w:r>
      <w:r w:rsidR="000805F8">
        <w:rPr>
          <w:rFonts w:cs="Arial"/>
        </w:rPr>
        <w:t>,</w:t>
      </w:r>
      <w:r w:rsidRPr="00890A3A">
        <w:rPr>
          <w:rFonts w:cs="Arial"/>
        </w:rPr>
        <w:t xml:space="preserve"> sería que la Corte Interamericana así lo dispusiera en su Sentencia. “Correspondería en sede interna </w:t>
      </w:r>
      <w:r w:rsidR="000805F8">
        <w:rPr>
          <w:rFonts w:cs="Arial"/>
        </w:rPr>
        <w:t>a</w:t>
      </w:r>
      <w:r w:rsidR="000805F8" w:rsidRPr="00890A3A">
        <w:rPr>
          <w:rFonts w:cs="Arial"/>
        </w:rPr>
        <w:t xml:space="preserve"> </w:t>
      </w:r>
      <w:r w:rsidRPr="00890A3A">
        <w:rPr>
          <w:rFonts w:cs="Arial"/>
        </w:rPr>
        <w:t>los magistrados</w:t>
      </w:r>
      <w:r w:rsidR="00C5350D">
        <w:rPr>
          <w:rFonts w:cs="Arial"/>
          <w:lang w:val="es-CR"/>
        </w:rPr>
        <w:t xml:space="preserve"> </w:t>
      </w:r>
      <w:r w:rsidR="00C5350D">
        <w:t xml:space="preserve">competentes </w:t>
      </w:r>
      <w:proofErr w:type="gramStart"/>
      <w:r w:rsidR="00C5350D">
        <w:t>eval[</w:t>
      </w:r>
      <w:proofErr w:type="gramEnd"/>
      <w:r w:rsidR="00C5350D">
        <w:t>uar] si se aplican las causales de prescripción”.</w:t>
      </w:r>
    </w:p>
    <w:p w:rsidR="008F6569" w:rsidRPr="00C577B0" w:rsidRDefault="008F6569" w:rsidP="00FF0A5B">
      <w:pPr>
        <w:rPr>
          <w:highlight w:val="yellow"/>
          <w:lang w:val="es-CR"/>
        </w:rPr>
      </w:pPr>
    </w:p>
    <w:p w:rsidR="00773354" w:rsidRPr="00890A3A" w:rsidRDefault="008F6569" w:rsidP="00FF0A5B">
      <w:pPr>
        <w:numPr>
          <w:ilvl w:val="0"/>
          <w:numId w:val="1"/>
        </w:numPr>
        <w:tabs>
          <w:tab w:val="num" w:pos="720"/>
        </w:tabs>
        <w:autoSpaceDE w:val="0"/>
        <w:autoSpaceDN w:val="0"/>
        <w:adjustRightInd w:val="0"/>
        <w:ind w:left="0"/>
        <w:jc w:val="both"/>
        <w:rPr>
          <w:color w:val="000000"/>
          <w:lang w:val="es-CR"/>
        </w:rPr>
      </w:pPr>
      <w:bookmarkStart w:id="3" w:name="_ftnref1"/>
      <w:bookmarkStart w:id="4" w:name="_ftnref2"/>
      <w:bookmarkStart w:id="5" w:name="_ftnref3"/>
      <w:bookmarkStart w:id="6" w:name="_ftnref4"/>
      <w:bookmarkStart w:id="7" w:name="_ftnref5"/>
      <w:bookmarkStart w:id="8" w:name="_ftnref6"/>
      <w:bookmarkEnd w:id="3"/>
      <w:bookmarkEnd w:id="4"/>
      <w:bookmarkEnd w:id="5"/>
      <w:bookmarkEnd w:id="6"/>
      <w:bookmarkEnd w:id="7"/>
      <w:bookmarkEnd w:id="8"/>
      <w:r w:rsidRPr="00985CCD">
        <w:rPr>
          <w:lang w:val="es-CR"/>
        </w:rPr>
        <w:t>En vi</w:t>
      </w:r>
      <w:r w:rsidR="000E7C59" w:rsidRPr="00985CCD">
        <w:rPr>
          <w:lang w:val="es-CR"/>
        </w:rPr>
        <w:t>sta</w:t>
      </w:r>
      <w:r w:rsidRPr="00985CCD">
        <w:rPr>
          <w:lang w:val="es-CR"/>
        </w:rPr>
        <w:t xml:space="preserve"> de lo anterior</w:t>
      </w:r>
      <w:r w:rsidR="001B65D6" w:rsidRPr="001B65D6">
        <w:rPr>
          <w:lang w:val="es-CR"/>
        </w:rPr>
        <w:t xml:space="preserve"> </w:t>
      </w:r>
      <w:r w:rsidR="001B65D6">
        <w:rPr>
          <w:lang w:val="es-CR"/>
        </w:rPr>
        <w:t>y para efectos del presente caso</w:t>
      </w:r>
      <w:r w:rsidRPr="00985CCD">
        <w:rPr>
          <w:lang w:val="es-CR"/>
        </w:rPr>
        <w:t xml:space="preserve">, </w:t>
      </w:r>
      <w:r w:rsidR="001B65D6">
        <w:rPr>
          <w:lang w:val="es-CR"/>
        </w:rPr>
        <w:t xml:space="preserve">el párrafo 202 </w:t>
      </w:r>
      <w:r w:rsidR="00C325A4">
        <w:rPr>
          <w:lang w:val="es-CR"/>
        </w:rPr>
        <w:t>señaló</w:t>
      </w:r>
      <w:r w:rsidR="00070E70">
        <w:rPr>
          <w:lang w:val="es-CR"/>
        </w:rPr>
        <w:t xml:space="preserve"> </w:t>
      </w:r>
      <w:r w:rsidR="004A6CA8">
        <w:rPr>
          <w:lang w:val="es-CR"/>
        </w:rPr>
        <w:t xml:space="preserve">de manera concurrente </w:t>
      </w:r>
      <w:r w:rsidR="00C325A4">
        <w:rPr>
          <w:lang w:val="es-CR"/>
        </w:rPr>
        <w:t xml:space="preserve">que, </w:t>
      </w:r>
      <w:r w:rsidR="001B65D6">
        <w:rPr>
          <w:lang w:val="es-CR"/>
        </w:rPr>
        <w:t>“</w:t>
      </w:r>
      <w:r w:rsidR="000E7C59" w:rsidRPr="00985CCD">
        <w:rPr>
          <w:lang w:val="es-CR"/>
        </w:rPr>
        <w:t>en</w:t>
      </w:r>
      <w:r w:rsidRPr="00985CCD">
        <w:rPr>
          <w:lang w:val="es-CR"/>
        </w:rPr>
        <w:t xml:space="preserve"> virtud de las violaciones acreditadas</w:t>
      </w:r>
      <w:r w:rsidR="001B65D6">
        <w:rPr>
          <w:lang w:val="es-CR"/>
        </w:rPr>
        <w:t xml:space="preserve"> a la Convención Americana</w:t>
      </w:r>
      <w:r w:rsidRPr="00985CCD">
        <w:rPr>
          <w:lang w:val="es-CR"/>
        </w:rPr>
        <w:t>, el transcurso del tiempo y sus consecuencias procesales</w:t>
      </w:r>
      <w:r w:rsidR="001B65D6">
        <w:rPr>
          <w:lang w:val="es-CR"/>
        </w:rPr>
        <w:t>”</w:t>
      </w:r>
      <w:r w:rsidRPr="00985CCD">
        <w:rPr>
          <w:lang w:val="es-CR"/>
        </w:rPr>
        <w:t>, la Corte estim</w:t>
      </w:r>
      <w:r w:rsidR="007E2744">
        <w:rPr>
          <w:lang w:val="es-CR"/>
        </w:rPr>
        <w:t>ó</w:t>
      </w:r>
      <w:r w:rsidRPr="00985CCD">
        <w:rPr>
          <w:lang w:val="es-CR"/>
        </w:rPr>
        <w:t xml:space="preserve"> apropiado </w:t>
      </w:r>
      <w:r w:rsidR="00C325A4">
        <w:rPr>
          <w:lang w:val="es-CR"/>
        </w:rPr>
        <w:t xml:space="preserve">determinar, </w:t>
      </w:r>
      <w:r w:rsidR="007E2744">
        <w:rPr>
          <w:lang w:val="es-CR"/>
        </w:rPr>
        <w:t xml:space="preserve">como medida de restitución, </w:t>
      </w:r>
      <w:r w:rsidR="001B65D6">
        <w:rPr>
          <w:lang w:val="es-CR"/>
        </w:rPr>
        <w:t xml:space="preserve">declarar que </w:t>
      </w:r>
      <w:r w:rsidR="007E2744">
        <w:rPr>
          <w:lang w:val="es-CR"/>
        </w:rPr>
        <w:t>la Sentencia que derivó en la responsabilidad internacional del Estado</w:t>
      </w:r>
      <w:r w:rsidR="00BA6BA6">
        <w:rPr>
          <w:lang w:val="es-CR"/>
        </w:rPr>
        <w:t xml:space="preserve"> </w:t>
      </w:r>
      <w:r w:rsidR="001B65D6">
        <w:rPr>
          <w:lang w:val="es-CR"/>
        </w:rPr>
        <w:t xml:space="preserve">“carece de efectos jurídicos en lo que respecta a la víctima”, </w:t>
      </w:r>
      <w:r w:rsidR="007E2744">
        <w:rPr>
          <w:lang w:val="es-CR"/>
        </w:rPr>
        <w:t>por lo que corresponde dar por concluido el asunto</w:t>
      </w:r>
      <w:r w:rsidR="00C325A4">
        <w:rPr>
          <w:lang w:val="es-CR"/>
        </w:rPr>
        <w:t xml:space="preserve"> en sede interna, </w:t>
      </w:r>
      <w:r w:rsidR="004A6CA8">
        <w:rPr>
          <w:lang w:val="es-CR"/>
        </w:rPr>
        <w:t xml:space="preserve">al </w:t>
      </w:r>
      <w:r w:rsidR="004A6CA8" w:rsidRPr="005B1513">
        <w:rPr>
          <w:rFonts w:eastAsia="Calibri" w:cs="Verdana"/>
          <w:lang w:val="es-CR"/>
        </w:rPr>
        <w:t xml:space="preserve">retrotraer </w:t>
      </w:r>
      <w:r w:rsidR="00070E70">
        <w:rPr>
          <w:rFonts w:eastAsia="Calibri" w:cs="Verdana"/>
          <w:lang w:val="es-CR"/>
        </w:rPr>
        <w:t xml:space="preserve">a </w:t>
      </w:r>
      <w:r w:rsidR="004A6CA8" w:rsidRPr="005B1513">
        <w:rPr>
          <w:rFonts w:eastAsia="Calibri" w:cs="Verdana"/>
          <w:lang w:val="es-CR"/>
        </w:rPr>
        <w:t>la situación anterior a que se configuraran las</w:t>
      </w:r>
      <w:r w:rsidR="004A6CA8">
        <w:rPr>
          <w:rFonts w:eastAsia="Calibri" w:cs="Verdana"/>
          <w:lang w:val="es-CR"/>
        </w:rPr>
        <w:t xml:space="preserve"> </w:t>
      </w:r>
      <w:r w:rsidR="004A6CA8" w:rsidRPr="005B1513">
        <w:rPr>
          <w:rFonts w:eastAsia="Calibri" w:cs="Verdana"/>
          <w:lang w:val="es-CR"/>
        </w:rPr>
        <w:t xml:space="preserve">violaciones </w:t>
      </w:r>
      <w:r w:rsidR="004A6CA8">
        <w:rPr>
          <w:rFonts w:eastAsia="Calibri" w:cs="Verdana"/>
          <w:lang w:val="es-CR"/>
        </w:rPr>
        <w:t>acreditadas</w:t>
      </w:r>
      <w:r w:rsidR="00070E70">
        <w:rPr>
          <w:lang w:val="es-CR"/>
        </w:rPr>
        <w:t>. L</w:t>
      </w:r>
      <w:r w:rsidR="001B65D6">
        <w:rPr>
          <w:lang w:val="es-CR"/>
        </w:rPr>
        <w:t xml:space="preserve">o </w:t>
      </w:r>
      <w:r w:rsidR="00070E70">
        <w:rPr>
          <w:lang w:val="es-CR"/>
        </w:rPr>
        <w:t>anterior</w:t>
      </w:r>
      <w:r w:rsidR="001B65D6">
        <w:rPr>
          <w:lang w:val="es-CR"/>
        </w:rPr>
        <w:t>,</w:t>
      </w:r>
      <w:r w:rsidR="004A6CA8">
        <w:rPr>
          <w:lang w:val="es-CR"/>
        </w:rPr>
        <w:t xml:space="preserve"> para efectos de este caso</w:t>
      </w:r>
      <w:r w:rsidR="001B65D6">
        <w:rPr>
          <w:lang w:val="es-CR"/>
        </w:rPr>
        <w:t>, consiste en</w:t>
      </w:r>
      <w:r w:rsidR="004A6CA8">
        <w:rPr>
          <w:lang w:val="es-CR"/>
        </w:rPr>
        <w:t xml:space="preserve"> </w:t>
      </w:r>
      <w:r w:rsidR="001B65D6">
        <w:rPr>
          <w:lang w:val="es-CR"/>
        </w:rPr>
        <w:t>“</w:t>
      </w:r>
      <w:r w:rsidR="004A6CA8">
        <w:rPr>
          <w:lang w:val="es-CR"/>
        </w:rPr>
        <w:t xml:space="preserve">dejar sin efectos </w:t>
      </w:r>
      <w:r w:rsidR="001B65D6">
        <w:rPr>
          <w:lang w:val="es-CR"/>
        </w:rPr>
        <w:t>las consecuencias que de ella se derivan, así como los antecedentes judiciales o administrativos</w:t>
      </w:r>
      <w:r w:rsidR="004A6CA8">
        <w:rPr>
          <w:lang w:val="es-CR"/>
        </w:rPr>
        <w:t xml:space="preserve"> penales </w:t>
      </w:r>
      <w:r w:rsidR="001B65D6">
        <w:rPr>
          <w:lang w:val="es-CR"/>
        </w:rPr>
        <w:t>o policiales, que existan en su contra a raíz de dicho proceso”, en</w:t>
      </w:r>
      <w:r w:rsidR="004A6CA8">
        <w:rPr>
          <w:lang w:val="es-CR"/>
        </w:rPr>
        <w:t xml:space="preserve"> favor del señor Zegarra Marín. </w:t>
      </w:r>
    </w:p>
    <w:p w:rsidR="00890A3A" w:rsidRPr="00985CCD" w:rsidRDefault="00890A3A" w:rsidP="00FF0A5B">
      <w:pPr>
        <w:autoSpaceDE w:val="0"/>
        <w:autoSpaceDN w:val="0"/>
        <w:adjustRightInd w:val="0"/>
        <w:jc w:val="both"/>
        <w:rPr>
          <w:color w:val="000000"/>
          <w:lang w:val="es-CR"/>
        </w:rPr>
      </w:pPr>
    </w:p>
    <w:p w:rsidR="00E2210E" w:rsidRPr="00854FDE" w:rsidRDefault="00E2210E" w:rsidP="0044361C">
      <w:pPr>
        <w:pStyle w:val="Ttulo1"/>
      </w:pPr>
      <w:r w:rsidRPr="00854FDE">
        <w:t>V</w:t>
      </w:r>
      <w:r w:rsidRPr="00854FDE">
        <w:rPr>
          <w:b w:val="0"/>
          <w:bCs w:val="0"/>
          <w:caps w:val="0"/>
          <w:kern w:val="32"/>
        </w:rPr>
        <w:br/>
      </w:r>
      <w:r w:rsidRPr="00854FDE">
        <w:t>PUNTOS RESOLUTIVOS</w:t>
      </w:r>
    </w:p>
    <w:p w:rsidR="00E2210E" w:rsidRDefault="00E2210E" w:rsidP="00FF0A5B">
      <w:pPr>
        <w:jc w:val="both"/>
        <w:rPr>
          <w:lang w:val="es-CR"/>
        </w:rPr>
      </w:pPr>
      <w:r w:rsidRPr="00854FDE">
        <w:rPr>
          <w:lang w:val="es-CR"/>
        </w:rPr>
        <w:t>Por tanto,</w:t>
      </w:r>
    </w:p>
    <w:p w:rsidR="002E7F4B" w:rsidRPr="00854FDE" w:rsidRDefault="002E7F4B" w:rsidP="00FF0A5B">
      <w:pPr>
        <w:jc w:val="both"/>
        <w:rPr>
          <w:rFonts w:cs="Arial"/>
          <w:b/>
          <w:i/>
          <w:lang w:val="es-CR"/>
        </w:rPr>
      </w:pPr>
    </w:p>
    <w:p w:rsidR="00E2210E" w:rsidRDefault="00E2210E" w:rsidP="00FF0A5B">
      <w:pPr>
        <w:rPr>
          <w:b/>
          <w:lang w:val="es-CR"/>
        </w:rPr>
      </w:pPr>
      <w:r w:rsidRPr="008C565F">
        <w:rPr>
          <w:b/>
          <w:lang w:val="es-CR"/>
        </w:rPr>
        <w:t>LA CORTE</w:t>
      </w:r>
      <w:r w:rsidR="00295CDE" w:rsidRPr="008C565F">
        <w:rPr>
          <w:b/>
          <w:lang w:val="es-CR"/>
        </w:rPr>
        <w:t>,</w:t>
      </w:r>
    </w:p>
    <w:p w:rsidR="000805F8" w:rsidRPr="008C565F" w:rsidRDefault="000805F8" w:rsidP="00FF0A5B">
      <w:pPr>
        <w:rPr>
          <w:b/>
          <w:lang w:val="es-CR"/>
        </w:rPr>
      </w:pPr>
    </w:p>
    <w:p w:rsidR="00FF0A5B" w:rsidRDefault="00E2210E" w:rsidP="0044361C">
      <w:pPr>
        <w:jc w:val="both"/>
        <w:rPr>
          <w:lang w:val="es-CR"/>
        </w:rPr>
      </w:pPr>
      <w:r w:rsidRPr="008C565F">
        <w:rPr>
          <w:lang w:val="es-CR"/>
        </w:rPr>
        <w:t>de conformidad con el artículo 67 de la Convención Americana sobre Derechos Humanos y los artículos 31.3 y 68 del Reglamento,</w:t>
      </w:r>
    </w:p>
    <w:p w:rsidR="00FF0A5B" w:rsidRPr="008C565F" w:rsidRDefault="00FF0A5B" w:rsidP="0044361C">
      <w:pPr>
        <w:jc w:val="both"/>
        <w:rPr>
          <w:lang w:val="es-CR"/>
        </w:rPr>
      </w:pPr>
    </w:p>
    <w:p w:rsidR="00E2210E" w:rsidRDefault="00E2210E" w:rsidP="0044361C">
      <w:pPr>
        <w:rPr>
          <w:b/>
          <w:lang w:val="es-CR"/>
        </w:rPr>
      </w:pPr>
      <w:r w:rsidRPr="00985CCD">
        <w:rPr>
          <w:b/>
          <w:lang w:val="es-CR"/>
        </w:rPr>
        <w:t>DECIDE:</w:t>
      </w:r>
    </w:p>
    <w:p w:rsidR="000805F8" w:rsidRPr="00985CCD" w:rsidRDefault="000805F8" w:rsidP="0044361C">
      <w:pPr>
        <w:rPr>
          <w:b/>
          <w:lang w:val="es-CR"/>
        </w:rPr>
      </w:pPr>
    </w:p>
    <w:p w:rsidR="00E2210E" w:rsidRDefault="00E452FA" w:rsidP="0044361C">
      <w:pPr>
        <w:tabs>
          <w:tab w:val="center" w:pos="4252"/>
          <w:tab w:val="right" w:pos="8504"/>
        </w:tabs>
        <w:rPr>
          <w:lang w:val="es-CR"/>
        </w:rPr>
      </w:pPr>
      <w:r w:rsidRPr="00985CCD">
        <w:rPr>
          <w:lang w:val="es-CR"/>
        </w:rPr>
        <w:t xml:space="preserve">Por unanimidad, </w:t>
      </w:r>
    </w:p>
    <w:p w:rsidR="004A6CA8" w:rsidRPr="00985CCD" w:rsidRDefault="004A6CA8" w:rsidP="0044361C">
      <w:pPr>
        <w:tabs>
          <w:tab w:val="center" w:pos="4252"/>
          <w:tab w:val="right" w:pos="8504"/>
        </w:tabs>
        <w:rPr>
          <w:lang w:val="es-CR"/>
        </w:rPr>
      </w:pPr>
    </w:p>
    <w:p w:rsidR="00B378BC" w:rsidRPr="00985CCD" w:rsidRDefault="00985CCD" w:rsidP="0044361C">
      <w:pPr>
        <w:pStyle w:val="MediumGrid1-Accent21"/>
        <w:numPr>
          <w:ilvl w:val="0"/>
          <w:numId w:val="4"/>
        </w:numPr>
        <w:tabs>
          <w:tab w:val="left" w:pos="567"/>
        </w:tabs>
        <w:contextualSpacing/>
        <w:rPr>
          <w:rFonts w:eastAsia="Times New Roman"/>
          <w:szCs w:val="20"/>
          <w:lang w:val="es-CR" w:eastAsia="es-ES"/>
        </w:rPr>
      </w:pPr>
      <w:r w:rsidRPr="00985CCD">
        <w:rPr>
          <w:rFonts w:eastAsia="Times New Roman"/>
          <w:szCs w:val="20"/>
          <w:lang w:val="es-CR" w:eastAsia="es-ES"/>
        </w:rPr>
        <w:t>Declarar admisible la solicitud</w:t>
      </w:r>
      <w:r w:rsidR="00B378BC" w:rsidRPr="00985CCD">
        <w:rPr>
          <w:rFonts w:eastAsia="Times New Roman"/>
          <w:szCs w:val="20"/>
          <w:lang w:val="es-CR" w:eastAsia="es-ES"/>
        </w:rPr>
        <w:t xml:space="preserve"> de interpretación de la Sentencia de excepciones preliminares, fondo, reparacion</w:t>
      </w:r>
      <w:r w:rsidRPr="00985CCD">
        <w:rPr>
          <w:rFonts w:eastAsia="Times New Roman"/>
          <w:szCs w:val="20"/>
          <w:lang w:val="es-CR" w:eastAsia="es-ES"/>
        </w:rPr>
        <w:t xml:space="preserve">es y costas, emitida en el caso </w:t>
      </w:r>
      <w:r w:rsidRPr="00985CCD">
        <w:rPr>
          <w:rFonts w:eastAsia="Times New Roman"/>
          <w:i/>
          <w:szCs w:val="20"/>
          <w:lang w:val="es-CR" w:eastAsia="es-ES"/>
        </w:rPr>
        <w:t>Zegarra Marín</w:t>
      </w:r>
      <w:r w:rsidRPr="00985CCD">
        <w:rPr>
          <w:rFonts w:eastAsia="Times New Roman"/>
          <w:szCs w:val="20"/>
          <w:lang w:val="es-CR" w:eastAsia="es-ES"/>
        </w:rPr>
        <w:t xml:space="preserve"> </w:t>
      </w:r>
      <w:r w:rsidR="00B378BC" w:rsidRPr="00985CCD">
        <w:rPr>
          <w:rFonts w:eastAsia="Times New Roman"/>
          <w:i/>
          <w:szCs w:val="20"/>
          <w:lang w:val="es-CR" w:eastAsia="es-ES"/>
        </w:rPr>
        <w:t xml:space="preserve">Vs. </w:t>
      </w:r>
      <w:r w:rsidRPr="00985CCD">
        <w:rPr>
          <w:rFonts w:eastAsia="Times New Roman"/>
          <w:i/>
          <w:szCs w:val="20"/>
          <w:lang w:val="es-CR" w:eastAsia="es-ES"/>
        </w:rPr>
        <w:t>Perú</w:t>
      </w:r>
      <w:r w:rsidR="00B378BC" w:rsidRPr="00985CCD">
        <w:rPr>
          <w:rFonts w:eastAsia="Times New Roman"/>
          <w:i/>
          <w:szCs w:val="20"/>
          <w:lang w:val="es-CR" w:eastAsia="es-ES"/>
        </w:rPr>
        <w:t>,</w:t>
      </w:r>
      <w:r w:rsidRPr="00985CCD">
        <w:rPr>
          <w:rFonts w:eastAsia="Times New Roman"/>
          <w:szCs w:val="20"/>
          <w:lang w:val="es-CR" w:eastAsia="es-ES"/>
        </w:rPr>
        <w:t xml:space="preserve"> presentada</w:t>
      </w:r>
      <w:r w:rsidR="00B378BC" w:rsidRPr="00985CCD">
        <w:rPr>
          <w:rFonts w:eastAsia="Times New Roman"/>
          <w:szCs w:val="20"/>
          <w:lang w:val="es-CR" w:eastAsia="es-ES"/>
        </w:rPr>
        <w:t xml:space="preserve"> por el Estado</w:t>
      </w:r>
      <w:r w:rsidR="00E452FA" w:rsidRPr="00985CCD">
        <w:rPr>
          <w:rFonts w:eastAsia="Times New Roman"/>
          <w:szCs w:val="20"/>
          <w:lang w:val="es-CR" w:eastAsia="es-ES"/>
        </w:rPr>
        <w:t>.</w:t>
      </w:r>
    </w:p>
    <w:p w:rsidR="00B378BC" w:rsidRPr="00985CCD" w:rsidRDefault="00B378BC" w:rsidP="0044361C">
      <w:pPr>
        <w:pStyle w:val="MediumGrid1-Accent21"/>
        <w:tabs>
          <w:tab w:val="left" w:pos="567"/>
        </w:tabs>
        <w:ind w:left="0"/>
        <w:contextualSpacing/>
        <w:rPr>
          <w:rFonts w:eastAsia="Times New Roman"/>
          <w:szCs w:val="20"/>
          <w:lang w:val="es-CR" w:eastAsia="es-ES"/>
        </w:rPr>
      </w:pPr>
    </w:p>
    <w:p w:rsidR="004A6CA8" w:rsidRPr="0044361C" w:rsidRDefault="004A6CA8" w:rsidP="004A6CA8">
      <w:pPr>
        <w:pStyle w:val="MediumGrid1-Accent21"/>
        <w:numPr>
          <w:ilvl w:val="0"/>
          <w:numId w:val="4"/>
        </w:numPr>
        <w:tabs>
          <w:tab w:val="left" w:pos="567"/>
        </w:tabs>
        <w:contextualSpacing/>
        <w:rPr>
          <w:rFonts w:eastAsia="Times New Roman"/>
          <w:szCs w:val="20"/>
          <w:lang w:val="es-CR" w:eastAsia="es-ES"/>
        </w:rPr>
      </w:pPr>
      <w:r>
        <w:t xml:space="preserve">Desestimar por </w:t>
      </w:r>
      <w:r w:rsidR="000805F8">
        <w:t xml:space="preserve">infundada </w:t>
      </w:r>
      <w:r>
        <w:t xml:space="preserve">la primera </w:t>
      </w:r>
      <w:r w:rsidR="000805F8">
        <w:t xml:space="preserve">solicitud </w:t>
      </w:r>
      <w:r>
        <w:t>planteada por el Estado</w:t>
      </w:r>
      <w:r w:rsidR="00A86FE5">
        <w:t>, en los términos del párrafo 16</w:t>
      </w:r>
      <w:r>
        <w:t>.</w:t>
      </w:r>
    </w:p>
    <w:p w:rsidR="004A6CA8" w:rsidRPr="00985CCD" w:rsidRDefault="004A6CA8" w:rsidP="0044361C">
      <w:pPr>
        <w:pStyle w:val="MediumGrid1-Accent21"/>
        <w:tabs>
          <w:tab w:val="left" w:pos="567"/>
        </w:tabs>
        <w:ind w:left="0"/>
        <w:contextualSpacing/>
        <w:rPr>
          <w:rFonts w:eastAsia="Times New Roman"/>
          <w:szCs w:val="20"/>
          <w:lang w:val="es-CR" w:eastAsia="es-ES"/>
        </w:rPr>
      </w:pPr>
    </w:p>
    <w:p w:rsidR="00FF5854" w:rsidRDefault="00B378BC" w:rsidP="0044361C">
      <w:pPr>
        <w:pStyle w:val="MediumGrid1-Accent21"/>
        <w:numPr>
          <w:ilvl w:val="0"/>
          <w:numId w:val="4"/>
        </w:numPr>
        <w:tabs>
          <w:tab w:val="left" w:pos="567"/>
        </w:tabs>
        <w:contextualSpacing/>
        <w:rPr>
          <w:rFonts w:eastAsia="Times New Roman"/>
          <w:szCs w:val="20"/>
          <w:lang w:val="es-CR" w:eastAsia="es-ES"/>
        </w:rPr>
      </w:pPr>
      <w:r w:rsidRPr="00985CCD">
        <w:rPr>
          <w:rFonts w:eastAsia="Times New Roman"/>
          <w:szCs w:val="20"/>
          <w:lang w:val="es-CR" w:eastAsia="es-ES"/>
        </w:rPr>
        <w:t xml:space="preserve">Aclarar </w:t>
      </w:r>
      <w:r w:rsidR="000540CE">
        <w:rPr>
          <w:rFonts w:eastAsia="Times New Roman"/>
          <w:szCs w:val="20"/>
          <w:lang w:val="es-CR" w:eastAsia="es-ES"/>
        </w:rPr>
        <w:t xml:space="preserve">lo referente a la segunda </w:t>
      </w:r>
      <w:r w:rsidR="000805F8">
        <w:rPr>
          <w:rFonts w:eastAsia="Times New Roman"/>
          <w:szCs w:val="20"/>
          <w:lang w:val="es-CR" w:eastAsia="es-ES"/>
        </w:rPr>
        <w:t xml:space="preserve">solicitud </w:t>
      </w:r>
      <w:r w:rsidR="000540CE">
        <w:rPr>
          <w:rFonts w:eastAsia="Times New Roman"/>
          <w:szCs w:val="20"/>
          <w:lang w:val="es-CR" w:eastAsia="es-ES"/>
        </w:rPr>
        <w:t xml:space="preserve">planteada por el Estado, </w:t>
      </w:r>
      <w:r w:rsidRPr="00985CCD">
        <w:rPr>
          <w:rFonts w:eastAsia="Times New Roman"/>
          <w:szCs w:val="20"/>
          <w:lang w:val="es-CR" w:eastAsia="es-ES"/>
        </w:rPr>
        <w:t xml:space="preserve">por medio de interpretación </w:t>
      </w:r>
      <w:r w:rsidR="004A6CA8">
        <w:rPr>
          <w:rFonts w:eastAsia="Times New Roman"/>
          <w:szCs w:val="20"/>
          <w:lang w:val="es-CR" w:eastAsia="es-ES"/>
        </w:rPr>
        <w:t xml:space="preserve">de </w:t>
      </w:r>
      <w:r w:rsidRPr="00985CCD">
        <w:rPr>
          <w:rFonts w:eastAsia="Times New Roman"/>
          <w:szCs w:val="20"/>
          <w:lang w:val="es-CR" w:eastAsia="es-ES"/>
        </w:rPr>
        <w:t xml:space="preserve">la Sentencia de excepciones preliminares, fondo, reparaciones y costas, emitida en el caso </w:t>
      </w:r>
      <w:r w:rsidR="00890A3A" w:rsidRPr="00985CCD">
        <w:rPr>
          <w:rFonts w:eastAsia="Times New Roman"/>
          <w:i/>
          <w:szCs w:val="20"/>
          <w:lang w:val="es-CR" w:eastAsia="es-ES"/>
        </w:rPr>
        <w:t>Zegarra Marín</w:t>
      </w:r>
      <w:r w:rsidR="00890A3A" w:rsidRPr="00985CCD">
        <w:rPr>
          <w:rFonts w:eastAsia="Times New Roman"/>
          <w:szCs w:val="20"/>
          <w:lang w:val="es-CR" w:eastAsia="es-ES"/>
        </w:rPr>
        <w:t xml:space="preserve"> </w:t>
      </w:r>
      <w:r w:rsidR="00890A3A" w:rsidRPr="00985CCD">
        <w:rPr>
          <w:rFonts w:eastAsia="Times New Roman"/>
          <w:i/>
          <w:szCs w:val="20"/>
          <w:lang w:val="es-CR" w:eastAsia="es-ES"/>
        </w:rPr>
        <w:t>Vs. Perú</w:t>
      </w:r>
      <w:r w:rsidR="007673E0" w:rsidRPr="00985CCD">
        <w:rPr>
          <w:rFonts w:eastAsia="Times New Roman"/>
          <w:szCs w:val="20"/>
          <w:lang w:val="es-CR" w:eastAsia="es-ES"/>
        </w:rPr>
        <w:t xml:space="preserve">, en los términos de los párrafos </w:t>
      </w:r>
      <w:r w:rsidR="00985CCD" w:rsidRPr="00985CCD">
        <w:rPr>
          <w:rFonts w:eastAsia="Times New Roman"/>
          <w:szCs w:val="20"/>
          <w:lang w:val="es-CR" w:eastAsia="es-ES"/>
        </w:rPr>
        <w:t>1</w:t>
      </w:r>
      <w:r w:rsidR="00A86FE5">
        <w:rPr>
          <w:rFonts w:eastAsia="Times New Roman"/>
          <w:szCs w:val="20"/>
          <w:lang w:val="es-CR" w:eastAsia="es-ES"/>
        </w:rPr>
        <w:t>7</w:t>
      </w:r>
      <w:r w:rsidR="00985CCD" w:rsidRPr="00985CCD">
        <w:rPr>
          <w:rFonts w:eastAsia="Times New Roman"/>
          <w:szCs w:val="20"/>
          <w:lang w:val="es-CR" w:eastAsia="es-ES"/>
        </w:rPr>
        <w:t>, 1</w:t>
      </w:r>
      <w:r w:rsidR="00A86FE5">
        <w:rPr>
          <w:rFonts w:eastAsia="Times New Roman"/>
          <w:szCs w:val="20"/>
          <w:lang w:val="es-CR" w:eastAsia="es-ES"/>
        </w:rPr>
        <w:t>8</w:t>
      </w:r>
      <w:r w:rsidR="00985CCD" w:rsidRPr="00985CCD">
        <w:rPr>
          <w:rFonts w:eastAsia="Times New Roman"/>
          <w:szCs w:val="20"/>
          <w:lang w:val="es-CR" w:eastAsia="es-ES"/>
        </w:rPr>
        <w:t xml:space="preserve"> y 1</w:t>
      </w:r>
      <w:r w:rsidR="00A86FE5">
        <w:rPr>
          <w:rFonts w:eastAsia="Times New Roman"/>
          <w:szCs w:val="20"/>
          <w:lang w:val="es-CR" w:eastAsia="es-ES"/>
        </w:rPr>
        <w:t>9</w:t>
      </w:r>
      <w:r w:rsidR="007673E0" w:rsidRPr="00985CCD">
        <w:rPr>
          <w:rFonts w:eastAsia="Times New Roman"/>
          <w:szCs w:val="20"/>
          <w:lang w:val="es-CR" w:eastAsia="es-ES"/>
        </w:rPr>
        <w:t>.</w:t>
      </w:r>
      <w:r w:rsidR="00514892" w:rsidRPr="00985CCD">
        <w:rPr>
          <w:rFonts w:eastAsia="Times New Roman"/>
          <w:szCs w:val="20"/>
          <w:lang w:val="es-CR" w:eastAsia="es-ES"/>
        </w:rPr>
        <w:t xml:space="preserve"> </w:t>
      </w:r>
    </w:p>
    <w:p w:rsidR="0053640C" w:rsidRPr="00FF0A5B" w:rsidRDefault="0053640C" w:rsidP="0044361C">
      <w:pPr>
        <w:pStyle w:val="MediumGrid1-Accent21"/>
        <w:tabs>
          <w:tab w:val="left" w:pos="567"/>
        </w:tabs>
        <w:ind w:left="0"/>
        <w:contextualSpacing/>
        <w:rPr>
          <w:lang w:val="es-CR"/>
        </w:rPr>
      </w:pPr>
    </w:p>
    <w:p w:rsidR="00E2210E" w:rsidRPr="00985CCD" w:rsidRDefault="00E2210E" w:rsidP="0044361C">
      <w:pPr>
        <w:numPr>
          <w:ilvl w:val="0"/>
          <w:numId w:val="4"/>
        </w:numPr>
        <w:tabs>
          <w:tab w:val="clear" w:pos="1247"/>
          <w:tab w:val="num" w:pos="540"/>
        </w:tabs>
        <w:jc w:val="both"/>
        <w:rPr>
          <w:lang w:val="es-CR"/>
        </w:rPr>
      </w:pPr>
      <w:r w:rsidRPr="00985CCD">
        <w:rPr>
          <w:rFonts w:eastAsia="Batang"/>
          <w:lang w:val="es-CR"/>
        </w:rPr>
        <w:t xml:space="preserve">Disponer que la Secretaría de la Corte notifique la presente </w:t>
      </w:r>
      <w:r w:rsidR="004701D8" w:rsidRPr="00985CCD">
        <w:rPr>
          <w:rFonts w:eastAsia="Batang"/>
          <w:lang w:val="es-CR"/>
        </w:rPr>
        <w:t>S</w:t>
      </w:r>
      <w:r w:rsidRPr="00985CCD">
        <w:rPr>
          <w:rFonts w:eastAsia="Batang"/>
          <w:lang w:val="es-CR"/>
        </w:rPr>
        <w:t xml:space="preserve">entencia </w:t>
      </w:r>
      <w:r w:rsidRPr="00985CCD">
        <w:rPr>
          <w:rFonts w:eastAsia="Times New Roman" w:cs="Arial"/>
          <w:lang w:val="es-CR" w:eastAsia="ko-KR"/>
        </w:rPr>
        <w:t>de interpretación</w:t>
      </w:r>
      <w:r w:rsidRPr="00985CCD">
        <w:rPr>
          <w:rFonts w:eastAsia="Batang"/>
          <w:lang w:val="es-CR"/>
        </w:rPr>
        <w:t xml:space="preserve"> </w:t>
      </w:r>
      <w:r w:rsidR="005A188B" w:rsidRPr="00985CCD">
        <w:rPr>
          <w:rFonts w:eastAsia="Batang"/>
          <w:lang w:val="es-CR"/>
        </w:rPr>
        <w:t>a la República de</w:t>
      </w:r>
      <w:r w:rsidR="00985CCD" w:rsidRPr="00985CCD">
        <w:rPr>
          <w:rFonts w:eastAsia="Batang"/>
          <w:lang w:val="es-CR"/>
        </w:rPr>
        <w:t>l Perú</w:t>
      </w:r>
      <w:r w:rsidRPr="00985CCD">
        <w:rPr>
          <w:rFonts w:eastAsia="Batang"/>
          <w:lang w:val="es-CR"/>
        </w:rPr>
        <w:t>, a los representantes de las víctimas y a la Comisión Interamericana de Derechos Humanos.</w:t>
      </w:r>
    </w:p>
    <w:p w:rsidR="004722EB" w:rsidRPr="00854FDE" w:rsidRDefault="004722EB" w:rsidP="0044361C">
      <w:pPr>
        <w:jc w:val="both"/>
      </w:pPr>
    </w:p>
    <w:p w:rsidR="00164514" w:rsidRPr="00E47E14" w:rsidRDefault="00E47E14" w:rsidP="00164514">
      <w:pPr>
        <w:jc w:val="both"/>
      </w:pPr>
      <w:r>
        <w:t>Emitida</w:t>
      </w:r>
      <w:r w:rsidR="00E2210E" w:rsidRPr="00854FDE">
        <w:t xml:space="preserve"> en español, en San José, Costa </w:t>
      </w:r>
      <w:r w:rsidR="00D93916" w:rsidRPr="00854FDE">
        <w:t>Rica</w:t>
      </w:r>
      <w:r w:rsidR="00773354">
        <w:t xml:space="preserve">, el </w:t>
      </w:r>
      <w:r w:rsidR="00E85CF0">
        <w:rPr>
          <w:rFonts w:eastAsia="Times New Roman" w:cs="Verdana"/>
          <w:bCs/>
          <w:caps/>
          <w:snapToGrid w:val="0"/>
          <w:lang w:val="es-CR" w:eastAsia="es-ES"/>
        </w:rPr>
        <w:t xml:space="preserve">8 </w:t>
      </w:r>
      <w:r>
        <w:t xml:space="preserve">de febrero de 2018. </w:t>
      </w:r>
      <w:r>
        <w:rPr>
          <w:lang w:val="es-CR"/>
        </w:rPr>
        <w:t xml:space="preserve"> </w:t>
      </w:r>
    </w:p>
    <w:p w:rsidR="00E2210E" w:rsidRDefault="00E2210E" w:rsidP="00773354">
      <w:pPr>
        <w:jc w:val="both"/>
      </w:pPr>
    </w:p>
    <w:p w:rsidR="00D278FA" w:rsidRPr="00D278FA" w:rsidRDefault="00D278FA" w:rsidP="00D278FA">
      <w:pPr>
        <w:jc w:val="both"/>
      </w:pPr>
    </w:p>
    <w:p w:rsidR="00D278FA" w:rsidRDefault="00D278FA" w:rsidP="00D278FA">
      <w:pPr>
        <w:jc w:val="both"/>
      </w:pPr>
      <w:r>
        <w:rPr>
          <w:lang w:val="es-CR"/>
        </w:rPr>
        <w:t xml:space="preserve">Corte IDH. Caso </w:t>
      </w:r>
      <w:r>
        <w:rPr>
          <w:i/>
          <w:lang w:val="es-CR"/>
        </w:rPr>
        <w:t>Zegarra Marín Vs. Perú.</w:t>
      </w:r>
      <w:r>
        <w:rPr>
          <w:lang w:val="es-CR"/>
        </w:rPr>
        <w:t xml:space="preserve"> Interpretación de Sentencia sobre Excepciones Preliminares, Fondo, Reparaciones y Costas. Sentencia de 8 de febrero de 2018.</w:t>
      </w:r>
    </w:p>
    <w:p w:rsidR="00D278FA" w:rsidRDefault="00D278FA" w:rsidP="00D278FA"/>
    <w:p w:rsidR="00D278FA" w:rsidRDefault="00D278FA" w:rsidP="00D278FA"/>
    <w:p w:rsidR="00D278FA" w:rsidRDefault="00D278FA" w:rsidP="00D278FA">
      <w:pPr>
        <w:jc w:val="center"/>
      </w:pPr>
    </w:p>
    <w:p w:rsidR="00D278FA" w:rsidRDefault="00D278FA" w:rsidP="00D278FA">
      <w:pPr>
        <w:jc w:val="center"/>
      </w:pPr>
      <w:r>
        <w:rPr>
          <w:lang w:val="es-CR"/>
        </w:rPr>
        <w:t xml:space="preserve">Eduardo Ferrer Mac-Gregor Poisot </w:t>
      </w:r>
    </w:p>
    <w:p w:rsidR="00D278FA" w:rsidRDefault="00D278FA" w:rsidP="00D278FA">
      <w:pPr>
        <w:jc w:val="center"/>
      </w:pPr>
      <w:r>
        <w:t>Presidente</w:t>
      </w:r>
    </w:p>
    <w:p w:rsidR="00D278FA" w:rsidRDefault="00D278FA" w:rsidP="00D278FA">
      <w:pPr>
        <w:jc w:val="both"/>
      </w:pPr>
    </w:p>
    <w:p w:rsidR="00D278FA" w:rsidRDefault="00D278FA" w:rsidP="00D278FA">
      <w:pPr>
        <w:jc w:val="both"/>
      </w:pPr>
    </w:p>
    <w:p w:rsidR="00D278FA" w:rsidRDefault="00D278FA" w:rsidP="00D278FA">
      <w:r>
        <w:tab/>
      </w:r>
      <w:r>
        <w:tab/>
      </w:r>
      <w:r>
        <w:tab/>
      </w:r>
    </w:p>
    <w:p w:rsidR="00D278FA" w:rsidRDefault="00D278FA" w:rsidP="00D278FA">
      <w:pPr>
        <w:jc w:val="both"/>
        <w:rPr>
          <w:lang w:val="es-CR"/>
        </w:rPr>
      </w:pPr>
      <w:r>
        <w:rPr>
          <w:lang w:val="es-CR"/>
        </w:rPr>
        <w:t xml:space="preserve">Eduardo Vio Grossi </w:t>
      </w:r>
      <w:r>
        <w:rPr>
          <w:lang w:val="es-CR"/>
        </w:rPr>
        <w:tab/>
      </w:r>
      <w:r>
        <w:rPr>
          <w:lang w:val="es-CR"/>
        </w:rPr>
        <w:tab/>
      </w:r>
      <w:r>
        <w:rPr>
          <w:lang w:val="es-CR"/>
        </w:rPr>
        <w:tab/>
      </w:r>
      <w:r>
        <w:rPr>
          <w:lang w:val="es-CR"/>
        </w:rPr>
        <w:tab/>
      </w:r>
      <w:r>
        <w:rPr>
          <w:lang w:val="es-CR"/>
        </w:rPr>
        <w:tab/>
      </w:r>
      <w:r>
        <w:rPr>
          <w:lang w:val="es-CR"/>
        </w:rPr>
        <w:tab/>
      </w:r>
      <w:r>
        <w:rPr>
          <w:lang w:val="es-CR"/>
        </w:rPr>
        <w:tab/>
      </w:r>
      <w:r>
        <w:rPr>
          <w:lang w:val="es-CR"/>
        </w:rPr>
        <w:tab/>
        <w:t xml:space="preserve">      Roberto F. Caldas</w:t>
      </w:r>
    </w:p>
    <w:p w:rsidR="00D278FA" w:rsidRDefault="00D278FA" w:rsidP="00D278FA">
      <w:pPr>
        <w:jc w:val="both"/>
        <w:rPr>
          <w:lang w:val="es-CR"/>
        </w:rPr>
      </w:pPr>
    </w:p>
    <w:p w:rsidR="00D278FA" w:rsidRDefault="00D278FA" w:rsidP="00D278FA">
      <w:pPr>
        <w:jc w:val="both"/>
        <w:rPr>
          <w:lang w:val="es-CR"/>
        </w:rPr>
      </w:pPr>
    </w:p>
    <w:p w:rsidR="00D278FA" w:rsidRDefault="00D278FA" w:rsidP="00D278FA">
      <w:pPr>
        <w:rPr>
          <w:lang w:val="es-CR"/>
        </w:rPr>
      </w:pPr>
      <w:r>
        <w:rPr>
          <w:lang w:val="es-CR"/>
        </w:rPr>
        <w:tab/>
      </w:r>
      <w:r>
        <w:rPr>
          <w:lang w:val="es-CR"/>
        </w:rPr>
        <w:tab/>
      </w:r>
      <w:r>
        <w:rPr>
          <w:lang w:val="es-CR"/>
        </w:rPr>
        <w:tab/>
      </w:r>
    </w:p>
    <w:p w:rsidR="00D278FA" w:rsidRDefault="00D278FA" w:rsidP="00D278FA">
      <w:pPr>
        <w:jc w:val="both"/>
        <w:rPr>
          <w:lang w:val="es-CR"/>
        </w:rPr>
      </w:pPr>
      <w:r>
        <w:rPr>
          <w:lang w:val="es-CR"/>
        </w:rPr>
        <w:t>Humberto A. Sierra Porto</w:t>
      </w:r>
      <w:r>
        <w:rPr>
          <w:lang w:val="es-CR"/>
        </w:rPr>
        <w:tab/>
      </w:r>
      <w:r>
        <w:rPr>
          <w:lang w:val="es-CR"/>
        </w:rPr>
        <w:tab/>
        <w:t xml:space="preserve">  </w:t>
      </w:r>
      <w:r>
        <w:rPr>
          <w:lang w:val="es-CR"/>
        </w:rPr>
        <w:tab/>
      </w:r>
      <w:r>
        <w:rPr>
          <w:lang w:val="es-CR"/>
        </w:rPr>
        <w:tab/>
      </w:r>
      <w:r>
        <w:rPr>
          <w:lang w:val="es-CR"/>
        </w:rPr>
        <w:tab/>
      </w:r>
      <w:r>
        <w:rPr>
          <w:lang w:val="es-CR"/>
        </w:rPr>
        <w:tab/>
      </w:r>
      <w:r>
        <w:rPr>
          <w:lang w:val="es-CR"/>
        </w:rPr>
        <w:tab/>
        <w:t xml:space="preserve"> Elizabeth Odio Benito</w:t>
      </w:r>
    </w:p>
    <w:p w:rsidR="00D278FA" w:rsidRDefault="00D278FA" w:rsidP="00D278FA">
      <w:pPr>
        <w:jc w:val="center"/>
      </w:pPr>
    </w:p>
    <w:p w:rsidR="00D278FA" w:rsidRDefault="00D278FA" w:rsidP="00D278FA"/>
    <w:p w:rsidR="00D278FA" w:rsidRDefault="00D278FA" w:rsidP="00D278FA">
      <w:pPr>
        <w:rPr>
          <w:lang w:val="es-CR"/>
        </w:rPr>
      </w:pPr>
      <w:r>
        <w:rPr>
          <w:lang w:val="es-CR"/>
        </w:rPr>
        <w:tab/>
      </w:r>
    </w:p>
    <w:p w:rsidR="00D278FA" w:rsidRDefault="00D278FA" w:rsidP="00D278FA">
      <w:pPr>
        <w:rPr>
          <w:lang w:val="es-CR"/>
        </w:rPr>
      </w:pPr>
      <w:r>
        <w:rPr>
          <w:lang w:val="es-CR"/>
        </w:rPr>
        <w:t xml:space="preserve">Eugenio Raúl </w:t>
      </w:r>
      <w:proofErr w:type="spellStart"/>
      <w:r>
        <w:rPr>
          <w:lang w:val="es-CR"/>
        </w:rPr>
        <w:t>Zaffaroni</w:t>
      </w:r>
      <w:proofErr w:type="spellEnd"/>
      <w:r>
        <w:rPr>
          <w:lang w:val="es-CR"/>
        </w:rPr>
        <w:tab/>
      </w:r>
      <w:r>
        <w:rPr>
          <w:lang w:val="es-CR"/>
        </w:rPr>
        <w:tab/>
      </w:r>
      <w:r>
        <w:rPr>
          <w:lang w:val="es-CR"/>
        </w:rPr>
        <w:tab/>
      </w:r>
      <w:r>
        <w:rPr>
          <w:lang w:val="es-CR"/>
        </w:rPr>
        <w:tab/>
      </w:r>
      <w:r>
        <w:rPr>
          <w:lang w:val="es-CR"/>
        </w:rPr>
        <w:tab/>
        <w:t xml:space="preserve">                L. Patricio Pazmiño Freire</w:t>
      </w:r>
    </w:p>
    <w:p w:rsidR="00D278FA" w:rsidRDefault="00D278FA" w:rsidP="00D278FA">
      <w:pPr>
        <w:rPr>
          <w:lang w:val="es-CR"/>
        </w:rPr>
      </w:pPr>
      <w:r>
        <w:rPr>
          <w:lang w:val="es-CR"/>
        </w:rPr>
        <w:tab/>
      </w:r>
      <w:r>
        <w:rPr>
          <w:lang w:val="es-CR"/>
        </w:rPr>
        <w:tab/>
      </w:r>
      <w:r>
        <w:rPr>
          <w:lang w:val="es-CR"/>
        </w:rPr>
        <w:tab/>
      </w:r>
    </w:p>
    <w:p w:rsidR="00D278FA" w:rsidRDefault="00D278FA" w:rsidP="00D278FA">
      <w:pPr>
        <w:tabs>
          <w:tab w:val="left" w:pos="8460"/>
          <w:tab w:val="left" w:pos="8640"/>
        </w:tabs>
        <w:jc w:val="center"/>
        <w:rPr>
          <w:lang w:val="es-CR"/>
        </w:rPr>
      </w:pPr>
    </w:p>
    <w:p w:rsidR="00D278FA" w:rsidRDefault="00D278FA" w:rsidP="00D278FA">
      <w:pPr>
        <w:tabs>
          <w:tab w:val="left" w:pos="8460"/>
          <w:tab w:val="left" w:pos="8640"/>
        </w:tabs>
        <w:jc w:val="center"/>
      </w:pPr>
      <w:r>
        <w:t>Pablo Saavedra Alessandri</w:t>
      </w:r>
    </w:p>
    <w:p w:rsidR="00D278FA" w:rsidRDefault="00D278FA" w:rsidP="00D278FA">
      <w:pPr>
        <w:tabs>
          <w:tab w:val="left" w:pos="8460"/>
          <w:tab w:val="left" w:pos="8640"/>
        </w:tabs>
        <w:jc w:val="center"/>
      </w:pPr>
      <w:r>
        <w:t>Secretario</w:t>
      </w:r>
    </w:p>
    <w:p w:rsidR="00D278FA" w:rsidRDefault="00D278FA" w:rsidP="00D278FA">
      <w:pPr>
        <w:jc w:val="both"/>
      </w:pPr>
    </w:p>
    <w:p w:rsidR="00D278FA" w:rsidRDefault="00D278FA" w:rsidP="00D278FA">
      <w:pPr>
        <w:tabs>
          <w:tab w:val="left" w:pos="8460"/>
          <w:tab w:val="left" w:pos="8640"/>
        </w:tabs>
        <w:jc w:val="both"/>
      </w:pPr>
      <w:r>
        <w:t>Comuníquese y ejecútese,</w:t>
      </w:r>
    </w:p>
    <w:p w:rsidR="00D278FA" w:rsidRDefault="00D278FA" w:rsidP="00D278FA">
      <w:pPr>
        <w:tabs>
          <w:tab w:val="left" w:pos="8460"/>
          <w:tab w:val="left" w:pos="8640"/>
        </w:tabs>
        <w:jc w:val="both"/>
      </w:pPr>
    </w:p>
    <w:p w:rsidR="00D278FA" w:rsidRDefault="00D278FA" w:rsidP="00D278FA">
      <w:pPr>
        <w:tabs>
          <w:tab w:val="left" w:pos="8460"/>
          <w:tab w:val="left" w:pos="8640"/>
        </w:tabs>
        <w:jc w:val="both"/>
      </w:pPr>
    </w:p>
    <w:p w:rsidR="00D278FA" w:rsidRDefault="00D278FA" w:rsidP="00D278FA">
      <w:pPr>
        <w:ind w:left="5760"/>
        <w:jc w:val="center"/>
      </w:pPr>
      <w:r>
        <w:rPr>
          <w:lang w:val="es-CR"/>
        </w:rPr>
        <w:t xml:space="preserve">   Eduardo Ferrer Mac-Gregor Poisot </w:t>
      </w:r>
    </w:p>
    <w:p w:rsidR="00D278FA" w:rsidRDefault="00D278FA" w:rsidP="00D278FA">
      <w:pPr>
        <w:ind w:left="5040" w:firstLine="720"/>
        <w:jc w:val="center"/>
      </w:pPr>
      <w:r>
        <w:t xml:space="preserve">   Presidente</w:t>
      </w:r>
    </w:p>
    <w:p w:rsidR="00D278FA" w:rsidRDefault="00D278FA" w:rsidP="00D278FA">
      <w:pPr>
        <w:tabs>
          <w:tab w:val="left" w:pos="8460"/>
          <w:tab w:val="left" w:pos="8640"/>
        </w:tabs>
        <w:jc w:val="both"/>
      </w:pPr>
    </w:p>
    <w:p w:rsidR="00D278FA" w:rsidRDefault="00D278FA" w:rsidP="00D278FA">
      <w:pPr>
        <w:tabs>
          <w:tab w:val="left" w:pos="8460"/>
          <w:tab w:val="left" w:pos="8640"/>
        </w:tabs>
        <w:jc w:val="both"/>
      </w:pPr>
    </w:p>
    <w:p w:rsidR="00D278FA" w:rsidRDefault="00D278FA" w:rsidP="00D278FA">
      <w:pPr>
        <w:tabs>
          <w:tab w:val="left" w:pos="8460"/>
          <w:tab w:val="left" w:pos="8640"/>
        </w:tabs>
        <w:jc w:val="both"/>
      </w:pPr>
      <w:bookmarkStart w:id="9" w:name="_GoBack"/>
      <w:bookmarkEnd w:id="9"/>
    </w:p>
    <w:p w:rsidR="00D278FA" w:rsidRDefault="00D278FA" w:rsidP="00D278FA">
      <w:pPr>
        <w:tabs>
          <w:tab w:val="left" w:pos="8460"/>
          <w:tab w:val="left" w:pos="8640"/>
        </w:tabs>
        <w:jc w:val="both"/>
      </w:pPr>
      <w:r>
        <w:t>Pablo Saavedra Alessandri</w:t>
      </w:r>
    </w:p>
    <w:p w:rsidR="00D278FA" w:rsidRDefault="00D278FA" w:rsidP="00D278FA">
      <w:pPr>
        <w:tabs>
          <w:tab w:val="left" w:pos="8640"/>
        </w:tabs>
        <w:ind w:left="720"/>
      </w:pPr>
      <w:r>
        <w:t xml:space="preserve">  Secretario</w:t>
      </w:r>
    </w:p>
    <w:p w:rsidR="00D278FA" w:rsidRPr="00EA7DE6" w:rsidRDefault="00D278FA" w:rsidP="00773354">
      <w:pPr>
        <w:jc w:val="both"/>
      </w:pPr>
    </w:p>
    <w:sectPr w:rsidR="00D278FA" w:rsidRPr="00EA7DE6" w:rsidSect="00D16E71">
      <w:headerReference w:type="even" r:id="rId11"/>
      <w:headerReference w:type="default" r:id="rId12"/>
      <w:pgSz w:w="12240" w:h="15840" w:code="1"/>
      <w:pgMar w:top="1440" w:right="1080" w:bottom="1440" w:left="1080" w:header="706" w:footer="706"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09B" w:rsidRDefault="006D509B" w:rsidP="00E2210E">
      <w:r>
        <w:separator/>
      </w:r>
    </w:p>
  </w:endnote>
  <w:endnote w:type="continuationSeparator" w:id="0">
    <w:p w:rsidR="006D509B" w:rsidRDefault="006D509B" w:rsidP="00E22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09B" w:rsidRDefault="006D509B" w:rsidP="00E2210E">
      <w:r>
        <w:separator/>
      </w:r>
    </w:p>
  </w:footnote>
  <w:footnote w:type="continuationSeparator" w:id="0">
    <w:p w:rsidR="006D509B" w:rsidRDefault="006D509B" w:rsidP="00E2210E">
      <w:r>
        <w:continuationSeparator/>
      </w:r>
    </w:p>
  </w:footnote>
  <w:footnote w:id="1">
    <w:p w:rsidR="008A2C8F" w:rsidRDefault="008A2C8F" w:rsidP="00A67FC7">
      <w:pPr>
        <w:pStyle w:val="Textonotapie"/>
        <w:rPr>
          <w:szCs w:val="16"/>
          <w:lang w:val="es-CR"/>
        </w:rPr>
      </w:pPr>
    </w:p>
  </w:footnote>
  <w:footnote w:id="2">
    <w:p w:rsidR="008A2C8F" w:rsidRPr="00EF1538" w:rsidRDefault="008A2C8F">
      <w:pPr>
        <w:pStyle w:val="Textonotapie"/>
      </w:pPr>
      <w:r>
        <w:rPr>
          <w:rStyle w:val="Refdenotaalpie"/>
        </w:rPr>
        <w:footnoteRef/>
      </w:r>
      <w:r>
        <w:t xml:space="preserve"> </w:t>
      </w:r>
      <w:r>
        <w:tab/>
        <w:t>Artículo 68. Solicitud de Interpretación. 3. Para el examen de la solicitud de interpretación, la Corte se reunirá, si es posible, con la misma composición que tenía al dictar la sentencia respectiva. Sin embargo, en caso de</w:t>
      </w:r>
      <w:r w:rsidRPr="00EF1538">
        <w:t xml:space="preserve"> </w:t>
      </w:r>
      <w:r>
        <w:t>fallecimiento, renuncia, impedimento, excusa o inhabilitación, se sustituirá al Juez de que se trate según el artículo 17 de este Reglamento.</w:t>
      </w:r>
    </w:p>
  </w:footnote>
  <w:footnote w:id="3">
    <w:p w:rsidR="008A2C8F" w:rsidRPr="00A67FC7" w:rsidRDefault="008A2C8F" w:rsidP="00A67FC7">
      <w:pPr>
        <w:jc w:val="both"/>
        <w:rPr>
          <w:sz w:val="16"/>
          <w:szCs w:val="16"/>
          <w:lang w:val="es-CR"/>
        </w:rPr>
      </w:pPr>
      <w:r w:rsidRPr="00A67FC7">
        <w:rPr>
          <w:rStyle w:val="Refdenotaalpie"/>
          <w:sz w:val="16"/>
          <w:szCs w:val="16"/>
        </w:rPr>
        <w:footnoteRef/>
      </w:r>
      <w:r w:rsidRPr="00A67FC7">
        <w:rPr>
          <w:sz w:val="16"/>
          <w:szCs w:val="16"/>
        </w:rPr>
        <w:t xml:space="preserve"> </w:t>
      </w:r>
      <w:r w:rsidRPr="00A67FC7">
        <w:rPr>
          <w:sz w:val="16"/>
          <w:szCs w:val="16"/>
        </w:rPr>
        <w:tab/>
      </w:r>
      <w:r w:rsidRPr="00A67FC7">
        <w:rPr>
          <w:sz w:val="16"/>
          <w:szCs w:val="16"/>
          <w:lang w:val="es-CR"/>
        </w:rPr>
        <w:t>Dicho artículo dispone, en lo pertinente: “1.</w:t>
      </w:r>
      <w:r>
        <w:rPr>
          <w:sz w:val="16"/>
          <w:szCs w:val="16"/>
          <w:lang w:val="es-CR"/>
        </w:rPr>
        <w:t xml:space="preserve"> </w:t>
      </w:r>
      <w:r w:rsidRPr="00A67FC7">
        <w:rPr>
          <w:sz w:val="16"/>
          <w:szCs w:val="16"/>
          <w:lang w:val="es-CR"/>
        </w:rPr>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 […] 4.</w:t>
      </w:r>
      <w:r>
        <w:rPr>
          <w:sz w:val="16"/>
          <w:szCs w:val="16"/>
          <w:lang w:val="es-CR"/>
        </w:rPr>
        <w:t xml:space="preserve"> </w:t>
      </w:r>
      <w:r w:rsidRPr="00A67FC7">
        <w:rPr>
          <w:sz w:val="16"/>
          <w:szCs w:val="16"/>
          <w:lang w:val="es-CR"/>
        </w:rPr>
        <w:t>La solicitud de interpretación no suspenderá la ejecución de la sentencia. 5.</w:t>
      </w:r>
      <w:r>
        <w:rPr>
          <w:sz w:val="16"/>
          <w:szCs w:val="16"/>
          <w:lang w:val="es-CR"/>
        </w:rPr>
        <w:t xml:space="preserve"> </w:t>
      </w:r>
      <w:r w:rsidRPr="00A67FC7">
        <w:rPr>
          <w:sz w:val="16"/>
          <w:szCs w:val="16"/>
          <w:lang w:val="es-CR"/>
        </w:rPr>
        <w:t>La Corte determinará el procedimiento que se seguirá y resolverá mediante una sentencia</w:t>
      </w:r>
      <w:r>
        <w:rPr>
          <w:sz w:val="16"/>
          <w:szCs w:val="16"/>
          <w:lang w:val="es-CR"/>
        </w:rPr>
        <w:t>”</w:t>
      </w:r>
      <w:r w:rsidRPr="00A67FC7">
        <w:rPr>
          <w:sz w:val="16"/>
          <w:szCs w:val="16"/>
          <w:lang w:val="es-CR"/>
        </w:rPr>
        <w:t>.</w:t>
      </w:r>
    </w:p>
  </w:footnote>
  <w:footnote w:id="4">
    <w:p w:rsidR="008A2C8F" w:rsidRPr="007911B7" w:rsidRDefault="008A2C8F" w:rsidP="007F6FBA">
      <w:pPr>
        <w:pStyle w:val="Textonotapie"/>
      </w:pPr>
      <w:r>
        <w:rPr>
          <w:rStyle w:val="Refdenotaalpie"/>
        </w:rPr>
        <w:footnoteRef/>
      </w:r>
      <w:r>
        <w:t xml:space="preserve"> </w:t>
      </w:r>
      <w:r>
        <w:tab/>
      </w:r>
      <w:r w:rsidRPr="00FF47FF">
        <w:rPr>
          <w:szCs w:val="16"/>
        </w:rPr>
        <w:t xml:space="preserve">Para la contabilización de este plazo se tomó en cuenta el Acuerdo de Corte 1/14 “Precisiones sobre el Cómputo de Plazos”. </w:t>
      </w:r>
    </w:p>
  </w:footnote>
  <w:footnote w:id="5">
    <w:p w:rsidR="008A2C8F" w:rsidRPr="001D431D" w:rsidRDefault="008A2C8F" w:rsidP="00A67FC7">
      <w:pPr>
        <w:pStyle w:val="Textonotapie"/>
        <w:rPr>
          <w:szCs w:val="16"/>
          <w:lang w:val="es-CO"/>
        </w:rPr>
      </w:pPr>
      <w:r w:rsidRPr="00FF47FF">
        <w:rPr>
          <w:rStyle w:val="Refdenotaalpie"/>
          <w:szCs w:val="16"/>
          <w:lang w:val="es-CO"/>
        </w:rPr>
        <w:footnoteRef/>
      </w:r>
      <w:r w:rsidRPr="00FF47FF">
        <w:rPr>
          <w:szCs w:val="16"/>
          <w:lang w:val="es-CO"/>
        </w:rPr>
        <w:t xml:space="preserve"> </w:t>
      </w:r>
      <w:r w:rsidRPr="00FF47FF">
        <w:rPr>
          <w:szCs w:val="16"/>
          <w:lang w:val="es-CO"/>
        </w:rPr>
        <w:tab/>
      </w:r>
      <w:r w:rsidRPr="00FF47FF">
        <w:rPr>
          <w:i/>
          <w:szCs w:val="16"/>
          <w:lang w:val="es-CO"/>
        </w:rPr>
        <w:t xml:space="preserve">Cfr. </w:t>
      </w:r>
      <w:r w:rsidRPr="00FF47FF">
        <w:rPr>
          <w:i/>
          <w:szCs w:val="16"/>
        </w:rPr>
        <w:t xml:space="preserve">Caso Loayza Tamayo Vs. Perú. Interpretación de la Sentencia de Fondo. </w:t>
      </w:r>
      <w:r w:rsidRPr="00FF47FF">
        <w:rPr>
          <w:szCs w:val="16"/>
        </w:rPr>
        <w:t>Resolución de la Corte de 8 de marzo de 1998. Serie C No. 47</w:t>
      </w:r>
      <w:r w:rsidRPr="000C495D">
        <w:rPr>
          <w:szCs w:val="16"/>
          <w:lang w:val="es-CO"/>
        </w:rPr>
        <w:t xml:space="preserve">, párr. </w:t>
      </w:r>
      <w:r>
        <w:rPr>
          <w:szCs w:val="16"/>
          <w:lang w:val="es-CO"/>
        </w:rPr>
        <w:t>5</w:t>
      </w:r>
      <w:r w:rsidRPr="000C495D">
        <w:rPr>
          <w:szCs w:val="16"/>
          <w:lang w:val="es-CO"/>
        </w:rPr>
        <w:t xml:space="preserve">, y </w:t>
      </w:r>
      <w:r w:rsidRPr="00D16E71">
        <w:rPr>
          <w:rStyle w:val="Textoennegrita"/>
          <w:b w:val="0"/>
          <w:i/>
        </w:rPr>
        <w:t>Caso Yarce y otras Vs. Colombia. Interpretación de la Sentencia de Excepción Preliminar, Fondo, Reparaciones y Costas.</w:t>
      </w:r>
      <w:r w:rsidRPr="00E85CF0">
        <w:rPr>
          <w:rStyle w:val="Textoennegrita"/>
          <w:b w:val="0"/>
        </w:rPr>
        <w:t xml:space="preserve"> Sentencia de 21 de noviembre 2017. Serie C No. 343.</w:t>
      </w:r>
      <w:r>
        <w:rPr>
          <w:sz w:val="18"/>
          <w:szCs w:val="18"/>
        </w:rPr>
        <w:t xml:space="preserve"> </w:t>
      </w:r>
      <w:r w:rsidRPr="00FB41C6">
        <w:rPr>
          <w:szCs w:val="16"/>
          <w:lang w:val="es-CO"/>
        </w:rPr>
        <w:t>párr. 1</w:t>
      </w:r>
      <w:r>
        <w:rPr>
          <w:szCs w:val="16"/>
          <w:lang w:val="es-CO"/>
        </w:rPr>
        <w:t>2</w:t>
      </w:r>
      <w:r w:rsidRPr="00FB41C6">
        <w:rPr>
          <w:szCs w:val="16"/>
          <w:lang w:val="es-CO"/>
        </w:rPr>
        <w:t>.</w:t>
      </w:r>
    </w:p>
  </w:footnote>
  <w:footnote w:id="6">
    <w:p w:rsidR="008A2C8F" w:rsidRPr="001D431D" w:rsidRDefault="008A2C8F" w:rsidP="00A67FC7">
      <w:pPr>
        <w:pStyle w:val="Textonotapie"/>
        <w:rPr>
          <w:szCs w:val="16"/>
          <w:lang w:val="es-CO"/>
        </w:rPr>
      </w:pPr>
      <w:r w:rsidRPr="00FB41C6">
        <w:rPr>
          <w:rStyle w:val="Refdenotaalpie"/>
          <w:szCs w:val="16"/>
          <w:lang w:val="es-CO"/>
        </w:rPr>
        <w:footnoteRef/>
      </w:r>
      <w:r w:rsidRPr="00FB41C6">
        <w:rPr>
          <w:szCs w:val="16"/>
          <w:lang w:val="es-CO"/>
        </w:rPr>
        <w:t xml:space="preserve"> </w:t>
      </w:r>
      <w:r w:rsidRPr="00FB41C6">
        <w:rPr>
          <w:szCs w:val="16"/>
          <w:lang w:val="es-CO"/>
        </w:rPr>
        <w:tab/>
      </w:r>
      <w:r w:rsidRPr="00FB41C6">
        <w:rPr>
          <w:i/>
          <w:szCs w:val="16"/>
          <w:lang w:val="es-CO"/>
        </w:rPr>
        <w:t xml:space="preserve">Cfr. Caso Loayza Tamayo Vs. Perú. </w:t>
      </w:r>
      <w:r w:rsidRPr="00FB41C6">
        <w:rPr>
          <w:i/>
          <w:szCs w:val="16"/>
        </w:rPr>
        <w:t xml:space="preserve">Interpretación de la Sentencia de Fondo, </w:t>
      </w:r>
      <w:r w:rsidRPr="00FB41C6">
        <w:rPr>
          <w:szCs w:val="16"/>
          <w:lang w:val="es-CO"/>
        </w:rPr>
        <w:t>párr. 1</w:t>
      </w:r>
      <w:r>
        <w:rPr>
          <w:szCs w:val="16"/>
          <w:lang w:val="es-CO"/>
        </w:rPr>
        <w:t>6</w:t>
      </w:r>
      <w:r w:rsidRPr="00FB41C6">
        <w:rPr>
          <w:szCs w:val="16"/>
          <w:lang w:val="es-CO"/>
        </w:rPr>
        <w:t xml:space="preserve">, y </w:t>
      </w:r>
      <w:r w:rsidRPr="00BD1C7F">
        <w:rPr>
          <w:rStyle w:val="Textoennegrita"/>
          <w:b w:val="0"/>
          <w:i/>
        </w:rPr>
        <w:t>Caso Yarce y otras Vs. Colombia. Interpretación de la Sentencia</w:t>
      </w:r>
      <w:r>
        <w:rPr>
          <w:rStyle w:val="Textoennegrita"/>
          <w:b w:val="0"/>
          <w:i/>
        </w:rPr>
        <w:t>, supra,</w:t>
      </w:r>
      <w:r w:rsidRPr="00BD1C7F">
        <w:rPr>
          <w:rStyle w:val="Textoennegrita"/>
          <w:b w:val="0"/>
          <w:i/>
        </w:rPr>
        <w:t xml:space="preserve"> </w:t>
      </w:r>
      <w:r w:rsidRPr="00FB41C6">
        <w:rPr>
          <w:szCs w:val="16"/>
          <w:lang w:val="es-CO"/>
        </w:rPr>
        <w:t xml:space="preserve">párr. </w:t>
      </w:r>
      <w:r>
        <w:rPr>
          <w:szCs w:val="16"/>
          <w:lang w:val="es-CO"/>
        </w:rPr>
        <w:t>12</w:t>
      </w:r>
      <w:r w:rsidRPr="00FB41C6">
        <w:rPr>
          <w:szCs w:val="16"/>
          <w:lang w:val="es-CO"/>
        </w:rPr>
        <w:t>.</w:t>
      </w:r>
    </w:p>
  </w:footnote>
  <w:footnote w:id="7">
    <w:p w:rsidR="008A2C8F" w:rsidRPr="00373364" w:rsidRDefault="008A2C8F" w:rsidP="00495426">
      <w:pPr>
        <w:pStyle w:val="Textonotapie"/>
        <w:rPr>
          <w:lang w:val="es-CR"/>
        </w:rPr>
      </w:pPr>
      <w:r>
        <w:rPr>
          <w:rStyle w:val="Refdenotaalpie"/>
        </w:rPr>
        <w:footnoteRef/>
      </w:r>
      <w:r>
        <w:t xml:space="preserve"> </w:t>
      </w:r>
      <w:r>
        <w:rPr>
          <w:lang w:val="es-CR"/>
        </w:rPr>
        <w:tab/>
      </w:r>
      <w:r w:rsidRPr="00373364">
        <w:rPr>
          <w:i/>
        </w:rPr>
        <w:t>Cfr. Caso Loayza Tamayo Vs. Perú. Interpretación de la Sentencia de Reparaciones y Costas.</w:t>
      </w:r>
      <w:r>
        <w:t xml:space="preserve"> Sentencia de 3 de junio de 1999. Serie C No. 53, párr. 15, y </w:t>
      </w:r>
      <w:r w:rsidRPr="00BD1C7F">
        <w:rPr>
          <w:rStyle w:val="Textoennegrita"/>
          <w:b w:val="0"/>
          <w:i/>
        </w:rPr>
        <w:t>Caso Yarce y otras Vs. Colombia.</w:t>
      </w:r>
      <w:r>
        <w:rPr>
          <w:rStyle w:val="Textoennegrita"/>
          <w:b w:val="0"/>
          <w:i/>
        </w:rPr>
        <w:t xml:space="preserve"> Interpretación de la Sentencia, </w:t>
      </w:r>
      <w:r w:rsidRPr="00D16E71">
        <w:rPr>
          <w:rStyle w:val="Textoennegrita"/>
          <w:b w:val="0"/>
        </w:rPr>
        <w:t>párr</w:t>
      </w:r>
      <w:r w:rsidRPr="00E85CF0">
        <w:t>.</w:t>
      </w:r>
      <w:r>
        <w:t xml:space="preserve"> 49.</w:t>
      </w:r>
    </w:p>
  </w:footnote>
  <w:footnote w:id="8">
    <w:p w:rsidR="008A2C8F" w:rsidRPr="00373364" w:rsidRDefault="008A2C8F" w:rsidP="00495426">
      <w:pPr>
        <w:pStyle w:val="Textonotapie"/>
        <w:rPr>
          <w:lang w:val="es-CR"/>
        </w:rPr>
      </w:pPr>
      <w:r>
        <w:rPr>
          <w:rStyle w:val="Refdenotaalpie"/>
        </w:rPr>
        <w:footnoteRef/>
      </w:r>
      <w:r>
        <w:t xml:space="preserve"> </w:t>
      </w:r>
      <w:r>
        <w:rPr>
          <w:lang w:val="es-CR"/>
        </w:rPr>
        <w:tab/>
      </w:r>
      <w:r w:rsidRPr="00373364">
        <w:rPr>
          <w:i/>
        </w:rPr>
        <w:t>Cfr. Caso Salvador Chiriboga Vs. Ecuador. Interpretación de la Sentencia de Reparaciones y Costas.</w:t>
      </w:r>
      <w:r>
        <w:t xml:space="preserve"> Sentencia de 29 de agosto de 2011. Serie C No. 230, párr. 30, y </w:t>
      </w:r>
      <w:r w:rsidRPr="00BD1C7F">
        <w:rPr>
          <w:rStyle w:val="Textoennegrita"/>
          <w:b w:val="0"/>
          <w:i/>
        </w:rPr>
        <w:t>Caso Yarce y otras Vs. Colombia. Interpretación de la Sentencia</w:t>
      </w:r>
      <w:r>
        <w:rPr>
          <w:rStyle w:val="Textoennegrita"/>
          <w:b w:val="0"/>
          <w:i/>
        </w:rPr>
        <w:t>,</w:t>
      </w:r>
      <w:r w:rsidRPr="00BD1C7F">
        <w:rPr>
          <w:rStyle w:val="Textoennegrita"/>
          <w:b w:val="0"/>
          <w:i/>
        </w:rPr>
        <w:t xml:space="preserve"> </w:t>
      </w:r>
      <w:r>
        <w:t>párr. 49.</w:t>
      </w:r>
    </w:p>
  </w:footnote>
  <w:footnote w:id="9">
    <w:p w:rsidR="008A2C8F" w:rsidRPr="00373364" w:rsidRDefault="008A2C8F" w:rsidP="00495426">
      <w:pPr>
        <w:pStyle w:val="Textonotapie"/>
        <w:rPr>
          <w:lang w:val="es-CR"/>
        </w:rPr>
      </w:pPr>
      <w:r>
        <w:rPr>
          <w:rStyle w:val="Refdenotaalpie"/>
        </w:rPr>
        <w:footnoteRef/>
      </w:r>
      <w:r>
        <w:t xml:space="preserve"> </w:t>
      </w:r>
      <w:r>
        <w:rPr>
          <w:lang w:val="es-CR"/>
        </w:rPr>
        <w:tab/>
      </w:r>
      <w:r w:rsidRPr="00373364">
        <w:rPr>
          <w:i/>
        </w:rPr>
        <w:t>Cfr. Caso Escher y otros Vs. Brasil. Interpretación de la Sentencia de Excepciones Preliminares, Fondo, Reparaciones y Costas.</w:t>
      </w:r>
      <w:r>
        <w:t xml:space="preserve"> Sentencia de 20 de noviembre de 2009. Serie C No. 208, párr. 11, y </w:t>
      </w:r>
      <w:r w:rsidRPr="00D16E71">
        <w:rPr>
          <w:rStyle w:val="Textoennegrita"/>
          <w:b w:val="0"/>
          <w:i/>
        </w:rPr>
        <w:t>Caso I.V. Vs. Bolivia. Interpretación de la Sentencia de Excepciones Preliminares, Fondo, Reparaciones y Costas</w:t>
      </w:r>
      <w:r w:rsidRPr="00E85CF0">
        <w:rPr>
          <w:rStyle w:val="Textoennegrita"/>
          <w:b w:val="0"/>
        </w:rPr>
        <w:t>. Sentencia de 25 de mayo de 2017. Serie C No. 336</w:t>
      </w:r>
      <w:r w:rsidRPr="00D16E71">
        <w:rPr>
          <w:b/>
        </w:rPr>
        <w:t>,</w:t>
      </w:r>
      <w:r>
        <w:t xml:space="preserve"> párr. 12.</w:t>
      </w:r>
    </w:p>
  </w:footnote>
  <w:footnote w:id="10">
    <w:p w:rsidR="008A2C8F" w:rsidRPr="007254A9" w:rsidRDefault="008A2C8F" w:rsidP="008F6569">
      <w:pPr>
        <w:pStyle w:val="Textonotapie"/>
      </w:pPr>
      <w:r w:rsidRPr="007254A9">
        <w:rPr>
          <w:rStyle w:val="Refdenotaalpie"/>
        </w:rPr>
        <w:footnoteRef/>
      </w:r>
      <w:r w:rsidRPr="007254A9">
        <w:t xml:space="preserve"> </w:t>
      </w:r>
      <w:r w:rsidRPr="007254A9">
        <w:tab/>
      </w:r>
      <w:r w:rsidRPr="00E43264">
        <w:rPr>
          <w:i/>
        </w:rPr>
        <w:t>Cfr.</w:t>
      </w:r>
      <w:r w:rsidRPr="007254A9">
        <w:t xml:space="preserve"> </w:t>
      </w:r>
      <w:r w:rsidRPr="007254A9">
        <w:rPr>
          <w:rFonts w:eastAsia="Verdana" w:cs="Verdana"/>
          <w:bCs/>
          <w:i/>
        </w:rPr>
        <w:t>Caso Suárez Rosero Vs. Ecuador. Fondo.</w:t>
      </w:r>
      <w:r w:rsidRPr="007254A9">
        <w:rPr>
          <w:rFonts w:eastAsia="Verdana" w:cs="Verdana"/>
          <w:bCs/>
        </w:rPr>
        <w:t xml:space="preserve"> Sentencia de 12 de noviembre de 1997. Serie C No. 35, párr. 37, y</w:t>
      </w:r>
      <w:r>
        <w:rPr>
          <w:rFonts w:eastAsia="Verdana" w:cs="Verdana"/>
          <w:spacing w:val="1"/>
        </w:rPr>
        <w:t xml:space="preserve"> </w:t>
      </w:r>
      <w:r w:rsidRPr="00D16E71">
        <w:rPr>
          <w:rStyle w:val="Textoennegrita"/>
          <w:b w:val="0"/>
          <w:i/>
        </w:rPr>
        <w:t>Caso Ortiz Hernández y otros Vs. Venezuela. Fondo, Reparaciones y Costas.</w:t>
      </w:r>
      <w:r w:rsidRPr="00E85CF0">
        <w:rPr>
          <w:rStyle w:val="Textoennegrita"/>
          <w:b w:val="0"/>
        </w:rPr>
        <w:t xml:space="preserve"> Sentencia de 22 de agosto de 2017. Serie C No. 338,</w:t>
      </w:r>
      <w:r>
        <w:rPr>
          <w:sz w:val="18"/>
          <w:szCs w:val="18"/>
        </w:rPr>
        <w:t xml:space="preserve"> </w:t>
      </w:r>
      <w:r>
        <w:rPr>
          <w:rFonts w:eastAsia="Verdana" w:cs="Verdana"/>
          <w:spacing w:val="1"/>
        </w:rPr>
        <w:t>párr. 128</w:t>
      </w:r>
      <w:r>
        <w:rPr>
          <w:rFonts w:eastAsia="Verdana" w:cs="Verdan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C8F" w:rsidRDefault="008A2C8F" w:rsidP="00B946D7">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8A2C8F" w:rsidRDefault="008A2C8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C8F" w:rsidRDefault="008A2C8F">
    <w:pPr>
      <w:pStyle w:val="Encabezado"/>
      <w:jc w:val="center"/>
    </w:pPr>
    <w:r>
      <w:fldChar w:fldCharType="begin"/>
    </w:r>
    <w:r>
      <w:instrText xml:space="preserve"> PAGE   \* MERGEFORMAT </w:instrText>
    </w:r>
    <w:r>
      <w:fldChar w:fldCharType="separate"/>
    </w:r>
    <w:r w:rsidR="00F9196C">
      <w:rPr>
        <w:noProof/>
      </w:rPr>
      <w:t>6</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029AD"/>
    <w:multiLevelType w:val="hybridMultilevel"/>
    <w:tmpl w:val="2D244914"/>
    <w:lvl w:ilvl="0" w:tplc="FF84FE22">
      <w:start w:val="2"/>
      <w:numFmt w:val="upperLetter"/>
      <w:lvlText w:val="%1."/>
      <w:lvlJc w:val="left"/>
      <w:pPr>
        <w:ind w:left="360" w:hanging="360"/>
      </w:pPr>
      <w:rPr>
        <w:rFonts w:hint="default"/>
        <w:b/>
        <w:i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24D83B86"/>
    <w:multiLevelType w:val="hybridMultilevel"/>
    <w:tmpl w:val="74485A8E"/>
    <w:name w:val="WW8Num22"/>
    <w:lvl w:ilvl="0" w:tplc="5E2E613A">
      <w:start w:val="1"/>
      <w:numFmt w:val="decimal"/>
      <w:lvlText w:val="%1."/>
      <w:lvlJc w:val="left"/>
      <w:pPr>
        <w:tabs>
          <w:tab w:val="num" w:pos="0"/>
        </w:tabs>
        <w:ind w:left="0" w:firstLine="0"/>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2BB750D4"/>
    <w:multiLevelType w:val="hybridMultilevel"/>
    <w:tmpl w:val="9B1AAE56"/>
    <w:lvl w:ilvl="0" w:tplc="FFFFFFFF">
      <w:start w:val="1"/>
      <w:numFmt w:val="upperLetter"/>
      <w:pStyle w:val="Ttulo9"/>
      <w:lvlText w:val="%1)"/>
      <w:lvlJc w:val="left"/>
      <w:pPr>
        <w:tabs>
          <w:tab w:val="num" w:pos="1080"/>
        </w:tabs>
        <w:ind w:left="1080" w:hanging="360"/>
      </w:pPr>
      <w:rPr>
        <w:rFonts w:ascii="Garamond" w:hAnsi="Garamond" w:hint="default"/>
        <w:b w:val="0"/>
        <w:i/>
        <w:sz w:val="24"/>
      </w:rPr>
    </w:lvl>
    <w:lvl w:ilvl="1" w:tplc="FFFFFFFF">
      <w:numFmt w:val="none"/>
      <w:lvlText w:val=""/>
      <w:lvlJc w:val="left"/>
      <w:pPr>
        <w:tabs>
          <w:tab w:val="num" w:pos="360"/>
        </w:tabs>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
    <w:nsid w:val="399E3040"/>
    <w:multiLevelType w:val="hybridMultilevel"/>
    <w:tmpl w:val="81C620F4"/>
    <w:lvl w:ilvl="0" w:tplc="D286F064">
      <w:start w:val="4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F381A43"/>
    <w:multiLevelType w:val="hybridMultilevel"/>
    <w:tmpl w:val="CE3438E2"/>
    <w:lvl w:ilvl="0" w:tplc="814A79EE">
      <w:start w:val="300"/>
      <w:numFmt w:val="decimal"/>
      <w:lvlText w:val="%1."/>
      <w:lvlJc w:val="left"/>
      <w:pPr>
        <w:ind w:left="735" w:hanging="375"/>
      </w:pPr>
      <w:rPr>
        <w:rFonts w:ascii="Verdana" w:hAnsi="Verdana" w:hint="default"/>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FC6219"/>
    <w:multiLevelType w:val="hybridMultilevel"/>
    <w:tmpl w:val="24D42AA4"/>
    <w:lvl w:ilvl="0" w:tplc="2EB2F07E">
      <w:start w:val="1"/>
      <w:numFmt w:val="upperLetter"/>
      <w:pStyle w:val="Ttulo3"/>
      <w:lvlText w:val="%1."/>
      <w:lvlJc w:val="left"/>
      <w:pPr>
        <w:ind w:left="1644" w:hanging="360"/>
      </w:pPr>
    </w:lvl>
    <w:lvl w:ilvl="1" w:tplc="04090019">
      <w:start w:val="1"/>
      <w:numFmt w:val="lowerLetter"/>
      <w:lvlText w:val="%2."/>
      <w:lvlJc w:val="left"/>
      <w:pPr>
        <w:ind w:left="2364" w:hanging="360"/>
      </w:pPr>
    </w:lvl>
    <w:lvl w:ilvl="2" w:tplc="0409001B">
      <w:start w:val="1"/>
      <w:numFmt w:val="lowerRoman"/>
      <w:lvlText w:val="%3."/>
      <w:lvlJc w:val="right"/>
      <w:pPr>
        <w:ind w:left="3084" w:hanging="180"/>
      </w:pPr>
    </w:lvl>
    <w:lvl w:ilvl="3" w:tplc="04090015">
      <w:start w:val="1"/>
      <w:numFmt w:val="upperLetter"/>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6">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B53933"/>
    <w:multiLevelType w:val="hybridMultilevel"/>
    <w:tmpl w:val="114833F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63BE3EEA"/>
    <w:multiLevelType w:val="hybridMultilevel"/>
    <w:tmpl w:val="DD02519A"/>
    <w:lvl w:ilvl="0" w:tplc="140A0001">
      <w:start w:val="1"/>
      <w:numFmt w:val="bullet"/>
      <w:lvlText w:val=""/>
      <w:lvlJc w:val="left"/>
      <w:pPr>
        <w:tabs>
          <w:tab w:val="num" w:pos="720"/>
        </w:tabs>
        <w:ind w:left="720" w:hanging="360"/>
      </w:pPr>
      <w:rPr>
        <w:rFonts w:ascii="Symbol" w:hAnsi="Symbol" w:hint="default"/>
      </w:rPr>
    </w:lvl>
    <w:lvl w:ilvl="1" w:tplc="140A0003">
      <w:start w:val="1"/>
      <w:numFmt w:val="lowerRoman"/>
      <w:lvlText w:val="%2."/>
      <w:lvlJc w:val="right"/>
      <w:pPr>
        <w:tabs>
          <w:tab w:val="num" w:pos="1440"/>
        </w:tabs>
        <w:ind w:left="1440" w:hanging="360"/>
      </w:pPr>
      <w:rPr>
        <w:rFonts w:hint="default"/>
      </w:rPr>
    </w:lvl>
    <w:lvl w:ilvl="2" w:tplc="9A486304">
      <w:start w:val="2"/>
      <w:numFmt w:val="upperLetter"/>
      <w:lvlText w:val="%3."/>
      <w:lvlJc w:val="left"/>
      <w:pPr>
        <w:ind w:left="2160" w:hanging="360"/>
      </w:pPr>
      <w:rPr>
        <w:rFonts w:hint="default"/>
      </w:rPr>
    </w:lvl>
    <w:lvl w:ilvl="3" w:tplc="140A0001" w:tentative="1">
      <w:start w:val="1"/>
      <w:numFmt w:val="bullet"/>
      <w:lvlText w:val=""/>
      <w:lvlJc w:val="left"/>
      <w:pPr>
        <w:tabs>
          <w:tab w:val="num" w:pos="2880"/>
        </w:tabs>
        <w:ind w:left="2880" w:hanging="360"/>
      </w:pPr>
      <w:rPr>
        <w:rFonts w:ascii="Symbol" w:hAnsi="Symbol" w:hint="default"/>
      </w:rPr>
    </w:lvl>
    <w:lvl w:ilvl="4" w:tplc="140A0003" w:tentative="1">
      <w:start w:val="1"/>
      <w:numFmt w:val="bullet"/>
      <w:lvlText w:val="o"/>
      <w:lvlJc w:val="left"/>
      <w:pPr>
        <w:tabs>
          <w:tab w:val="num" w:pos="3600"/>
        </w:tabs>
        <w:ind w:left="3600" w:hanging="360"/>
      </w:pPr>
      <w:rPr>
        <w:rFonts w:ascii="Courier New" w:hAnsi="Courier New" w:cs="Courier New" w:hint="default"/>
      </w:rPr>
    </w:lvl>
    <w:lvl w:ilvl="5" w:tplc="140A0005" w:tentative="1">
      <w:start w:val="1"/>
      <w:numFmt w:val="bullet"/>
      <w:lvlText w:val=""/>
      <w:lvlJc w:val="left"/>
      <w:pPr>
        <w:tabs>
          <w:tab w:val="num" w:pos="4320"/>
        </w:tabs>
        <w:ind w:left="4320" w:hanging="360"/>
      </w:pPr>
      <w:rPr>
        <w:rFonts w:ascii="Wingdings" w:hAnsi="Wingdings" w:hint="default"/>
      </w:rPr>
    </w:lvl>
    <w:lvl w:ilvl="6" w:tplc="140A0001" w:tentative="1">
      <w:start w:val="1"/>
      <w:numFmt w:val="bullet"/>
      <w:lvlText w:val=""/>
      <w:lvlJc w:val="left"/>
      <w:pPr>
        <w:tabs>
          <w:tab w:val="num" w:pos="5040"/>
        </w:tabs>
        <w:ind w:left="5040" w:hanging="360"/>
      </w:pPr>
      <w:rPr>
        <w:rFonts w:ascii="Symbol" w:hAnsi="Symbol" w:hint="default"/>
      </w:rPr>
    </w:lvl>
    <w:lvl w:ilvl="7" w:tplc="140A0003" w:tentative="1">
      <w:start w:val="1"/>
      <w:numFmt w:val="bullet"/>
      <w:lvlText w:val="o"/>
      <w:lvlJc w:val="left"/>
      <w:pPr>
        <w:tabs>
          <w:tab w:val="num" w:pos="5760"/>
        </w:tabs>
        <w:ind w:left="5760" w:hanging="360"/>
      </w:pPr>
      <w:rPr>
        <w:rFonts w:ascii="Courier New" w:hAnsi="Courier New" w:cs="Courier New" w:hint="default"/>
      </w:rPr>
    </w:lvl>
    <w:lvl w:ilvl="8" w:tplc="140A0005" w:tentative="1">
      <w:start w:val="1"/>
      <w:numFmt w:val="bullet"/>
      <w:lvlText w:val=""/>
      <w:lvlJc w:val="left"/>
      <w:pPr>
        <w:tabs>
          <w:tab w:val="num" w:pos="6480"/>
        </w:tabs>
        <w:ind w:left="6480" w:hanging="360"/>
      </w:pPr>
      <w:rPr>
        <w:rFonts w:ascii="Wingdings" w:hAnsi="Wingdings" w:hint="default"/>
      </w:rPr>
    </w:lvl>
  </w:abstractNum>
  <w:abstractNum w:abstractNumId="9">
    <w:nsid w:val="6450298B"/>
    <w:multiLevelType w:val="hybridMultilevel"/>
    <w:tmpl w:val="9E3C0506"/>
    <w:lvl w:ilvl="0" w:tplc="2C5ADC88">
      <w:start w:val="1"/>
      <w:numFmt w:val="decimal"/>
      <w:lvlText w:val="%1."/>
      <w:lvlJc w:val="left"/>
      <w:pPr>
        <w:ind w:left="360"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75BA2721"/>
    <w:multiLevelType w:val="hybridMultilevel"/>
    <w:tmpl w:val="9780A1F0"/>
    <w:lvl w:ilvl="0" w:tplc="1E9ED476">
      <w:start w:val="4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2D7446"/>
    <w:multiLevelType w:val="hybridMultilevel"/>
    <w:tmpl w:val="4CF26930"/>
    <w:lvl w:ilvl="0" w:tplc="1270C540">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547EED0C">
      <w:start w:val="1"/>
      <w:numFmt w:val="upperLetter"/>
      <w:lvlText w:val="%4."/>
      <w:lvlJc w:val="left"/>
      <w:pPr>
        <w:ind w:left="2880" w:hanging="360"/>
      </w:pPr>
      <w:rPr>
        <w:rFonts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7CE64D32"/>
    <w:multiLevelType w:val="hybridMultilevel"/>
    <w:tmpl w:val="1EC616AC"/>
    <w:lvl w:ilvl="0" w:tplc="1270C540">
      <w:start w:val="1"/>
      <w:numFmt w:val="decimal"/>
      <w:lvlText w:val="%1."/>
      <w:lvlJc w:val="left"/>
      <w:pPr>
        <w:tabs>
          <w:tab w:val="num" w:pos="1427"/>
        </w:tabs>
        <w:ind w:left="18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547EED0C">
      <w:start w:val="1"/>
      <w:numFmt w:val="upperLetter"/>
      <w:lvlText w:val="%4."/>
      <w:lvlJc w:val="left"/>
      <w:pPr>
        <w:ind w:left="2880" w:hanging="360"/>
      </w:pPr>
      <w:rPr>
        <w:rFonts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2"/>
  </w:num>
  <w:num w:numId="2">
    <w:abstractNumId w:val="2"/>
  </w:num>
  <w:num w:numId="3">
    <w:abstractNumId w:val="5"/>
  </w:num>
  <w:num w:numId="4">
    <w:abstractNumId w:val="11"/>
  </w:num>
  <w:num w:numId="5">
    <w:abstractNumId w:val="6"/>
  </w:num>
  <w:num w:numId="6">
    <w:abstractNumId w:val="0"/>
  </w:num>
  <w:num w:numId="7">
    <w:abstractNumId w:val="10"/>
  </w:num>
  <w:num w:numId="8">
    <w:abstractNumId w:val="3"/>
  </w:num>
  <w:num w:numId="9">
    <w:abstractNumId w:val="8"/>
  </w:num>
  <w:num w:numId="10">
    <w:abstractNumId w:val="4"/>
  </w:num>
  <w:num w:numId="11">
    <w:abstractNumId w:val="9"/>
  </w:num>
  <w:num w:numId="1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210E"/>
    <w:rsid w:val="000004D0"/>
    <w:rsid w:val="00001E9F"/>
    <w:rsid w:val="00003DE3"/>
    <w:rsid w:val="00004B0B"/>
    <w:rsid w:val="00005F77"/>
    <w:rsid w:val="00013D95"/>
    <w:rsid w:val="00020E00"/>
    <w:rsid w:val="00023ED4"/>
    <w:rsid w:val="000302BA"/>
    <w:rsid w:val="000304EF"/>
    <w:rsid w:val="00031259"/>
    <w:rsid w:val="0003271A"/>
    <w:rsid w:val="000336C4"/>
    <w:rsid w:val="00034AED"/>
    <w:rsid w:val="0003636F"/>
    <w:rsid w:val="00037AA8"/>
    <w:rsid w:val="00042325"/>
    <w:rsid w:val="00050507"/>
    <w:rsid w:val="000540CE"/>
    <w:rsid w:val="000554D6"/>
    <w:rsid w:val="0005673D"/>
    <w:rsid w:val="00056D51"/>
    <w:rsid w:val="0006417F"/>
    <w:rsid w:val="000664F2"/>
    <w:rsid w:val="00066B67"/>
    <w:rsid w:val="00070E70"/>
    <w:rsid w:val="000805F8"/>
    <w:rsid w:val="00081165"/>
    <w:rsid w:val="000832DC"/>
    <w:rsid w:val="0008711C"/>
    <w:rsid w:val="000937D0"/>
    <w:rsid w:val="0009411B"/>
    <w:rsid w:val="000A0661"/>
    <w:rsid w:val="000A197A"/>
    <w:rsid w:val="000A3CEF"/>
    <w:rsid w:val="000A4753"/>
    <w:rsid w:val="000A483A"/>
    <w:rsid w:val="000A4C96"/>
    <w:rsid w:val="000A5AD1"/>
    <w:rsid w:val="000B0126"/>
    <w:rsid w:val="000B2499"/>
    <w:rsid w:val="000B4F43"/>
    <w:rsid w:val="000B6A59"/>
    <w:rsid w:val="000B6E36"/>
    <w:rsid w:val="000C113F"/>
    <w:rsid w:val="000C1860"/>
    <w:rsid w:val="000C2B1E"/>
    <w:rsid w:val="000C392C"/>
    <w:rsid w:val="000C400A"/>
    <w:rsid w:val="000C495D"/>
    <w:rsid w:val="000C546B"/>
    <w:rsid w:val="000C5FAC"/>
    <w:rsid w:val="000C6E78"/>
    <w:rsid w:val="000D1D56"/>
    <w:rsid w:val="000D284E"/>
    <w:rsid w:val="000D322E"/>
    <w:rsid w:val="000D5F36"/>
    <w:rsid w:val="000D70AB"/>
    <w:rsid w:val="000E3636"/>
    <w:rsid w:val="000E5134"/>
    <w:rsid w:val="000E555C"/>
    <w:rsid w:val="000E6660"/>
    <w:rsid w:val="000E7C59"/>
    <w:rsid w:val="000F224A"/>
    <w:rsid w:val="000F25A9"/>
    <w:rsid w:val="000F4546"/>
    <w:rsid w:val="000F5EBD"/>
    <w:rsid w:val="000F7559"/>
    <w:rsid w:val="000F7A0F"/>
    <w:rsid w:val="0010281F"/>
    <w:rsid w:val="00106A54"/>
    <w:rsid w:val="00110652"/>
    <w:rsid w:val="00114891"/>
    <w:rsid w:val="00116452"/>
    <w:rsid w:val="00117FD9"/>
    <w:rsid w:val="00120D24"/>
    <w:rsid w:val="001236A5"/>
    <w:rsid w:val="00124A7C"/>
    <w:rsid w:val="001252FE"/>
    <w:rsid w:val="001258EE"/>
    <w:rsid w:val="0012633A"/>
    <w:rsid w:val="001263A6"/>
    <w:rsid w:val="001330C2"/>
    <w:rsid w:val="001367E5"/>
    <w:rsid w:val="00145111"/>
    <w:rsid w:val="00150357"/>
    <w:rsid w:val="00152427"/>
    <w:rsid w:val="001560F2"/>
    <w:rsid w:val="00160AD9"/>
    <w:rsid w:val="00164514"/>
    <w:rsid w:val="00164677"/>
    <w:rsid w:val="00164AD1"/>
    <w:rsid w:val="00165981"/>
    <w:rsid w:val="00166A5D"/>
    <w:rsid w:val="001721B4"/>
    <w:rsid w:val="00172641"/>
    <w:rsid w:val="001751D5"/>
    <w:rsid w:val="0017630A"/>
    <w:rsid w:val="00181902"/>
    <w:rsid w:val="00182158"/>
    <w:rsid w:val="00182497"/>
    <w:rsid w:val="00182C72"/>
    <w:rsid w:val="00185AB2"/>
    <w:rsid w:val="001866E8"/>
    <w:rsid w:val="00186CF7"/>
    <w:rsid w:val="00187366"/>
    <w:rsid w:val="00193E2F"/>
    <w:rsid w:val="00195C6C"/>
    <w:rsid w:val="001A08C9"/>
    <w:rsid w:val="001A0947"/>
    <w:rsid w:val="001A100C"/>
    <w:rsid w:val="001A1EE0"/>
    <w:rsid w:val="001A3EB6"/>
    <w:rsid w:val="001A604F"/>
    <w:rsid w:val="001A6EC0"/>
    <w:rsid w:val="001B048B"/>
    <w:rsid w:val="001B27F7"/>
    <w:rsid w:val="001B2B8F"/>
    <w:rsid w:val="001B2E6B"/>
    <w:rsid w:val="001B344F"/>
    <w:rsid w:val="001B65D6"/>
    <w:rsid w:val="001C1DEC"/>
    <w:rsid w:val="001C2DE0"/>
    <w:rsid w:val="001C3407"/>
    <w:rsid w:val="001D046B"/>
    <w:rsid w:val="001D21D1"/>
    <w:rsid w:val="001D431D"/>
    <w:rsid w:val="001D7B2D"/>
    <w:rsid w:val="001E0EC0"/>
    <w:rsid w:val="001E33A4"/>
    <w:rsid w:val="001E44D5"/>
    <w:rsid w:val="001E4762"/>
    <w:rsid w:val="001E7FC7"/>
    <w:rsid w:val="001F01C5"/>
    <w:rsid w:val="001F0AE5"/>
    <w:rsid w:val="001F2E12"/>
    <w:rsid w:val="001F4B58"/>
    <w:rsid w:val="001F5FFB"/>
    <w:rsid w:val="001F68C4"/>
    <w:rsid w:val="00201C9D"/>
    <w:rsid w:val="00206662"/>
    <w:rsid w:val="00212BA0"/>
    <w:rsid w:val="00213A85"/>
    <w:rsid w:val="00214960"/>
    <w:rsid w:val="00217F39"/>
    <w:rsid w:val="00223367"/>
    <w:rsid w:val="002265B9"/>
    <w:rsid w:val="002267DC"/>
    <w:rsid w:val="002304BE"/>
    <w:rsid w:val="00232236"/>
    <w:rsid w:val="00233BA2"/>
    <w:rsid w:val="0023438F"/>
    <w:rsid w:val="0023548B"/>
    <w:rsid w:val="00240409"/>
    <w:rsid w:val="00240B26"/>
    <w:rsid w:val="00240B76"/>
    <w:rsid w:val="00241F29"/>
    <w:rsid w:val="00246FEA"/>
    <w:rsid w:val="00247298"/>
    <w:rsid w:val="00254287"/>
    <w:rsid w:val="0025621D"/>
    <w:rsid w:val="0025758D"/>
    <w:rsid w:val="00257798"/>
    <w:rsid w:val="00261B54"/>
    <w:rsid w:val="00262B1D"/>
    <w:rsid w:val="00264152"/>
    <w:rsid w:val="002658BD"/>
    <w:rsid w:val="00266B07"/>
    <w:rsid w:val="00267DE3"/>
    <w:rsid w:val="00270D77"/>
    <w:rsid w:val="00275DD6"/>
    <w:rsid w:val="00277316"/>
    <w:rsid w:val="00286D8A"/>
    <w:rsid w:val="00290CEA"/>
    <w:rsid w:val="0029181D"/>
    <w:rsid w:val="002918ED"/>
    <w:rsid w:val="0029265C"/>
    <w:rsid w:val="0029420B"/>
    <w:rsid w:val="00295CDE"/>
    <w:rsid w:val="00297A45"/>
    <w:rsid w:val="002A05E7"/>
    <w:rsid w:val="002A29E5"/>
    <w:rsid w:val="002A753A"/>
    <w:rsid w:val="002A7F79"/>
    <w:rsid w:val="002B2CDF"/>
    <w:rsid w:val="002B4C03"/>
    <w:rsid w:val="002B5D52"/>
    <w:rsid w:val="002C0022"/>
    <w:rsid w:val="002C15A3"/>
    <w:rsid w:val="002C15F1"/>
    <w:rsid w:val="002C480A"/>
    <w:rsid w:val="002C5936"/>
    <w:rsid w:val="002C7970"/>
    <w:rsid w:val="002D3B54"/>
    <w:rsid w:val="002D6010"/>
    <w:rsid w:val="002D62DA"/>
    <w:rsid w:val="002D6FB8"/>
    <w:rsid w:val="002E06F7"/>
    <w:rsid w:val="002E0B36"/>
    <w:rsid w:val="002E2685"/>
    <w:rsid w:val="002E43EB"/>
    <w:rsid w:val="002E44FE"/>
    <w:rsid w:val="002E68EE"/>
    <w:rsid w:val="002E74C9"/>
    <w:rsid w:val="002E7F4B"/>
    <w:rsid w:val="002F39BF"/>
    <w:rsid w:val="00301227"/>
    <w:rsid w:val="00301E97"/>
    <w:rsid w:val="003040D8"/>
    <w:rsid w:val="00307060"/>
    <w:rsid w:val="003104C4"/>
    <w:rsid w:val="003106C3"/>
    <w:rsid w:val="00312B15"/>
    <w:rsid w:val="00317AA6"/>
    <w:rsid w:val="0032055F"/>
    <w:rsid w:val="0032080E"/>
    <w:rsid w:val="00324D4C"/>
    <w:rsid w:val="00325780"/>
    <w:rsid w:val="00325E0D"/>
    <w:rsid w:val="0033132B"/>
    <w:rsid w:val="003316BD"/>
    <w:rsid w:val="00332966"/>
    <w:rsid w:val="003345A0"/>
    <w:rsid w:val="00335CB4"/>
    <w:rsid w:val="003424EF"/>
    <w:rsid w:val="003468A9"/>
    <w:rsid w:val="0034743B"/>
    <w:rsid w:val="0035005A"/>
    <w:rsid w:val="00350736"/>
    <w:rsid w:val="003541D7"/>
    <w:rsid w:val="0035618B"/>
    <w:rsid w:val="0035649C"/>
    <w:rsid w:val="003567BD"/>
    <w:rsid w:val="00363563"/>
    <w:rsid w:val="003637E3"/>
    <w:rsid w:val="00367D70"/>
    <w:rsid w:val="00372CC3"/>
    <w:rsid w:val="00373757"/>
    <w:rsid w:val="0037677F"/>
    <w:rsid w:val="00376EFB"/>
    <w:rsid w:val="00377595"/>
    <w:rsid w:val="00377E7E"/>
    <w:rsid w:val="00382A94"/>
    <w:rsid w:val="00382DEA"/>
    <w:rsid w:val="00384641"/>
    <w:rsid w:val="0038579D"/>
    <w:rsid w:val="003864D2"/>
    <w:rsid w:val="00386FDB"/>
    <w:rsid w:val="00390CB8"/>
    <w:rsid w:val="00392057"/>
    <w:rsid w:val="00395AD0"/>
    <w:rsid w:val="00396867"/>
    <w:rsid w:val="003A2418"/>
    <w:rsid w:val="003B256A"/>
    <w:rsid w:val="003B3907"/>
    <w:rsid w:val="003B5AB0"/>
    <w:rsid w:val="003C1A35"/>
    <w:rsid w:val="003C202B"/>
    <w:rsid w:val="003C265A"/>
    <w:rsid w:val="003C7326"/>
    <w:rsid w:val="003C77E3"/>
    <w:rsid w:val="003D33C7"/>
    <w:rsid w:val="003D361C"/>
    <w:rsid w:val="003D3E19"/>
    <w:rsid w:val="003D4207"/>
    <w:rsid w:val="003E08D6"/>
    <w:rsid w:val="003E169C"/>
    <w:rsid w:val="003E2A37"/>
    <w:rsid w:val="003E36C8"/>
    <w:rsid w:val="003E557F"/>
    <w:rsid w:val="003E7E9A"/>
    <w:rsid w:val="003F0B67"/>
    <w:rsid w:val="003F0F56"/>
    <w:rsid w:val="003F1BB1"/>
    <w:rsid w:val="003F20EE"/>
    <w:rsid w:val="003F2EB6"/>
    <w:rsid w:val="003F4CD7"/>
    <w:rsid w:val="003F7CE9"/>
    <w:rsid w:val="0040060A"/>
    <w:rsid w:val="00400C55"/>
    <w:rsid w:val="004012B6"/>
    <w:rsid w:val="00402E5E"/>
    <w:rsid w:val="00403A2C"/>
    <w:rsid w:val="00404100"/>
    <w:rsid w:val="00410968"/>
    <w:rsid w:val="004149BC"/>
    <w:rsid w:val="00415882"/>
    <w:rsid w:val="0041699C"/>
    <w:rsid w:val="00420622"/>
    <w:rsid w:val="00420A59"/>
    <w:rsid w:val="004225D6"/>
    <w:rsid w:val="00423BA9"/>
    <w:rsid w:val="004242C2"/>
    <w:rsid w:val="00432493"/>
    <w:rsid w:val="004328B7"/>
    <w:rsid w:val="00434403"/>
    <w:rsid w:val="00435D84"/>
    <w:rsid w:val="00436164"/>
    <w:rsid w:val="00440381"/>
    <w:rsid w:val="004432AB"/>
    <w:rsid w:val="0044361C"/>
    <w:rsid w:val="0044492C"/>
    <w:rsid w:val="00445302"/>
    <w:rsid w:val="004466D1"/>
    <w:rsid w:val="00447918"/>
    <w:rsid w:val="004507FB"/>
    <w:rsid w:val="004509EE"/>
    <w:rsid w:val="004530FF"/>
    <w:rsid w:val="0045354F"/>
    <w:rsid w:val="00453BFA"/>
    <w:rsid w:val="0045467B"/>
    <w:rsid w:val="004548BF"/>
    <w:rsid w:val="00462984"/>
    <w:rsid w:val="004644F7"/>
    <w:rsid w:val="00464738"/>
    <w:rsid w:val="00464CD2"/>
    <w:rsid w:val="00467368"/>
    <w:rsid w:val="004701D8"/>
    <w:rsid w:val="00471FD5"/>
    <w:rsid w:val="004722EB"/>
    <w:rsid w:val="004737D2"/>
    <w:rsid w:val="004823F3"/>
    <w:rsid w:val="00482A80"/>
    <w:rsid w:val="00482AB0"/>
    <w:rsid w:val="004832F9"/>
    <w:rsid w:val="00486613"/>
    <w:rsid w:val="00486CF2"/>
    <w:rsid w:val="00487363"/>
    <w:rsid w:val="0049039E"/>
    <w:rsid w:val="00492BC9"/>
    <w:rsid w:val="00495426"/>
    <w:rsid w:val="00495618"/>
    <w:rsid w:val="00497A31"/>
    <w:rsid w:val="004A0ED2"/>
    <w:rsid w:val="004A1487"/>
    <w:rsid w:val="004A199A"/>
    <w:rsid w:val="004A6CA8"/>
    <w:rsid w:val="004B067B"/>
    <w:rsid w:val="004B11D7"/>
    <w:rsid w:val="004B1A8D"/>
    <w:rsid w:val="004B50B8"/>
    <w:rsid w:val="004C0DE4"/>
    <w:rsid w:val="004C1B2C"/>
    <w:rsid w:val="004C2DB3"/>
    <w:rsid w:val="004C6A47"/>
    <w:rsid w:val="004C775B"/>
    <w:rsid w:val="004D07E6"/>
    <w:rsid w:val="004E05BA"/>
    <w:rsid w:val="004E1400"/>
    <w:rsid w:val="004E447E"/>
    <w:rsid w:val="004E451A"/>
    <w:rsid w:val="004E4C8E"/>
    <w:rsid w:val="004E52DC"/>
    <w:rsid w:val="004E7D90"/>
    <w:rsid w:val="004F0EB7"/>
    <w:rsid w:val="004F120F"/>
    <w:rsid w:val="004F1E92"/>
    <w:rsid w:val="004F1F2D"/>
    <w:rsid w:val="004F3124"/>
    <w:rsid w:val="004F6E6B"/>
    <w:rsid w:val="00500C70"/>
    <w:rsid w:val="00501C3C"/>
    <w:rsid w:val="0050278B"/>
    <w:rsid w:val="00504C81"/>
    <w:rsid w:val="005069DB"/>
    <w:rsid w:val="00507411"/>
    <w:rsid w:val="0051221F"/>
    <w:rsid w:val="00514892"/>
    <w:rsid w:val="005165CC"/>
    <w:rsid w:val="005254A8"/>
    <w:rsid w:val="00525D47"/>
    <w:rsid w:val="0052630C"/>
    <w:rsid w:val="00530FB8"/>
    <w:rsid w:val="005323CF"/>
    <w:rsid w:val="0053279F"/>
    <w:rsid w:val="00532B0C"/>
    <w:rsid w:val="00533EAE"/>
    <w:rsid w:val="005342ED"/>
    <w:rsid w:val="00534C34"/>
    <w:rsid w:val="00534E87"/>
    <w:rsid w:val="005350E9"/>
    <w:rsid w:val="0053583C"/>
    <w:rsid w:val="0053640C"/>
    <w:rsid w:val="00536C77"/>
    <w:rsid w:val="00540759"/>
    <w:rsid w:val="00541298"/>
    <w:rsid w:val="00541B33"/>
    <w:rsid w:val="005430C8"/>
    <w:rsid w:val="00543313"/>
    <w:rsid w:val="005505A8"/>
    <w:rsid w:val="00554366"/>
    <w:rsid w:val="005555DA"/>
    <w:rsid w:val="00555A02"/>
    <w:rsid w:val="0056143C"/>
    <w:rsid w:val="005655FB"/>
    <w:rsid w:val="0056676F"/>
    <w:rsid w:val="005678B0"/>
    <w:rsid w:val="00567ECA"/>
    <w:rsid w:val="00570A3C"/>
    <w:rsid w:val="00571364"/>
    <w:rsid w:val="00571BA2"/>
    <w:rsid w:val="00573A99"/>
    <w:rsid w:val="00575C45"/>
    <w:rsid w:val="005806D4"/>
    <w:rsid w:val="00581B1F"/>
    <w:rsid w:val="005856D9"/>
    <w:rsid w:val="005913A6"/>
    <w:rsid w:val="00592761"/>
    <w:rsid w:val="00593D82"/>
    <w:rsid w:val="00594B9F"/>
    <w:rsid w:val="00595622"/>
    <w:rsid w:val="00595A1F"/>
    <w:rsid w:val="00596EEF"/>
    <w:rsid w:val="005A0A8B"/>
    <w:rsid w:val="005A1196"/>
    <w:rsid w:val="005A188B"/>
    <w:rsid w:val="005A48DC"/>
    <w:rsid w:val="005B0A78"/>
    <w:rsid w:val="005B1513"/>
    <w:rsid w:val="005B2BBD"/>
    <w:rsid w:val="005B6204"/>
    <w:rsid w:val="005C10DE"/>
    <w:rsid w:val="005C21B6"/>
    <w:rsid w:val="005C22F2"/>
    <w:rsid w:val="005C3B97"/>
    <w:rsid w:val="005C415A"/>
    <w:rsid w:val="005C4443"/>
    <w:rsid w:val="005C4D07"/>
    <w:rsid w:val="005D09B8"/>
    <w:rsid w:val="005D1693"/>
    <w:rsid w:val="005D2904"/>
    <w:rsid w:val="005D4111"/>
    <w:rsid w:val="005D6287"/>
    <w:rsid w:val="005D6F24"/>
    <w:rsid w:val="005E0483"/>
    <w:rsid w:val="005E0562"/>
    <w:rsid w:val="005E1280"/>
    <w:rsid w:val="005E3F4D"/>
    <w:rsid w:val="005E53D8"/>
    <w:rsid w:val="005E6609"/>
    <w:rsid w:val="005F36A8"/>
    <w:rsid w:val="005F445D"/>
    <w:rsid w:val="005F56FC"/>
    <w:rsid w:val="00603A8D"/>
    <w:rsid w:val="006042E3"/>
    <w:rsid w:val="006046ED"/>
    <w:rsid w:val="00605785"/>
    <w:rsid w:val="00605F6E"/>
    <w:rsid w:val="006100F8"/>
    <w:rsid w:val="00614046"/>
    <w:rsid w:val="00616DF0"/>
    <w:rsid w:val="00624F01"/>
    <w:rsid w:val="006254E1"/>
    <w:rsid w:val="00626AE9"/>
    <w:rsid w:val="00627D06"/>
    <w:rsid w:val="00633680"/>
    <w:rsid w:val="00633FE2"/>
    <w:rsid w:val="00636A23"/>
    <w:rsid w:val="0063728A"/>
    <w:rsid w:val="00637702"/>
    <w:rsid w:val="006413D3"/>
    <w:rsid w:val="006420FC"/>
    <w:rsid w:val="0064293E"/>
    <w:rsid w:val="0064587E"/>
    <w:rsid w:val="00646297"/>
    <w:rsid w:val="00650493"/>
    <w:rsid w:val="00650DF2"/>
    <w:rsid w:val="00650F8A"/>
    <w:rsid w:val="006517EE"/>
    <w:rsid w:val="00651B78"/>
    <w:rsid w:val="00652722"/>
    <w:rsid w:val="00653B9E"/>
    <w:rsid w:val="00653C24"/>
    <w:rsid w:val="00662A82"/>
    <w:rsid w:val="006648C4"/>
    <w:rsid w:val="00665469"/>
    <w:rsid w:val="00665E37"/>
    <w:rsid w:val="006674D7"/>
    <w:rsid w:val="006730C0"/>
    <w:rsid w:val="00682673"/>
    <w:rsid w:val="0068292C"/>
    <w:rsid w:val="006834B7"/>
    <w:rsid w:val="0068379C"/>
    <w:rsid w:val="006920D6"/>
    <w:rsid w:val="00692351"/>
    <w:rsid w:val="00692409"/>
    <w:rsid w:val="006929B0"/>
    <w:rsid w:val="00693FC1"/>
    <w:rsid w:val="00695811"/>
    <w:rsid w:val="006966A9"/>
    <w:rsid w:val="00697F71"/>
    <w:rsid w:val="006A3159"/>
    <w:rsid w:val="006A6925"/>
    <w:rsid w:val="006B2B1F"/>
    <w:rsid w:val="006B526D"/>
    <w:rsid w:val="006B7A65"/>
    <w:rsid w:val="006B7DCB"/>
    <w:rsid w:val="006C2058"/>
    <w:rsid w:val="006C2541"/>
    <w:rsid w:val="006C2930"/>
    <w:rsid w:val="006C5463"/>
    <w:rsid w:val="006C5EBB"/>
    <w:rsid w:val="006D12E2"/>
    <w:rsid w:val="006D218C"/>
    <w:rsid w:val="006D36AB"/>
    <w:rsid w:val="006D509B"/>
    <w:rsid w:val="006D763C"/>
    <w:rsid w:val="006D7A31"/>
    <w:rsid w:val="006E2338"/>
    <w:rsid w:val="006E495F"/>
    <w:rsid w:val="006E6797"/>
    <w:rsid w:val="006E6E1B"/>
    <w:rsid w:val="006F06E3"/>
    <w:rsid w:val="006F1A16"/>
    <w:rsid w:val="006F254B"/>
    <w:rsid w:val="006F2D1A"/>
    <w:rsid w:val="006F2EEA"/>
    <w:rsid w:val="006F7186"/>
    <w:rsid w:val="006F7ADF"/>
    <w:rsid w:val="007016D4"/>
    <w:rsid w:val="0070401A"/>
    <w:rsid w:val="0070501D"/>
    <w:rsid w:val="007051A5"/>
    <w:rsid w:val="00705C4D"/>
    <w:rsid w:val="00706CCD"/>
    <w:rsid w:val="00713802"/>
    <w:rsid w:val="007152FC"/>
    <w:rsid w:val="007201B9"/>
    <w:rsid w:val="00720F54"/>
    <w:rsid w:val="0072385A"/>
    <w:rsid w:val="00723E0A"/>
    <w:rsid w:val="00730692"/>
    <w:rsid w:val="00731FBF"/>
    <w:rsid w:val="00733D77"/>
    <w:rsid w:val="00737086"/>
    <w:rsid w:val="00737BCD"/>
    <w:rsid w:val="00737F72"/>
    <w:rsid w:val="00741F44"/>
    <w:rsid w:val="00743CEE"/>
    <w:rsid w:val="00747D92"/>
    <w:rsid w:val="00747E42"/>
    <w:rsid w:val="007506E5"/>
    <w:rsid w:val="00751B53"/>
    <w:rsid w:val="00752FE7"/>
    <w:rsid w:val="00753594"/>
    <w:rsid w:val="00753782"/>
    <w:rsid w:val="007558B6"/>
    <w:rsid w:val="00756548"/>
    <w:rsid w:val="00757458"/>
    <w:rsid w:val="00760358"/>
    <w:rsid w:val="0076056B"/>
    <w:rsid w:val="00760A3C"/>
    <w:rsid w:val="00761504"/>
    <w:rsid w:val="00764D6C"/>
    <w:rsid w:val="00764F4A"/>
    <w:rsid w:val="007673E0"/>
    <w:rsid w:val="007677BE"/>
    <w:rsid w:val="00770228"/>
    <w:rsid w:val="0077157E"/>
    <w:rsid w:val="00773307"/>
    <w:rsid w:val="00773354"/>
    <w:rsid w:val="00780297"/>
    <w:rsid w:val="007832C3"/>
    <w:rsid w:val="007837CC"/>
    <w:rsid w:val="007849FA"/>
    <w:rsid w:val="00785FB2"/>
    <w:rsid w:val="007863F0"/>
    <w:rsid w:val="00786F69"/>
    <w:rsid w:val="00787147"/>
    <w:rsid w:val="0078731F"/>
    <w:rsid w:val="00787636"/>
    <w:rsid w:val="007911B7"/>
    <w:rsid w:val="00793BC1"/>
    <w:rsid w:val="0079622B"/>
    <w:rsid w:val="00796881"/>
    <w:rsid w:val="007A27E1"/>
    <w:rsid w:val="007A2CA9"/>
    <w:rsid w:val="007A63AC"/>
    <w:rsid w:val="007B085D"/>
    <w:rsid w:val="007B1DE4"/>
    <w:rsid w:val="007B2106"/>
    <w:rsid w:val="007B2183"/>
    <w:rsid w:val="007B41E1"/>
    <w:rsid w:val="007B4B51"/>
    <w:rsid w:val="007B5272"/>
    <w:rsid w:val="007B5875"/>
    <w:rsid w:val="007B6710"/>
    <w:rsid w:val="007C1479"/>
    <w:rsid w:val="007C1ECF"/>
    <w:rsid w:val="007C24D9"/>
    <w:rsid w:val="007C76E9"/>
    <w:rsid w:val="007D0278"/>
    <w:rsid w:val="007D1472"/>
    <w:rsid w:val="007D161F"/>
    <w:rsid w:val="007D1653"/>
    <w:rsid w:val="007D185E"/>
    <w:rsid w:val="007D2430"/>
    <w:rsid w:val="007D4255"/>
    <w:rsid w:val="007D4CA6"/>
    <w:rsid w:val="007E052A"/>
    <w:rsid w:val="007E0B77"/>
    <w:rsid w:val="007E0C08"/>
    <w:rsid w:val="007E2744"/>
    <w:rsid w:val="007E47F8"/>
    <w:rsid w:val="007E558B"/>
    <w:rsid w:val="007E5880"/>
    <w:rsid w:val="007E6524"/>
    <w:rsid w:val="007E66DE"/>
    <w:rsid w:val="007F1E86"/>
    <w:rsid w:val="007F6FBA"/>
    <w:rsid w:val="00801636"/>
    <w:rsid w:val="00801688"/>
    <w:rsid w:val="008039BA"/>
    <w:rsid w:val="008065F7"/>
    <w:rsid w:val="00810DFC"/>
    <w:rsid w:val="00811EAA"/>
    <w:rsid w:val="00817035"/>
    <w:rsid w:val="008170A3"/>
    <w:rsid w:val="008172B5"/>
    <w:rsid w:val="00821F66"/>
    <w:rsid w:val="00822317"/>
    <w:rsid w:val="008233A7"/>
    <w:rsid w:val="008277CE"/>
    <w:rsid w:val="00830CED"/>
    <w:rsid w:val="0083323A"/>
    <w:rsid w:val="00840977"/>
    <w:rsid w:val="00841B45"/>
    <w:rsid w:val="008432A6"/>
    <w:rsid w:val="00843505"/>
    <w:rsid w:val="00845A41"/>
    <w:rsid w:val="00846912"/>
    <w:rsid w:val="008479BE"/>
    <w:rsid w:val="008516C7"/>
    <w:rsid w:val="00854576"/>
    <w:rsid w:val="00854FDE"/>
    <w:rsid w:val="00857F7B"/>
    <w:rsid w:val="0086477A"/>
    <w:rsid w:val="008675A7"/>
    <w:rsid w:val="00873A82"/>
    <w:rsid w:val="00874323"/>
    <w:rsid w:val="00880F18"/>
    <w:rsid w:val="00884A5E"/>
    <w:rsid w:val="00884E7D"/>
    <w:rsid w:val="00890151"/>
    <w:rsid w:val="0089060A"/>
    <w:rsid w:val="00890A3A"/>
    <w:rsid w:val="00890ED6"/>
    <w:rsid w:val="0089205B"/>
    <w:rsid w:val="0089407B"/>
    <w:rsid w:val="0089474C"/>
    <w:rsid w:val="00897AD7"/>
    <w:rsid w:val="008A2292"/>
    <w:rsid w:val="008A2C8F"/>
    <w:rsid w:val="008A35F2"/>
    <w:rsid w:val="008A5FCE"/>
    <w:rsid w:val="008B2747"/>
    <w:rsid w:val="008B63B3"/>
    <w:rsid w:val="008B6E88"/>
    <w:rsid w:val="008C1168"/>
    <w:rsid w:val="008C3997"/>
    <w:rsid w:val="008C565F"/>
    <w:rsid w:val="008C69C8"/>
    <w:rsid w:val="008C73B6"/>
    <w:rsid w:val="008D1B2A"/>
    <w:rsid w:val="008D46B9"/>
    <w:rsid w:val="008D70BA"/>
    <w:rsid w:val="008E3328"/>
    <w:rsid w:val="008E45DF"/>
    <w:rsid w:val="008E5F29"/>
    <w:rsid w:val="008F0E0F"/>
    <w:rsid w:val="008F1399"/>
    <w:rsid w:val="008F2AFD"/>
    <w:rsid w:val="008F43DF"/>
    <w:rsid w:val="008F6569"/>
    <w:rsid w:val="008F7271"/>
    <w:rsid w:val="008F7EA2"/>
    <w:rsid w:val="00903B5A"/>
    <w:rsid w:val="00903CED"/>
    <w:rsid w:val="009067EF"/>
    <w:rsid w:val="0091169D"/>
    <w:rsid w:val="00911ACC"/>
    <w:rsid w:val="00915119"/>
    <w:rsid w:val="00915180"/>
    <w:rsid w:val="009221AE"/>
    <w:rsid w:val="009225E8"/>
    <w:rsid w:val="0092300B"/>
    <w:rsid w:val="009231E6"/>
    <w:rsid w:val="0092541D"/>
    <w:rsid w:val="009263F5"/>
    <w:rsid w:val="00926523"/>
    <w:rsid w:val="00927148"/>
    <w:rsid w:val="00931E63"/>
    <w:rsid w:val="00932F89"/>
    <w:rsid w:val="00932FC5"/>
    <w:rsid w:val="00933E88"/>
    <w:rsid w:val="00934436"/>
    <w:rsid w:val="009352CA"/>
    <w:rsid w:val="00936A00"/>
    <w:rsid w:val="00937C21"/>
    <w:rsid w:val="00942B7D"/>
    <w:rsid w:val="009450F5"/>
    <w:rsid w:val="0094521A"/>
    <w:rsid w:val="009472BF"/>
    <w:rsid w:val="00950A40"/>
    <w:rsid w:val="00953896"/>
    <w:rsid w:val="00953CBF"/>
    <w:rsid w:val="00957F07"/>
    <w:rsid w:val="00961C94"/>
    <w:rsid w:val="00966027"/>
    <w:rsid w:val="00970359"/>
    <w:rsid w:val="00972EA7"/>
    <w:rsid w:val="00973C1D"/>
    <w:rsid w:val="00974A24"/>
    <w:rsid w:val="009768A0"/>
    <w:rsid w:val="009773ED"/>
    <w:rsid w:val="00980550"/>
    <w:rsid w:val="009806C2"/>
    <w:rsid w:val="009819EA"/>
    <w:rsid w:val="00981F87"/>
    <w:rsid w:val="00985526"/>
    <w:rsid w:val="00985CCD"/>
    <w:rsid w:val="00986B3E"/>
    <w:rsid w:val="00986CE7"/>
    <w:rsid w:val="0099172D"/>
    <w:rsid w:val="00993C61"/>
    <w:rsid w:val="0099440F"/>
    <w:rsid w:val="00996533"/>
    <w:rsid w:val="00997007"/>
    <w:rsid w:val="009A5681"/>
    <w:rsid w:val="009B5D8A"/>
    <w:rsid w:val="009B6F2F"/>
    <w:rsid w:val="009C033D"/>
    <w:rsid w:val="009C2ED8"/>
    <w:rsid w:val="009C7989"/>
    <w:rsid w:val="009D13F2"/>
    <w:rsid w:val="009D1908"/>
    <w:rsid w:val="009D27B6"/>
    <w:rsid w:val="009D5930"/>
    <w:rsid w:val="009D6855"/>
    <w:rsid w:val="009E22FC"/>
    <w:rsid w:val="009E3D4D"/>
    <w:rsid w:val="009E5993"/>
    <w:rsid w:val="009E7711"/>
    <w:rsid w:val="009E79E3"/>
    <w:rsid w:val="009F29ED"/>
    <w:rsid w:val="009F40BF"/>
    <w:rsid w:val="009F4A28"/>
    <w:rsid w:val="009F522D"/>
    <w:rsid w:val="009F5ECA"/>
    <w:rsid w:val="00A011DF"/>
    <w:rsid w:val="00A02F4A"/>
    <w:rsid w:val="00A044D9"/>
    <w:rsid w:val="00A050E9"/>
    <w:rsid w:val="00A11EC4"/>
    <w:rsid w:val="00A13A50"/>
    <w:rsid w:val="00A16C1B"/>
    <w:rsid w:val="00A20CC8"/>
    <w:rsid w:val="00A21A0A"/>
    <w:rsid w:val="00A21CB3"/>
    <w:rsid w:val="00A22B5C"/>
    <w:rsid w:val="00A241BC"/>
    <w:rsid w:val="00A24D94"/>
    <w:rsid w:val="00A26534"/>
    <w:rsid w:val="00A3092E"/>
    <w:rsid w:val="00A3225B"/>
    <w:rsid w:val="00A32E84"/>
    <w:rsid w:val="00A335B2"/>
    <w:rsid w:val="00A36BF3"/>
    <w:rsid w:val="00A3722E"/>
    <w:rsid w:val="00A40B41"/>
    <w:rsid w:val="00A40EE2"/>
    <w:rsid w:val="00A4114F"/>
    <w:rsid w:val="00A42EF3"/>
    <w:rsid w:val="00A45DCA"/>
    <w:rsid w:val="00A503DF"/>
    <w:rsid w:val="00A519FB"/>
    <w:rsid w:val="00A51F30"/>
    <w:rsid w:val="00A52A7F"/>
    <w:rsid w:val="00A52A83"/>
    <w:rsid w:val="00A53E65"/>
    <w:rsid w:val="00A55916"/>
    <w:rsid w:val="00A57E67"/>
    <w:rsid w:val="00A607FF"/>
    <w:rsid w:val="00A629BB"/>
    <w:rsid w:val="00A64A32"/>
    <w:rsid w:val="00A65A22"/>
    <w:rsid w:val="00A67FC7"/>
    <w:rsid w:val="00A71CB6"/>
    <w:rsid w:val="00A75F15"/>
    <w:rsid w:val="00A77FF1"/>
    <w:rsid w:val="00A81455"/>
    <w:rsid w:val="00A86FE5"/>
    <w:rsid w:val="00A914E0"/>
    <w:rsid w:val="00A91829"/>
    <w:rsid w:val="00A930F5"/>
    <w:rsid w:val="00A93459"/>
    <w:rsid w:val="00A94D39"/>
    <w:rsid w:val="00A95B12"/>
    <w:rsid w:val="00AA0B89"/>
    <w:rsid w:val="00AA31D5"/>
    <w:rsid w:val="00AA31DD"/>
    <w:rsid w:val="00AA432E"/>
    <w:rsid w:val="00AA4F29"/>
    <w:rsid w:val="00AA5937"/>
    <w:rsid w:val="00AA5CEA"/>
    <w:rsid w:val="00AA7EC9"/>
    <w:rsid w:val="00AB2F93"/>
    <w:rsid w:val="00AB3080"/>
    <w:rsid w:val="00AB4D85"/>
    <w:rsid w:val="00AB64E3"/>
    <w:rsid w:val="00AB6E1C"/>
    <w:rsid w:val="00AC253E"/>
    <w:rsid w:val="00AC42FE"/>
    <w:rsid w:val="00AC5B28"/>
    <w:rsid w:val="00AD2CDC"/>
    <w:rsid w:val="00AD626D"/>
    <w:rsid w:val="00AD7594"/>
    <w:rsid w:val="00AD7D56"/>
    <w:rsid w:val="00AE0848"/>
    <w:rsid w:val="00AE1139"/>
    <w:rsid w:val="00AE441C"/>
    <w:rsid w:val="00AE5E71"/>
    <w:rsid w:val="00AE5EFA"/>
    <w:rsid w:val="00AF1F00"/>
    <w:rsid w:val="00AF2061"/>
    <w:rsid w:val="00AF4EB8"/>
    <w:rsid w:val="00B02FCF"/>
    <w:rsid w:val="00B04898"/>
    <w:rsid w:val="00B05372"/>
    <w:rsid w:val="00B12C18"/>
    <w:rsid w:val="00B13247"/>
    <w:rsid w:val="00B13F44"/>
    <w:rsid w:val="00B15695"/>
    <w:rsid w:val="00B21D45"/>
    <w:rsid w:val="00B226A4"/>
    <w:rsid w:val="00B23AF9"/>
    <w:rsid w:val="00B274BA"/>
    <w:rsid w:val="00B30EB4"/>
    <w:rsid w:val="00B343A4"/>
    <w:rsid w:val="00B34F43"/>
    <w:rsid w:val="00B378BC"/>
    <w:rsid w:val="00B5091E"/>
    <w:rsid w:val="00B50C7A"/>
    <w:rsid w:val="00B52BD2"/>
    <w:rsid w:val="00B539F7"/>
    <w:rsid w:val="00B55579"/>
    <w:rsid w:val="00B5649F"/>
    <w:rsid w:val="00B56C48"/>
    <w:rsid w:val="00B60361"/>
    <w:rsid w:val="00B660DC"/>
    <w:rsid w:val="00B662DA"/>
    <w:rsid w:val="00B67D94"/>
    <w:rsid w:val="00B73B54"/>
    <w:rsid w:val="00B740CE"/>
    <w:rsid w:val="00B81DCD"/>
    <w:rsid w:val="00B841C8"/>
    <w:rsid w:val="00B8422B"/>
    <w:rsid w:val="00B865E1"/>
    <w:rsid w:val="00B86696"/>
    <w:rsid w:val="00B90625"/>
    <w:rsid w:val="00B91025"/>
    <w:rsid w:val="00B918A2"/>
    <w:rsid w:val="00B946D7"/>
    <w:rsid w:val="00B95EA0"/>
    <w:rsid w:val="00B96778"/>
    <w:rsid w:val="00B968CA"/>
    <w:rsid w:val="00B979D9"/>
    <w:rsid w:val="00B97D11"/>
    <w:rsid w:val="00BA1C26"/>
    <w:rsid w:val="00BA56E2"/>
    <w:rsid w:val="00BA5C47"/>
    <w:rsid w:val="00BA6BA6"/>
    <w:rsid w:val="00BA6DAA"/>
    <w:rsid w:val="00BB0B58"/>
    <w:rsid w:val="00BB2A4A"/>
    <w:rsid w:val="00BB4FB1"/>
    <w:rsid w:val="00BC1C39"/>
    <w:rsid w:val="00BC1FE2"/>
    <w:rsid w:val="00BC3917"/>
    <w:rsid w:val="00BC3E06"/>
    <w:rsid w:val="00BC6521"/>
    <w:rsid w:val="00BE37F1"/>
    <w:rsid w:val="00BF6439"/>
    <w:rsid w:val="00BF6C30"/>
    <w:rsid w:val="00C0042B"/>
    <w:rsid w:val="00C0173C"/>
    <w:rsid w:val="00C029E0"/>
    <w:rsid w:val="00C03AC2"/>
    <w:rsid w:val="00C11BFE"/>
    <w:rsid w:val="00C14897"/>
    <w:rsid w:val="00C15CFB"/>
    <w:rsid w:val="00C163B1"/>
    <w:rsid w:val="00C1688F"/>
    <w:rsid w:val="00C16FD6"/>
    <w:rsid w:val="00C17D40"/>
    <w:rsid w:val="00C209A7"/>
    <w:rsid w:val="00C22A3A"/>
    <w:rsid w:val="00C23975"/>
    <w:rsid w:val="00C23C42"/>
    <w:rsid w:val="00C30990"/>
    <w:rsid w:val="00C325A4"/>
    <w:rsid w:val="00C32D36"/>
    <w:rsid w:val="00C34ED5"/>
    <w:rsid w:val="00C37CA7"/>
    <w:rsid w:val="00C43BA8"/>
    <w:rsid w:val="00C43CBC"/>
    <w:rsid w:val="00C445AD"/>
    <w:rsid w:val="00C46196"/>
    <w:rsid w:val="00C465D3"/>
    <w:rsid w:val="00C46A07"/>
    <w:rsid w:val="00C479B9"/>
    <w:rsid w:val="00C512C0"/>
    <w:rsid w:val="00C5201A"/>
    <w:rsid w:val="00C52304"/>
    <w:rsid w:val="00C52369"/>
    <w:rsid w:val="00C53276"/>
    <w:rsid w:val="00C5350D"/>
    <w:rsid w:val="00C54CF4"/>
    <w:rsid w:val="00C60724"/>
    <w:rsid w:val="00C64DB4"/>
    <w:rsid w:val="00C718FE"/>
    <w:rsid w:val="00C76E1A"/>
    <w:rsid w:val="00C861DB"/>
    <w:rsid w:val="00C87EAA"/>
    <w:rsid w:val="00C93D99"/>
    <w:rsid w:val="00C93E29"/>
    <w:rsid w:val="00C93E84"/>
    <w:rsid w:val="00C944E4"/>
    <w:rsid w:val="00C9498F"/>
    <w:rsid w:val="00C94C5D"/>
    <w:rsid w:val="00CA4ADE"/>
    <w:rsid w:val="00CA523A"/>
    <w:rsid w:val="00CB216C"/>
    <w:rsid w:val="00CB2791"/>
    <w:rsid w:val="00CB3CDB"/>
    <w:rsid w:val="00CB5328"/>
    <w:rsid w:val="00CB5501"/>
    <w:rsid w:val="00CC2580"/>
    <w:rsid w:val="00CC3415"/>
    <w:rsid w:val="00CC34D8"/>
    <w:rsid w:val="00CC6AF9"/>
    <w:rsid w:val="00CD03BA"/>
    <w:rsid w:val="00CD03FB"/>
    <w:rsid w:val="00CD21FF"/>
    <w:rsid w:val="00CD30AE"/>
    <w:rsid w:val="00CD3C0C"/>
    <w:rsid w:val="00CD44B1"/>
    <w:rsid w:val="00CD5DC9"/>
    <w:rsid w:val="00CD7548"/>
    <w:rsid w:val="00CD769D"/>
    <w:rsid w:val="00CD7D50"/>
    <w:rsid w:val="00CE09DF"/>
    <w:rsid w:val="00CE235B"/>
    <w:rsid w:val="00CF2975"/>
    <w:rsid w:val="00CF42AD"/>
    <w:rsid w:val="00CF73D2"/>
    <w:rsid w:val="00CF79A1"/>
    <w:rsid w:val="00D037B2"/>
    <w:rsid w:val="00D0518D"/>
    <w:rsid w:val="00D05549"/>
    <w:rsid w:val="00D168F0"/>
    <w:rsid w:val="00D16BDA"/>
    <w:rsid w:val="00D16E71"/>
    <w:rsid w:val="00D16EDC"/>
    <w:rsid w:val="00D174A7"/>
    <w:rsid w:val="00D21DA1"/>
    <w:rsid w:val="00D25E25"/>
    <w:rsid w:val="00D27588"/>
    <w:rsid w:val="00D278FA"/>
    <w:rsid w:val="00D30C0A"/>
    <w:rsid w:val="00D31F6F"/>
    <w:rsid w:val="00D34ABC"/>
    <w:rsid w:val="00D35984"/>
    <w:rsid w:val="00D35E69"/>
    <w:rsid w:val="00D36EB4"/>
    <w:rsid w:val="00D41B29"/>
    <w:rsid w:val="00D43D60"/>
    <w:rsid w:val="00D43EFF"/>
    <w:rsid w:val="00D44521"/>
    <w:rsid w:val="00D45B43"/>
    <w:rsid w:val="00D465E2"/>
    <w:rsid w:val="00D54BB2"/>
    <w:rsid w:val="00D56ABC"/>
    <w:rsid w:val="00D6396F"/>
    <w:rsid w:val="00D71788"/>
    <w:rsid w:val="00D71E71"/>
    <w:rsid w:val="00D81575"/>
    <w:rsid w:val="00D81CCC"/>
    <w:rsid w:val="00D84C73"/>
    <w:rsid w:val="00D85347"/>
    <w:rsid w:val="00D859EA"/>
    <w:rsid w:val="00D93916"/>
    <w:rsid w:val="00D94063"/>
    <w:rsid w:val="00D9534B"/>
    <w:rsid w:val="00D971E3"/>
    <w:rsid w:val="00DA09D5"/>
    <w:rsid w:val="00DA4A5C"/>
    <w:rsid w:val="00DA4DD4"/>
    <w:rsid w:val="00DA6E2D"/>
    <w:rsid w:val="00DA7D2E"/>
    <w:rsid w:val="00DB1782"/>
    <w:rsid w:val="00DB27FA"/>
    <w:rsid w:val="00DB3EA5"/>
    <w:rsid w:val="00DB3EF6"/>
    <w:rsid w:val="00DB41F5"/>
    <w:rsid w:val="00DB4845"/>
    <w:rsid w:val="00DB6230"/>
    <w:rsid w:val="00DB6613"/>
    <w:rsid w:val="00DB6B50"/>
    <w:rsid w:val="00DC20C2"/>
    <w:rsid w:val="00DC24E1"/>
    <w:rsid w:val="00DC359A"/>
    <w:rsid w:val="00DC5852"/>
    <w:rsid w:val="00DC5C4B"/>
    <w:rsid w:val="00DD2C37"/>
    <w:rsid w:val="00DD731F"/>
    <w:rsid w:val="00DE0C20"/>
    <w:rsid w:val="00DE64BB"/>
    <w:rsid w:val="00DF1DDD"/>
    <w:rsid w:val="00DF3967"/>
    <w:rsid w:val="00DF485E"/>
    <w:rsid w:val="00E01C09"/>
    <w:rsid w:val="00E04B41"/>
    <w:rsid w:val="00E05239"/>
    <w:rsid w:val="00E074F5"/>
    <w:rsid w:val="00E07CA3"/>
    <w:rsid w:val="00E154DF"/>
    <w:rsid w:val="00E2210E"/>
    <w:rsid w:val="00E26F5F"/>
    <w:rsid w:val="00E302CC"/>
    <w:rsid w:val="00E314C5"/>
    <w:rsid w:val="00E35A48"/>
    <w:rsid w:val="00E36FBD"/>
    <w:rsid w:val="00E3762C"/>
    <w:rsid w:val="00E37BD0"/>
    <w:rsid w:val="00E4287B"/>
    <w:rsid w:val="00E4313C"/>
    <w:rsid w:val="00E4373B"/>
    <w:rsid w:val="00E43CDB"/>
    <w:rsid w:val="00E44554"/>
    <w:rsid w:val="00E452FA"/>
    <w:rsid w:val="00E4725D"/>
    <w:rsid w:val="00E475DD"/>
    <w:rsid w:val="00E47E14"/>
    <w:rsid w:val="00E519A4"/>
    <w:rsid w:val="00E52349"/>
    <w:rsid w:val="00E526BB"/>
    <w:rsid w:val="00E55F6E"/>
    <w:rsid w:val="00E661A7"/>
    <w:rsid w:val="00E66EAA"/>
    <w:rsid w:val="00E66FB1"/>
    <w:rsid w:val="00E67312"/>
    <w:rsid w:val="00E712C4"/>
    <w:rsid w:val="00E73C4F"/>
    <w:rsid w:val="00E752DD"/>
    <w:rsid w:val="00E775E4"/>
    <w:rsid w:val="00E80EF4"/>
    <w:rsid w:val="00E83852"/>
    <w:rsid w:val="00E856DD"/>
    <w:rsid w:val="00E85CF0"/>
    <w:rsid w:val="00E879BC"/>
    <w:rsid w:val="00E90B9B"/>
    <w:rsid w:val="00E921EA"/>
    <w:rsid w:val="00E92271"/>
    <w:rsid w:val="00E92696"/>
    <w:rsid w:val="00EA01CE"/>
    <w:rsid w:val="00EA0FE0"/>
    <w:rsid w:val="00EA4669"/>
    <w:rsid w:val="00EA5CC9"/>
    <w:rsid w:val="00EA7DE6"/>
    <w:rsid w:val="00EB05CF"/>
    <w:rsid w:val="00EB4530"/>
    <w:rsid w:val="00EB7CB3"/>
    <w:rsid w:val="00EC19B2"/>
    <w:rsid w:val="00EC1EB8"/>
    <w:rsid w:val="00EC31F2"/>
    <w:rsid w:val="00EC39CE"/>
    <w:rsid w:val="00EC5555"/>
    <w:rsid w:val="00EC6A30"/>
    <w:rsid w:val="00ED2E49"/>
    <w:rsid w:val="00ED3634"/>
    <w:rsid w:val="00ED494F"/>
    <w:rsid w:val="00ED6F56"/>
    <w:rsid w:val="00EE20CF"/>
    <w:rsid w:val="00EE22F9"/>
    <w:rsid w:val="00EE236E"/>
    <w:rsid w:val="00EF1538"/>
    <w:rsid w:val="00EF333B"/>
    <w:rsid w:val="00EF36E2"/>
    <w:rsid w:val="00EF5583"/>
    <w:rsid w:val="00EF71DC"/>
    <w:rsid w:val="00EF7409"/>
    <w:rsid w:val="00EF7DBB"/>
    <w:rsid w:val="00F00D2A"/>
    <w:rsid w:val="00F00DA3"/>
    <w:rsid w:val="00F011C0"/>
    <w:rsid w:val="00F01C07"/>
    <w:rsid w:val="00F02B3D"/>
    <w:rsid w:val="00F02D16"/>
    <w:rsid w:val="00F02DA8"/>
    <w:rsid w:val="00F040C4"/>
    <w:rsid w:val="00F065BC"/>
    <w:rsid w:val="00F1028F"/>
    <w:rsid w:val="00F13D8B"/>
    <w:rsid w:val="00F223D5"/>
    <w:rsid w:val="00F24043"/>
    <w:rsid w:val="00F25266"/>
    <w:rsid w:val="00F267AC"/>
    <w:rsid w:val="00F31D35"/>
    <w:rsid w:val="00F32259"/>
    <w:rsid w:val="00F3284E"/>
    <w:rsid w:val="00F34592"/>
    <w:rsid w:val="00F349B0"/>
    <w:rsid w:val="00F40681"/>
    <w:rsid w:val="00F44D55"/>
    <w:rsid w:val="00F50BB3"/>
    <w:rsid w:val="00F51AB6"/>
    <w:rsid w:val="00F60459"/>
    <w:rsid w:val="00F61678"/>
    <w:rsid w:val="00F62F60"/>
    <w:rsid w:val="00F63437"/>
    <w:rsid w:val="00F63D2B"/>
    <w:rsid w:val="00F64095"/>
    <w:rsid w:val="00F659B7"/>
    <w:rsid w:val="00F65E03"/>
    <w:rsid w:val="00F6713D"/>
    <w:rsid w:val="00F67F3E"/>
    <w:rsid w:val="00F7389F"/>
    <w:rsid w:val="00F73AEE"/>
    <w:rsid w:val="00F75956"/>
    <w:rsid w:val="00F76A97"/>
    <w:rsid w:val="00F76D7E"/>
    <w:rsid w:val="00F77D1B"/>
    <w:rsid w:val="00F8227F"/>
    <w:rsid w:val="00F82F14"/>
    <w:rsid w:val="00F835AC"/>
    <w:rsid w:val="00F854DD"/>
    <w:rsid w:val="00F86B6D"/>
    <w:rsid w:val="00F9196C"/>
    <w:rsid w:val="00F93EC5"/>
    <w:rsid w:val="00F95EB7"/>
    <w:rsid w:val="00FA5575"/>
    <w:rsid w:val="00FA6A18"/>
    <w:rsid w:val="00FA6C58"/>
    <w:rsid w:val="00FB2AF8"/>
    <w:rsid w:val="00FB3B19"/>
    <w:rsid w:val="00FB3DBE"/>
    <w:rsid w:val="00FB41C6"/>
    <w:rsid w:val="00FB4586"/>
    <w:rsid w:val="00FB4673"/>
    <w:rsid w:val="00FB5FE5"/>
    <w:rsid w:val="00FB6816"/>
    <w:rsid w:val="00FC0A79"/>
    <w:rsid w:val="00FC32F9"/>
    <w:rsid w:val="00FC3D44"/>
    <w:rsid w:val="00FC4AC9"/>
    <w:rsid w:val="00FC4F8E"/>
    <w:rsid w:val="00FC51C3"/>
    <w:rsid w:val="00FD4E09"/>
    <w:rsid w:val="00FD5594"/>
    <w:rsid w:val="00FE2366"/>
    <w:rsid w:val="00FE4AD9"/>
    <w:rsid w:val="00FE6396"/>
    <w:rsid w:val="00FE717A"/>
    <w:rsid w:val="00FF065E"/>
    <w:rsid w:val="00FF0A5B"/>
    <w:rsid w:val="00FF1554"/>
    <w:rsid w:val="00FF22DA"/>
    <w:rsid w:val="00FF27D9"/>
    <w:rsid w:val="00FF3313"/>
    <w:rsid w:val="00FF47FF"/>
    <w:rsid w:val="00FF5854"/>
    <w:rsid w:val="00FF6F5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1" w:unhideWhenUsed="0"/>
    <w:lsdException w:name="No Spacing" w:semiHidden="0" w:unhideWhenUsed="0" w:qFormat="1"/>
    <w:lsdException w:name="Medium Grid 2" w:semiHidden="0" w:unhideWhenUsed="0" w:qFormat="1"/>
    <w:lsdException w:name="Light Grid Accent 1"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0"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semiHidden="0" w:uiPriority="61" w:unhideWhenUsed="0"/>
    <w:lsdException w:name="TOC Heading" w:uiPriority="62" w:qFormat="1"/>
  </w:latentStyles>
  <w:style w:type="paragraph" w:default="1" w:styleId="Normal">
    <w:name w:val="Normal"/>
    <w:qFormat/>
    <w:rsid w:val="00E2210E"/>
    <w:rPr>
      <w:rFonts w:ascii="Verdana" w:eastAsia="Times" w:hAnsi="Verdana"/>
      <w:lang w:val="es-ES_tradnl" w:eastAsia="en-US"/>
    </w:rPr>
  </w:style>
  <w:style w:type="paragraph" w:styleId="Ttulo1">
    <w:name w:val="heading 1"/>
    <w:basedOn w:val="Ttulo2"/>
    <w:next w:val="Normal"/>
    <w:link w:val="Ttulo1Car"/>
    <w:uiPriority w:val="9"/>
    <w:qFormat/>
    <w:rsid w:val="00E2210E"/>
    <w:pPr>
      <w:outlineLvl w:val="0"/>
    </w:pPr>
  </w:style>
  <w:style w:type="paragraph" w:styleId="Ttulo2">
    <w:name w:val="heading 2"/>
    <w:basedOn w:val="Normal"/>
    <w:next w:val="Normal"/>
    <w:link w:val="Ttulo2Car"/>
    <w:qFormat/>
    <w:rsid w:val="00E2210E"/>
    <w:pPr>
      <w:keepNext/>
      <w:jc w:val="center"/>
      <w:outlineLvl w:val="1"/>
    </w:pPr>
    <w:rPr>
      <w:rFonts w:eastAsia="Times New Roman" w:cs="Verdana"/>
      <w:b/>
      <w:bCs/>
      <w:iCs/>
      <w:caps/>
      <w:snapToGrid w:val="0"/>
      <w:lang w:val="es-CR" w:eastAsia="es-ES"/>
    </w:rPr>
  </w:style>
  <w:style w:type="paragraph" w:styleId="Ttulo3">
    <w:name w:val="heading 3"/>
    <w:basedOn w:val="Normal"/>
    <w:next w:val="Normal"/>
    <w:link w:val="Ttulo3Car"/>
    <w:uiPriority w:val="9"/>
    <w:qFormat/>
    <w:rsid w:val="00E2210E"/>
    <w:pPr>
      <w:numPr>
        <w:numId w:val="3"/>
      </w:numPr>
      <w:jc w:val="both"/>
      <w:outlineLvl w:val="2"/>
    </w:pPr>
    <w:rPr>
      <w:b/>
    </w:rPr>
  </w:style>
  <w:style w:type="paragraph" w:styleId="Ttulo9">
    <w:name w:val="heading 9"/>
    <w:basedOn w:val="Normal"/>
    <w:next w:val="Normal"/>
    <w:link w:val="Ttulo9Car"/>
    <w:qFormat/>
    <w:rsid w:val="00E2210E"/>
    <w:pPr>
      <w:keepNext/>
      <w:numPr>
        <w:numId w:val="2"/>
      </w:numPr>
      <w:outlineLvl w:val="8"/>
    </w:pPr>
    <w:rPr>
      <w:rFonts w:ascii="Garamond" w:hAnsi="Garamond"/>
      <w:i/>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E2210E"/>
    <w:rPr>
      <w:rFonts w:ascii="Verdana" w:eastAsia="Times New Roman" w:hAnsi="Verdana" w:cs="Verdana"/>
      <w:b/>
      <w:bCs/>
      <w:iCs/>
      <w:caps/>
      <w:snapToGrid w:val="0"/>
      <w:sz w:val="20"/>
      <w:szCs w:val="20"/>
      <w:lang w:eastAsia="es-ES"/>
    </w:rPr>
  </w:style>
  <w:style w:type="character" w:customStyle="1" w:styleId="Ttulo1Car">
    <w:name w:val="Título 1 Car"/>
    <w:link w:val="Ttulo1"/>
    <w:uiPriority w:val="9"/>
    <w:rsid w:val="00E2210E"/>
    <w:rPr>
      <w:rFonts w:ascii="Verdana" w:eastAsia="Times New Roman" w:hAnsi="Verdana" w:cs="Verdana"/>
      <w:b/>
      <w:bCs/>
      <w:iCs/>
      <w:caps/>
      <w:snapToGrid w:val="0"/>
      <w:sz w:val="20"/>
      <w:szCs w:val="20"/>
      <w:lang w:eastAsia="es-ES"/>
    </w:rPr>
  </w:style>
  <w:style w:type="character" w:customStyle="1" w:styleId="Ttulo3Car">
    <w:name w:val="Título 3 Car"/>
    <w:link w:val="Ttulo3"/>
    <w:uiPriority w:val="9"/>
    <w:rsid w:val="00E2210E"/>
    <w:rPr>
      <w:rFonts w:ascii="Verdana" w:eastAsia="Times" w:hAnsi="Verdana"/>
      <w:b/>
      <w:lang w:val="es-ES_tradnl"/>
    </w:rPr>
  </w:style>
  <w:style w:type="character" w:customStyle="1" w:styleId="Ttulo9Car">
    <w:name w:val="Título 9 Car"/>
    <w:link w:val="Ttulo9"/>
    <w:rsid w:val="00E2210E"/>
    <w:rPr>
      <w:rFonts w:ascii="Garamond" w:eastAsia="Times" w:hAnsi="Garamond"/>
      <w:i/>
      <w:sz w:val="24"/>
      <w:lang w:val="es-ES_tradnl"/>
    </w:rPr>
  </w:style>
  <w:style w:type="paragraph" w:styleId="Textonotapie">
    <w:name w:val="footnote text"/>
    <w:aliases w:val="Texto nota pie Car1,Footnote Text Char Char Char Char Char Car,Footnote Text Char Char Char Char Car,Footnote reference Car,FA Fu Car,Footnote Text Char Char Char Car,Footnote Text Cha Car,FA Fußnotentext Car,FA Fuﬂnotentext Car,Ca Car,Ca"/>
    <w:basedOn w:val="Normal"/>
    <w:link w:val="TextonotapieCar2"/>
    <w:qFormat/>
    <w:rsid w:val="00E2210E"/>
    <w:pPr>
      <w:jc w:val="both"/>
    </w:pPr>
    <w:rPr>
      <w:sz w:val="16"/>
      <w:lang w:eastAsia="x-none"/>
    </w:rPr>
  </w:style>
  <w:style w:type="character" w:customStyle="1" w:styleId="TextonotapieCar2">
    <w:name w:val="Texto nota pie Car2"/>
    <w:aliases w:val="Texto nota pie Car1 Car,Footnote Text Char Char Char Char Char Car Car,Footnote Text Char Char Char Char Car Car,Footnote reference Car Car,FA Fu Car Car,Footnote Text Char Char Char Car Car,Footnote Text Cha Car Car,Ca Car Car"/>
    <w:link w:val="Textonotapie"/>
    <w:rsid w:val="00E2210E"/>
    <w:rPr>
      <w:rFonts w:ascii="Verdana" w:eastAsia="Times" w:hAnsi="Verdana" w:cs="Times New Roman"/>
      <w:sz w:val="16"/>
      <w:szCs w:val="20"/>
      <w:lang w:val="es-ES_tradnl"/>
    </w:rPr>
  </w:style>
  <w:style w:type="character" w:customStyle="1" w:styleId="TextonotapieCar">
    <w:name w:val="Texto nota pie Car"/>
    <w:aliases w:val="FA Fu?notentext Car,C Car"/>
    <w:uiPriority w:val="99"/>
    <w:rsid w:val="00E2210E"/>
    <w:rPr>
      <w:rFonts w:ascii="Verdana" w:eastAsia="Times" w:hAnsi="Verdana" w:cs="Times New Roman"/>
      <w:sz w:val="20"/>
      <w:szCs w:val="20"/>
      <w:lang w:val="es-ES_tradnl"/>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qFormat/>
    <w:rsid w:val="00E2210E"/>
    <w:rPr>
      <w:vertAlign w:val="superscript"/>
    </w:rPr>
  </w:style>
  <w:style w:type="paragraph" w:styleId="Encabezado">
    <w:name w:val="header"/>
    <w:basedOn w:val="Normal"/>
    <w:link w:val="EncabezadoCar"/>
    <w:uiPriority w:val="99"/>
    <w:rsid w:val="00E2210E"/>
    <w:pPr>
      <w:tabs>
        <w:tab w:val="center" w:pos="4252"/>
        <w:tab w:val="right" w:pos="8504"/>
      </w:tabs>
    </w:pPr>
  </w:style>
  <w:style w:type="character" w:customStyle="1" w:styleId="EncabezadoCar">
    <w:name w:val="Encabezado Car"/>
    <w:link w:val="Encabezado"/>
    <w:uiPriority w:val="99"/>
    <w:rsid w:val="00E2210E"/>
    <w:rPr>
      <w:rFonts w:ascii="Verdana" w:eastAsia="Times" w:hAnsi="Verdana" w:cs="Times New Roman"/>
      <w:sz w:val="20"/>
      <w:szCs w:val="20"/>
      <w:lang w:val="es-ES_tradnl"/>
    </w:rPr>
  </w:style>
  <w:style w:type="character" w:styleId="Nmerodepgina">
    <w:name w:val="page number"/>
    <w:basedOn w:val="Fuentedeprrafopredeter"/>
    <w:uiPriority w:val="99"/>
    <w:rsid w:val="00E2210E"/>
  </w:style>
  <w:style w:type="paragraph" w:customStyle="1" w:styleId="Prrafodelista2">
    <w:name w:val="Párrafo de lista2"/>
    <w:basedOn w:val="Normal"/>
    <w:uiPriority w:val="34"/>
    <w:qFormat/>
    <w:rsid w:val="00E2210E"/>
    <w:pPr>
      <w:ind w:left="720"/>
    </w:pPr>
  </w:style>
  <w:style w:type="character" w:customStyle="1" w:styleId="Textoindependiente2Car">
    <w:name w:val="Texto independiente 2 Car"/>
    <w:link w:val="Textoindependiente2"/>
    <w:uiPriority w:val="99"/>
    <w:semiHidden/>
    <w:rsid w:val="00E2210E"/>
    <w:rPr>
      <w:rFonts w:ascii="Verdana" w:eastAsia="Times" w:hAnsi="Verdana" w:cs="Times New Roman"/>
      <w:sz w:val="20"/>
      <w:szCs w:val="20"/>
      <w:lang w:val="es-ES_tradnl"/>
    </w:rPr>
  </w:style>
  <w:style w:type="paragraph" w:styleId="Textoindependiente2">
    <w:name w:val="Body Text 2"/>
    <w:basedOn w:val="Normal"/>
    <w:link w:val="Textoindependiente2Car"/>
    <w:uiPriority w:val="99"/>
    <w:semiHidden/>
    <w:unhideWhenUsed/>
    <w:rsid w:val="00E2210E"/>
    <w:pPr>
      <w:spacing w:after="120" w:line="480" w:lineRule="auto"/>
    </w:pPr>
  </w:style>
  <w:style w:type="character" w:customStyle="1" w:styleId="PiedepginaCar">
    <w:name w:val="Pie de página Car"/>
    <w:link w:val="Piedepgina"/>
    <w:uiPriority w:val="99"/>
    <w:rsid w:val="00E2210E"/>
    <w:rPr>
      <w:rFonts w:ascii="Verdana" w:eastAsia="Times" w:hAnsi="Verdana" w:cs="Times New Roman"/>
      <w:sz w:val="20"/>
      <w:szCs w:val="20"/>
      <w:lang w:val="es-ES_tradnl"/>
    </w:rPr>
  </w:style>
  <w:style w:type="paragraph" w:styleId="Piedepgina">
    <w:name w:val="footer"/>
    <w:basedOn w:val="Normal"/>
    <w:link w:val="PiedepginaCar"/>
    <w:uiPriority w:val="99"/>
    <w:unhideWhenUsed/>
    <w:rsid w:val="00E2210E"/>
    <w:pPr>
      <w:tabs>
        <w:tab w:val="center" w:pos="4680"/>
        <w:tab w:val="right" w:pos="9360"/>
      </w:tabs>
    </w:pPr>
  </w:style>
  <w:style w:type="character" w:customStyle="1" w:styleId="TextodegloboCar">
    <w:name w:val="Texto de globo Car"/>
    <w:link w:val="Textodeglobo"/>
    <w:uiPriority w:val="99"/>
    <w:semiHidden/>
    <w:rsid w:val="00E2210E"/>
    <w:rPr>
      <w:rFonts w:ascii="Tahoma" w:eastAsia="Times" w:hAnsi="Tahoma" w:cs="Times New Roman"/>
      <w:sz w:val="16"/>
      <w:szCs w:val="16"/>
      <w:lang w:val="es-ES_tradnl"/>
    </w:rPr>
  </w:style>
  <w:style w:type="paragraph" w:styleId="Textodeglobo">
    <w:name w:val="Balloon Text"/>
    <w:basedOn w:val="Normal"/>
    <w:link w:val="TextodegloboCar"/>
    <w:uiPriority w:val="99"/>
    <w:semiHidden/>
    <w:unhideWhenUsed/>
    <w:rsid w:val="00E2210E"/>
    <w:rPr>
      <w:rFonts w:ascii="Tahoma" w:hAnsi="Tahoma"/>
      <w:sz w:val="16"/>
      <w:szCs w:val="16"/>
    </w:rPr>
  </w:style>
  <w:style w:type="paragraph" w:styleId="Textonotaalfinal">
    <w:name w:val="endnote text"/>
    <w:basedOn w:val="Normal"/>
    <w:link w:val="TextonotaalfinalCar"/>
    <w:uiPriority w:val="99"/>
    <w:rsid w:val="00E2210E"/>
    <w:pPr>
      <w:widowControl w:val="0"/>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Times New Roman" w:hAnsi="CG Times"/>
      <w:sz w:val="22"/>
      <w:lang w:val="es-ES"/>
    </w:rPr>
  </w:style>
  <w:style w:type="character" w:customStyle="1" w:styleId="TextonotaalfinalCar">
    <w:name w:val="Texto nota al final Car"/>
    <w:link w:val="Textonotaalfinal"/>
    <w:uiPriority w:val="99"/>
    <w:rsid w:val="00E2210E"/>
    <w:rPr>
      <w:rFonts w:ascii="CG Times" w:eastAsia="Times New Roman" w:hAnsi="CG Times" w:cs="Times New Roman"/>
      <w:szCs w:val="20"/>
      <w:lang w:val="es-ES"/>
    </w:rPr>
  </w:style>
  <w:style w:type="paragraph" w:customStyle="1" w:styleId="PargrafodaLista">
    <w:name w:val="Parágrafo da Lista"/>
    <w:basedOn w:val="Normal"/>
    <w:qFormat/>
    <w:rsid w:val="00E2210E"/>
    <w:pPr>
      <w:ind w:left="708"/>
    </w:pPr>
    <w:rPr>
      <w:rFonts w:eastAsia="Batang" w:cs="Times"/>
      <w:sz w:val="16"/>
      <w:szCs w:val="24"/>
    </w:rPr>
  </w:style>
  <w:style w:type="paragraph" w:customStyle="1" w:styleId="ListParagraph1">
    <w:name w:val="List Paragraph1"/>
    <w:basedOn w:val="Normal"/>
    <w:uiPriority w:val="34"/>
    <w:qFormat/>
    <w:rsid w:val="00E2210E"/>
    <w:pPr>
      <w:spacing w:after="200" w:line="276" w:lineRule="auto"/>
      <w:ind w:left="720"/>
      <w:contextualSpacing/>
    </w:pPr>
    <w:rPr>
      <w:rFonts w:ascii="Times New Roman" w:eastAsia="Calibri" w:hAnsi="Times New Roman"/>
      <w:sz w:val="24"/>
      <w:szCs w:val="22"/>
      <w:lang w:val="en-US"/>
    </w:rPr>
  </w:style>
  <w:style w:type="character" w:styleId="Hipervnculo">
    <w:name w:val="Hyperlink"/>
    <w:uiPriority w:val="99"/>
    <w:unhideWhenUsed/>
    <w:rsid w:val="00E2210E"/>
    <w:rPr>
      <w:color w:val="0000FF"/>
      <w:u w:val="single"/>
    </w:rPr>
  </w:style>
  <w:style w:type="paragraph" w:customStyle="1" w:styleId="Sinespaciado1">
    <w:name w:val="Sin espaciado1"/>
    <w:link w:val="SinespaciadoCar"/>
    <w:uiPriority w:val="1"/>
    <w:qFormat/>
    <w:rsid w:val="00E2210E"/>
    <w:rPr>
      <w:rFonts w:eastAsia="Times New Roman"/>
      <w:sz w:val="22"/>
      <w:szCs w:val="22"/>
      <w:lang w:val="en-US" w:eastAsia="es-CR"/>
    </w:rPr>
  </w:style>
  <w:style w:type="character" w:customStyle="1" w:styleId="SinespaciadoCar">
    <w:name w:val="Sin espaciado Car"/>
    <w:link w:val="Sinespaciado1"/>
    <w:uiPriority w:val="1"/>
    <w:rsid w:val="00E2210E"/>
    <w:rPr>
      <w:rFonts w:eastAsia="Times New Roman"/>
      <w:sz w:val="22"/>
      <w:szCs w:val="22"/>
      <w:lang w:val="en-US" w:eastAsia="es-CR" w:bidi="ar-SA"/>
    </w:rPr>
  </w:style>
  <w:style w:type="paragraph" w:customStyle="1" w:styleId="Sangradetindependiente2">
    <w:name w:val="Sangría de t. independiente2"/>
    <w:basedOn w:val="Normal"/>
    <w:rsid w:val="00E2210E"/>
    <w:pPr>
      <w:spacing w:line="360" w:lineRule="atLeast"/>
    </w:pPr>
    <w:rPr>
      <w:rFonts w:ascii="Arial" w:eastAsia="Times New Roman" w:hAnsi="Arial"/>
      <w:sz w:val="24"/>
    </w:rPr>
  </w:style>
  <w:style w:type="character" w:styleId="Textoennegrita">
    <w:name w:val="Strong"/>
    <w:uiPriority w:val="22"/>
    <w:qFormat/>
    <w:rsid w:val="00E2210E"/>
    <w:rPr>
      <w:b/>
      <w:bCs/>
    </w:rPr>
  </w:style>
  <w:style w:type="paragraph" w:customStyle="1" w:styleId="Prrafodelista1">
    <w:name w:val="Párrafo de lista1"/>
    <w:basedOn w:val="Normal"/>
    <w:uiPriority w:val="34"/>
    <w:qFormat/>
    <w:rsid w:val="00E2210E"/>
    <w:pPr>
      <w:ind w:left="720"/>
    </w:pPr>
  </w:style>
  <w:style w:type="paragraph" w:styleId="NormalWeb">
    <w:name w:val="Normal (Web)"/>
    <w:basedOn w:val="Normal"/>
    <w:uiPriority w:val="99"/>
    <w:unhideWhenUsed/>
    <w:rsid w:val="00E2210E"/>
    <w:pPr>
      <w:spacing w:before="100" w:beforeAutospacing="1" w:after="100" w:afterAutospacing="1"/>
      <w:ind w:firstLine="138"/>
      <w:jc w:val="both"/>
    </w:pPr>
    <w:rPr>
      <w:rFonts w:ascii="Arial" w:eastAsia="Times New Roman" w:hAnsi="Arial" w:cs="Arial"/>
      <w:sz w:val="18"/>
      <w:szCs w:val="18"/>
      <w:lang w:val="en-US"/>
    </w:rPr>
  </w:style>
  <w:style w:type="character" w:customStyle="1" w:styleId="Refdenotaalpie1">
    <w:name w:val="Ref. de nota al pie1"/>
    <w:rsid w:val="00E2210E"/>
    <w:rPr>
      <w:sz w:val="20"/>
      <w:vertAlign w:val="superscript"/>
    </w:rPr>
  </w:style>
  <w:style w:type="paragraph" w:customStyle="1" w:styleId="profile-textblock">
    <w:name w:val="profile-textblock"/>
    <w:basedOn w:val="Normal"/>
    <w:rsid w:val="00E2210E"/>
    <w:pPr>
      <w:spacing w:after="192" w:line="384" w:lineRule="atLeast"/>
      <w:jc w:val="both"/>
    </w:pPr>
    <w:rPr>
      <w:rFonts w:ascii="Georgia" w:eastAsia="Times New Roman" w:hAnsi="Georgia"/>
      <w:sz w:val="12"/>
      <w:szCs w:val="12"/>
      <w:lang w:val="en-US"/>
    </w:rPr>
  </w:style>
  <w:style w:type="paragraph" w:styleId="Textoindependiente">
    <w:name w:val="Body Text"/>
    <w:basedOn w:val="Normal"/>
    <w:link w:val="TextoindependienteCar"/>
    <w:rsid w:val="00E2210E"/>
    <w:pPr>
      <w:jc w:val="both"/>
    </w:pPr>
    <w:rPr>
      <w:rFonts w:ascii="Garamond" w:hAnsi="Garamond"/>
      <w:sz w:val="24"/>
      <w:lang w:eastAsia="es-ES"/>
    </w:rPr>
  </w:style>
  <w:style w:type="character" w:customStyle="1" w:styleId="TextoindependienteCar">
    <w:name w:val="Texto independiente Car"/>
    <w:link w:val="Textoindependiente"/>
    <w:rsid w:val="00E2210E"/>
    <w:rPr>
      <w:rFonts w:ascii="Garamond" w:eastAsia="Times" w:hAnsi="Garamond" w:cs="Times New Roman"/>
      <w:sz w:val="24"/>
      <w:szCs w:val="20"/>
      <w:lang w:val="es-ES_tradnl" w:eastAsia="es-ES"/>
    </w:rPr>
  </w:style>
  <w:style w:type="character" w:customStyle="1" w:styleId="apple-style-span">
    <w:name w:val="apple-style-span"/>
    <w:basedOn w:val="Fuentedeprrafopredeter"/>
    <w:rsid w:val="00E2210E"/>
  </w:style>
  <w:style w:type="character" w:customStyle="1" w:styleId="TextocomentarioCar">
    <w:name w:val="Texto comentario Car"/>
    <w:link w:val="Textocomentario"/>
    <w:uiPriority w:val="99"/>
    <w:semiHidden/>
    <w:rsid w:val="00E2210E"/>
    <w:rPr>
      <w:rFonts w:ascii="Verdana" w:eastAsia="Times" w:hAnsi="Verdana" w:cs="Times New Roman"/>
      <w:sz w:val="20"/>
      <w:szCs w:val="20"/>
      <w:lang w:val="es-ES_tradnl"/>
    </w:rPr>
  </w:style>
  <w:style w:type="paragraph" w:styleId="Textocomentario">
    <w:name w:val="annotation text"/>
    <w:basedOn w:val="Normal"/>
    <w:link w:val="TextocomentarioCar"/>
    <w:uiPriority w:val="99"/>
    <w:semiHidden/>
    <w:unhideWhenUsed/>
    <w:rsid w:val="00E2210E"/>
  </w:style>
  <w:style w:type="character" w:customStyle="1" w:styleId="AsuntodelcomentarioCar">
    <w:name w:val="Asunto del comentario Car"/>
    <w:aliases w:val=" Car2 Car"/>
    <w:link w:val="Asuntodelcomentario"/>
    <w:uiPriority w:val="99"/>
    <w:semiHidden/>
    <w:rsid w:val="00E2210E"/>
    <w:rPr>
      <w:rFonts w:ascii="Verdana" w:eastAsia="Times" w:hAnsi="Verdana" w:cs="Times New Roman"/>
      <w:b/>
      <w:bCs/>
      <w:sz w:val="20"/>
      <w:szCs w:val="20"/>
      <w:lang w:val="es-ES_tradnl"/>
    </w:rPr>
  </w:style>
  <w:style w:type="paragraph" w:styleId="Asuntodelcomentario">
    <w:name w:val="annotation subject"/>
    <w:aliases w:val=" Car2"/>
    <w:basedOn w:val="Textocomentario"/>
    <w:next w:val="Textocomentario"/>
    <w:link w:val="AsuntodelcomentarioCar"/>
    <w:uiPriority w:val="99"/>
    <w:semiHidden/>
    <w:unhideWhenUsed/>
    <w:rsid w:val="00E2210E"/>
    <w:rPr>
      <w:b/>
      <w:bCs/>
    </w:rPr>
  </w:style>
  <w:style w:type="character" w:styleId="Hipervnculovisitado">
    <w:name w:val="FollowedHyperlink"/>
    <w:rsid w:val="00E2210E"/>
    <w:rPr>
      <w:color w:val="800080"/>
      <w:u w:val="single"/>
    </w:rPr>
  </w:style>
  <w:style w:type="character" w:customStyle="1" w:styleId="CarCar">
    <w:name w:val="Car Car"/>
    <w:rsid w:val="00E2210E"/>
    <w:rPr>
      <w:rFonts w:ascii="Verdana" w:eastAsia="Times" w:hAnsi="Verdana" w:cs="Times New Roman"/>
      <w:sz w:val="20"/>
      <w:szCs w:val="20"/>
      <w:lang w:val="es-ES_tradnl"/>
    </w:rPr>
  </w:style>
  <w:style w:type="paragraph" w:styleId="Textodebloque">
    <w:name w:val="Block Text"/>
    <w:basedOn w:val="Normal"/>
    <w:rsid w:val="00E2210E"/>
    <w:pPr>
      <w:tabs>
        <w:tab w:val="left" w:pos="360"/>
        <w:tab w:val="left" w:pos="540"/>
        <w:tab w:val="num" w:pos="900"/>
        <w:tab w:val="left" w:pos="1260"/>
      </w:tabs>
      <w:ind w:left="1440" w:right="720"/>
      <w:jc w:val="both"/>
    </w:pPr>
    <w:rPr>
      <w:sz w:val="18"/>
    </w:rPr>
  </w:style>
  <w:style w:type="character" w:customStyle="1" w:styleId="apple-converted-space">
    <w:name w:val="apple-converted-space"/>
    <w:basedOn w:val="Fuentedeprrafopredeter"/>
    <w:rsid w:val="00E2210E"/>
  </w:style>
  <w:style w:type="character" w:customStyle="1" w:styleId="FootnoteRef">
    <w:name w:val="Footnote Ref"/>
    <w:rsid w:val="00E2210E"/>
    <w:rPr>
      <w:vertAlign w:val="superscript"/>
    </w:rPr>
  </w:style>
  <w:style w:type="character" w:customStyle="1" w:styleId="ju-005fpara--char">
    <w:name w:val="ju-005fpara--char"/>
    <w:basedOn w:val="Fuentedeprrafopredeter"/>
    <w:rsid w:val="00E2210E"/>
  </w:style>
  <w:style w:type="character" w:customStyle="1" w:styleId="normal--char">
    <w:name w:val="normal--char"/>
    <w:basedOn w:val="Fuentedeprrafopredeter"/>
    <w:rsid w:val="00E2210E"/>
  </w:style>
  <w:style w:type="paragraph" w:customStyle="1" w:styleId="Body1">
    <w:name w:val="Body 1"/>
    <w:uiPriority w:val="99"/>
    <w:rsid w:val="00E2210E"/>
    <w:pPr>
      <w:outlineLvl w:val="0"/>
    </w:pPr>
    <w:rPr>
      <w:rFonts w:ascii="Times New Roman" w:eastAsia="SimSun" w:hAnsi="Times New Roman"/>
      <w:color w:val="000000"/>
      <w:sz w:val="24"/>
      <w:lang w:val="en-US" w:eastAsia="en-US"/>
    </w:rPr>
  </w:style>
  <w:style w:type="paragraph" w:customStyle="1" w:styleId="MediumGrid1-Accent21">
    <w:name w:val="Medium Grid 1 - Accent 21"/>
    <w:aliases w:val="Footnote,Colorful List - Accent 11,List Paragraph2"/>
    <w:basedOn w:val="Normal"/>
    <w:link w:val="MediumGrid1-Accent2Char"/>
    <w:qFormat/>
    <w:rsid w:val="00E2210E"/>
    <w:pPr>
      <w:ind w:left="720"/>
      <w:jc w:val="both"/>
    </w:pPr>
    <w:rPr>
      <w:rFonts w:eastAsia="Batang"/>
      <w:szCs w:val="24"/>
    </w:rPr>
  </w:style>
  <w:style w:type="character" w:customStyle="1" w:styleId="MediumGrid1-Accent2Char">
    <w:name w:val="Medium Grid 1 - Accent 2 Char"/>
    <w:aliases w:val="Footnote Char,Colorful List - Accent 11 Char,List Paragraph2 Char,List Paragraph Char,Párrafo de lista1 Char,List Paragraph1 Char,Lista vistosa - Énfasis 11 Char"/>
    <w:link w:val="MediumGrid1-Accent21"/>
    <w:uiPriority w:val="99"/>
    <w:rsid w:val="00E2210E"/>
    <w:rPr>
      <w:rFonts w:ascii="Verdana" w:eastAsia="Batang" w:hAnsi="Verdana" w:cs="Times New Roman"/>
      <w:sz w:val="20"/>
      <w:szCs w:val="24"/>
      <w:lang w:val="es-ES_tradnl"/>
    </w:rPr>
  </w:style>
  <w:style w:type="character" w:customStyle="1" w:styleId="FootnoteTextCharCharCar">
    <w:name w:val="Footnote Text Char Char Car"/>
    <w:rsid w:val="00E2210E"/>
    <w:rPr>
      <w:rFonts w:ascii="Verdana" w:eastAsia="Times" w:hAnsi="Verdana" w:cs="Times New Roman"/>
      <w:sz w:val="16"/>
      <w:szCs w:val="20"/>
      <w:lang w:val="es-ES_tradnl"/>
    </w:rPr>
  </w:style>
  <w:style w:type="character" w:customStyle="1" w:styleId="TextonotapieCarCar">
    <w:name w:val="Texto nota pie Car Car"/>
    <w:rsid w:val="00E2210E"/>
    <w:rPr>
      <w:rFonts w:ascii="Verdana" w:eastAsia="Times" w:hAnsi="Verdana"/>
      <w:sz w:val="16"/>
      <w:lang w:val="es-ES_tradnl"/>
    </w:rPr>
  </w:style>
  <w:style w:type="character" w:customStyle="1" w:styleId="ListParagraphChar1">
    <w:name w:val="List Paragraph Char1"/>
    <w:uiPriority w:val="99"/>
    <w:rsid w:val="00E2210E"/>
    <w:rPr>
      <w:rFonts w:ascii="Verdana" w:eastAsia="Times New Roman" w:hAnsi="Verdana"/>
      <w:lang w:val="es-ES_tradnl" w:eastAsia="en-US"/>
    </w:rPr>
  </w:style>
  <w:style w:type="character" w:customStyle="1" w:styleId="MapadeldocumentoCar">
    <w:name w:val="Mapa del documento Car"/>
    <w:link w:val="Mapadeldocumento"/>
    <w:uiPriority w:val="99"/>
    <w:semiHidden/>
    <w:rsid w:val="00E2210E"/>
    <w:rPr>
      <w:rFonts w:ascii="Tahoma" w:eastAsia="Times" w:hAnsi="Tahoma" w:cs="Tahoma"/>
      <w:sz w:val="16"/>
      <w:szCs w:val="16"/>
      <w:lang w:val="es-ES_tradnl"/>
    </w:rPr>
  </w:style>
  <w:style w:type="paragraph" w:styleId="Mapadeldocumento">
    <w:name w:val="Document Map"/>
    <w:basedOn w:val="Normal"/>
    <w:link w:val="MapadeldocumentoCar"/>
    <w:uiPriority w:val="99"/>
    <w:semiHidden/>
    <w:unhideWhenUsed/>
    <w:rsid w:val="00E2210E"/>
    <w:rPr>
      <w:rFonts w:ascii="Tahoma" w:hAnsi="Tahoma" w:cs="Tahoma"/>
      <w:sz w:val="16"/>
      <w:szCs w:val="16"/>
    </w:rPr>
  </w:style>
  <w:style w:type="paragraph" w:customStyle="1" w:styleId="Default">
    <w:name w:val="Default"/>
    <w:rsid w:val="00E2210E"/>
    <w:pPr>
      <w:autoSpaceDE w:val="0"/>
      <w:autoSpaceDN w:val="0"/>
      <w:adjustRightInd w:val="0"/>
    </w:pPr>
    <w:rPr>
      <w:rFonts w:ascii="Verdana" w:eastAsia="Cambria" w:hAnsi="Verdana" w:cs="Verdana"/>
      <w:color w:val="000000"/>
      <w:sz w:val="24"/>
      <w:szCs w:val="24"/>
      <w:lang w:val="es-CR" w:eastAsia="es-CR"/>
    </w:rPr>
  </w:style>
  <w:style w:type="paragraph" w:customStyle="1" w:styleId="citaindirecta">
    <w:name w:val="cita indirecta"/>
    <w:basedOn w:val="Normal"/>
    <w:rsid w:val="00E2210E"/>
    <w:pPr>
      <w:ind w:left="708"/>
      <w:jc w:val="both"/>
    </w:pPr>
    <w:rPr>
      <w:rFonts w:eastAsia="Times New Roman"/>
    </w:rPr>
  </w:style>
  <w:style w:type="character" w:styleId="Refdecomentario">
    <w:name w:val="annotation reference"/>
    <w:uiPriority w:val="99"/>
    <w:semiHidden/>
    <w:unhideWhenUsed/>
    <w:rsid w:val="00B86696"/>
    <w:rPr>
      <w:sz w:val="16"/>
      <w:szCs w:val="16"/>
    </w:rPr>
  </w:style>
  <w:style w:type="paragraph" w:customStyle="1" w:styleId="Estilo4">
    <w:name w:val="Estilo4"/>
    <w:basedOn w:val="MediumGrid1-Accent21"/>
    <w:qFormat/>
    <w:rsid w:val="00DD731F"/>
    <w:pPr>
      <w:numPr>
        <w:ilvl w:val="1"/>
        <w:numId w:val="5"/>
      </w:numPr>
      <w:spacing w:after="120"/>
      <w:ind w:left="0" w:firstLine="357"/>
    </w:pPr>
    <w:rPr>
      <w:rFonts w:eastAsia="Times New Roman"/>
      <w:spacing w:val="-2"/>
      <w:szCs w:val="20"/>
      <w:lang w:val="es-CR"/>
    </w:rPr>
  </w:style>
  <w:style w:type="paragraph" w:customStyle="1" w:styleId="MediumList2-Accent21">
    <w:name w:val="Medium List 2 - Accent 21"/>
    <w:hidden/>
    <w:uiPriority w:val="99"/>
    <w:semiHidden/>
    <w:rsid w:val="00974A24"/>
    <w:rPr>
      <w:rFonts w:ascii="Verdana" w:eastAsia="Times" w:hAnsi="Verdana"/>
      <w:lang w:val="es-ES_tradnl" w:eastAsia="en-US"/>
    </w:rPr>
  </w:style>
  <w:style w:type="character" w:customStyle="1" w:styleId="sb8d990e2">
    <w:name w:val="sb8d990e2"/>
    <w:basedOn w:val="Fuentedeprrafopredeter"/>
    <w:rsid w:val="002C15A3"/>
  </w:style>
  <w:style w:type="paragraph" w:customStyle="1" w:styleId="ColorfulShading-Accent11">
    <w:name w:val="Colorful Shading - Accent 11"/>
    <w:hidden/>
    <w:uiPriority w:val="71"/>
    <w:rsid w:val="009F522D"/>
    <w:rPr>
      <w:rFonts w:ascii="Verdana" w:eastAsia="Times" w:hAnsi="Verdana"/>
      <w:lang w:val="es-ES_tradnl" w:eastAsia="en-US"/>
    </w:rPr>
  </w:style>
  <w:style w:type="character" w:styleId="Nmerodelnea">
    <w:name w:val="line number"/>
    <w:uiPriority w:val="99"/>
    <w:semiHidden/>
    <w:unhideWhenUsed/>
    <w:rsid w:val="00B67D94"/>
  </w:style>
  <w:style w:type="paragraph" w:customStyle="1" w:styleId="ColorfulList-Accent12">
    <w:name w:val="Colorful List - Accent 12"/>
    <w:basedOn w:val="Normal"/>
    <w:uiPriority w:val="72"/>
    <w:qFormat/>
    <w:rsid w:val="00447918"/>
    <w:pPr>
      <w:ind w:left="720"/>
    </w:p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160AD9"/>
    <w:pPr>
      <w:jc w:val="both"/>
    </w:pPr>
    <w:rPr>
      <w:rFonts w:ascii="Calibri" w:eastAsia="Calibri" w:hAnsi="Calibri"/>
      <w:vertAlign w:val="superscript"/>
      <w:lang w:val="es-CR" w:eastAsia="es-CR"/>
    </w:rPr>
  </w:style>
  <w:style w:type="paragraph" w:styleId="Prrafodelista">
    <w:name w:val="List Paragraph"/>
    <w:aliases w:val="Lista vistosa - Énfasis 11"/>
    <w:basedOn w:val="Normal"/>
    <w:uiPriority w:val="99"/>
    <w:qFormat/>
    <w:rsid w:val="008F6569"/>
    <w:pPr>
      <w:ind w:left="720"/>
      <w:contextualSpacing/>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54264">
      <w:bodyDiv w:val="1"/>
      <w:marLeft w:val="0"/>
      <w:marRight w:val="0"/>
      <w:marTop w:val="0"/>
      <w:marBottom w:val="0"/>
      <w:divBdr>
        <w:top w:val="none" w:sz="0" w:space="0" w:color="auto"/>
        <w:left w:val="none" w:sz="0" w:space="0" w:color="auto"/>
        <w:bottom w:val="none" w:sz="0" w:space="0" w:color="auto"/>
        <w:right w:val="none" w:sz="0" w:space="0" w:color="auto"/>
      </w:divBdr>
    </w:div>
    <w:div w:id="175271410">
      <w:bodyDiv w:val="1"/>
      <w:marLeft w:val="0"/>
      <w:marRight w:val="0"/>
      <w:marTop w:val="0"/>
      <w:marBottom w:val="0"/>
      <w:divBdr>
        <w:top w:val="none" w:sz="0" w:space="0" w:color="auto"/>
        <w:left w:val="none" w:sz="0" w:space="0" w:color="auto"/>
        <w:bottom w:val="none" w:sz="0" w:space="0" w:color="auto"/>
        <w:right w:val="none" w:sz="0" w:space="0" w:color="auto"/>
      </w:divBdr>
    </w:div>
    <w:div w:id="351299652">
      <w:bodyDiv w:val="1"/>
      <w:marLeft w:val="0"/>
      <w:marRight w:val="0"/>
      <w:marTop w:val="0"/>
      <w:marBottom w:val="0"/>
      <w:divBdr>
        <w:top w:val="none" w:sz="0" w:space="0" w:color="auto"/>
        <w:left w:val="none" w:sz="0" w:space="0" w:color="auto"/>
        <w:bottom w:val="none" w:sz="0" w:space="0" w:color="auto"/>
        <w:right w:val="none" w:sz="0" w:space="0" w:color="auto"/>
      </w:divBdr>
      <w:divsChild>
        <w:div w:id="1715275156">
          <w:marLeft w:val="0"/>
          <w:marRight w:val="0"/>
          <w:marTop w:val="0"/>
          <w:marBottom w:val="0"/>
          <w:divBdr>
            <w:top w:val="none" w:sz="0" w:space="0" w:color="auto"/>
            <w:left w:val="none" w:sz="0" w:space="0" w:color="auto"/>
            <w:bottom w:val="none" w:sz="0" w:space="0" w:color="auto"/>
            <w:right w:val="none" w:sz="0" w:space="0" w:color="auto"/>
          </w:divBdr>
          <w:divsChild>
            <w:div w:id="1215628891">
              <w:marLeft w:val="0"/>
              <w:marRight w:val="0"/>
              <w:marTop w:val="0"/>
              <w:marBottom w:val="0"/>
              <w:divBdr>
                <w:top w:val="none" w:sz="0" w:space="0" w:color="auto"/>
                <w:left w:val="none" w:sz="0" w:space="0" w:color="auto"/>
                <w:bottom w:val="none" w:sz="0" w:space="0" w:color="auto"/>
                <w:right w:val="none" w:sz="0" w:space="0" w:color="auto"/>
              </w:divBdr>
              <w:divsChild>
                <w:div w:id="54264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284610">
      <w:bodyDiv w:val="1"/>
      <w:marLeft w:val="0"/>
      <w:marRight w:val="0"/>
      <w:marTop w:val="0"/>
      <w:marBottom w:val="0"/>
      <w:divBdr>
        <w:top w:val="none" w:sz="0" w:space="0" w:color="auto"/>
        <w:left w:val="none" w:sz="0" w:space="0" w:color="auto"/>
        <w:bottom w:val="none" w:sz="0" w:space="0" w:color="auto"/>
        <w:right w:val="none" w:sz="0" w:space="0" w:color="auto"/>
      </w:divBdr>
    </w:div>
    <w:div w:id="633801902">
      <w:bodyDiv w:val="1"/>
      <w:marLeft w:val="0"/>
      <w:marRight w:val="0"/>
      <w:marTop w:val="0"/>
      <w:marBottom w:val="0"/>
      <w:divBdr>
        <w:top w:val="none" w:sz="0" w:space="0" w:color="auto"/>
        <w:left w:val="none" w:sz="0" w:space="0" w:color="auto"/>
        <w:bottom w:val="none" w:sz="0" w:space="0" w:color="auto"/>
        <w:right w:val="none" w:sz="0" w:space="0" w:color="auto"/>
      </w:divBdr>
    </w:div>
    <w:div w:id="719213439">
      <w:bodyDiv w:val="1"/>
      <w:marLeft w:val="0"/>
      <w:marRight w:val="0"/>
      <w:marTop w:val="0"/>
      <w:marBottom w:val="0"/>
      <w:divBdr>
        <w:top w:val="none" w:sz="0" w:space="0" w:color="auto"/>
        <w:left w:val="none" w:sz="0" w:space="0" w:color="auto"/>
        <w:bottom w:val="none" w:sz="0" w:space="0" w:color="auto"/>
        <w:right w:val="none" w:sz="0" w:space="0" w:color="auto"/>
      </w:divBdr>
    </w:div>
    <w:div w:id="798375268">
      <w:bodyDiv w:val="1"/>
      <w:marLeft w:val="0"/>
      <w:marRight w:val="0"/>
      <w:marTop w:val="0"/>
      <w:marBottom w:val="0"/>
      <w:divBdr>
        <w:top w:val="none" w:sz="0" w:space="0" w:color="auto"/>
        <w:left w:val="none" w:sz="0" w:space="0" w:color="auto"/>
        <w:bottom w:val="none" w:sz="0" w:space="0" w:color="auto"/>
        <w:right w:val="none" w:sz="0" w:space="0" w:color="auto"/>
      </w:divBdr>
      <w:divsChild>
        <w:div w:id="956137082">
          <w:marLeft w:val="0"/>
          <w:marRight w:val="0"/>
          <w:marTop w:val="0"/>
          <w:marBottom w:val="0"/>
          <w:divBdr>
            <w:top w:val="none" w:sz="0" w:space="0" w:color="auto"/>
            <w:left w:val="none" w:sz="0" w:space="0" w:color="auto"/>
            <w:bottom w:val="none" w:sz="0" w:space="0" w:color="auto"/>
            <w:right w:val="none" w:sz="0" w:space="0" w:color="auto"/>
          </w:divBdr>
          <w:divsChild>
            <w:div w:id="1334380896">
              <w:marLeft w:val="0"/>
              <w:marRight w:val="0"/>
              <w:marTop w:val="0"/>
              <w:marBottom w:val="0"/>
              <w:divBdr>
                <w:top w:val="none" w:sz="0" w:space="0" w:color="auto"/>
                <w:left w:val="none" w:sz="0" w:space="0" w:color="auto"/>
                <w:bottom w:val="none" w:sz="0" w:space="0" w:color="auto"/>
                <w:right w:val="none" w:sz="0" w:space="0" w:color="auto"/>
              </w:divBdr>
              <w:divsChild>
                <w:div w:id="86405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363577">
      <w:bodyDiv w:val="1"/>
      <w:marLeft w:val="0"/>
      <w:marRight w:val="0"/>
      <w:marTop w:val="0"/>
      <w:marBottom w:val="0"/>
      <w:divBdr>
        <w:top w:val="none" w:sz="0" w:space="0" w:color="auto"/>
        <w:left w:val="none" w:sz="0" w:space="0" w:color="auto"/>
        <w:bottom w:val="none" w:sz="0" w:space="0" w:color="auto"/>
        <w:right w:val="none" w:sz="0" w:space="0" w:color="auto"/>
      </w:divBdr>
    </w:div>
    <w:div w:id="824517987">
      <w:bodyDiv w:val="1"/>
      <w:marLeft w:val="0"/>
      <w:marRight w:val="0"/>
      <w:marTop w:val="0"/>
      <w:marBottom w:val="0"/>
      <w:divBdr>
        <w:top w:val="none" w:sz="0" w:space="0" w:color="auto"/>
        <w:left w:val="none" w:sz="0" w:space="0" w:color="auto"/>
        <w:bottom w:val="none" w:sz="0" w:space="0" w:color="auto"/>
        <w:right w:val="none" w:sz="0" w:space="0" w:color="auto"/>
      </w:divBdr>
    </w:div>
    <w:div w:id="863250072">
      <w:bodyDiv w:val="1"/>
      <w:marLeft w:val="0"/>
      <w:marRight w:val="0"/>
      <w:marTop w:val="0"/>
      <w:marBottom w:val="0"/>
      <w:divBdr>
        <w:top w:val="none" w:sz="0" w:space="0" w:color="auto"/>
        <w:left w:val="none" w:sz="0" w:space="0" w:color="auto"/>
        <w:bottom w:val="none" w:sz="0" w:space="0" w:color="auto"/>
        <w:right w:val="none" w:sz="0" w:space="0" w:color="auto"/>
      </w:divBdr>
    </w:div>
    <w:div w:id="1039358406">
      <w:bodyDiv w:val="1"/>
      <w:marLeft w:val="0"/>
      <w:marRight w:val="0"/>
      <w:marTop w:val="0"/>
      <w:marBottom w:val="0"/>
      <w:divBdr>
        <w:top w:val="none" w:sz="0" w:space="0" w:color="auto"/>
        <w:left w:val="none" w:sz="0" w:space="0" w:color="auto"/>
        <w:bottom w:val="none" w:sz="0" w:space="0" w:color="auto"/>
        <w:right w:val="none" w:sz="0" w:space="0" w:color="auto"/>
      </w:divBdr>
    </w:div>
    <w:div w:id="1057321942">
      <w:bodyDiv w:val="1"/>
      <w:marLeft w:val="0"/>
      <w:marRight w:val="0"/>
      <w:marTop w:val="0"/>
      <w:marBottom w:val="0"/>
      <w:divBdr>
        <w:top w:val="none" w:sz="0" w:space="0" w:color="auto"/>
        <w:left w:val="none" w:sz="0" w:space="0" w:color="auto"/>
        <w:bottom w:val="none" w:sz="0" w:space="0" w:color="auto"/>
        <w:right w:val="none" w:sz="0" w:space="0" w:color="auto"/>
      </w:divBdr>
    </w:div>
    <w:div w:id="1062682200">
      <w:bodyDiv w:val="1"/>
      <w:marLeft w:val="0"/>
      <w:marRight w:val="0"/>
      <w:marTop w:val="0"/>
      <w:marBottom w:val="0"/>
      <w:divBdr>
        <w:top w:val="none" w:sz="0" w:space="0" w:color="auto"/>
        <w:left w:val="none" w:sz="0" w:space="0" w:color="auto"/>
        <w:bottom w:val="none" w:sz="0" w:space="0" w:color="auto"/>
        <w:right w:val="none" w:sz="0" w:space="0" w:color="auto"/>
      </w:divBdr>
    </w:div>
    <w:div w:id="1189028181">
      <w:bodyDiv w:val="1"/>
      <w:marLeft w:val="0"/>
      <w:marRight w:val="0"/>
      <w:marTop w:val="0"/>
      <w:marBottom w:val="0"/>
      <w:divBdr>
        <w:top w:val="none" w:sz="0" w:space="0" w:color="auto"/>
        <w:left w:val="none" w:sz="0" w:space="0" w:color="auto"/>
        <w:bottom w:val="none" w:sz="0" w:space="0" w:color="auto"/>
        <w:right w:val="none" w:sz="0" w:space="0" w:color="auto"/>
      </w:divBdr>
    </w:div>
    <w:div w:id="1212110793">
      <w:bodyDiv w:val="1"/>
      <w:marLeft w:val="0"/>
      <w:marRight w:val="0"/>
      <w:marTop w:val="0"/>
      <w:marBottom w:val="0"/>
      <w:divBdr>
        <w:top w:val="none" w:sz="0" w:space="0" w:color="auto"/>
        <w:left w:val="none" w:sz="0" w:space="0" w:color="auto"/>
        <w:bottom w:val="none" w:sz="0" w:space="0" w:color="auto"/>
        <w:right w:val="none" w:sz="0" w:space="0" w:color="auto"/>
      </w:divBdr>
      <w:divsChild>
        <w:div w:id="1879049859">
          <w:marLeft w:val="0"/>
          <w:marRight w:val="0"/>
          <w:marTop w:val="0"/>
          <w:marBottom w:val="0"/>
          <w:divBdr>
            <w:top w:val="none" w:sz="0" w:space="0" w:color="auto"/>
            <w:left w:val="none" w:sz="0" w:space="0" w:color="auto"/>
            <w:bottom w:val="none" w:sz="0" w:space="0" w:color="auto"/>
            <w:right w:val="none" w:sz="0" w:space="0" w:color="auto"/>
          </w:divBdr>
          <w:divsChild>
            <w:div w:id="1291593156">
              <w:marLeft w:val="0"/>
              <w:marRight w:val="0"/>
              <w:marTop w:val="0"/>
              <w:marBottom w:val="0"/>
              <w:divBdr>
                <w:top w:val="none" w:sz="0" w:space="0" w:color="auto"/>
                <w:left w:val="none" w:sz="0" w:space="0" w:color="auto"/>
                <w:bottom w:val="none" w:sz="0" w:space="0" w:color="auto"/>
                <w:right w:val="none" w:sz="0" w:space="0" w:color="auto"/>
              </w:divBdr>
              <w:divsChild>
                <w:div w:id="897668251">
                  <w:marLeft w:val="0"/>
                  <w:marRight w:val="0"/>
                  <w:marTop w:val="0"/>
                  <w:marBottom w:val="0"/>
                  <w:divBdr>
                    <w:top w:val="none" w:sz="0" w:space="0" w:color="auto"/>
                    <w:left w:val="none" w:sz="0" w:space="0" w:color="auto"/>
                    <w:bottom w:val="none" w:sz="0" w:space="0" w:color="auto"/>
                    <w:right w:val="none" w:sz="0" w:space="0" w:color="auto"/>
                  </w:divBdr>
                  <w:divsChild>
                    <w:div w:id="297028234">
                      <w:marLeft w:val="0"/>
                      <w:marRight w:val="0"/>
                      <w:marTop w:val="0"/>
                      <w:marBottom w:val="0"/>
                      <w:divBdr>
                        <w:top w:val="none" w:sz="0" w:space="0" w:color="auto"/>
                        <w:left w:val="none" w:sz="0" w:space="0" w:color="auto"/>
                        <w:bottom w:val="none" w:sz="0" w:space="0" w:color="auto"/>
                        <w:right w:val="none" w:sz="0" w:space="0" w:color="auto"/>
                      </w:divBdr>
                    </w:div>
                  </w:divsChild>
                </w:div>
                <w:div w:id="1730299359">
                  <w:marLeft w:val="0"/>
                  <w:marRight w:val="0"/>
                  <w:marTop w:val="0"/>
                  <w:marBottom w:val="0"/>
                  <w:divBdr>
                    <w:top w:val="none" w:sz="0" w:space="0" w:color="auto"/>
                    <w:left w:val="none" w:sz="0" w:space="0" w:color="auto"/>
                    <w:bottom w:val="none" w:sz="0" w:space="0" w:color="auto"/>
                    <w:right w:val="none" w:sz="0" w:space="0" w:color="auto"/>
                  </w:divBdr>
                  <w:divsChild>
                    <w:div w:id="145706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669265">
      <w:bodyDiv w:val="1"/>
      <w:marLeft w:val="0"/>
      <w:marRight w:val="0"/>
      <w:marTop w:val="0"/>
      <w:marBottom w:val="0"/>
      <w:divBdr>
        <w:top w:val="none" w:sz="0" w:space="0" w:color="auto"/>
        <w:left w:val="none" w:sz="0" w:space="0" w:color="auto"/>
        <w:bottom w:val="none" w:sz="0" w:space="0" w:color="auto"/>
        <w:right w:val="none" w:sz="0" w:space="0" w:color="auto"/>
      </w:divBdr>
    </w:div>
    <w:div w:id="1238398697">
      <w:bodyDiv w:val="1"/>
      <w:marLeft w:val="0"/>
      <w:marRight w:val="0"/>
      <w:marTop w:val="0"/>
      <w:marBottom w:val="0"/>
      <w:divBdr>
        <w:top w:val="none" w:sz="0" w:space="0" w:color="auto"/>
        <w:left w:val="none" w:sz="0" w:space="0" w:color="auto"/>
        <w:bottom w:val="none" w:sz="0" w:space="0" w:color="auto"/>
        <w:right w:val="none" w:sz="0" w:space="0" w:color="auto"/>
      </w:divBdr>
    </w:div>
    <w:div w:id="1246453472">
      <w:bodyDiv w:val="1"/>
      <w:marLeft w:val="0"/>
      <w:marRight w:val="0"/>
      <w:marTop w:val="0"/>
      <w:marBottom w:val="0"/>
      <w:divBdr>
        <w:top w:val="none" w:sz="0" w:space="0" w:color="auto"/>
        <w:left w:val="none" w:sz="0" w:space="0" w:color="auto"/>
        <w:bottom w:val="none" w:sz="0" w:space="0" w:color="auto"/>
        <w:right w:val="none" w:sz="0" w:space="0" w:color="auto"/>
      </w:divBdr>
    </w:div>
    <w:div w:id="1348674806">
      <w:bodyDiv w:val="1"/>
      <w:marLeft w:val="0"/>
      <w:marRight w:val="0"/>
      <w:marTop w:val="0"/>
      <w:marBottom w:val="0"/>
      <w:divBdr>
        <w:top w:val="none" w:sz="0" w:space="0" w:color="auto"/>
        <w:left w:val="none" w:sz="0" w:space="0" w:color="auto"/>
        <w:bottom w:val="none" w:sz="0" w:space="0" w:color="auto"/>
        <w:right w:val="none" w:sz="0" w:space="0" w:color="auto"/>
      </w:divBdr>
    </w:div>
    <w:div w:id="1362972319">
      <w:bodyDiv w:val="1"/>
      <w:marLeft w:val="0"/>
      <w:marRight w:val="0"/>
      <w:marTop w:val="0"/>
      <w:marBottom w:val="0"/>
      <w:divBdr>
        <w:top w:val="none" w:sz="0" w:space="0" w:color="auto"/>
        <w:left w:val="none" w:sz="0" w:space="0" w:color="auto"/>
        <w:bottom w:val="none" w:sz="0" w:space="0" w:color="auto"/>
        <w:right w:val="none" w:sz="0" w:space="0" w:color="auto"/>
      </w:divBdr>
    </w:div>
    <w:div w:id="1461144973">
      <w:bodyDiv w:val="1"/>
      <w:marLeft w:val="0"/>
      <w:marRight w:val="0"/>
      <w:marTop w:val="0"/>
      <w:marBottom w:val="0"/>
      <w:divBdr>
        <w:top w:val="none" w:sz="0" w:space="0" w:color="auto"/>
        <w:left w:val="none" w:sz="0" w:space="0" w:color="auto"/>
        <w:bottom w:val="none" w:sz="0" w:space="0" w:color="auto"/>
        <w:right w:val="none" w:sz="0" w:space="0" w:color="auto"/>
      </w:divBdr>
    </w:div>
    <w:div w:id="1506361345">
      <w:bodyDiv w:val="1"/>
      <w:marLeft w:val="0"/>
      <w:marRight w:val="0"/>
      <w:marTop w:val="0"/>
      <w:marBottom w:val="0"/>
      <w:divBdr>
        <w:top w:val="none" w:sz="0" w:space="0" w:color="auto"/>
        <w:left w:val="none" w:sz="0" w:space="0" w:color="auto"/>
        <w:bottom w:val="none" w:sz="0" w:space="0" w:color="auto"/>
        <w:right w:val="none" w:sz="0" w:space="0" w:color="auto"/>
      </w:divBdr>
    </w:div>
    <w:div w:id="1685785751">
      <w:bodyDiv w:val="1"/>
      <w:marLeft w:val="0"/>
      <w:marRight w:val="0"/>
      <w:marTop w:val="0"/>
      <w:marBottom w:val="0"/>
      <w:divBdr>
        <w:top w:val="none" w:sz="0" w:space="0" w:color="auto"/>
        <w:left w:val="none" w:sz="0" w:space="0" w:color="auto"/>
        <w:bottom w:val="none" w:sz="0" w:space="0" w:color="auto"/>
        <w:right w:val="none" w:sz="0" w:space="0" w:color="auto"/>
      </w:divBdr>
    </w:div>
    <w:div w:id="1754400034">
      <w:bodyDiv w:val="1"/>
      <w:marLeft w:val="0"/>
      <w:marRight w:val="0"/>
      <w:marTop w:val="0"/>
      <w:marBottom w:val="0"/>
      <w:divBdr>
        <w:top w:val="none" w:sz="0" w:space="0" w:color="auto"/>
        <w:left w:val="none" w:sz="0" w:space="0" w:color="auto"/>
        <w:bottom w:val="none" w:sz="0" w:space="0" w:color="auto"/>
        <w:right w:val="none" w:sz="0" w:space="0" w:color="auto"/>
      </w:divBdr>
    </w:div>
    <w:div w:id="1872375361">
      <w:bodyDiv w:val="1"/>
      <w:marLeft w:val="0"/>
      <w:marRight w:val="0"/>
      <w:marTop w:val="0"/>
      <w:marBottom w:val="0"/>
      <w:divBdr>
        <w:top w:val="none" w:sz="0" w:space="0" w:color="auto"/>
        <w:left w:val="none" w:sz="0" w:space="0" w:color="auto"/>
        <w:bottom w:val="none" w:sz="0" w:space="0" w:color="auto"/>
        <w:right w:val="none" w:sz="0" w:space="0" w:color="auto"/>
      </w:divBdr>
      <w:divsChild>
        <w:div w:id="1013259769">
          <w:marLeft w:val="0"/>
          <w:marRight w:val="0"/>
          <w:marTop w:val="0"/>
          <w:marBottom w:val="0"/>
          <w:divBdr>
            <w:top w:val="none" w:sz="0" w:space="0" w:color="auto"/>
            <w:left w:val="none" w:sz="0" w:space="0" w:color="auto"/>
            <w:bottom w:val="none" w:sz="0" w:space="0" w:color="auto"/>
            <w:right w:val="none" w:sz="0" w:space="0" w:color="auto"/>
          </w:divBdr>
          <w:divsChild>
            <w:div w:id="534463007">
              <w:marLeft w:val="0"/>
              <w:marRight w:val="0"/>
              <w:marTop w:val="0"/>
              <w:marBottom w:val="0"/>
              <w:divBdr>
                <w:top w:val="none" w:sz="0" w:space="0" w:color="auto"/>
                <w:left w:val="none" w:sz="0" w:space="0" w:color="auto"/>
                <w:bottom w:val="none" w:sz="0" w:space="0" w:color="auto"/>
                <w:right w:val="none" w:sz="0" w:space="0" w:color="auto"/>
              </w:divBdr>
              <w:divsChild>
                <w:div w:id="140472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171335">
      <w:bodyDiv w:val="1"/>
      <w:marLeft w:val="0"/>
      <w:marRight w:val="0"/>
      <w:marTop w:val="0"/>
      <w:marBottom w:val="0"/>
      <w:divBdr>
        <w:top w:val="none" w:sz="0" w:space="0" w:color="auto"/>
        <w:left w:val="none" w:sz="0" w:space="0" w:color="auto"/>
        <w:bottom w:val="none" w:sz="0" w:space="0" w:color="auto"/>
        <w:right w:val="none" w:sz="0" w:space="0" w:color="auto"/>
      </w:divBdr>
    </w:div>
    <w:div w:id="208151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97C66-E9DE-4362-98B7-F409F53DB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0739FE3-2CDD-48A9-B473-5E7A19354740}">
  <ds:schemaRefs>
    <ds:schemaRef ds:uri="http://schemas.microsoft.com/sharepoint/v3/contenttype/forms"/>
  </ds:schemaRefs>
</ds:datastoreItem>
</file>

<file path=customXml/itemProps3.xml><?xml version="1.0" encoding="utf-8"?>
<ds:datastoreItem xmlns:ds="http://schemas.openxmlformats.org/officeDocument/2006/customXml" ds:itemID="{2D1B2C69-A1B9-4BE3-B218-B98DAB34608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F6E558-0A24-4D08-8892-DB85DBC63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2490</Words>
  <Characters>13698</Characters>
  <Application>Microsoft Office Word</Application>
  <DocSecurity>0</DocSecurity>
  <Lines>114</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2018-03-08T18:06:00Z</cp:lastPrinted>
  <dcterms:created xsi:type="dcterms:W3CDTF">2018-03-08T18:05:00Z</dcterms:created>
  <dcterms:modified xsi:type="dcterms:W3CDTF">2018-03-08T18:06:00Z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0x0101009C65DE0E31EAF2439D287EEF21B08142</vt:lpwstr>
  </property>
</Properties>
</file>