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8E6" w:rsidRPr="00257B4D" w:rsidRDefault="000068E6" w:rsidP="000068E6">
      <w:pPr>
        <w:ind w:left="540" w:firstLine="180"/>
        <w:jc w:val="both"/>
        <w:rPr>
          <w:rFonts w:ascii="Univers" w:hAnsi="Univers" w:cs="Arial"/>
          <w:lang w:val="en-US"/>
        </w:rPr>
      </w:pPr>
      <w:bookmarkStart w:id="0" w:name="_GoBack"/>
      <w:bookmarkEnd w:id="0"/>
      <w:r w:rsidRPr="00257B4D">
        <w:rPr>
          <w:rFonts w:ascii="Univers" w:hAnsi="Univers"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0.05pt;margin-top:36.2pt;width:63pt;height:63pt;z-index:-2;mso-wrap-edited:f;mso-position-horizontal-relative:page;mso-position-vertical-relative:page" wrapcoords="240 720 240 20880 21360 20880 21360 720 240 720" fillcolor="window">
            <v:imagedata r:id="rId7" o:title="" croptop="-1680f" cropbottom="-1680f" cropleft="-1680f" cropright="-1680f"/>
            <w10:wrap type="tight" anchorx="page" anchory="page"/>
          </v:shape>
        </w:pict>
      </w:r>
      <w:r>
        <w:rPr>
          <w:rFonts w:ascii="Univers" w:hAnsi="Univers" w:cs="Arial"/>
          <w:noProof/>
          <w:lang w:val="en-US" w:eastAsia="en-US"/>
        </w:rPr>
        <w:pict>
          <v:shape id="_x0000_s1028" type="#_x0000_t75" style="position:absolute;left:0;text-align:left;margin-left:400.05pt;margin-top:.2pt;width:81pt;height:67.4pt;z-index:-1" wrapcoords="-182 0 -182 21382 21600 21382 21600 0 -182 0">
            <v:imagedata r:id="rId8" o:title="CIDH_spa"/>
            <w10:wrap type="through"/>
          </v:shape>
        </w:pict>
      </w:r>
      <w:proofErr w:type="gramStart"/>
      <w:r w:rsidRPr="00257B4D">
        <w:rPr>
          <w:rFonts w:ascii="Univers" w:hAnsi="Univers" w:cs="Arial"/>
          <w:lang w:val="en-US"/>
        </w:rPr>
        <w:t>INTER  -</w:t>
      </w:r>
      <w:proofErr w:type="gramEnd"/>
      <w:r w:rsidRPr="00257B4D">
        <w:rPr>
          <w:rFonts w:ascii="Univers" w:hAnsi="Univers" w:cs="Arial"/>
          <w:lang w:val="en-US"/>
        </w:rPr>
        <w:t xml:space="preserve">  AMERICAN   COMMISSION  ON  HUMAN  RIGHTS</w:t>
      </w:r>
    </w:p>
    <w:p w:rsidR="000068E6" w:rsidRPr="009C5112" w:rsidRDefault="000068E6" w:rsidP="000068E6">
      <w:pPr>
        <w:ind w:left="1980" w:firstLine="180"/>
        <w:jc w:val="both"/>
        <w:rPr>
          <w:rFonts w:ascii="Univers" w:hAnsi="Univers" w:cs="Arial"/>
          <w:lang w:val="en-US"/>
        </w:rPr>
      </w:pPr>
      <w:proofErr w:type="gramStart"/>
      <w:r w:rsidRPr="009C5112">
        <w:rPr>
          <w:rFonts w:ascii="Univers" w:hAnsi="Univers" w:cs="Arial"/>
          <w:lang w:val="en-US"/>
        </w:rPr>
        <w:t>COMISION  INTERAMERICANA</w:t>
      </w:r>
      <w:proofErr w:type="gramEnd"/>
      <w:r w:rsidRPr="009C5112">
        <w:rPr>
          <w:rFonts w:ascii="Univers" w:hAnsi="Univers" w:cs="Arial"/>
          <w:lang w:val="en-US"/>
        </w:rPr>
        <w:t xml:space="preserve">  DE  DERECHOS   HUMANOS</w:t>
      </w:r>
    </w:p>
    <w:p w:rsidR="000068E6" w:rsidRPr="009C5112" w:rsidRDefault="000068E6" w:rsidP="000068E6">
      <w:pPr>
        <w:ind w:left="540" w:firstLine="180"/>
        <w:jc w:val="both"/>
        <w:rPr>
          <w:rFonts w:ascii="Univers" w:hAnsi="Univers" w:cs="Arial"/>
          <w:lang w:val="en-US"/>
        </w:rPr>
      </w:pPr>
      <w:r w:rsidRPr="009C5112">
        <w:rPr>
          <w:rFonts w:ascii="Univers" w:hAnsi="Univers" w:cs="Arial"/>
          <w:lang w:val="en-US"/>
        </w:rPr>
        <w:t xml:space="preserve">COMISSÃO   </w:t>
      </w:r>
      <w:proofErr w:type="gramStart"/>
      <w:r w:rsidRPr="009C5112">
        <w:rPr>
          <w:rFonts w:ascii="Univers" w:hAnsi="Univers" w:cs="Arial"/>
          <w:lang w:val="en-US"/>
        </w:rPr>
        <w:t>INTERAMERICANA  DE</w:t>
      </w:r>
      <w:proofErr w:type="gramEnd"/>
      <w:r w:rsidRPr="009C5112">
        <w:rPr>
          <w:rFonts w:ascii="Univers" w:hAnsi="Univers" w:cs="Arial"/>
          <w:lang w:val="en-US"/>
        </w:rPr>
        <w:t xml:space="preserve">  DIREITOS   HUMANOS</w:t>
      </w:r>
    </w:p>
    <w:p w:rsidR="000068E6" w:rsidRPr="009C5112" w:rsidRDefault="000068E6" w:rsidP="000068E6">
      <w:pPr>
        <w:ind w:left="720"/>
        <w:jc w:val="both"/>
        <w:rPr>
          <w:rFonts w:ascii="Univers" w:hAnsi="Univers" w:cs="Arial"/>
          <w:lang w:val="en-US"/>
        </w:rPr>
      </w:pPr>
      <w:r w:rsidRPr="009C5112">
        <w:rPr>
          <w:rFonts w:ascii="Univers" w:hAnsi="Univers" w:cs="Arial"/>
          <w:lang w:val="en-US"/>
        </w:rPr>
        <w:t xml:space="preserve">  COMMISSION INTERAMÉRICAINE DES DROITS DE L'HOMME</w:t>
      </w:r>
    </w:p>
    <w:p w:rsidR="000068E6" w:rsidRPr="009C5112" w:rsidRDefault="000068E6" w:rsidP="000068E6">
      <w:pPr>
        <w:jc w:val="both"/>
        <w:rPr>
          <w:rFonts w:ascii="Univers" w:hAnsi="Univers" w:cs="Arial"/>
          <w:sz w:val="22"/>
          <w:szCs w:val="22"/>
          <w:lang w:val="en-US"/>
        </w:rPr>
      </w:pPr>
    </w:p>
    <w:p w:rsidR="000068E6" w:rsidRPr="009C5112" w:rsidRDefault="000068E6" w:rsidP="000068E6">
      <w:pPr>
        <w:jc w:val="both"/>
        <w:rPr>
          <w:rFonts w:ascii="Univers" w:hAnsi="Univers" w:cs="Arial"/>
          <w:sz w:val="22"/>
          <w:szCs w:val="22"/>
          <w:lang w:val="en-US"/>
        </w:rPr>
      </w:pPr>
      <w:r w:rsidRPr="00257B4D">
        <w:rPr>
          <w:rFonts w:ascii="Univers" w:hAnsi="Univers" w:cs="Arial"/>
          <w:noProof/>
          <w:sz w:val="22"/>
          <w:szCs w:val="22"/>
        </w:rPr>
        <w:pict>
          <v:rect id="_x0000_s1026" style="position:absolute;left:0;text-align:left;margin-left:21.6pt;margin-top:0;width:568.8pt;height:.95pt;z-index:-3;mso-position-horizontal-relative:page" o:allowincell="f" fillcolor="black" stroked="f" strokeweight="0">
            <v:fill color2="black"/>
            <w10:wrap anchorx="page"/>
            <w10:anchorlock/>
          </v:rect>
        </w:pict>
      </w:r>
    </w:p>
    <w:p w:rsidR="000068E6" w:rsidRPr="00257B4D" w:rsidRDefault="000068E6" w:rsidP="000068E6">
      <w:pPr>
        <w:jc w:val="both"/>
        <w:rPr>
          <w:rFonts w:ascii="Univers" w:hAnsi="Univers" w:cs="Arial"/>
          <w:b/>
          <w:sz w:val="32"/>
          <w:szCs w:val="32"/>
          <w:lang w:val="en-US"/>
        </w:rPr>
      </w:pPr>
      <w:r w:rsidRPr="00257B4D">
        <w:rPr>
          <w:rFonts w:ascii="Univers" w:hAnsi="Univers" w:cs="Arial"/>
          <w:b/>
          <w:sz w:val="32"/>
          <w:szCs w:val="32"/>
          <w:lang w:val="en-US"/>
        </w:rPr>
        <w:t>ORGANIZACIÓN DE LOS ESTADOS AMERICANOS</w:t>
      </w:r>
    </w:p>
    <w:p w:rsidR="000068E6" w:rsidRPr="00257B4D" w:rsidRDefault="000068E6" w:rsidP="000068E6">
      <w:pPr>
        <w:jc w:val="both"/>
        <w:rPr>
          <w:rFonts w:ascii="Univers" w:hAnsi="Univers" w:cs="Arial"/>
          <w:b/>
          <w:sz w:val="28"/>
          <w:szCs w:val="28"/>
        </w:rPr>
      </w:pPr>
      <w:r w:rsidRPr="00257B4D">
        <w:rPr>
          <w:rFonts w:ascii="Univers" w:hAnsi="Univers" w:cs="Arial"/>
          <w:b/>
          <w:sz w:val="28"/>
          <w:szCs w:val="28"/>
        </w:rPr>
        <w:t>WASHINGTON, D.C. 2 0 0 0 6  EEUU</w:t>
      </w:r>
    </w:p>
    <w:p w:rsidR="000068E6" w:rsidRDefault="000068E6" w:rsidP="000068E6">
      <w:pPr>
        <w:rPr>
          <w:rFonts w:ascii="Univers" w:hAnsi="Univers"/>
          <w:sz w:val="22"/>
          <w:szCs w:val="22"/>
        </w:rPr>
      </w:pPr>
    </w:p>
    <w:p w:rsidR="000068E6" w:rsidRPr="001200E2" w:rsidRDefault="000068E6" w:rsidP="000068E6">
      <w:pPr>
        <w:rPr>
          <w:rFonts w:ascii="Univers" w:hAnsi="Univers"/>
          <w:sz w:val="22"/>
          <w:szCs w:val="22"/>
        </w:rPr>
      </w:pPr>
    </w:p>
    <w:p w:rsidR="000068E6" w:rsidRPr="001200E2" w:rsidRDefault="00AC475B" w:rsidP="000068E6">
      <w:pPr>
        <w:suppressAutoHyphens/>
        <w:jc w:val="right"/>
        <w:rPr>
          <w:rFonts w:ascii="Univers" w:hAnsi="Univers" w:cs="Arial"/>
          <w:sz w:val="22"/>
          <w:szCs w:val="22"/>
          <w:lang w:val="es-PE"/>
        </w:rPr>
      </w:pPr>
      <w:r w:rsidRPr="002F2176">
        <w:rPr>
          <w:rFonts w:ascii="Univers" w:hAnsi="Univers" w:cs="Arial"/>
          <w:sz w:val="22"/>
          <w:szCs w:val="22"/>
          <w:lang w:val="es-PE"/>
        </w:rPr>
        <w:t>17</w:t>
      </w:r>
      <w:r w:rsidR="000068E6" w:rsidRPr="002F2176">
        <w:rPr>
          <w:rFonts w:ascii="Univers" w:hAnsi="Univers" w:cs="Arial"/>
          <w:sz w:val="22"/>
          <w:szCs w:val="22"/>
          <w:lang w:val="es-PE"/>
        </w:rPr>
        <w:t xml:space="preserve"> de julio de 2012</w:t>
      </w:r>
    </w:p>
    <w:p w:rsidR="00AC475B" w:rsidRDefault="00AC475B" w:rsidP="000068E6">
      <w:pPr>
        <w:tabs>
          <w:tab w:val="left" w:pos="720"/>
          <w:tab w:val="center" w:pos="6480"/>
        </w:tabs>
        <w:jc w:val="both"/>
        <w:rPr>
          <w:rFonts w:ascii="Univers" w:hAnsi="Univers" w:cs="Arial"/>
          <w:b/>
          <w:sz w:val="22"/>
          <w:szCs w:val="22"/>
          <w:lang w:val="es-ES_tradnl"/>
        </w:rPr>
      </w:pPr>
    </w:p>
    <w:p w:rsidR="000068E6" w:rsidRPr="00C50768" w:rsidRDefault="000068E6" w:rsidP="000068E6">
      <w:pPr>
        <w:tabs>
          <w:tab w:val="left" w:pos="720"/>
          <w:tab w:val="center" w:pos="6480"/>
        </w:tabs>
        <w:jc w:val="both"/>
        <w:rPr>
          <w:rFonts w:ascii="Univers" w:hAnsi="Univers" w:cs="Arial"/>
          <w:b/>
          <w:sz w:val="22"/>
          <w:szCs w:val="22"/>
          <w:lang w:val="es-ES_tradnl"/>
        </w:rPr>
      </w:pPr>
      <w:r w:rsidRPr="00C50768">
        <w:rPr>
          <w:rFonts w:ascii="Univers" w:hAnsi="Univers" w:cs="Arial"/>
          <w:b/>
          <w:sz w:val="22"/>
          <w:szCs w:val="22"/>
          <w:lang w:val="es-ES_tradnl"/>
        </w:rPr>
        <w:t>Ref.:</w:t>
      </w:r>
      <w:bookmarkStart w:id="1" w:name="Peticion_n"/>
      <w:bookmarkEnd w:id="1"/>
      <w:r w:rsidRPr="00C50768">
        <w:rPr>
          <w:rFonts w:ascii="Univers" w:hAnsi="Univers" w:cs="Arial"/>
          <w:b/>
          <w:sz w:val="22"/>
          <w:szCs w:val="22"/>
          <w:lang w:val="es-ES_tradnl"/>
        </w:rPr>
        <w:tab/>
        <w:t>Caso No. 12.</w:t>
      </w:r>
      <w:r w:rsidR="00AC475B">
        <w:rPr>
          <w:rFonts w:ascii="Univers" w:hAnsi="Univers" w:cs="Arial"/>
          <w:b/>
          <w:sz w:val="22"/>
          <w:szCs w:val="22"/>
          <w:lang w:val="es-ES_tradnl"/>
        </w:rPr>
        <w:t>775</w:t>
      </w:r>
      <w:r w:rsidRPr="00C50768">
        <w:rPr>
          <w:rFonts w:ascii="Univers" w:hAnsi="Univers" w:cs="Arial"/>
          <w:b/>
          <w:i/>
          <w:sz w:val="22"/>
          <w:szCs w:val="22"/>
          <w:lang w:val="es-ES_tradnl"/>
        </w:rPr>
        <w:t xml:space="preserve"> </w:t>
      </w:r>
    </w:p>
    <w:p w:rsidR="000068E6" w:rsidRPr="00C50768" w:rsidRDefault="00AC475B" w:rsidP="000068E6">
      <w:pPr>
        <w:tabs>
          <w:tab w:val="left" w:pos="720"/>
          <w:tab w:val="center" w:pos="6480"/>
        </w:tabs>
        <w:ind w:left="720"/>
        <w:jc w:val="both"/>
        <w:rPr>
          <w:rFonts w:ascii="Univers" w:hAnsi="Univers" w:cs="Arial"/>
          <w:b/>
          <w:sz w:val="22"/>
          <w:szCs w:val="22"/>
          <w:lang w:val="es-ES_tradnl"/>
        </w:rPr>
      </w:pPr>
      <w:r>
        <w:rPr>
          <w:rFonts w:ascii="Univers" w:hAnsi="Univers" w:cs="Arial"/>
          <w:b/>
          <w:sz w:val="22"/>
          <w:szCs w:val="22"/>
          <w:lang w:val="es-ES_tradnl"/>
        </w:rPr>
        <w:t>Florentín Gudiel Ramos, Makrina Gudiel Álvarez y otros</w:t>
      </w:r>
    </w:p>
    <w:p w:rsidR="000068E6" w:rsidRPr="001200E2" w:rsidRDefault="00AC475B" w:rsidP="000068E6">
      <w:pPr>
        <w:tabs>
          <w:tab w:val="left" w:pos="720"/>
          <w:tab w:val="center" w:pos="6480"/>
        </w:tabs>
        <w:ind w:left="720"/>
        <w:jc w:val="both"/>
        <w:rPr>
          <w:rFonts w:ascii="Univers" w:hAnsi="Univers" w:cs="Arial"/>
          <w:b/>
          <w:sz w:val="22"/>
          <w:szCs w:val="22"/>
          <w:lang w:val="es-ES_tradnl"/>
        </w:rPr>
      </w:pPr>
      <w:r>
        <w:rPr>
          <w:rFonts w:ascii="Univers" w:hAnsi="Univers" w:cs="Arial"/>
          <w:b/>
          <w:sz w:val="22"/>
          <w:szCs w:val="22"/>
          <w:lang w:val="es-ES_tradnl"/>
        </w:rPr>
        <w:t>Guatemala</w:t>
      </w:r>
    </w:p>
    <w:p w:rsidR="000068E6" w:rsidRDefault="000068E6" w:rsidP="000068E6">
      <w:pPr>
        <w:tabs>
          <w:tab w:val="left" w:pos="720"/>
          <w:tab w:val="center" w:pos="6480"/>
        </w:tabs>
        <w:jc w:val="both"/>
        <w:rPr>
          <w:rFonts w:ascii="Univers" w:hAnsi="Univers" w:cs="Arial"/>
          <w:sz w:val="22"/>
          <w:szCs w:val="22"/>
        </w:rPr>
      </w:pPr>
    </w:p>
    <w:p w:rsidR="000068E6" w:rsidRPr="001200E2" w:rsidRDefault="000068E6" w:rsidP="000068E6">
      <w:pPr>
        <w:tabs>
          <w:tab w:val="left" w:pos="720"/>
          <w:tab w:val="center" w:pos="6480"/>
        </w:tabs>
        <w:jc w:val="both"/>
        <w:rPr>
          <w:rFonts w:ascii="Univers" w:hAnsi="Univers" w:cs="Arial"/>
          <w:sz w:val="22"/>
          <w:szCs w:val="22"/>
        </w:rPr>
      </w:pPr>
    </w:p>
    <w:p w:rsidR="000068E6" w:rsidRPr="001200E2" w:rsidRDefault="000068E6" w:rsidP="000068E6">
      <w:pPr>
        <w:tabs>
          <w:tab w:val="left" w:pos="720"/>
          <w:tab w:val="center" w:pos="6480"/>
        </w:tabs>
        <w:jc w:val="both"/>
        <w:rPr>
          <w:rFonts w:ascii="Univers" w:hAnsi="Univers" w:cs="Arial"/>
          <w:sz w:val="22"/>
          <w:szCs w:val="22"/>
          <w:lang w:val="es-PE"/>
        </w:rPr>
      </w:pPr>
      <w:r w:rsidRPr="001200E2">
        <w:rPr>
          <w:rFonts w:ascii="Univers" w:hAnsi="Univers" w:cs="Arial"/>
          <w:sz w:val="22"/>
          <w:szCs w:val="22"/>
          <w:lang w:val="es-PE"/>
        </w:rPr>
        <w:t>Señor Secretario:</w:t>
      </w:r>
    </w:p>
    <w:p w:rsidR="000068E6" w:rsidRPr="001200E2" w:rsidRDefault="000068E6" w:rsidP="000068E6">
      <w:pPr>
        <w:rPr>
          <w:rFonts w:ascii="Univers" w:hAnsi="Univers" w:cs="Arial"/>
          <w:sz w:val="22"/>
          <w:szCs w:val="22"/>
          <w:lang w:val="es-CO"/>
        </w:rPr>
      </w:pPr>
    </w:p>
    <w:p w:rsidR="00521CFF" w:rsidRDefault="000068E6" w:rsidP="00521CFF">
      <w:pPr>
        <w:ind w:firstLine="720"/>
        <w:jc w:val="both"/>
        <w:rPr>
          <w:rFonts w:ascii="Univers" w:hAnsi="Univers" w:cs="Arial"/>
          <w:sz w:val="22"/>
          <w:szCs w:val="22"/>
          <w:lang w:val="es-UY"/>
        </w:rPr>
      </w:pPr>
      <w:r w:rsidRPr="00D1260E">
        <w:rPr>
          <w:rFonts w:ascii="Univers" w:hAnsi="Univers"/>
          <w:sz w:val="22"/>
          <w:szCs w:val="22"/>
        </w:rPr>
        <w:t>Tengo el agrado de dirigirme a usted en nombre de la Comisión Interamericana de Derechos Humanos con el objeto</w:t>
      </w:r>
      <w:r w:rsidRPr="00D1260E">
        <w:rPr>
          <w:rFonts w:ascii="Univers" w:hAnsi="Univers" w:cs="Arial"/>
          <w:sz w:val="22"/>
          <w:szCs w:val="22"/>
          <w:lang w:val="es-CO"/>
        </w:rPr>
        <w:t xml:space="preserve"> de someter a la jurisdicción de la Honorable Corte Interamericana de Derechos Humanos, el caso No.</w:t>
      </w:r>
      <w:r w:rsidRPr="00D1260E">
        <w:rPr>
          <w:rFonts w:ascii="Univers" w:hAnsi="Univers"/>
          <w:sz w:val="22"/>
          <w:szCs w:val="22"/>
        </w:rPr>
        <w:t xml:space="preserve"> </w:t>
      </w:r>
      <w:bookmarkStart w:id="2" w:name="Peticion_n1"/>
      <w:bookmarkEnd w:id="2"/>
      <w:r w:rsidRPr="00D1260E">
        <w:rPr>
          <w:rFonts w:ascii="Univers" w:hAnsi="Univers" w:cs="Arial"/>
          <w:sz w:val="22"/>
          <w:szCs w:val="22"/>
        </w:rPr>
        <w:t>12.</w:t>
      </w:r>
      <w:r w:rsidR="00521CFF">
        <w:rPr>
          <w:rFonts w:ascii="Univers" w:hAnsi="Univers" w:cs="Arial"/>
          <w:sz w:val="22"/>
          <w:szCs w:val="22"/>
        </w:rPr>
        <w:t>775</w:t>
      </w:r>
      <w:r w:rsidRPr="00D1260E">
        <w:rPr>
          <w:rFonts w:ascii="Univers" w:hAnsi="Univers" w:cs="Arial"/>
          <w:sz w:val="22"/>
          <w:szCs w:val="22"/>
        </w:rPr>
        <w:t xml:space="preserve"> respecto de la República </w:t>
      </w:r>
      <w:r w:rsidR="00521CFF">
        <w:rPr>
          <w:rFonts w:ascii="Univers" w:hAnsi="Univers" w:cs="Arial"/>
          <w:sz w:val="22"/>
          <w:szCs w:val="22"/>
        </w:rPr>
        <w:t>de Guatemala</w:t>
      </w:r>
      <w:r w:rsidRPr="00D1260E">
        <w:rPr>
          <w:rFonts w:ascii="Univers" w:hAnsi="Univers" w:cs="Arial"/>
          <w:sz w:val="22"/>
          <w:szCs w:val="22"/>
        </w:rPr>
        <w:t xml:space="preserve"> (en adelante “el Estado”, “el Estado </w:t>
      </w:r>
      <w:r w:rsidR="00521CFF">
        <w:rPr>
          <w:rFonts w:ascii="Univers" w:hAnsi="Univers" w:cs="Arial"/>
          <w:sz w:val="22"/>
          <w:szCs w:val="22"/>
        </w:rPr>
        <w:t>guatemalteco</w:t>
      </w:r>
      <w:r w:rsidRPr="00D1260E">
        <w:rPr>
          <w:rFonts w:ascii="Univers" w:hAnsi="Univers" w:cs="Arial"/>
          <w:sz w:val="22"/>
          <w:szCs w:val="22"/>
        </w:rPr>
        <w:t>” o “</w:t>
      </w:r>
      <w:r w:rsidR="00521CFF">
        <w:rPr>
          <w:rFonts w:ascii="Univers" w:hAnsi="Univers" w:cs="Arial"/>
          <w:sz w:val="22"/>
          <w:szCs w:val="22"/>
        </w:rPr>
        <w:t>Guatemala</w:t>
      </w:r>
      <w:r w:rsidRPr="00D1260E">
        <w:rPr>
          <w:rFonts w:ascii="Univers" w:hAnsi="Univers" w:cs="Arial"/>
          <w:sz w:val="22"/>
          <w:szCs w:val="22"/>
        </w:rPr>
        <w:t xml:space="preserve">”), </w:t>
      </w:r>
      <w:r w:rsidRPr="00D1260E">
        <w:rPr>
          <w:rFonts w:ascii="Univers" w:hAnsi="Univers"/>
          <w:iCs/>
          <w:sz w:val="22"/>
          <w:szCs w:val="22"/>
          <w:lang w:val="es-ES_tradnl"/>
        </w:rPr>
        <w:t>relacionado con</w:t>
      </w:r>
      <w:r w:rsidR="00521CFF">
        <w:rPr>
          <w:rFonts w:ascii="Univers" w:hAnsi="Univers"/>
          <w:iCs/>
          <w:sz w:val="22"/>
          <w:szCs w:val="22"/>
          <w:lang w:val="es-ES_tradnl"/>
        </w:rPr>
        <w:t xml:space="preserve"> </w:t>
      </w:r>
      <w:r w:rsidR="00521CFF" w:rsidRPr="00521CFF">
        <w:rPr>
          <w:rFonts w:ascii="Univers" w:hAnsi="Univers" w:cs="Arial"/>
          <w:sz w:val="22"/>
          <w:szCs w:val="22"/>
          <w:lang w:val="es-UY"/>
        </w:rPr>
        <w:t xml:space="preserve">la responsabilidad internacional del Estado por la falta de prevención del asesinato del defensor de derechos humanos Florentín Gudiel Ramos, ocurrido el 20 de diciembre de 2004. El asesinato del señor Gudiel Ramos se encuentra en la impunidad como consecuencia de las irregularidades cometidas al inicio de la investigación y de la falta de diligencia para investigar las hipótesis relacionadas con el móvil del asesinato. Además, la investigación no se llevó a cabo en un plazo razonable y se vio comprometida por la falta de protección de personas que han participado activamente en el proceso. La situación de desprotección en que se encontró la familia, dio lugar a su desplazamiento, en violación del derecho a la libertad de circulación y residencia. La Comisión también concluyó que los hechos constituyeron una violación del deber de garantía de los derechos políticos, en virtud del cargo público que ocupaba el señor Gudiel, y de la imposibilidad de su hija, Makrina Gudiel Álvarez, de dar continuidad al ejercicio de sus derechos políticos. </w:t>
      </w:r>
    </w:p>
    <w:p w:rsidR="000068E6" w:rsidRPr="00C50768" w:rsidRDefault="000068E6" w:rsidP="000068E6">
      <w:pPr>
        <w:ind w:firstLine="720"/>
        <w:jc w:val="both"/>
        <w:rPr>
          <w:rFonts w:ascii="Univers" w:hAnsi="Univers"/>
          <w:iCs/>
          <w:sz w:val="22"/>
          <w:szCs w:val="22"/>
          <w:lang w:val="es-ES_tradnl"/>
        </w:rPr>
      </w:pPr>
    </w:p>
    <w:p w:rsidR="000068E6" w:rsidRPr="00C50768" w:rsidRDefault="000068E6" w:rsidP="000068E6">
      <w:pPr>
        <w:ind w:firstLine="720"/>
        <w:jc w:val="both"/>
        <w:rPr>
          <w:rFonts w:ascii="Univers" w:hAnsi="Univers" w:cs="Arial"/>
          <w:sz w:val="22"/>
          <w:szCs w:val="22"/>
        </w:rPr>
      </w:pPr>
      <w:r w:rsidRPr="00C50768">
        <w:rPr>
          <w:rFonts w:ascii="Univers" w:hAnsi="Univers" w:cs="Arial"/>
          <w:sz w:val="22"/>
          <w:szCs w:val="22"/>
        </w:rPr>
        <w:t xml:space="preserve">El Estado ratificó la Convención Americana sobre Derechos Humanos el </w:t>
      </w:r>
      <w:r w:rsidR="00C01D4F">
        <w:rPr>
          <w:rFonts w:ascii="Univers" w:hAnsi="Univers" w:cs="Arial"/>
          <w:sz w:val="22"/>
          <w:szCs w:val="22"/>
        </w:rPr>
        <w:t>25</w:t>
      </w:r>
      <w:r w:rsidRPr="00C50768">
        <w:rPr>
          <w:rFonts w:ascii="Univers" w:hAnsi="Univers" w:cs="Arial"/>
          <w:sz w:val="22"/>
          <w:szCs w:val="22"/>
        </w:rPr>
        <w:t xml:space="preserve"> de </w:t>
      </w:r>
      <w:r w:rsidR="00C01D4F">
        <w:rPr>
          <w:rFonts w:ascii="Univers" w:hAnsi="Univers" w:cs="Arial"/>
          <w:sz w:val="22"/>
          <w:szCs w:val="22"/>
        </w:rPr>
        <w:t>mayo</w:t>
      </w:r>
      <w:r w:rsidRPr="00C50768">
        <w:rPr>
          <w:rFonts w:ascii="Univers" w:hAnsi="Univers" w:cs="Arial"/>
          <w:sz w:val="22"/>
          <w:szCs w:val="22"/>
        </w:rPr>
        <w:t xml:space="preserve"> de 197</w:t>
      </w:r>
      <w:r w:rsidR="00C01D4F">
        <w:rPr>
          <w:rFonts w:ascii="Univers" w:hAnsi="Univers" w:cs="Arial"/>
          <w:sz w:val="22"/>
          <w:szCs w:val="22"/>
        </w:rPr>
        <w:t>8</w:t>
      </w:r>
      <w:r w:rsidRPr="00C50768">
        <w:rPr>
          <w:rFonts w:ascii="Univers" w:hAnsi="Univers" w:cs="Arial"/>
          <w:sz w:val="22"/>
          <w:szCs w:val="22"/>
        </w:rPr>
        <w:t xml:space="preserve"> y aceptó la competencia contenciosa de la Corte el </w:t>
      </w:r>
      <w:r w:rsidR="00C01D4F">
        <w:rPr>
          <w:rFonts w:ascii="Univers" w:hAnsi="Univers" w:cs="Arial"/>
          <w:sz w:val="22"/>
          <w:szCs w:val="22"/>
        </w:rPr>
        <w:t>9 de marzo de 1987</w:t>
      </w:r>
      <w:r w:rsidRPr="00C50768">
        <w:rPr>
          <w:rFonts w:ascii="Univers" w:hAnsi="Univers" w:cs="Arial"/>
          <w:sz w:val="22"/>
          <w:szCs w:val="22"/>
        </w:rPr>
        <w:t xml:space="preserve">. </w:t>
      </w:r>
    </w:p>
    <w:p w:rsidR="000068E6" w:rsidRPr="001200E2" w:rsidRDefault="000068E6" w:rsidP="000068E6">
      <w:pPr>
        <w:ind w:firstLine="720"/>
        <w:jc w:val="both"/>
        <w:rPr>
          <w:rFonts w:ascii="Univers" w:hAnsi="Univers" w:cs="Arial"/>
          <w:sz w:val="22"/>
          <w:szCs w:val="22"/>
        </w:rPr>
      </w:pPr>
    </w:p>
    <w:p w:rsidR="000068E6" w:rsidRPr="001200E2" w:rsidRDefault="000068E6" w:rsidP="000068E6">
      <w:pPr>
        <w:ind w:firstLine="720"/>
        <w:jc w:val="both"/>
        <w:rPr>
          <w:rFonts w:ascii="Univers" w:hAnsi="Univers" w:cs="Arial"/>
          <w:sz w:val="22"/>
          <w:szCs w:val="22"/>
        </w:rPr>
      </w:pPr>
      <w:r w:rsidRPr="001200E2">
        <w:rPr>
          <w:rFonts w:ascii="Univers" w:hAnsi="Univers"/>
          <w:sz w:val="22"/>
          <w:szCs w:val="22"/>
        </w:rPr>
        <w:t>La Comisión ha designado a</w:t>
      </w:r>
      <w:r w:rsidR="00C01D4F">
        <w:rPr>
          <w:rFonts w:ascii="Univers" w:hAnsi="Univers"/>
          <w:sz w:val="22"/>
          <w:szCs w:val="22"/>
        </w:rPr>
        <w:t xml:space="preserve"> </w:t>
      </w:r>
      <w:r w:rsidRPr="001200E2">
        <w:rPr>
          <w:rFonts w:ascii="Univers" w:hAnsi="Univers"/>
          <w:sz w:val="22"/>
          <w:szCs w:val="22"/>
        </w:rPr>
        <w:t>l</w:t>
      </w:r>
      <w:r w:rsidR="00C01D4F">
        <w:rPr>
          <w:rFonts w:ascii="Univers" w:hAnsi="Univers"/>
          <w:sz w:val="22"/>
          <w:szCs w:val="22"/>
        </w:rPr>
        <w:t xml:space="preserve">a </w:t>
      </w:r>
      <w:r w:rsidR="00C01D4F" w:rsidRPr="004E1EDD">
        <w:rPr>
          <w:rFonts w:ascii="Univers" w:hAnsi="Univers"/>
          <w:sz w:val="22"/>
          <w:szCs w:val="22"/>
        </w:rPr>
        <w:t>Comisionada Dinah Shelton como su delegada</w:t>
      </w:r>
      <w:r w:rsidRPr="004E1EDD">
        <w:rPr>
          <w:rFonts w:ascii="Univers" w:hAnsi="Univers"/>
          <w:sz w:val="22"/>
          <w:szCs w:val="22"/>
        </w:rPr>
        <w:t xml:space="preserve">. Asimismo, Elizabeth Abi-Mershed, Secretaria Ejecutiva Adjunta, </w:t>
      </w:r>
      <w:r w:rsidR="00C01D4F" w:rsidRPr="004E1EDD">
        <w:rPr>
          <w:rFonts w:ascii="Univers" w:hAnsi="Univers"/>
          <w:sz w:val="22"/>
          <w:szCs w:val="22"/>
        </w:rPr>
        <w:t xml:space="preserve">y </w:t>
      </w:r>
      <w:r w:rsidRPr="004E1EDD">
        <w:rPr>
          <w:rFonts w:ascii="Univers" w:hAnsi="Univers"/>
          <w:sz w:val="22"/>
          <w:szCs w:val="22"/>
        </w:rPr>
        <w:t>Silvia Serrano Guzmán,</w:t>
      </w:r>
      <w:r w:rsidR="00C01D4F" w:rsidRPr="004E1EDD">
        <w:rPr>
          <w:rFonts w:ascii="Univers" w:hAnsi="Univers"/>
          <w:sz w:val="22"/>
          <w:szCs w:val="22"/>
        </w:rPr>
        <w:t xml:space="preserve"> Isabel Madariaga y Jorge Humberto Meza, </w:t>
      </w:r>
      <w:r w:rsidRPr="004E1EDD">
        <w:rPr>
          <w:rFonts w:ascii="Univers" w:hAnsi="Univers"/>
          <w:sz w:val="22"/>
          <w:szCs w:val="22"/>
        </w:rPr>
        <w:t>abogada</w:t>
      </w:r>
      <w:r w:rsidR="00C01D4F" w:rsidRPr="004E1EDD">
        <w:rPr>
          <w:rFonts w:ascii="Univers" w:hAnsi="Univers"/>
          <w:sz w:val="22"/>
          <w:szCs w:val="22"/>
        </w:rPr>
        <w:t>s/o</w:t>
      </w:r>
      <w:r w:rsidRPr="004E1EDD">
        <w:rPr>
          <w:rFonts w:ascii="Univers" w:hAnsi="Univers"/>
          <w:sz w:val="22"/>
          <w:szCs w:val="22"/>
        </w:rPr>
        <w:t xml:space="preserve"> de la Secretaría Ejecutiva de la CIDH, actuarán como asesoras</w:t>
      </w:r>
      <w:r w:rsidR="002F2176">
        <w:rPr>
          <w:rFonts w:ascii="Univers" w:hAnsi="Univers"/>
          <w:sz w:val="22"/>
          <w:szCs w:val="22"/>
        </w:rPr>
        <w:t xml:space="preserve"> y asesor</w:t>
      </w:r>
      <w:r w:rsidRPr="004E1EDD">
        <w:rPr>
          <w:rFonts w:ascii="Univers" w:hAnsi="Univers"/>
          <w:sz w:val="22"/>
          <w:szCs w:val="22"/>
        </w:rPr>
        <w:t xml:space="preserve"> legales.</w:t>
      </w:r>
    </w:p>
    <w:p w:rsidR="000068E6" w:rsidRDefault="000068E6" w:rsidP="000068E6">
      <w:pPr>
        <w:jc w:val="both"/>
        <w:rPr>
          <w:rFonts w:ascii="Univers" w:hAnsi="Univers" w:cs="Arial"/>
          <w:snapToGrid w:val="0"/>
          <w:sz w:val="22"/>
          <w:szCs w:val="22"/>
        </w:rPr>
      </w:pPr>
    </w:p>
    <w:p w:rsidR="000068E6" w:rsidRPr="001200E2" w:rsidRDefault="000068E6" w:rsidP="000068E6">
      <w:pPr>
        <w:jc w:val="both"/>
        <w:rPr>
          <w:rFonts w:ascii="Univers" w:hAnsi="Univers" w:cs="Arial"/>
          <w:snapToGrid w:val="0"/>
          <w:sz w:val="22"/>
          <w:szCs w:val="22"/>
        </w:rPr>
      </w:pPr>
    </w:p>
    <w:p w:rsidR="000068E6" w:rsidRPr="00A42FC2" w:rsidRDefault="000068E6" w:rsidP="000068E6">
      <w:pPr>
        <w:jc w:val="both"/>
        <w:rPr>
          <w:rFonts w:ascii="Univers" w:hAnsi="Univers" w:cs="Arial"/>
          <w:snapToGrid w:val="0"/>
          <w:sz w:val="22"/>
          <w:szCs w:val="22"/>
          <w:lang w:val="es-CO"/>
        </w:rPr>
      </w:pPr>
      <w:r w:rsidRPr="00A42FC2">
        <w:rPr>
          <w:rFonts w:ascii="Univers" w:hAnsi="Univers" w:cs="Arial"/>
          <w:snapToGrid w:val="0"/>
          <w:sz w:val="22"/>
          <w:szCs w:val="22"/>
          <w:lang w:val="es-CO"/>
        </w:rPr>
        <w:t>Señor</w:t>
      </w:r>
    </w:p>
    <w:p w:rsidR="000068E6" w:rsidRPr="00A42FC2" w:rsidRDefault="000068E6" w:rsidP="000068E6">
      <w:pPr>
        <w:suppressAutoHyphens/>
        <w:rPr>
          <w:rFonts w:ascii="Univers" w:hAnsi="Univers" w:cs="Arial"/>
          <w:snapToGrid w:val="0"/>
          <w:sz w:val="22"/>
          <w:szCs w:val="22"/>
          <w:lang w:val="es-CO"/>
        </w:rPr>
      </w:pPr>
      <w:r w:rsidRPr="00A42FC2">
        <w:rPr>
          <w:rFonts w:ascii="Univers" w:hAnsi="Univers" w:cs="Arial"/>
          <w:snapToGrid w:val="0"/>
          <w:sz w:val="22"/>
          <w:szCs w:val="22"/>
          <w:lang w:val="es-CO"/>
        </w:rPr>
        <w:t>Pablo Saavedra Alessandri, Secretario</w:t>
      </w:r>
    </w:p>
    <w:p w:rsidR="000068E6" w:rsidRPr="00A42FC2" w:rsidRDefault="000068E6" w:rsidP="000068E6">
      <w:pPr>
        <w:suppressAutoHyphens/>
        <w:rPr>
          <w:rFonts w:ascii="Univers" w:hAnsi="Univers" w:cs="Arial"/>
          <w:snapToGrid w:val="0"/>
          <w:sz w:val="22"/>
          <w:szCs w:val="22"/>
          <w:lang w:val="es-ES_tradnl"/>
        </w:rPr>
      </w:pPr>
      <w:r w:rsidRPr="00A42FC2">
        <w:rPr>
          <w:rFonts w:ascii="Univers" w:hAnsi="Univers" w:cs="Arial"/>
          <w:snapToGrid w:val="0"/>
          <w:sz w:val="22"/>
          <w:szCs w:val="22"/>
          <w:lang w:val="es-ES_tradnl"/>
        </w:rPr>
        <w:t>Corte Interamericana de Derechos Humanos</w:t>
      </w:r>
    </w:p>
    <w:p w:rsidR="000068E6" w:rsidRPr="00A42FC2" w:rsidRDefault="000068E6" w:rsidP="000068E6">
      <w:pPr>
        <w:suppressAutoHyphens/>
        <w:rPr>
          <w:rFonts w:ascii="Univers" w:hAnsi="Univers" w:cs="Arial"/>
          <w:snapToGrid w:val="0"/>
          <w:sz w:val="22"/>
          <w:szCs w:val="22"/>
          <w:lang w:val="es-ES_tradnl"/>
        </w:rPr>
      </w:pPr>
      <w:r w:rsidRPr="00A42FC2">
        <w:rPr>
          <w:rFonts w:ascii="Univers" w:hAnsi="Univers" w:cs="Arial"/>
          <w:snapToGrid w:val="0"/>
          <w:sz w:val="22"/>
          <w:szCs w:val="22"/>
          <w:lang w:val="es-ES_tradnl"/>
        </w:rPr>
        <w:t>Apartado 6906-1000</w:t>
      </w:r>
    </w:p>
    <w:p w:rsidR="000068E6" w:rsidRPr="00A42FC2" w:rsidRDefault="000068E6" w:rsidP="000068E6">
      <w:pPr>
        <w:suppressAutoHyphens/>
        <w:rPr>
          <w:rFonts w:ascii="Univers" w:hAnsi="Univers" w:cs="Arial"/>
          <w:snapToGrid w:val="0"/>
          <w:sz w:val="22"/>
          <w:szCs w:val="22"/>
          <w:lang w:val="es-ES_tradnl"/>
        </w:rPr>
      </w:pPr>
      <w:r w:rsidRPr="00A42FC2">
        <w:rPr>
          <w:rFonts w:ascii="Univers" w:hAnsi="Univers" w:cs="Arial"/>
          <w:snapToGrid w:val="0"/>
          <w:sz w:val="22"/>
          <w:szCs w:val="22"/>
          <w:lang w:val="es-ES_tradnl"/>
        </w:rPr>
        <w:t>San José, Costa Rica</w:t>
      </w:r>
    </w:p>
    <w:p w:rsidR="000068E6" w:rsidRPr="00A42FC2" w:rsidRDefault="000068E6" w:rsidP="000068E6">
      <w:pPr>
        <w:suppressAutoHyphens/>
        <w:rPr>
          <w:rFonts w:ascii="Univers" w:hAnsi="Univers" w:cs="Arial"/>
          <w:snapToGrid w:val="0"/>
          <w:sz w:val="22"/>
          <w:szCs w:val="22"/>
          <w:lang w:val="es-ES_tradnl"/>
        </w:rPr>
      </w:pPr>
    </w:p>
    <w:p w:rsidR="000068E6" w:rsidRPr="00A42FC2" w:rsidRDefault="000068E6" w:rsidP="000068E6">
      <w:pPr>
        <w:suppressAutoHyphens/>
        <w:rPr>
          <w:rFonts w:ascii="Univers" w:hAnsi="Univers"/>
          <w:sz w:val="22"/>
          <w:szCs w:val="22"/>
        </w:rPr>
      </w:pPr>
      <w:r w:rsidRPr="00A42FC2">
        <w:rPr>
          <w:rFonts w:ascii="Univers" w:hAnsi="Univers" w:cs="Arial"/>
          <w:snapToGrid w:val="0"/>
          <w:sz w:val="22"/>
          <w:szCs w:val="22"/>
          <w:lang w:val="es-ES_tradnl"/>
        </w:rPr>
        <w:t>Anexos</w:t>
      </w:r>
    </w:p>
    <w:p w:rsidR="000068E6" w:rsidRDefault="000068E6" w:rsidP="000068E6">
      <w:pPr>
        <w:ind w:firstLine="720"/>
        <w:jc w:val="both"/>
        <w:rPr>
          <w:rFonts w:ascii="Univers" w:hAnsi="Univers"/>
          <w:sz w:val="22"/>
          <w:szCs w:val="22"/>
          <w:lang w:val="es-AR"/>
        </w:rPr>
      </w:pPr>
    </w:p>
    <w:p w:rsidR="000068E6" w:rsidRDefault="000068E6" w:rsidP="000068E6">
      <w:pPr>
        <w:ind w:firstLine="720"/>
        <w:jc w:val="both"/>
        <w:rPr>
          <w:rFonts w:ascii="Univers" w:hAnsi="Univers" w:cs="Arial"/>
          <w:snapToGrid w:val="0"/>
          <w:sz w:val="22"/>
          <w:szCs w:val="22"/>
        </w:rPr>
      </w:pPr>
      <w:r w:rsidRPr="00A42FC2">
        <w:rPr>
          <w:rFonts w:ascii="Univers" w:hAnsi="Univers" w:cs="Arial"/>
          <w:sz w:val="22"/>
          <w:szCs w:val="22"/>
        </w:rPr>
        <w:lastRenderedPageBreak/>
        <w:t xml:space="preserve">De conformidad con el artículo 35 del Reglamento de la Corte Interamericana, la Comisión adjunta </w:t>
      </w:r>
      <w:r w:rsidRPr="00A42FC2">
        <w:rPr>
          <w:rFonts w:ascii="Univers" w:hAnsi="Univers"/>
          <w:sz w:val="22"/>
          <w:szCs w:val="22"/>
          <w:lang w:val="es-CO"/>
        </w:rPr>
        <w:t xml:space="preserve">copia del </w:t>
      </w:r>
      <w:r w:rsidRPr="00A42FC2">
        <w:rPr>
          <w:rFonts w:ascii="Univers" w:hAnsi="Univers"/>
          <w:sz w:val="22"/>
          <w:szCs w:val="22"/>
        </w:rPr>
        <w:t xml:space="preserve">informe </w:t>
      </w:r>
      <w:r>
        <w:rPr>
          <w:rFonts w:ascii="Univers" w:hAnsi="Univers"/>
          <w:sz w:val="22"/>
          <w:szCs w:val="22"/>
        </w:rPr>
        <w:t>5</w:t>
      </w:r>
      <w:r w:rsidR="00117517">
        <w:rPr>
          <w:rFonts w:ascii="Univers" w:hAnsi="Univers"/>
          <w:sz w:val="22"/>
          <w:szCs w:val="22"/>
        </w:rPr>
        <w:t>6</w:t>
      </w:r>
      <w:r w:rsidRPr="00A42FC2">
        <w:rPr>
          <w:rFonts w:ascii="Univers" w:hAnsi="Univers"/>
          <w:sz w:val="22"/>
          <w:szCs w:val="22"/>
        </w:rPr>
        <w:t xml:space="preserve">/12 elaborado en observancia del artículo 50 de la Convención, así como copia de la totalidad del expediente ante la Comisión Interamericana (Apéndice I) y los anexos utilizados en la elaboración del informe </w:t>
      </w:r>
      <w:r>
        <w:rPr>
          <w:rFonts w:ascii="Univers" w:hAnsi="Univers"/>
          <w:sz w:val="22"/>
          <w:szCs w:val="22"/>
        </w:rPr>
        <w:t>5</w:t>
      </w:r>
      <w:r w:rsidR="00117517">
        <w:rPr>
          <w:rFonts w:ascii="Univers" w:hAnsi="Univers"/>
          <w:sz w:val="22"/>
          <w:szCs w:val="22"/>
        </w:rPr>
        <w:t>6</w:t>
      </w:r>
      <w:r w:rsidRPr="00A42FC2">
        <w:rPr>
          <w:rFonts w:ascii="Univers" w:hAnsi="Univers"/>
          <w:sz w:val="22"/>
          <w:szCs w:val="22"/>
        </w:rPr>
        <w:t xml:space="preserve">/12 (Anexos). Dicho informe de fondo </w:t>
      </w:r>
      <w:r w:rsidRPr="00A42FC2">
        <w:rPr>
          <w:rFonts w:ascii="Univers" w:hAnsi="Univers"/>
          <w:sz w:val="22"/>
          <w:szCs w:val="22"/>
          <w:lang w:val="es-AR"/>
        </w:rPr>
        <w:t xml:space="preserve">fue notificado al Estado de </w:t>
      </w:r>
      <w:r w:rsidR="00117517">
        <w:rPr>
          <w:rFonts w:ascii="Univers" w:hAnsi="Univers"/>
          <w:sz w:val="22"/>
          <w:szCs w:val="22"/>
          <w:lang w:val="es-AR"/>
        </w:rPr>
        <w:t>Guatemala</w:t>
      </w:r>
      <w:r w:rsidRPr="00A42FC2">
        <w:rPr>
          <w:rFonts w:ascii="Univers" w:hAnsi="Univers"/>
          <w:sz w:val="22"/>
          <w:szCs w:val="22"/>
          <w:lang w:val="es-AR"/>
        </w:rPr>
        <w:t xml:space="preserve"> mediante comunicación de </w:t>
      </w:r>
      <w:r w:rsidR="00117517">
        <w:rPr>
          <w:rFonts w:ascii="Univers" w:hAnsi="Univers"/>
          <w:sz w:val="22"/>
          <w:szCs w:val="22"/>
          <w:lang w:val="es-AR"/>
        </w:rPr>
        <w:t>17</w:t>
      </w:r>
      <w:r>
        <w:rPr>
          <w:rFonts w:ascii="Univers" w:hAnsi="Univers"/>
          <w:sz w:val="22"/>
          <w:szCs w:val="22"/>
          <w:lang w:val="es-AR"/>
        </w:rPr>
        <w:t xml:space="preserve"> de abril</w:t>
      </w:r>
      <w:r w:rsidRPr="00A42FC2">
        <w:rPr>
          <w:rFonts w:ascii="Univers" w:hAnsi="Univers"/>
          <w:sz w:val="22"/>
          <w:szCs w:val="22"/>
          <w:lang w:val="es-AR"/>
        </w:rPr>
        <w:t xml:space="preserve"> de 2012, otorgándole un plazo de dos meses para informar sobre el cumplimiento de las recomendaciones. </w:t>
      </w:r>
      <w:r w:rsidR="00117517">
        <w:rPr>
          <w:rFonts w:ascii="Univers" w:hAnsi="Univers"/>
          <w:sz w:val="22"/>
          <w:szCs w:val="22"/>
          <w:lang w:val="es-AR"/>
        </w:rPr>
        <w:t xml:space="preserve">El Estado de Guatemala presentó un informe el 18 de junio de 2012. </w:t>
      </w:r>
    </w:p>
    <w:p w:rsidR="000068E6" w:rsidRDefault="000068E6" w:rsidP="000068E6">
      <w:pPr>
        <w:ind w:firstLine="720"/>
        <w:jc w:val="both"/>
        <w:rPr>
          <w:rFonts w:ascii="Univers" w:hAnsi="Univers"/>
          <w:sz w:val="22"/>
          <w:szCs w:val="22"/>
          <w:lang w:val="es-AR"/>
        </w:rPr>
      </w:pPr>
    </w:p>
    <w:p w:rsidR="000068E6" w:rsidRPr="002639CB" w:rsidRDefault="000068E6" w:rsidP="002639CB">
      <w:pPr>
        <w:ind w:firstLine="720"/>
        <w:jc w:val="both"/>
        <w:rPr>
          <w:rFonts w:ascii="Univers" w:hAnsi="Univers"/>
          <w:sz w:val="22"/>
          <w:szCs w:val="22"/>
          <w:lang w:val="es-AR"/>
        </w:rPr>
      </w:pPr>
      <w:r w:rsidRPr="002639CB">
        <w:rPr>
          <w:rFonts w:ascii="Univers" w:hAnsi="Univers"/>
          <w:sz w:val="22"/>
          <w:szCs w:val="22"/>
          <w:lang w:val="es-AR"/>
        </w:rPr>
        <w:t>La Comisión somete el presente caso a la jurisdicción de la Corte Interamericana por la necesidad de obtención de justicia para las víctimas ante la falta de</w:t>
      </w:r>
      <w:r w:rsidR="00117517" w:rsidRPr="002639CB">
        <w:rPr>
          <w:rFonts w:ascii="Univers" w:hAnsi="Univers"/>
          <w:sz w:val="22"/>
          <w:szCs w:val="22"/>
          <w:lang w:val="es-AR"/>
        </w:rPr>
        <w:t xml:space="preserve"> avances en el cumplimiento de las </w:t>
      </w:r>
      <w:r w:rsidRPr="002639CB">
        <w:rPr>
          <w:rFonts w:ascii="Univers" w:hAnsi="Univers"/>
          <w:sz w:val="22"/>
          <w:szCs w:val="22"/>
          <w:lang w:val="es-AR"/>
        </w:rPr>
        <w:t>recomendaciones por parte del Estado de</w:t>
      </w:r>
      <w:r w:rsidR="00117517" w:rsidRPr="002639CB">
        <w:rPr>
          <w:rFonts w:ascii="Univers" w:hAnsi="Univers"/>
          <w:sz w:val="22"/>
          <w:szCs w:val="22"/>
          <w:lang w:val="es-AR"/>
        </w:rPr>
        <w:t xml:space="preserve"> Guatemala</w:t>
      </w:r>
      <w:r w:rsidRPr="002639CB">
        <w:rPr>
          <w:rFonts w:ascii="Univers" w:hAnsi="Univers"/>
          <w:sz w:val="22"/>
          <w:szCs w:val="22"/>
          <w:lang w:val="es-AR"/>
        </w:rPr>
        <w:t xml:space="preserve">. </w:t>
      </w:r>
    </w:p>
    <w:p w:rsidR="000068E6" w:rsidRPr="002639CB" w:rsidRDefault="000068E6" w:rsidP="002639CB">
      <w:pPr>
        <w:ind w:firstLine="720"/>
        <w:jc w:val="both"/>
        <w:rPr>
          <w:rFonts w:ascii="Univers" w:hAnsi="Univers"/>
          <w:sz w:val="22"/>
          <w:szCs w:val="22"/>
          <w:lang w:val="es-ES_tradnl"/>
        </w:rPr>
      </w:pPr>
    </w:p>
    <w:p w:rsidR="002639CB" w:rsidRPr="002639CB" w:rsidRDefault="002639CB" w:rsidP="002639CB">
      <w:pPr>
        <w:autoSpaceDE w:val="0"/>
        <w:autoSpaceDN w:val="0"/>
        <w:adjustRightInd w:val="0"/>
        <w:ind w:firstLine="720"/>
        <w:jc w:val="both"/>
        <w:rPr>
          <w:rFonts w:ascii="Univers" w:hAnsi="Univers" w:cs="Arial"/>
          <w:sz w:val="22"/>
          <w:szCs w:val="22"/>
          <w:lang w:val="es-UY"/>
        </w:rPr>
      </w:pPr>
      <w:r w:rsidRPr="002639CB">
        <w:rPr>
          <w:rFonts w:ascii="Univers" w:hAnsi="Univers" w:cs="Arial"/>
          <w:sz w:val="22"/>
          <w:szCs w:val="22"/>
          <w:lang w:val="es-UY"/>
        </w:rPr>
        <w:t xml:space="preserve">Sobre la recomendación de </w:t>
      </w:r>
      <w:r w:rsidRPr="002639CB">
        <w:rPr>
          <w:rFonts w:ascii="Univers" w:hAnsi="Univers" w:cs="Arial"/>
          <w:b/>
          <w:sz w:val="22"/>
          <w:szCs w:val="22"/>
          <w:lang w:val="es-UY"/>
        </w:rPr>
        <w:t>“reparar integralmente las violaciones declaradas en el (…) informe tanto en el aspecto material como moral”</w:t>
      </w:r>
      <w:r w:rsidRPr="002639CB">
        <w:rPr>
          <w:rFonts w:ascii="Univers" w:hAnsi="Univers" w:cs="Arial"/>
          <w:sz w:val="22"/>
          <w:szCs w:val="22"/>
          <w:lang w:val="es-UY"/>
        </w:rPr>
        <w:t xml:space="preserve">, el Estado indicó que el 21 de marzo de 2012 convocó a las peticionarios a una reunión para “dialogar” y “manifestar su interés en consensuar la posibilidad de la suscripción de un Acuerdo de Cumplimiento de Recomendaciones”. El Estado indicó que dicha reunión se llevó a cabo el 1 de junio de 2012. Agregó un listado de consideraciones que habrían sido expresadas por las peticionarias en dicha reunión. Dichas consideraciones se resumen en el interés del envío del caso a la Corte Interamericana, la falta de esclarecimiento de los hechos, la existencia de una intencionalidad para desviar la información y su falta de confianza en órganos estatales. Además, el Estado indicó que el 6 de junio de 2012 las peticionarias reafirmaron su decisión por escrito. </w:t>
      </w:r>
    </w:p>
    <w:p w:rsidR="002639CB" w:rsidRPr="002639CB" w:rsidRDefault="002639CB" w:rsidP="002639CB">
      <w:pPr>
        <w:autoSpaceDE w:val="0"/>
        <w:autoSpaceDN w:val="0"/>
        <w:adjustRightInd w:val="0"/>
        <w:ind w:firstLine="720"/>
        <w:jc w:val="both"/>
        <w:rPr>
          <w:rFonts w:ascii="Univers" w:hAnsi="Univers" w:cs="Arial"/>
          <w:sz w:val="22"/>
          <w:szCs w:val="22"/>
          <w:lang w:val="es-UY"/>
        </w:rPr>
      </w:pPr>
    </w:p>
    <w:p w:rsidR="002639CB" w:rsidRPr="002639CB" w:rsidRDefault="002639CB" w:rsidP="002639CB">
      <w:pPr>
        <w:autoSpaceDE w:val="0"/>
        <w:autoSpaceDN w:val="0"/>
        <w:adjustRightInd w:val="0"/>
        <w:ind w:firstLine="720"/>
        <w:jc w:val="both"/>
        <w:rPr>
          <w:rFonts w:ascii="Univers" w:hAnsi="Univers" w:cs="Arial"/>
          <w:sz w:val="22"/>
          <w:szCs w:val="22"/>
          <w:lang w:val="es-UY"/>
        </w:rPr>
      </w:pPr>
      <w:r w:rsidRPr="002639CB">
        <w:rPr>
          <w:rFonts w:ascii="Univers" w:hAnsi="Univers" w:cs="Arial"/>
          <w:sz w:val="22"/>
          <w:szCs w:val="22"/>
          <w:lang w:val="es-UY"/>
        </w:rPr>
        <w:t>Sobre la recomendación de “</w:t>
      </w:r>
      <w:r w:rsidRPr="002639CB">
        <w:rPr>
          <w:rFonts w:ascii="Univers" w:hAnsi="Univers" w:cs="Arial"/>
          <w:b/>
          <w:sz w:val="22"/>
          <w:szCs w:val="22"/>
          <w:lang w:val="es-UY"/>
        </w:rPr>
        <w:t>d</w:t>
      </w:r>
      <w:r w:rsidRPr="002639CB">
        <w:rPr>
          <w:rFonts w:ascii="Univers" w:hAnsi="Univers"/>
          <w:b/>
          <w:sz w:val="22"/>
          <w:szCs w:val="22"/>
        </w:rPr>
        <w:t xml:space="preserve">esarrollar y completar una investigación judicial imparcial, completa y efectiva, de manera expedita, con el objeto de establecer las circunstancias en que resultó muerto el Sr. </w:t>
      </w:r>
      <w:r w:rsidRPr="002639CB">
        <w:rPr>
          <w:rFonts w:ascii="Univers" w:hAnsi="Univers" w:cs="Arial"/>
          <w:b/>
          <w:sz w:val="22"/>
          <w:szCs w:val="22"/>
        </w:rPr>
        <w:t>Florentín Gudiel Ramos</w:t>
      </w:r>
      <w:r w:rsidRPr="002639CB">
        <w:rPr>
          <w:rFonts w:ascii="Univers" w:hAnsi="Univers"/>
          <w:b/>
          <w:sz w:val="22"/>
          <w:szCs w:val="22"/>
        </w:rPr>
        <w:t>; investigar de manera exhaustiva las líneas lógicas de investigación en relación al caso e identificar a todas las personas que participaron en los diferentes niveles de decisión y ejecución, y aplicar las sanciones correspondientes</w:t>
      </w:r>
      <w:r w:rsidRPr="002639CB">
        <w:rPr>
          <w:rFonts w:ascii="Univers" w:hAnsi="Univers"/>
          <w:sz w:val="22"/>
          <w:szCs w:val="22"/>
        </w:rPr>
        <w:t xml:space="preserve">”, el Estado se limitó a reiterar información que ya constaba en el expediente ante la Comisión. Específicamente, el Estado reiteró las hipótesis que se manejaron en la investigación interna, indicando que una de ellas fue desechada, mientras que la otra continúa siendo investigada. </w:t>
      </w:r>
    </w:p>
    <w:p w:rsidR="002639CB" w:rsidRPr="002639CB" w:rsidRDefault="002639CB" w:rsidP="002639CB">
      <w:pPr>
        <w:autoSpaceDE w:val="0"/>
        <w:autoSpaceDN w:val="0"/>
        <w:adjustRightInd w:val="0"/>
        <w:ind w:firstLine="720"/>
        <w:jc w:val="both"/>
        <w:rPr>
          <w:rFonts w:ascii="Univers" w:hAnsi="Univers"/>
          <w:sz w:val="22"/>
          <w:szCs w:val="22"/>
        </w:rPr>
      </w:pPr>
    </w:p>
    <w:p w:rsidR="002639CB" w:rsidRPr="002639CB" w:rsidRDefault="002639CB" w:rsidP="002639CB">
      <w:pPr>
        <w:autoSpaceDE w:val="0"/>
        <w:autoSpaceDN w:val="0"/>
        <w:adjustRightInd w:val="0"/>
        <w:ind w:firstLine="720"/>
        <w:jc w:val="both"/>
        <w:rPr>
          <w:rFonts w:ascii="Univers" w:hAnsi="Univers" w:cs="Arial"/>
          <w:b/>
          <w:sz w:val="22"/>
          <w:szCs w:val="22"/>
          <w:lang w:val="es-UY"/>
        </w:rPr>
      </w:pPr>
      <w:r w:rsidRPr="002639CB">
        <w:rPr>
          <w:rFonts w:ascii="Univers" w:hAnsi="Univers"/>
          <w:sz w:val="22"/>
          <w:szCs w:val="22"/>
        </w:rPr>
        <w:t xml:space="preserve">Sobre la recomendación de </w:t>
      </w:r>
      <w:r w:rsidRPr="002639CB">
        <w:rPr>
          <w:rFonts w:ascii="Univers" w:hAnsi="Univers"/>
          <w:b/>
          <w:sz w:val="22"/>
          <w:szCs w:val="22"/>
        </w:rPr>
        <w:t xml:space="preserve">“disponer las medidas administrativas, disciplinarias o penales correspondientes frente a las acciones u omisiones de </w:t>
      </w:r>
      <w:proofErr w:type="gramStart"/>
      <w:r w:rsidRPr="002639CB">
        <w:rPr>
          <w:rFonts w:ascii="Univers" w:hAnsi="Univers"/>
          <w:b/>
          <w:sz w:val="22"/>
          <w:szCs w:val="22"/>
        </w:rPr>
        <w:t>los</w:t>
      </w:r>
      <w:proofErr w:type="gramEnd"/>
      <w:r w:rsidRPr="002639CB">
        <w:rPr>
          <w:rFonts w:ascii="Univers" w:hAnsi="Univers"/>
          <w:b/>
          <w:sz w:val="22"/>
          <w:szCs w:val="22"/>
        </w:rPr>
        <w:t xml:space="preserve"> funcionarios estatales que contribuyeron a la denegación de justicia e impunidad en la que se encuentran los hechos del caso”, </w:t>
      </w:r>
      <w:r w:rsidRPr="002639CB">
        <w:rPr>
          <w:rFonts w:ascii="Univers" w:hAnsi="Univers"/>
          <w:sz w:val="22"/>
          <w:szCs w:val="22"/>
        </w:rPr>
        <w:t xml:space="preserve">el Estado no presentó información alguna. </w:t>
      </w:r>
    </w:p>
    <w:p w:rsidR="002639CB" w:rsidRPr="002639CB" w:rsidRDefault="002639CB" w:rsidP="002639CB">
      <w:pPr>
        <w:autoSpaceDE w:val="0"/>
        <w:autoSpaceDN w:val="0"/>
        <w:adjustRightInd w:val="0"/>
        <w:ind w:firstLine="720"/>
        <w:jc w:val="both"/>
        <w:rPr>
          <w:rFonts w:ascii="Univers" w:hAnsi="Univers" w:cs="Arial"/>
          <w:b/>
          <w:sz w:val="22"/>
          <w:szCs w:val="22"/>
          <w:lang w:val="es-UY"/>
        </w:rPr>
      </w:pPr>
    </w:p>
    <w:p w:rsidR="002639CB" w:rsidRPr="002639CB" w:rsidRDefault="002639CB" w:rsidP="002639CB">
      <w:pPr>
        <w:autoSpaceDE w:val="0"/>
        <w:autoSpaceDN w:val="0"/>
        <w:adjustRightInd w:val="0"/>
        <w:ind w:firstLine="720"/>
        <w:jc w:val="both"/>
        <w:rPr>
          <w:rFonts w:ascii="Univers" w:hAnsi="Univers" w:cs="Arial"/>
          <w:sz w:val="22"/>
          <w:szCs w:val="22"/>
          <w:lang w:val="es-UY"/>
        </w:rPr>
      </w:pPr>
      <w:r w:rsidRPr="002639CB">
        <w:rPr>
          <w:rFonts w:ascii="Univers" w:hAnsi="Univers"/>
          <w:sz w:val="22"/>
          <w:szCs w:val="22"/>
        </w:rPr>
        <w:t>Sobre la recomendación de “</w:t>
      </w:r>
      <w:r w:rsidRPr="002639CB">
        <w:rPr>
          <w:rFonts w:ascii="Univers" w:hAnsi="Univers"/>
          <w:b/>
          <w:sz w:val="22"/>
          <w:szCs w:val="22"/>
        </w:rPr>
        <w:t>a</w:t>
      </w:r>
      <w:r w:rsidRPr="002639CB">
        <w:rPr>
          <w:rFonts w:ascii="Univers" w:hAnsi="Univers"/>
          <w:b/>
          <w:sz w:val="20"/>
          <w:szCs w:val="20"/>
        </w:rPr>
        <w:t>doptar medidas de carácter legislativo, institucional y judicial orientadas a reducir la exposició</w:t>
      </w:r>
      <w:r w:rsidRPr="002639CB">
        <w:rPr>
          <w:rFonts w:ascii="Univers" w:hAnsi="Univers"/>
          <w:b/>
          <w:sz w:val="22"/>
          <w:szCs w:val="22"/>
        </w:rPr>
        <w:t xml:space="preserve">n al riesgo de las defensoras y defensores de derechos humanos que se encuentran en situación de riesgo” y las tres recomendaciones derivadas, </w:t>
      </w:r>
      <w:r w:rsidRPr="002639CB">
        <w:rPr>
          <w:rFonts w:ascii="Univers" w:hAnsi="Univers"/>
          <w:sz w:val="22"/>
          <w:szCs w:val="22"/>
        </w:rPr>
        <w:t xml:space="preserve">el Estado informó sobre una serie de medidas generales adoptadas en su mayoría con anterioridad al informe de fondo. Respecto del año 2012, el Estado se refirió a la propuesta de aprobación e implementación de una Política Nacional de Prevención y Protección. </w:t>
      </w:r>
    </w:p>
    <w:p w:rsidR="002639CB" w:rsidRPr="002639CB" w:rsidRDefault="002639CB" w:rsidP="002639CB">
      <w:pPr>
        <w:suppressAutoHyphens/>
        <w:ind w:firstLine="720"/>
        <w:jc w:val="both"/>
        <w:rPr>
          <w:rFonts w:ascii="Univers" w:hAnsi="Univers"/>
          <w:sz w:val="22"/>
          <w:szCs w:val="22"/>
          <w:lang w:val="es-UY"/>
        </w:rPr>
      </w:pPr>
    </w:p>
    <w:p w:rsidR="002639CB" w:rsidRPr="002639CB" w:rsidRDefault="002639CB" w:rsidP="002639CB">
      <w:pPr>
        <w:suppressAutoHyphens/>
        <w:ind w:firstLine="720"/>
        <w:jc w:val="both"/>
        <w:rPr>
          <w:rFonts w:ascii="Univers" w:hAnsi="Univers"/>
          <w:sz w:val="22"/>
          <w:szCs w:val="22"/>
          <w:lang w:val="es-UY"/>
        </w:rPr>
      </w:pPr>
      <w:r w:rsidRPr="002639CB">
        <w:rPr>
          <w:rFonts w:ascii="Univers" w:hAnsi="Univers"/>
          <w:sz w:val="22"/>
          <w:szCs w:val="22"/>
          <w:lang w:val="es-UY"/>
        </w:rPr>
        <w:t>En virtud de las anteriores observaciones, la Comisión concluye que el Estado guatemalteco no ha avanzado en el cumplimiento de las recomendaciones.</w:t>
      </w:r>
    </w:p>
    <w:p w:rsidR="002639CB" w:rsidRPr="00387962" w:rsidRDefault="002639CB" w:rsidP="000068E6">
      <w:pPr>
        <w:ind w:firstLine="720"/>
        <w:jc w:val="both"/>
        <w:rPr>
          <w:rFonts w:ascii="Univers" w:hAnsi="Univers"/>
          <w:sz w:val="22"/>
          <w:szCs w:val="22"/>
          <w:lang w:val="es-ES_tradnl"/>
        </w:rPr>
      </w:pPr>
    </w:p>
    <w:p w:rsidR="000068E6" w:rsidRDefault="000068E6" w:rsidP="000068E6">
      <w:pPr>
        <w:tabs>
          <w:tab w:val="left" w:pos="0"/>
        </w:tabs>
        <w:ind w:firstLine="720"/>
        <w:jc w:val="both"/>
        <w:rPr>
          <w:rFonts w:ascii="Univers" w:hAnsi="Univers"/>
          <w:sz w:val="22"/>
          <w:szCs w:val="22"/>
        </w:rPr>
      </w:pPr>
      <w:r w:rsidRPr="00A42FC2">
        <w:rPr>
          <w:rFonts w:ascii="Univers" w:hAnsi="Univers"/>
          <w:sz w:val="22"/>
          <w:szCs w:val="22"/>
        </w:rPr>
        <w:t xml:space="preserve">La Comisión Interamericana somete a la jurisdicción de la Corte la totalidad de los hechos y violaciones de derechos humanos descritos en el informe de fondo </w:t>
      </w:r>
      <w:r w:rsidR="004E1EDD">
        <w:rPr>
          <w:rFonts w:ascii="Univers" w:hAnsi="Univers"/>
          <w:sz w:val="22"/>
          <w:szCs w:val="22"/>
        </w:rPr>
        <w:t>56</w:t>
      </w:r>
      <w:r w:rsidRPr="00A42FC2">
        <w:rPr>
          <w:rFonts w:ascii="Univers" w:hAnsi="Univers"/>
          <w:sz w:val="22"/>
          <w:szCs w:val="22"/>
        </w:rPr>
        <w:t xml:space="preserve">/12 y solicita a </w:t>
      </w:r>
      <w:r>
        <w:rPr>
          <w:rFonts w:ascii="Univers" w:hAnsi="Univers"/>
          <w:sz w:val="22"/>
          <w:szCs w:val="22"/>
        </w:rPr>
        <w:t>la Corte que concluya y declare</w:t>
      </w:r>
      <w:r w:rsidR="002F2176">
        <w:rPr>
          <w:rFonts w:ascii="Univers" w:hAnsi="Univers"/>
          <w:sz w:val="22"/>
          <w:szCs w:val="22"/>
        </w:rPr>
        <w:t xml:space="preserve"> que el Estado de Guatemala es responsable por:</w:t>
      </w:r>
      <w:r>
        <w:rPr>
          <w:rFonts w:ascii="Univers" w:hAnsi="Univers"/>
          <w:sz w:val="22"/>
          <w:szCs w:val="22"/>
        </w:rPr>
        <w:t xml:space="preserve"> </w:t>
      </w:r>
    </w:p>
    <w:p w:rsidR="000068E6" w:rsidRPr="002D6A4A" w:rsidRDefault="000068E6" w:rsidP="000068E6">
      <w:pPr>
        <w:tabs>
          <w:tab w:val="left" w:pos="0"/>
        </w:tabs>
        <w:ind w:firstLine="720"/>
        <w:jc w:val="both"/>
        <w:rPr>
          <w:rFonts w:ascii="Univers" w:hAnsi="Univers"/>
          <w:sz w:val="20"/>
          <w:szCs w:val="20"/>
        </w:rPr>
      </w:pPr>
    </w:p>
    <w:p w:rsidR="004E1EDD" w:rsidRPr="00EE5C24" w:rsidRDefault="004E1EDD" w:rsidP="004E1EDD">
      <w:pPr>
        <w:pStyle w:val="Sangradetextonormal"/>
        <w:numPr>
          <w:ilvl w:val="1"/>
          <w:numId w:val="3"/>
        </w:numPr>
        <w:tabs>
          <w:tab w:val="clear" w:pos="1860"/>
          <w:tab w:val="num" w:pos="1080"/>
          <w:tab w:val="left" w:pos="1440"/>
        </w:tabs>
        <w:spacing w:after="0"/>
        <w:ind w:left="1080" w:right="720" w:hanging="360"/>
        <w:jc w:val="both"/>
        <w:rPr>
          <w:rFonts w:ascii="Univers" w:hAnsi="Univers"/>
          <w:sz w:val="20"/>
          <w:szCs w:val="20"/>
          <w:lang w:val="es-ES"/>
        </w:rPr>
      </w:pPr>
      <w:r w:rsidRPr="00EE5C24">
        <w:rPr>
          <w:rFonts w:ascii="Univers" w:hAnsi="Univers"/>
          <w:sz w:val="20"/>
          <w:szCs w:val="20"/>
          <w:lang w:val="es-ES_tradnl"/>
        </w:rPr>
        <w:t>L</w:t>
      </w:r>
      <w:r w:rsidRPr="00EE5C24">
        <w:rPr>
          <w:rFonts w:ascii="Univers" w:hAnsi="Univers"/>
          <w:sz w:val="20"/>
          <w:szCs w:val="20"/>
          <w:lang w:val="es-ES"/>
        </w:rPr>
        <w:t>a violación de las garantías judiciales y la protección judicial consagradas en los artículos 8(1) y 25(1) de la Convención Americana en conexión con el artículo 1(1) del mismo Tratado en perjuicio de María Agripina Álvarez, Yolanda Gudiel Álvarez; Beatriz Gudiel Álvarez; Makrina Gudiel Álvarez; José Francisco Gudiel Álvarez; Florentino Gudiel Álvarez; Ana Patricia Gudiel Álvarez; Vladimir González Gudiel y sus hermanos; Ileana Concepción Pérez Gudiel; Rodrigo Pérez Gudiel; Carlos Ernesto Cruz Gudiel; Oscar Cruz Gudiel y José Gabriel Cruz Gudiel.</w:t>
      </w:r>
    </w:p>
    <w:p w:rsidR="004E1EDD" w:rsidRPr="00EE5C24" w:rsidRDefault="004E1EDD" w:rsidP="004E1EDD">
      <w:pPr>
        <w:pStyle w:val="Sangradetextonormal"/>
        <w:tabs>
          <w:tab w:val="num" w:pos="1080"/>
          <w:tab w:val="left" w:pos="1440"/>
        </w:tabs>
        <w:spacing w:after="0"/>
        <w:ind w:left="1080" w:right="720" w:hanging="360"/>
        <w:jc w:val="both"/>
        <w:rPr>
          <w:rFonts w:ascii="Univers" w:hAnsi="Univers"/>
          <w:sz w:val="20"/>
          <w:szCs w:val="20"/>
          <w:lang w:val="es-ES"/>
        </w:rPr>
      </w:pPr>
    </w:p>
    <w:p w:rsidR="004E1EDD" w:rsidRPr="00EE5C24" w:rsidRDefault="004E1EDD" w:rsidP="004E1EDD">
      <w:pPr>
        <w:pStyle w:val="Sangradetextonormal"/>
        <w:numPr>
          <w:ilvl w:val="1"/>
          <w:numId w:val="3"/>
        </w:numPr>
        <w:tabs>
          <w:tab w:val="clear" w:pos="1860"/>
          <w:tab w:val="num" w:pos="1080"/>
          <w:tab w:val="left" w:pos="1440"/>
        </w:tabs>
        <w:spacing w:after="0"/>
        <w:ind w:left="1080" w:right="720" w:hanging="360"/>
        <w:jc w:val="both"/>
        <w:rPr>
          <w:rFonts w:ascii="Univers" w:hAnsi="Univers"/>
          <w:sz w:val="20"/>
          <w:szCs w:val="20"/>
          <w:lang w:val="es-ES"/>
        </w:rPr>
      </w:pPr>
      <w:r w:rsidRPr="00EE5C24">
        <w:rPr>
          <w:rFonts w:ascii="Univers" w:hAnsi="Univers"/>
          <w:sz w:val="20"/>
          <w:szCs w:val="20"/>
          <w:lang w:val="es-ES"/>
        </w:rPr>
        <w:t>La violación del derecho a la vida consagrado en el artículo 4(1) de la Convención Americana en conexión con el artículo 1(1) del mismo Tratado en perjuicio de Florentín Gudiel Ramos.</w:t>
      </w:r>
    </w:p>
    <w:p w:rsidR="004E1EDD" w:rsidRPr="00EE5C24" w:rsidRDefault="004E1EDD" w:rsidP="004E1EDD">
      <w:pPr>
        <w:pStyle w:val="Sangradetextonormal"/>
        <w:tabs>
          <w:tab w:val="num" w:pos="1080"/>
          <w:tab w:val="left" w:pos="1440"/>
        </w:tabs>
        <w:spacing w:after="0"/>
        <w:ind w:left="1080" w:right="720" w:hanging="360"/>
        <w:jc w:val="both"/>
        <w:rPr>
          <w:rFonts w:ascii="Univers" w:hAnsi="Univers"/>
          <w:sz w:val="20"/>
          <w:szCs w:val="20"/>
          <w:lang w:val="es-ES"/>
        </w:rPr>
      </w:pPr>
    </w:p>
    <w:p w:rsidR="004E1EDD" w:rsidRPr="00EE5C24" w:rsidRDefault="004E1EDD" w:rsidP="004E1EDD">
      <w:pPr>
        <w:pStyle w:val="Sangradetextonormal"/>
        <w:numPr>
          <w:ilvl w:val="1"/>
          <w:numId w:val="3"/>
        </w:numPr>
        <w:tabs>
          <w:tab w:val="clear" w:pos="1860"/>
          <w:tab w:val="num" w:pos="1080"/>
          <w:tab w:val="left" w:pos="1440"/>
        </w:tabs>
        <w:spacing w:after="0"/>
        <w:ind w:left="1080" w:right="720" w:hanging="360"/>
        <w:jc w:val="both"/>
        <w:rPr>
          <w:rFonts w:ascii="Univers" w:hAnsi="Univers"/>
          <w:sz w:val="20"/>
          <w:szCs w:val="20"/>
          <w:lang w:val="es-ES"/>
        </w:rPr>
      </w:pPr>
      <w:r w:rsidRPr="00EE5C24">
        <w:rPr>
          <w:rFonts w:ascii="Univers" w:hAnsi="Univers"/>
          <w:sz w:val="20"/>
          <w:szCs w:val="20"/>
          <w:lang w:val="es-ES"/>
        </w:rPr>
        <w:t>La violación al derecho de circulación y residencia consagrado en el artículo 22 de la Convención Americana en conexión con el artículo 1(1) del mismo Tratado en perjuicio de María Agripina Álvarez, Beatriz Gudiel; Makrina Gudiel; José Francisco Gudiel, Florentino Gudiel; Ana Patricia Gudiel; Ileana Concepción Pérez Gudiel; Rodrigo Pérez Gudiel; Carlos Ernesto Cruz Gudiel; Oscar Cruz Gudiel y José Gabriel Cruz Gudiel.</w:t>
      </w:r>
    </w:p>
    <w:p w:rsidR="004E1EDD" w:rsidRPr="00EE5C24" w:rsidRDefault="004E1EDD" w:rsidP="004E1EDD">
      <w:pPr>
        <w:pStyle w:val="Sangradetextonormal"/>
        <w:tabs>
          <w:tab w:val="num" w:pos="1080"/>
          <w:tab w:val="left" w:pos="1440"/>
        </w:tabs>
        <w:spacing w:after="0"/>
        <w:ind w:left="1080" w:right="720" w:hanging="360"/>
        <w:jc w:val="both"/>
        <w:rPr>
          <w:rFonts w:ascii="Univers" w:hAnsi="Univers"/>
          <w:sz w:val="20"/>
          <w:szCs w:val="20"/>
          <w:lang w:val="es-ES"/>
        </w:rPr>
      </w:pPr>
    </w:p>
    <w:p w:rsidR="004E1EDD" w:rsidRPr="00EE5C24" w:rsidRDefault="004E1EDD" w:rsidP="004E1EDD">
      <w:pPr>
        <w:pStyle w:val="Sangradetextonormal"/>
        <w:numPr>
          <w:ilvl w:val="1"/>
          <w:numId w:val="3"/>
        </w:numPr>
        <w:tabs>
          <w:tab w:val="clear" w:pos="1860"/>
          <w:tab w:val="num" w:pos="1080"/>
          <w:tab w:val="left" w:pos="1440"/>
        </w:tabs>
        <w:spacing w:after="0"/>
        <w:ind w:left="1080" w:right="720" w:hanging="360"/>
        <w:jc w:val="both"/>
        <w:rPr>
          <w:rFonts w:ascii="Univers" w:hAnsi="Univers"/>
          <w:sz w:val="20"/>
          <w:szCs w:val="20"/>
          <w:lang w:val="es-ES"/>
        </w:rPr>
      </w:pPr>
      <w:r w:rsidRPr="00EE5C24">
        <w:rPr>
          <w:rFonts w:ascii="Univers" w:hAnsi="Univers"/>
          <w:sz w:val="20"/>
          <w:szCs w:val="20"/>
          <w:lang w:val="es-ES"/>
        </w:rPr>
        <w:t>La violación del derecho a la integridad personal consagrado en el artículo 5(1) de la Convención Americana en conexión con el artículo 1(1) del mismo Tratado en perjuicio de María Agripina Álvarez, Yolanda Gudiel; Beatriz Gudiel; Makrina Gudiel; José Francisco Gudiel, Florentino Gudiel; Ana Patricia Gudiel; Vladimir González Gudiel y sus hermanos; Ileana Concepción Pérez Gudiel; Rodrigo Pérez Gudiel; Carlos Ernesto Cruz Gudiel; Oscar Cruz Gudiel y José Gabriel Cruz Gudiel.</w:t>
      </w:r>
    </w:p>
    <w:p w:rsidR="004E1EDD" w:rsidRPr="00EE5C24" w:rsidRDefault="004E1EDD" w:rsidP="004E1EDD">
      <w:pPr>
        <w:pStyle w:val="Sangradetextonormal"/>
        <w:tabs>
          <w:tab w:val="num" w:pos="1080"/>
          <w:tab w:val="left" w:pos="1440"/>
        </w:tabs>
        <w:spacing w:after="0"/>
        <w:ind w:left="1080" w:right="720" w:hanging="360"/>
        <w:jc w:val="both"/>
        <w:rPr>
          <w:rFonts w:ascii="Univers" w:hAnsi="Univers"/>
          <w:sz w:val="20"/>
          <w:szCs w:val="20"/>
          <w:lang w:val="es-ES"/>
        </w:rPr>
      </w:pPr>
    </w:p>
    <w:p w:rsidR="000068E6" w:rsidRPr="00D1260E" w:rsidRDefault="004E1EDD" w:rsidP="000068E6">
      <w:pPr>
        <w:numPr>
          <w:ilvl w:val="1"/>
          <w:numId w:val="1"/>
        </w:numPr>
        <w:tabs>
          <w:tab w:val="clear" w:pos="1860"/>
          <w:tab w:val="num" w:pos="1080"/>
          <w:tab w:val="left" w:pos="1440"/>
        </w:tabs>
        <w:suppressAutoHyphens/>
        <w:ind w:left="1080" w:right="720" w:hanging="360"/>
        <w:jc w:val="both"/>
        <w:rPr>
          <w:rFonts w:ascii="Univers" w:hAnsi="Univers"/>
          <w:sz w:val="20"/>
          <w:szCs w:val="18"/>
          <w:lang w:val="es-ES_tradnl"/>
        </w:rPr>
      </w:pPr>
      <w:r w:rsidRPr="00EE5C24">
        <w:rPr>
          <w:rFonts w:ascii="Univers" w:hAnsi="Univers"/>
          <w:sz w:val="20"/>
          <w:szCs w:val="20"/>
        </w:rPr>
        <w:t>La violación del derecho a la participación política consagrado en el artículo 23(1) de la Convención Americana en conexión con el artículo 1(1) del mismo Tratado en perjuicio de Florentín Gudiel Ramos y Makrina Gudiel Álvarez.</w:t>
      </w:r>
    </w:p>
    <w:p w:rsidR="000068E6" w:rsidRDefault="000068E6" w:rsidP="000068E6">
      <w:pPr>
        <w:tabs>
          <w:tab w:val="left" w:pos="0"/>
        </w:tabs>
        <w:jc w:val="both"/>
        <w:rPr>
          <w:rFonts w:ascii="Univers" w:hAnsi="Univers"/>
          <w:sz w:val="22"/>
          <w:szCs w:val="22"/>
        </w:rPr>
      </w:pPr>
    </w:p>
    <w:p w:rsidR="000068E6" w:rsidRPr="00EF53A5" w:rsidRDefault="000068E6" w:rsidP="000068E6">
      <w:pPr>
        <w:ind w:firstLine="720"/>
        <w:jc w:val="both"/>
        <w:rPr>
          <w:rFonts w:ascii="Univers" w:hAnsi="Univers"/>
          <w:sz w:val="21"/>
          <w:szCs w:val="21"/>
        </w:rPr>
      </w:pPr>
      <w:r w:rsidRPr="00A42FC2">
        <w:rPr>
          <w:rFonts w:ascii="Univers" w:hAnsi="Univers"/>
          <w:sz w:val="22"/>
          <w:szCs w:val="22"/>
        </w:rPr>
        <w:t>En consecuencia, la Comisión solicita a la Corte Interamericana que disponga las siguientes medidas de reparación:</w:t>
      </w:r>
    </w:p>
    <w:p w:rsidR="000068E6" w:rsidRPr="00293B24" w:rsidRDefault="000068E6" w:rsidP="000068E6">
      <w:pPr>
        <w:ind w:firstLine="720"/>
        <w:jc w:val="both"/>
        <w:rPr>
          <w:rFonts w:ascii="Univers" w:hAnsi="Univers"/>
          <w:sz w:val="20"/>
          <w:szCs w:val="20"/>
        </w:rPr>
      </w:pPr>
    </w:p>
    <w:p w:rsidR="004E1EDD" w:rsidRPr="00EE5C24" w:rsidRDefault="004E1EDD" w:rsidP="004E1EDD">
      <w:pPr>
        <w:pStyle w:val="Textoindependiente3"/>
        <w:numPr>
          <w:ilvl w:val="1"/>
          <w:numId w:val="4"/>
        </w:numPr>
        <w:tabs>
          <w:tab w:val="clear" w:pos="1440"/>
          <w:tab w:val="num" w:pos="1080"/>
        </w:tabs>
        <w:spacing w:after="0"/>
        <w:ind w:left="1080" w:right="720"/>
        <w:jc w:val="both"/>
        <w:rPr>
          <w:rFonts w:ascii="Univers" w:hAnsi="Univers"/>
          <w:sz w:val="20"/>
          <w:szCs w:val="20"/>
          <w:lang w:val="es-ES"/>
        </w:rPr>
      </w:pPr>
      <w:r w:rsidRPr="00EE5C24">
        <w:rPr>
          <w:rFonts w:ascii="Univers" w:hAnsi="Univers"/>
          <w:sz w:val="20"/>
          <w:szCs w:val="20"/>
          <w:lang w:val="es-ES"/>
        </w:rPr>
        <w:t>Reparar integralmente las violaciones de derechos humanos declaradas en el informe tanto en el aspecto material como moral.</w:t>
      </w:r>
    </w:p>
    <w:p w:rsidR="004E1EDD" w:rsidRPr="00EE5C24" w:rsidRDefault="004E1EDD" w:rsidP="004E1EDD">
      <w:pPr>
        <w:pStyle w:val="Textoindependiente3"/>
        <w:spacing w:after="0"/>
        <w:ind w:left="720" w:right="720"/>
        <w:jc w:val="both"/>
        <w:rPr>
          <w:rFonts w:ascii="Univers" w:hAnsi="Univers"/>
          <w:sz w:val="20"/>
          <w:szCs w:val="20"/>
          <w:lang w:val="es-ES"/>
        </w:rPr>
      </w:pPr>
    </w:p>
    <w:p w:rsidR="004E1EDD" w:rsidRPr="00EE5C24" w:rsidRDefault="004E1EDD" w:rsidP="004E1EDD">
      <w:pPr>
        <w:pStyle w:val="Textoindependiente3"/>
        <w:numPr>
          <w:ilvl w:val="1"/>
          <w:numId w:val="4"/>
        </w:numPr>
        <w:tabs>
          <w:tab w:val="clear" w:pos="1440"/>
          <w:tab w:val="num" w:pos="1080"/>
        </w:tabs>
        <w:spacing w:after="0"/>
        <w:ind w:left="1080" w:right="720"/>
        <w:jc w:val="both"/>
        <w:rPr>
          <w:rFonts w:ascii="Univers" w:hAnsi="Univers"/>
          <w:sz w:val="20"/>
          <w:szCs w:val="20"/>
          <w:lang w:val="es-ES"/>
        </w:rPr>
      </w:pPr>
      <w:r w:rsidRPr="00EE5C24">
        <w:rPr>
          <w:rFonts w:ascii="Univers" w:hAnsi="Univers"/>
          <w:sz w:val="20"/>
          <w:szCs w:val="20"/>
          <w:lang w:val="es-ES"/>
        </w:rPr>
        <w:t xml:space="preserve">Desarrollar y completar una investigación judicial imparcial, completa y efectiva, de manera expedita, con el objeto de establecer las circunstancias en que resultó muerto el Sr. </w:t>
      </w:r>
      <w:r w:rsidRPr="00EE5C24">
        <w:rPr>
          <w:rFonts w:ascii="Univers" w:hAnsi="Univers" w:cs="Arial"/>
          <w:sz w:val="20"/>
          <w:szCs w:val="20"/>
          <w:lang w:val="es-ES"/>
        </w:rPr>
        <w:t>Florentín Gudiel Ramos</w:t>
      </w:r>
      <w:r w:rsidRPr="00EE5C24">
        <w:rPr>
          <w:rFonts w:ascii="Univers" w:hAnsi="Univers"/>
          <w:sz w:val="20"/>
          <w:szCs w:val="20"/>
          <w:lang w:val="es-ES"/>
        </w:rPr>
        <w:t>; investigar de manera exhaustiva las líneas lógicas de investigación en relación al caso e identificar a todas las personas que participaron en los diferentes niveles de decisión y ejecución, y aplicar las sanciones correspondientes.</w:t>
      </w:r>
    </w:p>
    <w:p w:rsidR="004E1EDD" w:rsidRPr="00EE5C24" w:rsidRDefault="004E1EDD" w:rsidP="004E1EDD">
      <w:pPr>
        <w:pStyle w:val="Textoindependiente3"/>
        <w:spacing w:after="0"/>
        <w:ind w:right="720"/>
        <w:jc w:val="both"/>
        <w:rPr>
          <w:rFonts w:ascii="Univers" w:hAnsi="Univers"/>
          <w:sz w:val="20"/>
          <w:szCs w:val="20"/>
          <w:lang w:val="es-ES"/>
        </w:rPr>
      </w:pPr>
    </w:p>
    <w:p w:rsidR="004E1EDD" w:rsidRPr="00EE5C24" w:rsidRDefault="004E1EDD" w:rsidP="004E1EDD">
      <w:pPr>
        <w:pStyle w:val="Textoindependiente3"/>
        <w:numPr>
          <w:ilvl w:val="1"/>
          <w:numId w:val="4"/>
        </w:numPr>
        <w:tabs>
          <w:tab w:val="clear" w:pos="1440"/>
          <w:tab w:val="num" w:pos="1080"/>
        </w:tabs>
        <w:spacing w:after="0"/>
        <w:ind w:left="1080" w:right="720"/>
        <w:jc w:val="both"/>
        <w:rPr>
          <w:rFonts w:ascii="Univers" w:hAnsi="Univers"/>
          <w:sz w:val="20"/>
          <w:szCs w:val="20"/>
          <w:lang w:val="es-ES"/>
        </w:rPr>
      </w:pPr>
      <w:r w:rsidRPr="00EE5C24">
        <w:rPr>
          <w:rFonts w:ascii="Univers" w:hAnsi="Univers"/>
          <w:sz w:val="20"/>
          <w:szCs w:val="20"/>
          <w:lang w:val="es-ES"/>
        </w:rPr>
        <w:t>Disponer las medidas administrativas, disciplinarias o penales correspondientes frente a las acciones u omisiones de los funcionarios estatales que contribuyeron a la denegación de justicia e impunidad en la que se encuentran los hechos del caso.</w:t>
      </w:r>
    </w:p>
    <w:p w:rsidR="004E1EDD" w:rsidRPr="00EE5C24" w:rsidRDefault="004E1EDD" w:rsidP="004E1EDD">
      <w:pPr>
        <w:pStyle w:val="Textoindependiente3"/>
        <w:spacing w:after="0"/>
        <w:ind w:right="720"/>
        <w:jc w:val="both"/>
        <w:rPr>
          <w:rFonts w:ascii="Univers" w:hAnsi="Univers"/>
          <w:sz w:val="20"/>
          <w:szCs w:val="20"/>
          <w:lang w:val="es-ES"/>
        </w:rPr>
      </w:pPr>
    </w:p>
    <w:p w:rsidR="004E1EDD" w:rsidRPr="00EE5C24" w:rsidRDefault="004E1EDD" w:rsidP="004E1EDD">
      <w:pPr>
        <w:pStyle w:val="Textoindependiente3"/>
        <w:numPr>
          <w:ilvl w:val="1"/>
          <w:numId w:val="4"/>
        </w:numPr>
        <w:tabs>
          <w:tab w:val="clear" w:pos="1440"/>
          <w:tab w:val="num" w:pos="1080"/>
        </w:tabs>
        <w:spacing w:after="0"/>
        <w:ind w:left="1080" w:right="720"/>
        <w:jc w:val="both"/>
        <w:rPr>
          <w:rFonts w:ascii="Univers" w:hAnsi="Univers"/>
          <w:sz w:val="20"/>
          <w:szCs w:val="20"/>
          <w:lang w:val="es-ES"/>
        </w:rPr>
      </w:pPr>
      <w:r w:rsidRPr="00EE5C24">
        <w:rPr>
          <w:rFonts w:ascii="Univers" w:hAnsi="Univers"/>
          <w:sz w:val="20"/>
          <w:szCs w:val="20"/>
          <w:lang w:val="es-ES"/>
        </w:rPr>
        <w:lastRenderedPageBreak/>
        <w:t xml:space="preserve">Adoptar medidas de carácter legislativo, institucional y judicial orientadas a reducir la exposición al riesgo de las defensoras y defensores de derechos humanos que se encuentran en situación de riesgo. En ese sentido, el Estado debe: </w:t>
      </w:r>
    </w:p>
    <w:p w:rsidR="004E1EDD" w:rsidRPr="00EE5C24" w:rsidRDefault="004E1EDD" w:rsidP="004E1EDD">
      <w:pPr>
        <w:pStyle w:val="Textoindependiente3"/>
        <w:tabs>
          <w:tab w:val="left" w:pos="1080"/>
        </w:tabs>
        <w:spacing w:after="0"/>
        <w:ind w:left="720" w:right="720"/>
        <w:jc w:val="both"/>
        <w:rPr>
          <w:rFonts w:ascii="Univers" w:hAnsi="Univers"/>
          <w:sz w:val="20"/>
          <w:szCs w:val="20"/>
          <w:lang w:val="es-ES"/>
        </w:rPr>
      </w:pPr>
    </w:p>
    <w:p w:rsidR="004E1EDD" w:rsidRPr="00EE5C24" w:rsidRDefault="004E1EDD" w:rsidP="004E1EDD">
      <w:pPr>
        <w:pStyle w:val="Textoindependiente3"/>
        <w:tabs>
          <w:tab w:val="left" w:pos="1080"/>
        </w:tabs>
        <w:spacing w:after="0"/>
        <w:ind w:left="1080" w:right="720" w:hanging="360"/>
        <w:jc w:val="both"/>
        <w:rPr>
          <w:rFonts w:ascii="Univers" w:hAnsi="Univers"/>
          <w:sz w:val="20"/>
          <w:szCs w:val="20"/>
          <w:lang w:val="es-ES"/>
        </w:rPr>
      </w:pPr>
      <w:r w:rsidRPr="00EE5C24">
        <w:rPr>
          <w:rFonts w:ascii="Univers" w:hAnsi="Univers"/>
          <w:sz w:val="20"/>
          <w:szCs w:val="20"/>
          <w:lang w:val="es-ES"/>
        </w:rPr>
        <w:t xml:space="preserve">4.1 </w:t>
      </w:r>
      <w:r w:rsidRPr="00EE5C24">
        <w:rPr>
          <w:rFonts w:ascii="Univers" w:hAnsi="Univers"/>
          <w:sz w:val="20"/>
          <w:szCs w:val="20"/>
          <w:lang w:val="es-ES"/>
        </w:rPr>
        <w:tab/>
        <w:t>Fortalecer la capacidad institucional para combatir el patrón de impunidad frente a casos de amenazas y muertes de defensoras y defensores, mediante la elaboración de protocolos de investigación que teniendo en cuenta los riesgos inherentes a la labor de defensa de los derechos humanos permitan un desarrollo exhaustivo de la investigación bajo esta hipótesis.</w:t>
      </w:r>
    </w:p>
    <w:p w:rsidR="004E1EDD" w:rsidRPr="00EE5C24" w:rsidRDefault="004E1EDD" w:rsidP="004E1EDD">
      <w:pPr>
        <w:pStyle w:val="Textoindependiente3"/>
        <w:tabs>
          <w:tab w:val="left" w:pos="1080"/>
        </w:tabs>
        <w:spacing w:after="0"/>
        <w:ind w:left="1080" w:right="720" w:hanging="360"/>
        <w:jc w:val="both"/>
        <w:rPr>
          <w:rFonts w:ascii="Univers" w:hAnsi="Univers"/>
          <w:sz w:val="20"/>
          <w:szCs w:val="20"/>
          <w:lang w:val="es-ES"/>
        </w:rPr>
      </w:pPr>
    </w:p>
    <w:p w:rsidR="004E1EDD" w:rsidRPr="00EE5C24" w:rsidRDefault="004E1EDD" w:rsidP="004E1EDD">
      <w:pPr>
        <w:pStyle w:val="Textoindependiente3"/>
        <w:tabs>
          <w:tab w:val="left" w:pos="1080"/>
        </w:tabs>
        <w:spacing w:after="0"/>
        <w:ind w:left="1080" w:right="720" w:hanging="360"/>
        <w:jc w:val="both"/>
        <w:rPr>
          <w:rFonts w:ascii="Univers" w:hAnsi="Univers"/>
          <w:sz w:val="20"/>
          <w:szCs w:val="20"/>
          <w:lang w:val="es-ES"/>
        </w:rPr>
      </w:pPr>
      <w:r w:rsidRPr="00EE5C24">
        <w:rPr>
          <w:rFonts w:ascii="Univers" w:hAnsi="Univers"/>
          <w:sz w:val="20"/>
          <w:szCs w:val="20"/>
          <w:lang w:val="es-ES"/>
        </w:rPr>
        <w:t xml:space="preserve">4.2 </w:t>
      </w:r>
      <w:r w:rsidRPr="00EE5C24">
        <w:rPr>
          <w:rFonts w:ascii="Univers" w:hAnsi="Univers"/>
          <w:sz w:val="20"/>
          <w:szCs w:val="20"/>
          <w:lang w:val="es-ES"/>
        </w:rPr>
        <w:tab/>
        <w:t xml:space="preserve">Fortalecer los mecanismos para proteger eficazmente a personas cuyas declaraciones tengan un impacto relevante en las investigaciones y que se encuentren en riesgo como resultado de su vinculación a la misma. </w:t>
      </w:r>
    </w:p>
    <w:p w:rsidR="004E1EDD" w:rsidRPr="00EE5C24" w:rsidRDefault="004E1EDD" w:rsidP="004E1EDD">
      <w:pPr>
        <w:pStyle w:val="Textoindependiente3"/>
        <w:tabs>
          <w:tab w:val="left" w:pos="1080"/>
        </w:tabs>
        <w:spacing w:after="0"/>
        <w:ind w:left="1080" w:right="720" w:hanging="360"/>
        <w:jc w:val="both"/>
        <w:rPr>
          <w:rFonts w:ascii="Univers" w:hAnsi="Univers"/>
          <w:sz w:val="20"/>
          <w:szCs w:val="20"/>
          <w:lang w:val="es-ES"/>
        </w:rPr>
      </w:pPr>
    </w:p>
    <w:p w:rsidR="004E1EDD" w:rsidRPr="00EE5C24" w:rsidRDefault="004E1EDD" w:rsidP="004E1EDD">
      <w:pPr>
        <w:tabs>
          <w:tab w:val="left" w:pos="1080"/>
        </w:tabs>
        <w:ind w:left="1080" w:right="720" w:hanging="360"/>
        <w:jc w:val="both"/>
        <w:rPr>
          <w:rFonts w:ascii="Univers" w:hAnsi="Univers" w:cs="BookAntiqua"/>
          <w:sz w:val="20"/>
          <w:szCs w:val="20"/>
          <w:lang w:val="es-ES_tradnl"/>
        </w:rPr>
      </w:pPr>
      <w:r w:rsidRPr="00EE5C24">
        <w:rPr>
          <w:rFonts w:ascii="Univers" w:hAnsi="Univers"/>
          <w:sz w:val="20"/>
          <w:szCs w:val="20"/>
        </w:rPr>
        <w:t xml:space="preserve">4.3 </w:t>
      </w:r>
      <w:r w:rsidRPr="00EE5C24">
        <w:rPr>
          <w:rFonts w:ascii="Univers" w:hAnsi="Univers"/>
          <w:sz w:val="20"/>
          <w:szCs w:val="20"/>
        </w:rPr>
        <w:tab/>
        <w:t>Desarrollar medidas adecuadas y expeditas de respuesta institucional que permitan proteger eficazmente a defensoras y defensores de derechos humanos en situaciones de riesgo.</w:t>
      </w:r>
      <w:r w:rsidRPr="00EE5C24">
        <w:rPr>
          <w:rFonts w:ascii="Univers" w:hAnsi="Univers" w:cs="BookAntiqua"/>
          <w:sz w:val="20"/>
          <w:szCs w:val="20"/>
          <w:lang w:val="es-ES_tradnl"/>
        </w:rPr>
        <w:t xml:space="preserve"> </w:t>
      </w:r>
    </w:p>
    <w:p w:rsidR="000068E6" w:rsidRDefault="000068E6" w:rsidP="000068E6">
      <w:pPr>
        <w:ind w:right="720"/>
        <w:jc w:val="both"/>
        <w:rPr>
          <w:rFonts w:ascii="Univers" w:hAnsi="Univers"/>
          <w:sz w:val="19"/>
          <w:szCs w:val="19"/>
          <w:lang w:val="es-ES_tradnl"/>
        </w:rPr>
      </w:pPr>
      <w:r w:rsidRPr="00293B24">
        <w:rPr>
          <w:rFonts w:ascii="Univers" w:hAnsi="Univers"/>
          <w:sz w:val="20"/>
          <w:szCs w:val="20"/>
          <w:lang w:val="es-ES_tradnl"/>
        </w:rPr>
        <w:t xml:space="preserve"> </w:t>
      </w:r>
    </w:p>
    <w:p w:rsidR="000068E6" w:rsidRPr="00D1260E" w:rsidRDefault="000068E6" w:rsidP="000068E6">
      <w:pPr>
        <w:tabs>
          <w:tab w:val="left" w:pos="8640"/>
        </w:tabs>
        <w:ind w:firstLine="720"/>
        <w:jc w:val="both"/>
        <w:rPr>
          <w:rFonts w:ascii="Univers" w:hAnsi="Univers"/>
          <w:sz w:val="22"/>
          <w:lang w:val="es-AR"/>
        </w:rPr>
      </w:pPr>
      <w:r w:rsidRPr="00D1260E">
        <w:rPr>
          <w:rFonts w:ascii="Univers" w:hAnsi="Univers"/>
          <w:sz w:val="22"/>
          <w:lang w:val="es-AR"/>
        </w:rPr>
        <w:t xml:space="preserve">Además de la necesidad de obtención de justicia para las víctimas, el presente caso incorpora cuestiones de orden público interamericano. </w:t>
      </w:r>
    </w:p>
    <w:p w:rsidR="000068E6" w:rsidRPr="00D1260E" w:rsidRDefault="000068E6" w:rsidP="000068E6">
      <w:pPr>
        <w:tabs>
          <w:tab w:val="left" w:pos="8640"/>
        </w:tabs>
        <w:ind w:firstLine="720"/>
        <w:jc w:val="both"/>
        <w:rPr>
          <w:rFonts w:ascii="Univers" w:hAnsi="Univers"/>
          <w:sz w:val="22"/>
          <w:lang w:val="es-AR"/>
        </w:rPr>
      </w:pPr>
    </w:p>
    <w:p w:rsidR="004E1EDD" w:rsidRPr="004E1EDD" w:rsidRDefault="004E1EDD" w:rsidP="004E1EDD">
      <w:pPr>
        <w:autoSpaceDE w:val="0"/>
        <w:autoSpaceDN w:val="0"/>
        <w:adjustRightInd w:val="0"/>
        <w:ind w:firstLine="720"/>
        <w:jc w:val="both"/>
        <w:rPr>
          <w:rFonts w:ascii="Univers" w:hAnsi="Univers" w:cs="Arial"/>
          <w:sz w:val="22"/>
          <w:szCs w:val="22"/>
          <w:lang w:val="es-AR"/>
        </w:rPr>
      </w:pPr>
      <w:r w:rsidRPr="004E1EDD">
        <w:rPr>
          <w:rFonts w:ascii="Univers" w:hAnsi="Univers"/>
          <w:sz w:val="22"/>
          <w:szCs w:val="22"/>
          <w:lang w:val="es-AR"/>
        </w:rPr>
        <w:t xml:space="preserve">Específicamente, el presente caso incorpora un análisis de las obligaciones estatales de prevención e investigación del derecho a la vida y de los derechos políticos, desde una perspectiva diferenciada derivada de la calidad de defensor de derechos humanos del señor Gudiel Ramos. Además, en el presente caso </w:t>
      </w:r>
      <w:r w:rsidR="002F2176">
        <w:rPr>
          <w:rFonts w:ascii="Univers" w:hAnsi="Univers"/>
          <w:sz w:val="22"/>
          <w:szCs w:val="22"/>
          <w:lang w:val="es-AR"/>
        </w:rPr>
        <w:t>la Comisión</w:t>
      </w:r>
      <w:r w:rsidRPr="004E1EDD">
        <w:rPr>
          <w:rFonts w:ascii="Univers" w:hAnsi="Univers"/>
          <w:sz w:val="22"/>
          <w:szCs w:val="22"/>
          <w:lang w:val="es-AR"/>
        </w:rPr>
        <w:t xml:space="preserve"> adoptó una caracterización amplia e inclusiva de una persona como defensor o defensora de derechos humanos, debido al carácter de líder comunitario de la víctima, quien ejerció la labor de defensa de los derechos humanos a través de múltiples vías, incluida la función pública. En ese sentido, el presente caso le permitirá a la Corte fortalecer su jurisprudencia sobre el deber de garantía que le asiste frente a defensores y defensoras de derechos humanos, a la luz de las particularidades que plantea el caso tanto en el componente de prevención como en el componente de investigación no sólo del derecho a la vida, sino</w:t>
      </w:r>
      <w:r w:rsidR="002F2176">
        <w:rPr>
          <w:rFonts w:ascii="Univers" w:hAnsi="Univers"/>
          <w:sz w:val="22"/>
          <w:szCs w:val="22"/>
          <w:lang w:val="es-AR"/>
        </w:rPr>
        <w:t xml:space="preserve"> también</w:t>
      </w:r>
      <w:r w:rsidRPr="004E1EDD">
        <w:rPr>
          <w:rFonts w:ascii="Univers" w:hAnsi="Univers"/>
          <w:sz w:val="22"/>
          <w:szCs w:val="22"/>
          <w:lang w:val="es-AR"/>
        </w:rPr>
        <w:t xml:space="preserve"> del ejercicio de los derechos políticos. </w:t>
      </w:r>
    </w:p>
    <w:p w:rsidR="000068E6" w:rsidRPr="00D1260E" w:rsidRDefault="000068E6" w:rsidP="000068E6">
      <w:pPr>
        <w:tabs>
          <w:tab w:val="left" w:pos="8640"/>
        </w:tabs>
        <w:autoSpaceDE w:val="0"/>
        <w:autoSpaceDN w:val="0"/>
        <w:adjustRightInd w:val="0"/>
        <w:ind w:firstLine="720"/>
        <w:jc w:val="both"/>
        <w:rPr>
          <w:rFonts w:ascii="Univers" w:hAnsi="Univers" w:cs="Arial"/>
          <w:sz w:val="22"/>
          <w:szCs w:val="20"/>
          <w:lang w:val="es-AR"/>
        </w:rPr>
      </w:pPr>
    </w:p>
    <w:p w:rsidR="004E1EDD" w:rsidRPr="004E1EDD" w:rsidRDefault="002F2176" w:rsidP="004E1EDD">
      <w:pPr>
        <w:numPr>
          <w:ilvl w:val="0"/>
          <w:numId w:val="5"/>
        </w:numPr>
        <w:tabs>
          <w:tab w:val="clear" w:pos="1080"/>
          <w:tab w:val="num" w:pos="0"/>
        </w:tabs>
        <w:ind w:left="0" w:firstLine="720"/>
        <w:jc w:val="both"/>
        <w:rPr>
          <w:rFonts w:ascii="Univers" w:hAnsi="Univers"/>
          <w:sz w:val="22"/>
          <w:szCs w:val="22"/>
          <w:lang w:val="es-AR"/>
        </w:rPr>
      </w:pPr>
      <w:r w:rsidRPr="002639CB">
        <w:rPr>
          <w:rFonts w:ascii="Univers" w:hAnsi="Univers"/>
          <w:sz w:val="22"/>
          <w:szCs w:val="22"/>
          <w:lang w:val="es-AR"/>
        </w:rPr>
        <w:t xml:space="preserve">Hina Jilani, </w:t>
      </w:r>
      <w:r w:rsidR="004E1EDD" w:rsidRPr="002639CB">
        <w:rPr>
          <w:rFonts w:ascii="Univers" w:hAnsi="Univers"/>
          <w:sz w:val="22"/>
          <w:szCs w:val="22"/>
          <w:lang w:val="es-AR"/>
        </w:rPr>
        <w:t>quien declarará</w:t>
      </w:r>
      <w:r w:rsidR="004E1EDD" w:rsidRPr="002F2176">
        <w:rPr>
          <w:rFonts w:ascii="Univers" w:hAnsi="Univers"/>
          <w:sz w:val="22"/>
          <w:szCs w:val="22"/>
          <w:lang w:val="es-AR"/>
        </w:rPr>
        <w:t xml:space="preserve"> sobre la conceptualización internacional y comparada del “</w:t>
      </w:r>
      <w:r w:rsidR="004E1EDD" w:rsidRPr="004E1EDD">
        <w:rPr>
          <w:rFonts w:ascii="Univers" w:hAnsi="Univers"/>
          <w:sz w:val="22"/>
          <w:szCs w:val="22"/>
          <w:lang w:val="es-AR"/>
        </w:rPr>
        <w:t xml:space="preserve">derecho a defender los derechos humanos” y su protección bajo la Convención Americana. </w:t>
      </w:r>
      <w:r>
        <w:rPr>
          <w:rFonts w:ascii="Univers" w:hAnsi="Univers"/>
          <w:sz w:val="22"/>
          <w:szCs w:val="22"/>
          <w:lang w:val="es-AR"/>
        </w:rPr>
        <w:t>L</w:t>
      </w:r>
      <w:r w:rsidR="004E1EDD" w:rsidRPr="004E1EDD">
        <w:rPr>
          <w:rFonts w:ascii="Univers" w:hAnsi="Univers"/>
          <w:sz w:val="22"/>
          <w:szCs w:val="22"/>
          <w:lang w:val="es-AR"/>
        </w:rPr>
        <w:t>a perita analizará los hechos del caso a la luz de esta conceptualización y sus implicaciones en cuanto a las obligaciones estatales bajo l</w:t>
      </w:r>
      <w:r w:rsidR="004936AB">
        <w:rPr>
          <w:rFonts w:ascii="Univers" w:hAnsi="Univers"/>
          <w:sz w:val="22"/>
          <w:szCs w:val="22"/>
          <w:lang w:val="es-AR"/>
        </w:rPr>
        <w:t>a Convención Americana.</w:t>
      </w:r>
    </w:p>
    <w:p w:rsidR="004E1EDD" w:rsidRPr="004E1EDD" w:rsidRDefault="004E1EDD" w:rsidP="004E1EDD">
      <w:pPr>
        <w:tabs>
          <w:tab w:val="num" w:pos="0"/>
        </w:tabs>
        <w:ind w:firstLine="720"/>
        <w:jc w:val="both"/>
        <w:rPr>
          <w:sz w:val="22"/>
          <w:szCs w:val="22"/>
          <w:lang w:val="es-AR"/>
        </w:rPr>
      </w:pPr>
    </w:p>
    <w:p w:rsidR="004E1EDD" w:rsidRPr="004E1EDD" w:rsidRDefault="006A53B7" w:rsidP="002639CB">
      <w:pPr>
        <w:numPr>
          <w:ilvl w:val="0"/>
          <w:numId w:val="5"/>
        </w:numPr>
        <w:tabs>
          <w:tab w:val="clear" w:pos="1080"/>
          <w:tab w:val="num" w:pos="0"/>
        </w:tabs>
        <w:ind w:left="0" w:firstLine="720"/>
        <w:jc w:val="both"/>
        <w:rPr>
          <w:sz w:val="22"/>
          <w:szCs w:val="22"/>
          <w:lang w:val="es-AR"/>
        </w:rPr>
      </w:pPr>
      <w:r>
        <w:rPr>
          <w:rFonts w:ascii="Univers" w:hAnsi="Univers" w:cs="Arial"/>
          <w:sz w:val="22"/>
          <w:szCs w:val="22"/>
          <w:lang w:val="es-AR"/>
        </w:rPr>
        <w:t>Renzo Pomi</w:t>
      </w:r>
      <w:r w:rsidR="00AF6E09">
        <w:rPr>
          <w:rFonts w:ascii="Univers" w:hAnsi="Univers" w:cs="Arial"/>
          <w:sz w:val="22"/>
          <w:szCs w:val="22"/>
          <w:lang w:val="es-AR"/>
        </w:rPr>
        <w:t xml:space="preserve">, </w:t>
      </w:r>
      <w:r w:rsidR="004E1EDD" w:rsidRPr="00AF6E09">
        <w:rPr>
          <w:rFonts w:ascii="Univers" w:hAnsi="Univers" w:cs="Arial"/>
          <w:sz w:val="22"/>
          <w:szCs w:val="22"/>
          <w:lang w:val="es-ES_tradnl"/>
        </w:rPr>
        <w:t xml:space="preserve">quien declarará </w:t>
      </w:r>
      <w:r w:rsidR="004E1EDD" w:rsidRPr="00AF6E09">
        <w:rPr>
          <w:rFonts w:ascii="Univers" w:hAnsi="Univers"/>
          <w:sz w:val="22"/>
          <w:szCs w:val="22"/>
          <w:lang w:val="es-ES_tradnl"/>
        </w:rPr>
        <w:t>sobre los estándares internacionales aplicables al análisis del deber de prevención e investigación, como medios para garantizar el derecho a la vida de un defensor o defensora de derechos humanos. El perito</w:t>
      </w:r>
      <w:r w:rsidR="004E1EDD" w:rsidRPr="004E1EDD">
        <w:rPr>
          <w:rFonts w:ascii="Univers" w:hAnsi="Univers"/>
          <w:sz w:val="22"/>
          <w:szCs w:val="22"/>
          <w:lang w:val="es-ES_tradnl"/>
        </w:rPr>
        <w:t xml:space="preserve"> se referirá específicamente a los elementos que deben tomarse en cuenta al momento de evaluar si un Estado dio cumplimiento a la obligación de prevención e investigación en circunstancias como las del presente caso. Además, el perito se referirá a las medidas de no repetición apropiadas en situaciones como las del presente caso. </w:t>
      </w:r>
    </w:p>
    <w:p w:rsidR="004E1EDD" w:rsidRPr="00AF6E09" w:rsidRDefault="004E1EDD" w:rsidP="004E1EDD">
      <w:pPr>
        <w:tabs>
          <w:tab w:val="num" w:pos="0"/>
        </w:tabs>
        <w:ind w:firstLine="720"/>
        <w:jc w:val="both"/>
        <w:rPr>
          <w:rFonts w:ascii="Univers" w:hAnsi="Univers"/>
          <w:sz w:val="22"/>
          <w:szCs w:val="22"/>
          <w:lang w:val="es-AR"/>
        </w:rPr>
      </w:pPr>
    </w:p>
    <w:p w:rsidR="000068E6" w:rsidRPr="004E1EDD" w:rsidRDefault="00AF6E09" w:rsidP="004E1EDD">
      <w:pPr>
        <w:tabs>
          <w:tab w:val="num" w:pos="0"/>
        </w:tabs>
        <w:ind w:firstLine="720"/>
        <w:jc w:val="both"/>
        <w:rPr>
          <w:rFonts w:ascii="Univers" w:hAnsi="Univers"/>
          <w:sz w:val="22"/>
          <w:szCs w:val="22"/>
          <w:lang w:val="es-ES_tradnl"/>
        </w:rPr>
      </w:pPr>
      <w:r>
        <w:rPr>
          <w:rFonts w:ascii="Univers" w:hAnsi="Univers"/>
          <w:sz w:val="22"/>
          <w:szCs w:val="22"/>
          <w:lang w:val="es-ES_tradnl"/>
        </w:rPr>
        <w:lastRenderedPageBreak/>
        <w:t>Además, l</w:t>
      </w:r>
      <w:r w:rsidR="004E1EDD" w:rsidRPr="004E1EDD">
        <w:rPr>
          <w:rFonts w:ascii="Univers" w:hAnsi="Univers"/>
          <w:sz w:val="22"/>
          <w:szCs w:val="22"/>
          <w:lang w:val="es-ES_tradnl"/>
        </w:rPr>
        <w:t>a Comisión se permite solicitar a la Corte Interamericana el traslado del peritaje ofrecido en el caso Luna López y otros vs. Honduras</w:t>
      </w:r>
      <w:r w:rsidR="004E1EDD" w:rsidRPr="004E1EDD">
        <w:rPr>
          <w:rStyle w:val="Refdenotaalpie"/>
          <w:rFonts w:ascii="Univers" w:hAnsi="Univers"/>
          <w:sz w:val="22"/>
          <w:szCs w:val="22"/>
          <w:lang w:val="es-ES_tradnl"/>
        </w:rPr>
        <w:footnoteReference w:id="1"/>
      </w:r>
      <w:r w:rsidR="004E1EDD" w:rsidRPr="004E1EDD">
        <w:rPr>
          <w:rFonts w:ascii="Univers" w:hAnsi="Univers"/>
          <w:sz w:val="22"/>
          <w:szCs w:val="22"/>
          <w:lang w:val="es-ES_tradnl"/>
        </w:rPr>
        <w:t>. Al tratarse de un peritaje de carácter general y resultar  pertinente para el análisis del presente caso, la Comisión solicita a la Corte Interamericana que en caso de ser aceptado, dicho peritaje sea incorporado a este expedie</w:t>
      </w:r>
      <w:r>
        <w:rPr>
          <w:rFonts w:ascii="Univers" w:hAnsi="Univers"/>
          <w:sz w:val="22"/>
          <w:szCs w:val="22"/>
          <w:lang w:val="es-ES_tradnl"/>
        </w:rPr>
        <w:t>nte una vez sea rendido.</w:t>
      </w:r>
      <w:r w:rsidR="000068E6" w:rsidRPr="004E1EDD">
        <w:rPr>
          <w:rFonts w:ascii="Univers" w:hAnsi="Univers"/>
          <w:sz w:val="22"/>
          <w:szCs w:val="20"/>
          <w:lang w:val="es-ES_tradnl"/>
        </w:rPr>
        <w:t xml:space="preserve"> </w:t>
      </w:r>
    </w:p>
    <w:p w:rsidR="000068E6" w:rsidRDefault="000068E6" w:rsidP="000068E6">
      <w:pPr>
        <w:tabs>
          <w:tab w:val="num" w:pos="0"/>
        </w:tabs>
        <w:ind w:firstLine="720"/>
        <w:jc w:val="both"/>
        <w:rPr>
          <w:rFonts w:ascii="Univers" w:hAnsi="Univers"/>
          <w:sz w:val="22"/>
          <w:szCs w:val="22"/>
          <w:lang w:val="es-AR"/>
        </w:rPr>
      </w:pPr>
    </w:p>
    <w:p w:rsidR="000068E6" w:rsidRPr="00DD10CB" w:rsidRDefault="000068E6" w:rsidP="000068E6">
      <w:pPr>
        <w:tabs>
          <w:tab w:val="num" w:pos="0"/>
        </w:tabs>
        <w:ind w:firstLine="720"/>
        <w:jc w:val="both"/>
        <w:rPr>
          <w:rFonts w:ascii="Univers" w:hAnsi="Univers"/>
          <w:sz w:val="22"/>
          <w:szCs w:val="22"/>
        </w:rPr>
      </w:pPr>
      <w:r w:rsidRPr="00DD10CB">
        <w:rPr>
          <w:rFonts w:ascii="Univers" w:hAnsi="Univers"/>
          <w:sz w:val="22"/>
          <w:szCs w:val="22"/>
          <w:lang w:val="es-AR"/>
        </w:rPr>
        <w:t xml:space="preserve">Los </w:t>
      </w:r>
      <w:r w:rsidRPr="00DD10CB">
        <w:rPr>
          <w:rFonts w:ascii="Univers" w:hAnsi="Univers"/>
          <w:i/>
          <w:sz w:val="22"/>
          <w:szCs w:val="22"/>
          <w:lang w:val="es-AR"/>
        </w:rPr>
        <w:t>currícula vitarum</w:t>
      </w:r>
      <w:r w:rsidRPr="00DD10CB">
        <w:rPr>
          <w:rFonts w:ascii="Univers" w:hAnsi="Univers"/>
          <w:sz w:val="22"/>
          <w:szCs w:val="22"/>
        </w:rPr>
        <w:t xml:space="preserve"> de los peritos propuestos serán incluidos en l</w:t>
      </w:r>
      <w:r w:rsidR="004E1EDD">
        <w:rPr>
          <w:rFonts w:ascii="Univers" w:hAnsi="Univers"/>
          <w:sz w:val="22"/>
          <w:szCs w:val="22"/>
        </w:rPr>
        <w:t>os anexos al informe de fondo 56</w:t>
      </w:r>
      <w:r w:rsidRPr="00DD10CB">
        <w:rPr>
          <w:rFonts w:ascii="Univers" w:hAnsi="Univers"/>
          <w:sz w:val="22"/>
          <w:szCs w:val="22"/>
        </w:rPr>
        <w:t xml:space="preserve">/12. </w:t>
      </w:r>
    </w:p>
    <w:p w:rsidR="000068E6" w:rsidRPr="00DD10CB" w:rsidRDefault="000068E6" w:rsidP="000068E6">
      <w:pPr>
        <w:pStyle w:val="Default"/>
        <w:jc w:val="both"/>
        <w:rPr>
          <w:rFonts w:ascii="Univers" w:hAnsi="Univers"/>
          <w:sz w:val="22"/>
          <w:szCs w:val="22"/>
          <w:lang w:val="es-ES"/>
        </w:rPr>
      </w:pPr>
    </w:p>
    <w:p w:rsidR="000068E6" w:rsidRPr="002877B6" w:rsidRDefault="000068E6" w:rsidP="000068E6">
      <w:pPr>
        <w:pStyle w:val="Default"/>
        <w:jc w:val="both"/>
        <w:rPr>
          <w:rFonts w:ascii="Univers" w:hAnsi="Univers"/>
          <w:sz w:val="22"/>
          <w:szCs w:val="22"/>
          <w:lang w:val="es-ES_tradnl"/>
        </w:rPr>
      </w:pPr>
      <w:r w:rsidRPr="00DD10CB">
        <w:rPr>
          <w:rFonts w:ascii="Univers" w:hAnsi="Univers"/>
          <w:sz w:val="22"/>
          <w:szCs w:val="22"/>
          <w:lang w:val="es-ES_tradnl"/>
        </w:rPr>
        <w:tab/>
      </w:r>
      <w:r w:rsidRPr="002877B6">
        <w:rPr>
          <w:rFonts w:ascii="Univers" w:hAnsi="Univers"/>
          <w:sz w:val="22"/>
          <w:szCs w:val="22"/>
          <w:lang w:val="es-ES_tradnl"/>
        </w:rPr>
        <w:t>La Comisión pone en conocimiento de la Corte</w:t>
      </w:r>
      <w:r>
        <w:rPr>
          <w:rFonts w:ascii="Univers" w:hAnsi="Univers"/>
          <w:sz w:val="22"/>
          <w:szCs w:val="22"/>
          <w:lang w:val="es-ES_tradnl"/>
        </w:rPr>
        <w:t xml:space="preserve"> la siguiente información sobre </w:t>
      </w:r>
      <w:r w:rsidRPr="002877B6">
        <w:rPr>
          <w:rFonts w:ascii="Univers" w:hAnsi="Univers"/>
          <w:sz w:val="22"/>
          <w:szCs w:val="22"/>
          <w:lang w:val="es-ES_tradnl"/>
        </w:rPr>
        <w:t>quienes han actuado como peticionarios a lo largo del tr</w:t>
      </w:r>
      <w:r>
        <w:rPr>
          <w:rFonts w:ascii="Univers" w:hAnsi="Univers"/>
          <w:sz w:val="22"/>
          <w:szCs w:val="22"/>
          <w:lang w:val="es-ES_tradnl"/>
        </w:rPr>
        <w:t>ámite y sus respectivos datos de contacto:</w:t>
      </w:r>
    </w:p>
    <w:p w:rsidR="000068E6" w:rsidRPr="002877B6" w:rsidRDefault="000068E6" w:rsidP="00514827">
      <w:pPr>
        <w:ind w:firstLine="720"/>
        <w:jc w:val="both"/>
        <w:rPr>
          <w:rFonts w:ascii="Univers" w:hAnsi="Univers" w:cs="Arial"/>
          <w:sz w:val="22"/>
          <w:szCs w:val="22"/>
          <w:lang w:val="es-ES_tradnl"/>
        </w:rPr>
      </w:pPr>
    </w:p>
    <w:p w:rsidR="00514827" w:rsidRDefault="00514827" w:rsidP="00514827">
      <w:pPr>
        <w:autoSpaceDE w:val="0"/>
        <w:autoSpaceDN w:val="0"/>
        <w:adjustRightInd w:val="0"/>
        <w:jc w:val="center"/>
        <w:rPr>
          <w:rFonts w:ascii="Arial" w:hAnsi="Arial" w:cs="Arial"/>
          <w:sz w:val="22"/>
          <w:szCs w:val="22"/>
          <w:lang w:val="es-ES_tradnl" w:eastAsia="en-US"/>
        </w:rPr>
      </w:pPr>
      <w:r w:rsidRPr="00514827">
        <w:rPr>
          <w:rFonts w:ascii="Arial" w:hAnsi="Arial" w:cs="Arial"/>
          <w:sz w:val="22"/>
          <w:szCs w:val="22"/>
          <w:lang w:val="es-ES_tradnl" w:eastAsia="en-US"/>
        </w:rPr>
        <w:t xml:space="preserve">Makrina Gudiel </w:t>
      </w:r>
      <w:r>
        <w:rPr>
          <w:rFonts w:ascii="Arial" w:hAnsi="Arial" w:cs="Arial"/>
          <w:sz w:val="22"/>
          <w:szCs w:val="22"/>
          <w:lang w:val="es-ES_tradnl" w:eastAsia="en-US"/>
        </w:rPr>
        <w:t>Á</w:t>
      </w:r>
      <w:r w:rsidRPr="00514827">
        <w:rPr>
          <w:rFonts w:ascii="Arial" w:hAnsi="Arial" w:cs="Arial"/>
          <w:sz w:val="22"/>
          <w:szCs w:val="22"/>
          <w:lang w:val="es-ES_tradnl" w:eastAsia="en-US"/>
        </w:rPr>
        <w:t>lvarez</w:t>
      </w:r>
    </w:p>
    <w:p w:rsidR="00514827" w:rsidRDefault="00514827" w:rsidP="00514827">
      <w:pPr>
        <w:autoSpaceDE w:val="0"/>
        <w:autoSpaceDN w:val="0"/>
        <w:adjustRightInd w:val="0"/>
        <w:jc w:val="center"/>
        <w:rPr>
          <w:rFonts w:ascii="Arial" w:hAnsi="Arial" w:cs="Arial"/>
          <w:sz w:val="22"/>
          <w:szCs w:val="22"/>
          <w:lang w:val="es-ES_tradnl" w:eastAsia="en-US"/>
        </w:rPr>
      </w:pPr>
      <w:r w:rsidRPr="00514827">
        <w:rPr>
          <w:rFonts w:ascii="Arial" w:hAnsi="Arial" w:cs="Arial"/>
          <w:sz w:val="22"/>
          <w:szCs w:val="22"/>
          <w:lang w:val="es-ES_tradnl" w:eastAsia="en-US"/>
        </w:rPr>
        <w:t>Claudia Samayoa</w:t>
      </w:r>
    </w:p>
    <w:p w:rsidR="000068E6" w:rsidRPr="00514827" w:rsidRDefault="00DC4A32" w:rsidP="00514827">
      <w:pPr>
        <w:autoSpaceDE w:val="0"/>
        <w:autoSpaceDN w:val="0"/>
        <w:adjustRightInd w:val="0"/>
        <w:jc w:val="center"/>
        <w:rPr>
          <w:rFonts w:ascii="Arial" w:hAnsi="Arial" w:cs="Arial"/>
          <w:sz w:val="22"/>
          <w:szCs w:val="22"/>
          <w:lang w:val="es-ES_tradnl" w:eastAsia="en-US"/>
        </w:rPr>
      </w:pPr>
      <w:proofErr w:type="gramStart"/>
      <w:r w:rsidRPr="00DC4A32">
        <w:rPr>
          <w:rFonts w:ascii="Arial" w:hAnsi="Arial" w:cs="Arial"/>
          <w:sz w:val="22"/>
          <w:szCs w:val="22"/>
          <w:highlight w:val="black"/>
          <w:lang w:val="es-ES_tradnl" w:eastAsia="en-US"/>
        </w:rPr>
        <w:t>xxxxxxxxxxxxxxxxxx</w:t>
      </w:r>
      <w:proofErr w:type="gramEnd"/>
    </w:p>
    <w:p w:rsidR="000068E6" w:rsidRDefault="000068E6" w:rsidP="000068E6">
      <w:pPr>
        <w:ind w:firstLine="720"/>
        <w:jc w:val="both"/>
        <w:rPr>
          <w:rFonts w:ascii="Univers" w:hAnsi="Univers" w:cs="Arial"/>
          <w:sz w:val="22"/>
          <w:szCs w:val="22"/>
          <w:lang w:val="es-ES_tradnl"/>
        </w:rPr>
      </w:pPr>
    </w:p>
    <w:p w:rsidR="00AF6E09" w:rsidRPr="00C50768" w:rsidRDefault="00AF6E09" w:rsidP="000068E6">
      <w:pPr>
        <w:ind w:firstLine="720"/>
        <w:jc w:val="both"/>
        <w:rPr>
          <w:rFonts w:ascii="Univers" w:hAnsi="Univers" w:cs="Arial"/>
          <w:sz w:val="22"/>
          <w:szCs w:val="22"/>
          <w:lang w:val="es-ES_tradnl"/>
        </w:rPr>
      </w:pPr>
    </w:p>
    <w:p w:rsidR="000068E6" w:rsidRPr="00DD10CB" w:rsidRDefault="000068E6" w:rsidP="000068E6">
      <w:pPr>
        <w:ind w:firstLine="720"/>
        <w:jc w:val="both"/>
        <w:rPr>
          <w:rFonts w:ascii="Univers" w:hAnsi="Univers" w:cs="Arial"/>
          <w:sz w:val="22"/>
          <w:szCs w:val="22"/>
          <w:lang w:val="es-CO"/>
        </w:rPr>
      </w:pPr>
      <w:r w:rsidRPr="00DD10CB">
        <w:rPr>
          <w:rFonts w:ascii="Univers" w:hAnsi="Univers" w:cs="Arial"/>
          <w:sz w:val="22"/>
          <w:szCs w:val="22"/>
          <w:lang w:val="es-CO"/>
        </w:rPr>
        <w:t>Aprovecho la oportunidad para saludar a usted muy atentamente,</w:t>
      </w:r>
    </w:p>
    <w:p w:rsidR="000068E6" w:rsidRPr="00DD10CB" w:rsidRDefault="000068E6" w:rsidP="000068E6">
      <w:pPr>
        <w:jc w:val="both"/>
        <w:rPr>
          <w:rFonts w:ascii="Univers" w:hAnsi="Univers" w:cs="Arial"/>
          <w:sz w:val="22"/>
          <w:szCs w:val="22"/>
          <w:lang w:val="es-CO"/>
        </w:rPr>
      </w:pPr>
    </w:p>
    <w:p w:rsidR="000068E6" w:rsidRPr="00DD10CB" w:rsidRDefault="000068E6" w:rsidP="000068E6">
      <w:pPr>
        <w:jc w:val="both"/>
        <w:rPr>
          <w:rFonts w:ascii="Univers" w:hAnsi="Univers" w:cs="Arial"/>
          <w:sz w:val="22"/>
          <w:szCs w:val="22"/>
          <w:lang w:val="es-AR"/>
        </w:rPr>
      </w:pPr>
    </w:p>
    <w:p w:rsidR="000068E6" w:rsidRDefault="000068E6" w:rsidP="000068E6">
      <w:pPr>
        <w:ind w:left="5040"/>
        <w:jc w:val="center"/>
        <w:rPr>
          <w:rFonts w:ascii="Univers" w:hAnsi="Univers" w:cs="Arial"/>
          <w:sz w:val="22"/>
          <w:szCs w:val="22"/>
          <w:lang w:val="es-CO"/>
        </w:rPr>
      </w:pPr>
    </w:p>
    <w:p w:rsidR="00DC4A32" w:rsidRDefault="00DC4A32" w:rsidP="000068E6">
      <w:pPr>
        <w:ind w:left="5040"/>
        <w:jc w:val="center"/>
        <w:rPr>
          <w:rFonts w:ascii="Univers" w:hAnsi="Univers" w:cs="Arial"/>
          <w:sz w:val="22"/>
          <w:szCs w:val="22"/>
          <w:lang w:val="es-CO"/>
        </w:rPr>
      </w:pPr>
    </w:p>
    <w:p w:rsidR="00DC4A32" w:rsidRDefault="00DC4A32" w:rsidP="000068E6">
      <w:pPr>
        <w:ind w:left="5040"/>
        <w:jc w:val="center"/>
        <w:rPr>
          <w:rFonts w:ascii="Univers" w:hAnsi="Univers" w:cs="Arial"/>
          <w:sz w:val="22"/>
          <w:szCs w:val="22"/>
          <w:lang w:val="es-CO"/>
        </w:rPr>
      </w:pPr>
    </w:p>
    <w:p w:rsidR="00DC4A32" w:rsidRDefault="00DC4A32" w:rsidP="000068E6">
      <w:pPr>
        <w:ind w:left="5040"/>
        <w:jc w:val="center"/>
        <w:rPr>
          <w:rFonts w:ascii="Univers" w:hAnsi="Univers" w:cs="Arial"/>
          <w:sz w:val="22"/>
          <w:szCs w:val="22"/>
          <w:lang w:val="es-CO"/>
        </w:rPr>
      </w:pPr>
    </w:p>
    <w:p w:rsidR="00DC4A32" w:rsidRDefault="00DC4A32" w:rsidP="000068E6">
      <w:pPr>
        <w:ind w:left="5040"/>
        <w:jc w:val="center"/>
        <w:rPr>
          <w:rFonts w:ascii="Univers" w:hAnsi="Univers" w:cs="Arial"/>
          <w:sz w:val="22"/>
          <w:szCs w:val="22"/>
          <w:lang w:val="es-CO"/>
        </w:rPr>
      </w:pPr>
    </w:p>
    <w:p w:rsidR="00DC4A32" w:rsidRPr="007B53A1" w:rsidRDefault="00DC4A32" w:rsidP="000068E6">
      <w:pPr>
        <w:ind w:left="5040"/>
        <w:jc w:val="center"/>
        <w:rPr>
          <w:rFonts w:ascii="Univers" w:hAnsi="Univers" w:cs="Arial"/>
          <w:i/>
          <w:color w:val="808080"/>
          <w:sz w:val="22"/>
          <w:szCs w:val="22"/>
          <w:lang w:val="es-CO"/>
        </w:rPr>
      </w:pPr>
      <w:r w:rsidRPr="007B53A1">
        <w:rPr>
          <w:rFonts w:ascii="Univers" w:hAnsi="Univers" w:cs="Arial"/>
          <w:i/>
          <w:color w:val="808080"/>
          <w:sz w:val="22"/>
          <w:szCs w:val="22"/>
          <w:lang w:val="es-CO"/>
        </w:rPr>
        <w:t>Firmado en el original</w:t>
      </w:r>
    </w:p>
    <w:p w:rsidR="000068E6" w:rsidRPr="00DD10CB" w:rsidRDefault="000068E6" w:rsidP="000068E6">
      <w:pPr>
        <w:ind w:left="5040"/>
        <w:jc w:val="center"/>
        <w:rPr>
          <w:rFonts w:ascii="Univers" w:hAnsi="Univers" w:cs="Arial"/>
          <w:sz w:val="22"/>
          <w:szCs w:val="22"/>
          <w:lang w:val="es-CO"/>
        </w:rPr>
      </w:pPr>
    </w:p>
    <w:p w:rsidR="000068E6" w:rsidRPr="00DD10CB" w:rsidRDefault="000068E6" w:rsidP="000068E6">
      <w:pPr>
        <w:ind w:left="5040"/>
        <w:jc w:val="center"/>
        <w:rPr>
          <w:rFonts w:ascii="Univers" w:hAnsi="Univers" w:cs="Arial"/>
          <w:sz w:val="22"/>
          <w:szCs w:val="22"/>
          <w:lang w:val="es-CO"/>
        </w:rPr>
      </w:pPr>
      <w:r>
        <w:rPr>
          <w:rFonts w:ascii="Univers" w:hAnsi="Univers" w:cs="Arial"/>
          <w:sz w:val="22"/>
          <w:szCs w:val="22"/>
          <w:lang w:val="es-CO"/>
        </w:rPr>
        <w:t xml:space="preserve">Elizabeth Abi-Mershed </w:t>
      </w:r>
    </w:p>
    <w:p w:rsidR="000068E6" w:rsidRPr="00DD10CB" w:rsidRDefault="000068E6" w:rsidP="000068E6">
      <w:pPr>
        <w:tabs>
          <w:tab w:val="left" w:pos="5760"/>
        </w:tabs>
        <w:ind w:left="5040"/>
        <w:jc w:val="center"/>
        <w:rPr>
          <w:rFonts w:ascii="Univers" w:hAnsi="Univers" w:cs="Arial"/>
          <w:sz w:val="22"/>
          <w:szCs w:val="22"/>
        </w:rPr>
      </w:pPr>
      <w:r w:rsidRPr="00DD10CB">
        <w:rPr>
          <w:rFonts w:ascii="Univers" w:hAnsi="Univers" w:cs="Arial"/>
          <w:sz w:val="22"/>
          <w:szCs w:val="22"/>
        </w:rPr>
        <w:t>Secretari</w:t>
      </w:r>
      <w:r>
        <w:rPr>
          <w:rFonts w:ascii="Univers" w:hAnsi="Univers" w:cs="Arial"/>
          <w:sz w:val="22"/>
          <w:szCs w:val="22"/>
        </w:rPr>
        <w:t>a</w:t>
      </w:r>
      <w:r w:rsidRPr="00DD10CB">
        <w:rPr>
          <w:rFonts w:ascii="Univers" w:hAnsi="Univers" w:cs="Arial"/>
          <w:sz w:val="22"/>
          <w:szCs w:val="22"/>
        </w:rPr>
        <w:t xml:space="preserve"> Ejecutiv</w:t>
      </w:r>
      <w:r>
        <w:rPr>
          <w:rFonts w:ascii="Univers" w:hAnsi="Univers" w:cs="Arial"/>
          <w:sz w:val="22"/>
          <w:szCs w:val="22"/>
        </w:rPr>
        <w:t>a Adjunta</w:t>
      </w:r>
    </w:p>
    <w:p w:rsidR="000068E6" w:rsidRPr="00DD10CB" w:rsidRDefault="000068E6" w:rsidP="000068E6">
      <w:pPr>
        <w:rPr>
          <w:sz w:val="22"/>
          <w:szCs w:val="22"/>
        </w:rPr>
      </w:pPr>
    </w:p>
    <w:p w:rsidR="000068E6" w:rsidRDefault="000068E6" w:rsidP="000068E6"/>
    <w:p w:rsidR="00BC200F" w:rsidRDefault="00BC200F"/>
    <w:sectPr w:rsidR="00BC200F" w:rsidSect="000068E6">
      <w:headerReference w:type="default" r:id="rId9"/>
      <w:pgSz w:w="12240" w:h="15840" w:code="1"/>
      <w:pgMar w:top="720" w:right="1800" w:bottom="90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8FB" w:rsidRDefault="00C068FB">
      <w:r>
        <w:separator/>
      </w:r>
    </w:p>
  </w:endnote>
  <w:endnote w:type="continuationSeparator" w:id="0">
    <w:p w:rsidR="00C068FB" w:rsidRDefault="00C06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Antiqu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8FB" w:rsidRDefault="00C068FB">
      <w:r>
        <w:separator/>
      </w:r>
    </w:p>
  </w:footnote>
  <w:footnote w:type="continuationSeparator" w:id="0">
    <w:p w:rsidR="00C068FB" w:rsidRDefault="00C068FB">
      <w:r>
        <w:continuationSeparator/>
      </w:r>
    </w:p>
  </w:footnote>
  <w:footnote w:id="1">
    <w:p w:rsidR="006A53B7" w:rsidRPr="00E84625" w:rsidRDefault="006A53B7" w:rsidP="004E1EDD">
      <w:pPr>
        <w:pStyle w:val="Textonotapie"/>
        <w:jc w:val="both"/>
        <w:rPr>
          <w:rFonts w:ascii="Univers" w:hAnsi="Univers"/>
          <w:sz w:val="18"/>
          <w:szCs w:val="18"/>
          <w:lang w:val="es-ES_tradnl"/>
        </w:rPr>
      </w:pPr>
      <w:r w:rsidRPr="00E84625">
        <w:rPr>
          <w:rStyle w:val="Refdenotaalpie"/>
          <w:rFonts w:ascii="Univers" w:hAnsi="Univers"/>
          <w:sz w:val="18"/>
          <w:szCs w:val="18"/>
        </w:rPr>
        <w:footnoteRef/>
      </w:r>
      <w:r w:rsidRPr="00E84625">
        <w:rPr>
          <w:rFonts w:ascii="Univers" w:hAnsi="Univers"/>
          <w:sz w:val="18"/>
          <w:szCs w:val="18"/>
          <w:lang w:val="es-ES_tradnl"/>
        </w:rPr>
        <w:t xml:space="preserve"> El peritaje se refiere a la “vinculación existente entre el ejercicio de la defensa de los derechos humanos y el derecho a la participación política, así como los efectos que generan los ataques a defensores que desarrollan o buscan desarrollar sus labores de promoción y protección de derechos humanos desde un cargo público”.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3B7" w:rsidRDefault="006A53B7">
    <w:pPr>
      <w:pStyle w:val="Encabezado"/>
    </w:pPr>
  </w:p>
  <w:p w:rsidR="006A53B7" w:rsidRDefault="006A53B7" w:rsidP="000068E6">
    <w:pPr>
      <w:pStyle w:val="Encabezado"/>
      <w:jc w:val="center"/>
    </w:pPr>
    <w:r>
      <w:rPr>
        <w:rStyle w:val="Nmerodepgina"/>
      </w:rPr>
      <w:fldChar w:fldCharType="begin"/>
    </w:r>
    <w:r>
      <w:rPr>
        <w:rStyle w:val="Nmerodepgina"/>
      </w:rPr>
      <w:instrText xml:space="preserve"> PAGE </w:instrText>
    </w:r>
    <w:r>
      <w:rPr>
        <w:rStyle w:val="Nmerodepgina"/>
      </w:rPr>
      <w:fldChar w:fldCharType="separate"/>
    </w:r>
    <w:r w:rsidR="00562977">
      <w:rPr>
        <w:rStyle w:val="Nmerodepgina"/>
        <w:noProof/>
      </w:rPr>
      <w:t>5</w:t>
    </w:r>
    <w:r>
      <w:rPr>
        <w:rStyle w:val="Nmerodepgina"/>
      </w:rPr>
      <w:fldChar w:fldCharType="end"/>
    </w:r>
  </w:p>
  <w:p w:rsidR="006A53B7" w:rsidRDefault="006A53B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13EE8"/>
    <w:multiLevelType w:val="hybridMultilevel"/>
    <w:tmpl w:val="78BC45F8"/>
    <w:lvl w:ilvl="0" w:tplc="81B8EB9C">
      <w:start w:val="1"/>
      <w:numFmt w:val="upperLetter"/>
      <w:lvlText w:val="%1."/>
      <w:lvlJc w:val="left"/>
      <w:pPr>
        <w:tabs>
          <w:tab w:val="num" w:pos="1440"/>
        </w:tabs>
        <w:ind w:left="1440" w:hanging="720"/>
      </w:pPr>
      <w:rPr>
        <w:rFonts w:hint="default"/>
      </w:rPr>
    </w:lvl>
    <w:lvl w:ilvl="1" w:tplc="D92C12E8">
      <w:start w:val="1"/>
      <w:numFmt w:val="decimal"/>
      <w:lvlText w:val="%2."/>
      <w:lvlJc w:val="left"/>
      <w:pPr>
        <w:tabs>
          <w:tab w:val="num" w:pos="1860"/>
        </w:tabs>
        <w:ind w:left="1860" w:hanging="420"/>
      </w:pPr>
      <w:rPr>
        <w:rFonts w:hint="default"/>
      </w:rPr>
    </w:lvl>
    <w:lvl w:ilvl="2" w:tplc="99CCD1F2">
      <w:start w:val="2"/>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4D1E2BE0"/>
    <w:multiLevelType w:val="hybridMultilevel"/>
    <w:tmpl w:val="6DE2E466"/>
    <w:lvl w:ilvl="0" w:tplc="EF1465F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63806C81"/>
    <w:multiLevelType w:val="hybridMultilevel"/>
    <w:tmpl w:val="F3CC5FEE"/>
    <w:lvl w:ilvl="0" w:tplc="E1180202">
      <w:start w:val="1"/>
      <w:numFmt w:val="decimal"/>
      <w:lvlText w:val="%1."/>
      <w:lvlJc w:val="left"/>
      <w:pPr>
        <w:tabs>
          <w:tab w:val="num" w:pos="720"/>
        </w:tabs>
        <w:ind w:left="720" w:hanging="360"/>
      </w:pPr>
      <w:rPr>
        <w:rFonts w:ascii="Univers" w:hAnsi="Univers" w:hint="default"/>
        <w:b w:val="0"/>
        <w:i w:val="0"/>
      </w:rPr>
    </w:lvl>
    <w:lvl w:ilvl="1" w:tplc="00190409">
      <w:start w:val="1"/>
      <w:numFmt w:val="decimal"/>
      <w:lvlText w:val="%2."/>
      <w:lvlJc w:val="left"/>
      <w:pPr>
        <w:tabs>
          <w:tab w:val="num" w:pos="1440"/>
        </w:tabs>
        <w:ind w:left="1440" w:hanging="360"/>
      </w:pPr>
    </w:lvl>
    <w:lvl w:ilvl="2" w:tplc="001B0409">
      <w:start w:val="1"/>
      <w:numFmt w:val="decimal"/>
      <w:lvlText w:val="%3."/>
      <w:lvlJc w:val="left"/>
      <w:pPr>
        <w:tabs>
          <w:tab w:val="num" w:pos="2160"/>
        </w:tabs>
        <w:ind w:left="2160" w:hanging="360"/>
      </w:pPr>
    </w:lvl>
    <w:lvl w:ilvl="3" w:tplc="000F0409">
      <w:start w:val="1"/>
      <w:numFmt w:val="decimal"/>
      <w:lvlText w:val="%4."/>
      <w:lvlJc w:val="left"/>
      <w:pPr>
        <w:tabs>
          <w:tab w:val="num" w:pos="2880"/>
        </w:tabs>
        <w:ind w:left="2880" w:hanging="360"/>
      </w:pPr>
    </w:lvl>
    <w:lvl w:ilvl="4" w:tplc="00190409">
      <w:start w:val="1"/>
      <w:numFmt w:val="decimal"/>
      <w:lvlText w:val="%5."/>
      <w:lvlJc w:val="left"/>
      <w:pPr>
        <w:tabs>
          <w:tab w:val="num" w:pos="3600"/>
        </w:tabs>
        <w:ind w:left="3600" w:hanging="360"/>
      </w:pPr>
    </w:lvl>
    <w:lvl w:ilvl="5" w:tplc="001B0409">
      <w:start w:val="1"/>
      <w:numFmt w:val="decimal"/>
      <w:lvlText w:val="%6."/>
      <w:lvlJc w:val="left"/>
      <w:pPr>
        <w:tabs>
          <w:tab w:val="num" w:pos="4320"/>
        </w:tabs>
        <w:ind w:left="4320" w:hanging="360"/>
      </w:pPr>
    </w:lvl>
    <w:lvl w:ilvl="6" w:tplc="000F0409">
      <w:start w:val="1"/>
      <w:numFmt w:val="decimal"/>
      <w:lvlText w:val="%7."/>
      <w:lvlJc w:val="left"/>
      <w:pPr>
        <w:tabs>
          <w:tab w:val="num" w:pos="5040"/>
        </w:tabs>
        <w:ind w:left="5040" w:hanging="360"/>
      </w:pPr>
    </w:lvl>
    <w:lvl w:ilvl="7" w:tplc="00190409">
      <w:start w:val="1"/>
      <w:numFmt w:val="decimal"/>
      <w:lvlText w:val="%8."/>
      <w:lvlJc w:val="left"/>
      <w:pPr>
        <w:tabs>
          <w:tab w:val="num" w:pos="5760"/>
        </w:tabs>
        <w:ind w:left="5760" w:hanging="360"/>
      </w:pPr>
    </w:lvl>
    <w:lvl w:ilvl="8" w:tplc="001B0409">
      <w:start w:val="1"/>
      <w:numFmt w:val="decimal"/>
      <w:lvlText w:val="%9."/>
      <w:lvlJc w:val="left"/>
      <w:pPr>
        <w:tabs>
          <w:tab w:val="num" w:pos="6480"/>
        </w:tabs>
        <w:ind w:left="6480" w:hanging="36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68E6"/>
    <w:rsid w:val="000068E6"/>
    <w:rsid w:val="00117517"/>
    <w:rsid w:val="002639CB"/>
    <w:rsid w:val="002860A4"/>
    <w:rsid w:val="002F2176"/>
    <w:rsid w:val="004936AB"/>
    <w:rsid w:val="004E1EDD"/>
    <w:rsid w:val="00514827"/>
    <w:rsid w:val="00521CFF"/>
    <w:rsid w:val="00562977"/>
    <w:rsid w:val="005F1E4B"/>
    <w:rsid w:val="006A53B7"/>
    <w:rsid w:val="007B53A1"/>
    <w:rsid w:val="008B21A1"/>
    <w:rsid w:val="009C4B2F"/>
    <w:rsid w:val="00AC475B"/>
    <w:rsid w:val="00AF6E09"/>
    <w:rsid w:val="00B61714"/>
    <w:rsid w:val="00BC200F"/>
    <w:rsid w:val="00C01D4F"/>
    <w:rsid w:val="00C068FB"/>
    <w:rsid w:val="00DC4A32"/>
    <w:rsid w:val="00F87B9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68E6"/>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0068E6"/>
    <w:pPr>
      <w:tabs>
        <w:tab w:val="center" w:pos="4320"/>
        <w:tab w:val="right" w:pos="8640"/>
      </w:tabs>
    </w:pPr>
  </w:style>
  <w:style w:type="character" w:styleId="Nmerodepgina">
    <w:name w:val="page number"/>
    <w:basedOn w:val="Fuentedeprrafopredeter"/>
    <w:rsid w:val="000068E6"/>
  </w:style>
  <w:style w:type="paragraph" w:customStyle="1" w:styleId="Default">
    <w:name w:val="Default"/>
    <w:rsid w:val="000068E6"/>
    <w:pPr>
      <w:autoSpaceDE w:val="0"/>
      <w:autoSpaceDN w:val="0"/>
      <w:adjustRightInd w:val="0"/>
    </w:pPr>
    <w:rPr>
      <w:rFonts w:ascii="Arial" w:hAnsi="Arial" w:cs="Arial"/>
      <w:color w:val="000000"/>
      <w:sz w:val="24"/>
      <w:szCs w:val="24"/>
      <w:lang w:val="en-US" w:eastAsia="en-US"/>
    </w:rPr>
  </w:style>
  <w:style w:type="character" w:styleId="Hipervnculo">
    <w:name w:val="Hyperlink"/>
    <w:rsid w:val="000068E6"/>
    <w:rPr>
      <w:color w:val="0000FF"/>
      <w:u w:val="single"/>
    </w:rPr>
  </w:style>
  <w:style w:type="paragraph" w:styleId="Textoindependiente3">
    <w:name w:val="Body Text 3"/>
    <w:basedOn w:val="Normal"/>
    <w:rsid w:val="000068E6"/>
    <w:pPr>
      <w:spacing w:after="120"/>
    </w:pPr>
    <w:rPr>
      <w:noProof/>
      <w:sz w:val="16"/>
      <w:szCs w:val="16"/>
      <w:lang w:val="es-ES_tradnl" w:eastAsia="en-US"/>
    </w:rPr>
  </w:style>
  <w:style w:type="paragraph" w:styleId="Sangradetextonormal">
    <w:name w:val="Body Text Indent"/>
    <w:basedOn w:val="Normal"/>
    <w:rsid w:val="004E1EDD"/>
    <w:pPr>
      <w:spacing w:after="120"/>
      <w:ind w:left="360"/>
    </w:pPr>
    <w:rPr>
      <w:lang w:val="en-US" w:eastAsia="en-US"/>
    </w:rPr>
  </w:style>
  <w:style w:type="paragraph" w:styleId="Textonotapie">
    <w:name w:val="footnote text"/>
    <w:basedOn w:val="Normal"/>
    <w:semiHidden/>
    <w:rsid w:val="004E1EDD"/>
    <w:rPr>
      <w:sz w:val="20"/>
      <w:szCs w:val="20"/>
      <w:lang w:val="en-US" w:eastAsia="en-US"/>
    </w:rPr>
  </w:style>
  <w:style w:type="character" w:styleId="Refdenotaalpie">
    <w:name w:val="footnote reference"/>
    <w:semiHidden/>
    <w:rsid w:val="004E1E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1983</Words>
  <Characters>10907</Characters>
  <Application>Microsoft Office Word</Application>
  <DocSecurity>0</DocSecurity>
  <Lines>90</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OAS</Company>
  <LinksUpToDate>false</LinksUpToDate>
  <CharactersWithSpaces>12865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cla</dc:creator>
  <cp:lastModifiedBy>Usuario Autorizado</cp:lastModifiedBy>
  <cp:revision>3</cp:revision>
  <cp:lastPrinted>2018-03-16T20:52:00Z</cp:lastPrinted>
  <dcterms:created xsi:type="dcterms:W3CDTF">2018-03-16T20:52:00Z</dcterms:created>
  <dcterms:modified xsi:type="dcterms:W3CDTF">2018-03-16T20:52:00Z</dcterms:modified>
</cp:coreProperties>
</file>