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0C1F" w:rsidRPr="00B72210" w:rsidRDefault="00362A8C" w:rsidP="00E97A0E">
      <w:pPr>
        <w:suppressAutoHyphens/>
        <w:spacing w:after="0" w:line="240" w:lineRule="auto"/>
        <w:ind w:left="7200"/>
        <w:rPr>
          <w:rFonts w:ascii="Cambria" w:hAnsi="Cambria" w:cs="Arial"/>
          <w:b/>
          <w:lang w:val="es-CO"/>
        </w:rPr>
      </w:pPr>
      <w:bookmarkStart w:id="0" w:name="_GoBack"/>
      <w:bookmarkEnd w:id="0"/>
      <w:r w:rsidRPr="00B72210">
        <w:rPr>
          <w:rFonts w:ascii="Cambria" w:hAnsi="Cambria" w:cs="Arial"/>
          <w:lang w:val="es-CO"/>
        </w:rPr>
        <w:t>30</w:t>
      </w:r>
      <w:r w:rsidR="00945416" w:rsidRPr="00B72210">
        <w:rPr>
          <w:rFonts w:ascii="Cambria" w:hAnsi="Cambria" w:cs="Arial"/>
          <w:lang w:val="es-CO"/>
        </w:rPr>
        <w:t xml:space="preserve"> </w:t>
      </w:r>
      <w:r w:rsidR="00F00C1F" w:rsidRPr="00B72210">
        <w:rPr>
          <w:rFonts w:ascii="Cambria" w:hAnsi="Cambria" w:cs="Arial"/>
          <w:lang w:val="es-CO"/>
        </w:rPr>
        <w:t xml:space="preserve">de </w:t>
      </w:r>
      <w:r w:rsidRPr="00B72210">
        <w:rPr>
          <w:rFonts w:ascii="Cambria" w:hAnsi="Cambria" w:cs="Arial"/>
          <w:lang w:val="es-CO"/>
        </w:rPr>
        <w:t>noviembre</w:t>
      </w:r>
      <w:r w:rsidR="00F00C1F" w:rsidRPr="00B72210">
        <w:rPr>
          <w:rFonts w:ascii="Cambria" w:hAnsi="Cambria" w:cs="Arial"/>
          <w:lang w:val="es-CO"/>
        </w:rPr>
        <w:t xml:space="preserve"> de 2017</w:t>
      </w:r>
    </w:p>
    <w:p w:rsidR="00F00C1F" w:rsidRPr="00B72210" w:rsidRDefault="00F00C1F" w:rsidP="00F00C1F">
      <w:pPr>
        <w:tabs>
          <w:tab w:val="left" w:pos="720"/>
          <w:tab w:val="center" w:pos="6480"/>
        </w:tabs>
        <w:spacing w:after="0" w:line="240" w:lineRule="auto"/>
        <w:jc w:val="both"/>
        <w:rPr>
          <w:rFonts w:ascii="Cambria" w:hAnsi="Cambria" w:cs="Arial"/>
          <w:b/>
          <w:lang w:val="es-CO"/>
        </w:rPr>
      </w:pPr>
      <w:r w:rsidRPr="00B72210">
        <w:rPr>
          <w:rFonts w:ascii="Cambria" w:hAnsi="Cambria" w:cs="Arial"/>
          <w:b/>
          <w:lang w:val="es-CO"/>
        </w:rPr>
        <w:t>Ref.:</w:t>
      </w:r>
      <w:bookmarkStart w:id="1" w:name="Peticion_n"/>
      <w:bookmarkEnd w:id="1"/>
      <w:r w:rsidRPr="00B72210">
        <w:rPr>
          <w:rFonts w:ascii="Cambria" w:hAnsi="Cambria" w:cs="Arial"/>
          <w:b/>
          <w:lang w:val="es-CO"/>
        </w:rPr>
        <w:tab/>
        <w:t xml:space="preserve">Caso No. </w:t>
      </w:r>
      <w:r w:rsidR="001E752A" w:rsidRPr="00B72210">
        <w:rPr>
          <w:rFonts w:ascii="Cambria" w:hAnsi="Cambria"/>
          <w:b/>
          <w:lang w:val="es-CO"/>
        </w:rPr>
        <w:t>11</w:t>
      </w:r>
      <w:r w:rsidRPr="00B72210">
        <w:rPr>
          <w:rFonts w:ascii="Cambria" w:hAnsi="Cambria"/>
          <w:b/>
          <w:lang w:val="es-CO"/>
        </w:rPr>
        <w:t>.</w:t>
      </w:r>
      <w:r w:rsidR="001E752A" w:rsidRPr="00B72210">
        <w:rPr>
          <w:rFonts w:ascii="Cambria" w:hAnsi="Cambria"/>
          <w:b/>
          <w:lang w:val="es-CO"/>
        </w:rPr>
        <w:t>686</w:t>
      </w:r>
    </w:p>
    <w:p w:rsidR="00F00C1F" w:rsidRPr="00B72210" w:rsidRDefault="001E752A" w:rsidP="00F00C1F">
      <w:pPr>
        <w:tabs>
          <w:tab w:val="left" w:pos="720"/>
          <w:tab w:val="center" w:pos="6480"/>
        </w:tabs>
        <w:spacing w:after="0" w:line="240" w:lineRule="auto"/>
        <w:ind w:left="720"/>
        <w:jc w:val="both"/>
        <w:rPr>
          <w:rFonts w:ascii="Cambria" w:hAnsi="Cambria" w:cs="Arial"/>
          <w:b/>
          <w:lang w:val="pt-BR"/>
        </w:rPr>
      </w:pPr>
      <w:r w:rsidRPr="00B72210">
        <w:rPr>
          <w:rFonts w:ascii="Cambria" w:hAnsi="Cambria" w:cs="Arial"/>
          <w:b/>
          <w:lang w:val="pt-BR"/>
        </w:rPr>
        <w:t>Roberto Girón y Pedro Castillo Mendoza</w:t>
      </w:r>
      <w:r w:rsidR="00F00C1F" w:rsidRPr="00B72210">
        <w:rPr>
          <w:rFonts w:ascii="Cambria" w:hAnsi="Cambria" w:cs="Arial"/>
          <w:b/>
          <w:lang w:val="pt-BR"/>
        </w:rPr>
        <w:t xml:space="preserve"> </w:t>
      </w:r>
    </w:p>
    <w:p w:rsidR="00F00C1F" w:rsidRPr="00B72210" w:rsidRDefault="00362A8C" w:rsidP="00F00C1F">
      <w:pPr>
        <w:tabs>
          <w:tab w:val="left" w:pos="720"/>
          <w:tab w:val="center" w:pos="6480"/>
        </w:tabs>
        <w:spacing w:after="0" w:line="240" w:lineRule="auto"/>
        <w:ind w:left="720"/>
        <w:jc w:val="both"/>
        <w:rPr>
          <w:rFonts w:ascii="Cambria" w:hAnsi="Cambria" w:cs="Arial"/>
          <w:b/>
          <w:lang w:val="es-ES_tradnl"/>
        </w:rPr>
      </w:pPr>
      <w:r w:rsidRPr="00B72210">
        <w:rPr>
          <w:rFonts w:ascii="Cambria" w:hAnsi="Cambria" w:cs="Arial"/>
          <w:b/>
          <w:lang w:val="es-ES_tradnl"/>
        </w:rPr>
        <w:t>Guatemala</w:t>
      </w:r>
    </w:p>
    <w:p w:rsidR="00F00C1F" w:rsidRPr="00B72210" w:rsidRDefault="00F00C1F" w:rsidP="00F00C1F">
      <w:pPr>
        <w:tabs>
          <w:tab w:val="left" w:pos="720"/>
          <w:tab w:val="center" w:pos="6480"/>
        </w:tabs>
        <w:spacing w:after="0" w:line="240" w:lineRule="auto"/>
        <w:jc w:val="both"/>
        <w:rPr>
          <w:rFonts w:ascii="Cambria" w:hAnsi="Cambria" w:cs="Arial"/>
          <w:lang w:val="es-PE"/>
        </w:rPr>
      </w:pPr>
    </w:p>
    <w:p w:rsidR="00F00C1F" w:rsidRPr="00B72210" w:rsidRDefault="00F00C1F" w:rsidP="00F00C1F">
      <w:pPr>
        <w:tabs>
          <w:tab w:val="left" w:pos="720"/>
          <w:tab w:val="center" w:pos="6480"/>
        </w:tabs>
        <w:spacing w:after="0" w:line="240" w:lineRule="auto"/>
        <w:jc w:val="both"/>
        <w:rPr>
          <w:rFonts w:ascii="Cambria" w:hAnsi="Cambria" w:cs="Arial"/>
          <w:lang w:val="es-PE"/>
        </w:rPr>
      </w:pPr>
      <w:r w:rsidRPr="00B72210">
        <w:rPr>
          <w:rFonts w:ascii="Cambria" w:hAnsi="Cambria" w:cs="Arial"/>
          <w:lang w:val="es-PE"/>
        </w:rPr>
        <w:t>Señor Secretario:</w:t>
      </w:r>
    </w:p>
    <w:p w:rsidR="00F00C1F" w:rsidRPr="00B72210" w:rsidRDefault="00F00C1F" w:rsidP="00F00C1F">
      <w:pPr>
        <w:spacing w:after="0" w:line="240" w:lineRule="auto"/>
        <w:rPr>
          <w:rFonts w:ascii="Cambria" w:hAnsi="Cambria" w:cs="Arial"/>
          <w:lang w:val="es-CO"/>
        </w:rPr>
      </w:pPr>
    </w:p>
    <w:p w:rsidR="001E752A" w:rsidRPr="00B72210" w:rsidRDefault="00F00C1F" w:rsidP="001E752A">
      <w:pPr>
        <w:widowControl w:val="0"/>
        <w:autoSpaceDE w:val="0"/>
        <w:autoSpaceDN w:val="0"/>
        <w:adjustRightInd w:val="0"/>
        <w:spacing w:after="0" w:line="240" w:lineRule="auto"/>
        <w:ind w:firstLine="720"/>
        <w:jc w:val="both"/>
        <w:rPr>
          <w:rFonts w:ascii="Cambria" w:hAnsi="Cambria" w:cs="Arial"/>
          <w:lang w:val="es-CO"/>
        </w:rPr>
      </w:pPr>
      <w:r w:rsidRPr="00B72210">
        <w:rPr>
          <w:rFonts w:ascii="Cambria" w:hAnsi="Cambria"/>
          <w:lang w:val="es-CO"/>
        </w:rPr>
        <w:t>Tengo el agrado de dirigirme a usted, en nombre de la Comisión Interamericana de Derechos Humanos, con el objeto</w:t>
      </w:r>
      <w:r w:rsidRPr="00B72210">
        <w:rPr>
          <w:rFonts w:ascii="Cambria" w:hAnsi="Cambria" w:cs="Arial"/>
          <w:lang w:val="es-CO"/>
        </w:rPr>
        <w:t xml:space="preserve"> de someter a la jurisdicción de la Honorable Corte Interamericana de</w:t>
      </w:r>
      <w:r w:rsidR="001E752A" w:rsidRPr="00B72210">
        <w:rPr>
          <w:rFonts w:ascii="Cambria" w:hAnsi="Cambria" w:cs="Arial"/>
          <w:lang w:val="es-CO"/>
        </w:rPr>
        <w:t xml:space="preserve"> Derechos Humanos, el Caso Nº 11</w:t>
      </w:r>
      <w:r w:rsidRPr="00B72210">
        <w:rPr>
          <w:rFonts w:ascii="Cambria" w:hAnsi="Cambria" w:cs="Arial"/>
          <w:lang w:val="es-CO"/>
        </w:rPr>
        <w:t>.</w:t>
      </w:r>
      <w:r w:rsidR="001E752A" w:rsidRPr="00B72210">
        <w:rPr>
          <w:rFonts w:ascii="Cambria" w:hAnsi="Cambria" w:cs="Arial"/>
          <w:lang w:val="es-CO"/>
        </w:rPr>
        <w:t>686</w:t>
      </w:r>
      <w:r w:rsidRPr="00B72210">
        <w:rPr>
          <w:rFonts w:ascii="Cambria" w:hAnsi="Cambria" w:cs="Arial"/>
          <w:lang w:val="es-CO"/>
        </w:rPr>
        <w:t xml:space="preserve"> – </w:t>
      </w:r>
      <w:r w:rsidR="001E752A" w:rsidRPr="00B72210">
        <w:rPr>
          <w:rFonts w:ascii="Cambria" w:hAnsi="Cambria" w:cs="Arial"/>
          <w:lang w:val="es-CO"/>
        </w:rPr>
        <w:t>Roberto Girón y Pedro Castillo Mendoza</w:t>
      </w:r>
      <w:r w:rsidRPr="00B72210">
        <w:rPr>
          <w:rFonts w:ascii="Cambria" w:hAnsi="Cambria" w:cs="Arial"/>
          <w:lang w:val="es-CO"/>
        </w:rPr>
        <w:t xml:space="preserve"> respecto de la República de </w:t>
      </w:r>
      <w:r w:rsidR="00362A8C" w:rsidRPr="00B72210">
        <w:rPr>
          <w:rFonts w:ascii="Cambria" w:hAnsi="Cambria" w:cs="Arial"/>
          <w:lang w:val="es-CO"/>
        </w:rPr>
        <w:t>Guatemala</w:t>
      </w:r>
      <w:r w:rsidRPr="00B72210">
        <w:rPr>
          <w:rFonts w:ascii="Cambria" w:hAnsi="Cambria" w:cs="Arial"/>
          <w:lang w:val="es-CO"/>
        </w:rPr>
        <w:t xml:space="preserve"> (en adelante</w:t>
      </w:r>
      <w:r w:rsidR="00362A8C" w:rsidRPr="00B72210">
        <w:rPr>
          <w:rFonts w:ascii="Cambria" w:hAnsi="Cambria" w:cs="Arial"/>
          <w:lang w:val="es-CO"/>
        </w:rPr>
        <w:t xml:space="preserve"> “el Estado”, “el Estado guatemalteco</w:t>
      </w:r>
      <w:r w:rsidRPr="00B72210">
        <w:rPr>
          <w:rFonts w:ascii="Cambria" w:hAnsi="Cambria" w:cs="Arial"/>
          <w:lang w:val="es-CO"/>
        </w:rPr>
        <w:t>” o “</w:t>
      </w:r>
      <w:r w:rsidR="001E752A" w:rsidRPr="00B72210">
        <w:rPr>
          <w:rFonts w:ascii="Cambria" w:hAnsi="Cambria" w:cs="Arial"/>
          <w:lang w:val="es-CO"/>
        </w:rPr>
        <w:t xml:space="preserve">Guatemala”). </w:t>
      </w:r>
    </w:p>
    <w:p w:rsidR="001E752A" w:rsidRPr="00B72210" w:rsidRDefault="001E752A" w:rsidP="001E752A">
      <w:pPr>
        <w:widowControl w:val="0"/>
        <w:autoSpaceDE w:val="0"/>
        <w:autoSpaceDN w:val="0"/>
        <w:adjustRightInd w:val="0"/>
        <w:spacing w:after="0" w:line="240" w:lineRule="auto"/>
        <w:ind w:firstLine="720"/>
        <w:jc w:val="both"/>
        <w:rPr>
          <w:rFonts w:ascii="Cambria" w:hAnsi="Cambria" w:cs="Arial"/>
          <w:lang w:val="es-CO"/>
        </w:rPr>
      </w:pPr>
    </w:p>
    <w:p w:rsidR="001E752A" w:rsidRPr="00B72210" w:rsidRDefault="001E752A" w:rsidP="001E752A">
      <w:pPr>
        <w:widowControl w:val="0"/>
        <w:autoSpaceDE w:val="0"/>
        <w:autoSpaceDN w:val="0"/>
        <w:adjustRightInd w:val="0"/>
        <w:spacing w:after="0" w:line="240" w:lineRule="auto"/>
        <w:ind w:firstLine="720"/>
        <w:jc w:val="both"/>
        <w:rPr>
          <w:rFonts w:ascii="Cambria" w:hAnsi="Cambria" w:cs="Arial"/>
          <w:lang w:val="es-CO"/>
        </w:rPr>
      </w:pPr>
      <w:r w:rsidRPr="00B72210">
        <w:rPr>
          <w:rFonts w:ascii="Cambria" w:hAnsi="Cambria"/>
          <w:lang w:val="es-ES"/>
        </w:rPr>
        <w:t>El presente caso se relaciona con una serie de violaciones al debido proceso cometidas en el marco del proceso penal contra las víctimas por los delitos de violación y asesinato que culminó en su condena a la pena de muerte, y sus ejecuciones por medio de un pelotón de fusilamiento televisado.</w:t>
      </w:r>
    </w:p>
    <w:p w:rsidR="00362A8C" w:rsidRPr="00B72210" w:rsidRDefault="00362A8C" w:rsidP="001E752A">
      <w:pPr>
        <w:spacing w:after="0" w:line="240" w:lineRule="auto"/>
        <w:jc w:val="both"/>
        <w:rPr>
          <w:rFonts w:ascii="Cambria" w:hAnsi="Cambria"/>
          <w:lang w:val="es-ES"/>
        </w:rPr>
      </w:pPr>
    </w:p>
    <w:p w:rsidR="001E752A" w:rsidRPr="00B72210" w:rsidRDefault="001E752A" w:rsidP="000E6991">
      <w:pPr>
        <w:spacing w:after="0" w:line="240" w:lineRule="auto"/>
        <w:ind w:firstLine="720"/>
        <w:jc w:val="both"/>
        <w:rPr>
          <w:rFonts w:ascii="Cambria" w:hAnsi="Cambria"/>
          <w:lang w:val="es-ES"/>
        </w:rPr>
      </w:pPr>
      <w:r w:rsidRPr="00B72210">
        <w:rPr>
          <w:rFonts w:ascii="Cambria" w:hAnsi="Cambria"/>
          <w:lang w:val="es-ES"/>
        </w:rPr>
        <w:t>La Comisión determinó que el Estado violó los derechos de las v</w:t>
      </w:r>
      <w:r w:rsidR="000E6991" w:rsidRPr="00B72210">
        <w:rPr>
          <w:rFonts w:ascii="Cambria" w:hAnsi="Cambria"/>
          <w:lang w:val="es-ES"/>
        </w:rPr>
        <w:t>í</w:t>
      </w:r>
      <w:r w:rsidRPr="00B72210">
        <w:rPr>
          <w:rFonts w:ascii="Cambria" w:hAnsi="Cambria"/>
          <w:lang w:val="es-ES"/>
        </w:rPr>
        <w:t>ctimas al tiempo los medios adecuados para la defensa y a ser asistido por un defensor proporcionado por el Estado, porque en al menos tres diligencias de importancia fundamental para el proceso, las víctimas no contaron con abogado defensor, lo cual tuvo un impacto en el proceso tomando en cuenta que en una de dichas diligencias las</w:t>
      </w:r>
      <w:r w:rsidR="000E6991" w:rsidRPr="00B72210">
        <w:rPr>
          <w:rFonts w:ascii="Cambria" w:hAnsi="Cambria"/>
          <w:lang w:val="es-ES"/>
        </w:rPr>
        <w:t xml:space="preserve"> víctimas hicieron confesiones. </w:t>
      </w:r>
      <w:r w:rsidRPr="00B72210">
        <w:rPr>
          <w:rFonts w:ascii="Cambria" w:hAnsi="Cambria"/>
          <w:lang w:val="es-ES"/>
        </w:rPr>
        <w:t>Asimismo, los defensor</w:t>
      </w:r>
      <w:r w:rsidR="002F6B6D" w:rsidRPr="00B72210">
        <w:rPr>
          <w:rFonts w:ascii="Cambria" w:hAnsi="Cambria"/>
          <w:lang w:val="es-ES"/>
        </w:rPr>
        <w:t>es</w:t>
      </w:r>
      <w:r w:rsidRPr="00B72210">
        <w:rPr>
          <w:rFonts w:ascii="Cambria" w:hAnsi="Cambria"/>
          <w:lang w:val="es-ES"/>
        </w:rPr>
        <w:t xml:space="preserve"> de oficio designados con posterioridad, eran estudiantes de derecho, sin la suficiente experiencia y capacitación para casos de pena de muerte. Por otra parte, la CIDH concluyó que el método de ejecución de la pena de muerte a través de un pelotón de fusilamiento resultó incompatible con el derecho a la integridad personal y la prohibición de tortura porque el mismo no está diseñado para ocasionar el menor sufrimiento físico posible como exigen los estándares internacionales</w:t>
      </w:r>
      <w:r w:rsidR="007B3224" w:rsidRPr="00B72210">
        <w:rPr>
          <w:rFonts w:ascii="Cambria" w:hAnsi="Cambria"/>
          <w:lang w:val="es-ES"/>
        </w:rPr>
        <w:t>. Esto</w:t>
      </w:r>
      <w:r w:rsidRPr="00B72210">
        <w:rPr>
          <w:rFonts w:ascii="Cambria" w:hAnsi="Cambria"/>
          <w:lang w:val="es-ES"/>
        </w:rPr>
        <w:t xml:space="preserve"> quedó demostrado en el caso en el que una de las víctimas no falleció en la primera descarga de balas,</w:t>
      </w:r>
      <w:r w:rsidR="00962E85" w:rsidRPr="00B72210">
        <w:rPr>
          <w:rFonts w:ascii="Cambria" w:hAnsi="Cambria"/>
          <w:lang w:val="es-ES"/>
        </w:rPr>
        <w:t xml:space="preserve"> por lo que un </w:t>
      </w:r>
      <w:r w:rsidRPr="00B72210">
        <w:rPr>
          <w:rFonts w:ascii="Cambria" w:hAnsi="Cambria"/>
          <w:lang w:val="es-ES"/>
        </w:rPr>
        <w:t xml:space="preserve">miembro del pelotón se acercó a darle un tiro de gracia. </w:t>
      </w:r>
    </w:p>
    <w:p w:rsidR="004A6C5F" w:rsidRPr="00B72210" w:rsidRDefault="004A6C5F" w:rsidP="001E752A">
      <w:pPr>
        <w:spacing w:after="0" w:line="240" w:lineRule="auto"/>
        <w:ind w:firstLine="720"/>
        <w:jc w:val="both"/>
        <w:rPr>
          <w:rFonts w:ascii="Cambria" w:hAnsi="Cambria"/>
          <w:lang w:val="es-ES"/>
        </w:rPr>
      </w:pPr>
    </w:p>
    <w:p w:rsidR="001E752A" w:rsidRPr="00B72210" w:rsidRDefault="001E752A" w:rsidP="001E752A">
      <w:pPr>
        <w:spacing w:after="0" w:line="240" w:lineRule="auto"/>
        <w:ind w:firstLine="720"/>
        <w:jc w:val="both"/>
        <w:rPr>
          <w:rFonts w:ascii="Cambria" w:hAnsi="Cambria"/>
          <w:lang w:val="es-ES"/>
        </w:rPr>
      </w:pPr>
      <w:r w:rsidRPr="00B72210">
        <w:rPr>
          <w:rFonts w:ascii="Cambria" w:hAnsi="Cambria"/>
          <w:lang w:val="es-ES"/>
        </w:rPr>
        <w:t xml:space="preserve">La CIDH también notó que las ejecuciones fueron televisadas para exponer al escarnio público a las víctimas, y que esto en su conjunto violó los artículos 1 y 6 de la Convención Interamericana para Prevenir y Sancionar la Tortura y el derecho a la integridad personal contemplado en la Convención Americana. Finalmente, la CIDH determinó que el Estado violó el derecho a la vida por haber impuesto la pena de muerte tras un proceso en el que se vulneró el derecho de defensa técnica adecuada. </w:t>
      </w:r>
    </w:p>
    <w:p w:rsidR="000D2220" w:rsidRPr="00B72210" w:rsidRDefault="000D2220" w:rsidP="000D2220">
      <w:pPr>
        <w:spacing w:after="0" w:line="240" w:lineRule="auto"/>
        <w:ind w:firstLine="720"/>
        <w:jc w:val="both"/>
        <w:rPr>
          <w:rFonts w:ascii="Cambria" w:hAnsi="Cambria"/>
          <w:lang w:val="es-CO"/>
        </w:rPr>
      </w:pPr>
    </w:p>
    <w:p w:rsidR="001E752A" w:rsidRPr="00B72210" w:rsidRDefault="001E752A" w:rsidP="000D2220">
      <w:pPr>
        <w:spacing w:after="0" w:line="240" w:lineRule="auto"/>
        <w:ind w:firstLine="720"/>
        <w:jc w:val="both"/>
        <w:rPr>
          <w:rFonts w:ascii="Cambria" w:hAnsi="Cambria"/>
          <w:lang w:val="es-CO"/>
        </w:rPr>
      </w:pPr>
    </w:p>
    <w:p w:rsidR="000D2220" w:rsidRPr="00B72210" w:rsidRDefault="000D2220" w:rsidP="000D2220">
      <w:pPr>
        <w:spacing w:after="0" w:line="240" w:lineRule="auto"/>
        <w:ind w:firstLine="720"/>
        <w:jc w:val="both"/>
        <w:rPr>
          <w:rFonts w:ascii="Cambria" w:hAnsi="Cambria"/>
          <w:lang w:val="es-CO"/>
        </w:rPr>
      </w:pPr>
    </w:p>
    <w:p w:rsidR="000D2220" w:rsidRPr="00B72210" w:rsidRDefault="000D2220" w:rsidP="000D2220">
      <w:pPr>
        <w:spacing w:after="0" w:line="240" w:lineRule="auto"/>
        <w:jc w:val="both"/>
        <w:rPr>
          <w:rFonts w:ascii="Cambria" w:hAnsi="Cambria" w:cs="Arial"/>
          <w:snapToGrid w:val="0"/>
          <w:lang w:val="es-CO"/>
        </w:rPr>
      </w:pPr>
      <w:r w:rsidRPr="00B72210">
        <w:rPr>
          <w:rFonts w:ascii="Cambria" w:hAnsi="Cambria" w:cs="Arial"/>
          <w:snapToGrid w:val="0"/>
          <w:lang w:val="es-CO"/>
        </w:rPr>
        <w:t>Señor</w:t>
      </w:r>
    </w:p>
    <w:p w:rsidR="000D2220" w:rsidRPr="00B72210" w:rsidRDefault="000D2220" w:rsidP="000D2220">
      <w:pPr>
        <w:suppressAutoHyphens/>
        <w:spacing w:after="0" w:line="240" w:lineRule="auto"/>
        <w:rPr>
          <w:rFonts w:ascii="Cambria" w:hAnsi="Cambria" w:cs="Arial"/>
          <w:snapToGrid w:val="0"/>
          <w:lang w:val="es-CO"/>
        </w:rPr>
      </w:pPr>
      <w:r w:rsidRPr="00B72210">
        <w:rPr>
          <w:rFonts w:ascii="Cambria" w:hAnsi="Cambria" w:cs="Arial"/>
          <w:snapToGrid w:val="0"/>
          <w:lang w:val="es-CO"/>
        </w:rPr>
        <w:t>Pablo Saavedra Alessandri, Secretario</w:t>
      </w:r>
    </w:p>
    <w:p w:rsidR="000D2220" w:rsidRPr="00B72210" w:rsidRDefault="000D2220" w:rsidP="000D2220">
      <w:pPr>
        <w:suppressAutoHyphens/>
        <w:spacing w:after="0" w:line="240" w:lineRule="auto"/>
        <w:rPr>
          <w:rFonts w:ascii="Cambria" w:hAnsi="Cambria" w:cs="Arial"/>
          <w:snapToGrid w:val="0"/>
          <w:lang w:val="es-ES_tradnl"/>
        </w:rPr>
      </w:pPr>
      <w:r w:rsidRPr="00B72210">
        <w:rPr>
          <w:rFonts w:ascii="Cambria" w:hAnsi="Cambria" w:cs="Arial"/>
          <w:snapToGrid w:val="0"/>
          <w:lang w:val="es-ES_tradnl"/>
        </w:rPr>
        <w:t>Corte Interamericana de Derechos Humanos</w:t>
      </w:r>
    </w:p>
    <w:p w:rsidR="000D2220" w:rsidRPr="00B72210" w:rsidRDefault="000D2220" w:rsidP="000D2220">
      <w:pPr>
        <w:suppressAutoHyphens/>
        <w:spacing w:after="0" w:line="240" w:lineRule="auto"/>
        <w:rPr>
          <w:rFonts w:ascii="Cambria" w:hAnsi="Cambria" w:cs="Arial"/>
          <w:snapToGrid w:val="0"/>
          <w:lang w:val="es-ES_tradnl"/>
        </w:rPr>
      </w:pPr>
      <w:r w:rsidRPr="00B72210">
        <w:rPr>
          <w:rFonts w:ascii="Cambria" w:hAnsi="Cambria" w:cs="Arial"/>
          <w:snapToGrid w:val="0"/>
          <w:lang w:val="es-ES_tradnl"/>
        </w:rPr>
        <w:t>Apartado 6906-1000</w:t>
      </w:r>
    </w:p>
    <w:p w:rsidR="000D2220" w:rsidRPr="00B72210" w:rsidRDefault="000D2220" w:rsidP="000D2220">
      <w:pPr>
        <w:suppressAutoHyphens/>
        <w:spacing w:after="0" w:line="240" w:lineRule="auto"/>
        <w:rPr>
          <w:rFonts w:ascii="Cambria" w:hAnsi="Cambria" w:cs="Arial"/>
          <w:snapToGrid w:val="0"/>
          <w:lang w:val="es-ES_tradnl"/>
        </w:rPr>
      </w:pPr>
      <w:r w:rsidRPr="00B72210">
        <w:rPr>
          <w:rFonts w:ascii="Cambria" w:hAnsi="Cambria" w:cs="Arial"/>
          <w:snapToGrid w:val="0"/>
          <w:lang w:val="es-ES_tradnl"/>
        </w:rPr>
        <w:t>San José, Costa Rica</w:t>
      </w:r>
    </w:p>
    <w:p w:rsidR="000D2220" w:rsidRPr="00B72210" w:rsidRDefault="000D2220" w:rsidP="000D2220">
      <w:pPr>
        <w:spacing w:after="0" w:line="240" w:lineRule="auto"/>
        <w:ind w:firstLine="720"/>
        <w:jc w:val="both"/>
        <w:rPr>
          <w:rFonts w:ascii="Cambria" w:hAnsi="Cambria"/>
          <w:lang w:val="es-CO"/>
        </w:rPr>
      </w:pPr>
    </w:p>
    <w:p w:rsidR="000D2220" w:rsidRPr="00B72210" w:rsidRDefault="000D2220" w:rsidP="000D2220">
      <w:pPr>
        <w:spacing w:after="0" w:line="240" w:lineRule="auto"/>
        <w:ind w:firstLine="720"/>
        <w:jc w:val="both"/>
        <w:rPr>
          <w:rFonts w:ascii="Cambria" w:hAnsi="Cambria"/>
          <w:lang w:val="es-CO"/>
        </w:rPr>
      </w:pPr>
    </w:p>
    <w:p w:rsidR="001E752A" w:rsidRPr="00B72210" w:rsidRDefault="001E752A" w:rsidP="000D2220">
      <w:pPr>
        <w:spacing w:after="0" w:line="240" w:lineRule="auto"/>
        <w:ind w:firstLine="720"/>
        <w:jc w:val="both"/>
        <w:rPr>
          <w:rFonts w:ascii="Cambria" w:hAnsi="Cambria"/>
          <w:lang w:val="es-CO"/>
        </w:rPr>
      </w:pPr>
    </w:p>
    <w:p w:rsidR="00F00C1F" w:rsidRPr="00B72210" w:rsidRDefault="00F00C1F" w:rsidP="000D2220">
      <w:pPr>
        <w:widowControl w:val="0"/>
        <w:autoSpaceDE w:val="0"/>
        <w:autoSpaceDN w:val="0"/>
        <w:adjustRightInd w:val="0"/>
        <w:spacing w:after="0" w:line="240" w:lineRule="auto"/>
        <w:jc w:val="both"/>
        <w:rPr>
          <w:rFonts w:ascii="Cambria" w:eastAsia="Times New Roman" w:hAnsi="Cambria"/>
          <w:color w:val="000000"/>
          <w:u w:color="000000"/>
          <w:lang w:val="es-VE" w:eastAsia="es-ES"/>
        </w:rPr>
      </w:pPr>
    </w:p>
    <w:p w:rsidR="00F00C1F" w:rsidRPr="00B72210" w:rsidRDefault="00F00C1F" w:rsidP="00F00C1F">
      <w:pPr>
        <w:widowControl w:val="0"/>
        <w:autoSpaceDE w:val="0"/>
        <w:autoSpaceDN w:val="0"/>
        <w:adjustRightInd w:val="0"/>
        <w:spacing w:after="0" w:line="240" w:lineRule="auto"/>
        <w:ind w:firstLine="720"/>
        <w:jc w:val="both"/>
        <w:rPr>
          <w:rFonts w:ascii="Cambria" w:hAnsi="Cambria" w:cs="Arial"/>
          <w:lang w:val="es-CO"/>
        </w:rPr>
      </w:pPr>
      <w:r w:rsidRPr="00B72210">
        <w:rPr>
          <w:rFonts w:ascii="Cambria" w:hAnsi="Cambria" w:cs="Arial"/>
          <w:lang w:val="es-CO"/>
        </w:rPr>
        <w:t xml:space="preserve">El Estado </w:t>
      </w:r>
      <w:r w:rsidR="0033777E" w:rsidRPr="00B72210">
        <w:rPr>
          <w:rFonts w:ascii="Cambria" w:hAnsi="Cambria" w:cs="Arial"/>
          <w:lang w:val="es-CO"/>
        </w:rPr>
        <w:t xml:space="preserve">guatemalteco </w:t>
      </w:r>
      <w:r w:rsidRPr="00B72210">
        <w:rPr>
          <w:rFonts w:ascii="Cambria" w:hAnsi="Cambria" w:cs="Arial"/>
          <w:lang w:val="es-CO"/>
        </w:rPr>
        <w:t>ratificó la Convención Ameri</w:t>
      </w:r>
      <w:r w:rsidR="0033777E" w:rsidRPr="00B72210">
        <w:rPr>
          <w:rFonts w:ascii="Cambria" w:hAnsi="Cambria" w:cs="Arial"/>
          <w:lang w:val="es-CO"/>
        </w:rPr>
        <w:t xml:space="preserve">cana sobre Derechos Humanos el </w:t>
      </w:r>
      <w:r w:rsidRPr="00B72210">
        <w:rPr>
          <w:rFonts w:ascii="Cambria" w:hAnsi="Cambria" w:cs="Arial"/>
          <w:lang w:val="es-CO"/>
        </w:rPr>
        <w:t>2</w:t>
      </w:r>
      <w:r w:rsidR="0033777E" w:rsidRPr="00B72210">
        <w:rPr>
          <w:rFonts w:ascii="Cambria" w:hAnsi="Cambria" w:cs="Arial"/>
          <w:lang w:val="es-CO"/>
        </w:rPr>
        <w:t>5 de mayo</w:t>
      </w:r>
      <w:r w:rsidRPr="00B72210">
        <w:rPr>
          <w:rFonts w:ascii="Cambria" w:hAnsi="Cambria" w:cs="Arial"/>
          <w:lang w:val="es-CO"/>
        </w:rPr>
        <w:t xml:space="preserve"> de 1978 y aceptó la competencia contenciosa de la Corte</w:t>
      </w:r>
      <w:r w:rsidR="0033777E" w:rsidRPr="00B72210">
        <w:rPr>
          <w:rFonts w:ascii="Cambria" w:hAnsi="Cambria" w:cs="Arial"/>
          <w:lang w:val="es-CO"/>
        </w:rPr>
        <w:t xml:space="preserve"> Interamericana el 9</w:t>
      </w:r>
      <w:r w:rsidRPr="00B72210">
        <w:rPr>
          <w:rFonts w:ascii="Cambria" w:hAnsi="Cambria" w:cs="Arial"/>
          <w:lang w:val="es-CO"/>
        </w:rPr>
        <w:t xml:space="preserve"> de </w:t>
      </w:r>
      <w:r w:rsidR="0033777E" w:rsidRPr="00B72210">
        <w:rPr>
          <w:rFonts w:ascii="Cambria" w:hAnsi="Cambria" w:cs="Arial"/>
          <w:lang w:val="es-CO"/>
        </w:rPr>
        <w:t>marzo de 1987</w:t>
      </w:r>
      <w:r w:rsidRPr="00B72210">
        <w:rPr>
          <w:rFonts w:ascii="Cambria" w:hAnsi="Cambria" w:cs="Arial"/>
          <w:lang w:val="es-CO"/>
        </w:rPr>
        <w:t xml:space="preserve">.  </w:t>
      </w:r>
    </w:p>
    <w:p w:rsidR="00F00C1F" w:rsidRPr="00B72210" w:rsidRDefault="00F00C1F" w:rsidP="00F00C1F">
      <w:pPr>
        <w:spacing w:after="0" w:line="240" w:lineRule="auto"/>
        <w:jc w:val="both"/>
        <w:rPr>
          <w:rFonts w:ascii="Cambria" w:hAnsi="Cambria" w:cs="Arial"/>
          <w:snapToGrid w:val="0"/>
          <w:lang w:val="es-CO"/>
        </w:rPr>
      </w:pPr>
    </w:p>
    <w:p w:rsidR="00F00C1F" w:rsidRPr="00B72210" w:rsidRDefault="00F00C1F" w:rsidP="00F00C1F">
      <w:pPr>
        <w:widowControl w:val="0"/>
        <w:autoSpaceDE w:val="0"/>
        <w:autoSpaceDN w:val="0"/>
        <w:adjustRightInd w:val="0"/>
        <w:spacing w:after="0" w:line="240" w:lineRule="auto"/>
        <w:ind w:firstLine="720"/>
        <w:jc w:val="both"/>
        <w:rPr>
          <w:rFonts w:ascii="Cambria" w:hAnsi="Cambria" w:cs="Arial"/>
          <w:lang w:val="es-CO"/>
        </w:rPr>
      </w:pPr>
      <w:r w:rsidRPr="00B72210">
        <w:rPr>
          <w:rFonts w:ascii="Cambria" w:hAnsi="Cambria"/>
          <w:lang w:val="es-CO"/>
        </w:rPr>
        <w:t xml:space="preserve">La Comisión ha designado al Comisionado </w:t>
      </w:r>
      <w:r w:rsidR="0033777E" w:rsidRPr="00B72210">
        <w:rPr>
          <w:rFonts w:ascii="Cambria" w:hAnsi="Cambria"/>
          <w:lang w:val="es-CO"/>
        </w:rPr>
        <w:t>Luis Ernesto Vargas Silva</w:t>
      </w:r>
      <w:r w:rsidRPr="00B72210">
        <w:rPr>
          <w:rFonts w:ascii="Cambria" w:hAnsi="Cambria"/>
          <w:lang w:val="es-CO"/>
        </w:rPr>
        <w:t xml:space="preserve"> y al Secretario Ejecutivo Paulo Abrão, como </w:t>
      </w:r>
      <w:r w:rsidRPr="00B72210">
        <w:rPr>
          <w:rFonts w:ascii="Cambria" w:hAnsi="Cambria" w:cs="Arial"/>
          <w:lang w:val="es-CO"/>
        </w:rPr>
        <w:t>sus</w:t>
      </w:r>
      <w:r w:rsidRPr="00B72210">
        <w:rPr>
          <w:rFonts w:ascii="Cambria" w:hAnsi="Cambria"/>
          <w:lang w:val="es-CO"/>
        </w:rPr>
        <w:t xml:space="preserve"> delegados. Asimismo, Elizabeth Abi-Mershed</w:t>
      </w:r>
      <w:r w:rsidR="001E752A" w:rsidRPr="00B72210">
        <w:rPr>
          <w:rFonts w:ascii="Cambria" w:hAnsi="Cambria"/>
          <w:lang w:val="es-CO"/>
        </w:rPr>
        <w:t xml:space="preserve">, Secretaria Ejecutiva Adjunta, </w:t>
      </w:r>
      <w:r w:rsidRPr="00B72210">
        <w:rPr>
          <w:rFonts w:ascii="Cambria" w:hAnsi="Cambria"/>
          <w:lang w:val="es-CO"/>
        </w:rPr>
        <w:t>Silvia Serrano Guzmán</w:t>
      </w:r>
      <w:r w:rsidR="001E752A" w:rsidRPr="00B72210">
        <w:rPr>
          <w:rFonts w:ascii="Cambria" w:hAnsi="Cambria"/>
          <w:lang w:val="es-CO"/>
        </w:rPr>
        <w:t xml:space="preserve"> y Christian González Chacón</w:t>
      </w:r>
      <w:r w:rsidR="0033777E" w:rsidRPr="00B72210">
        <w:rPr>
          <w:rFonts w:ascii="Cambria" w:hAnsi="Cambria"/>
          <w:lang w:val="es-CO"/>
        </w:rPr>
        <w:t>,</w:t>
      </w:r>
      <w:r w:rsidRPr="00B72210">
        <w:rPr>
          <w:rFonts w:ascii="Cambria" w:hAnsi="Cambria"/>
          <w:lang w:val="es-CO"/>
        </w:rPr>
        <w:t xml:space="preserve"> abogada</w:t>
      </w:r>
      <w:r w:rsidR="001E752A" w:rsidRPr="00B72210">
        <w:rPr>
          <w:rFonts w:ascii="Cambria" w:hAnsi="Cambria"/>
          <w:lang w:val="es-CO"/>
        </w:rPr>
        <w:t xml:space="preserve"> y abogado</w:t>
      </w:r>
      <w:r w:rsidR="007F23D5" w:rsidRPr="00B72210">
        <w:rPr>
          <w:rFonts w:ascii="Cambria" w:hAnsi="Cambria"/>
          <w:lang w:val="es-CO"/>
        </w:rPr>
        <w:t xml:space="preserve"> </w:t>
      </w:r>
      <w:r w:rsidRPr="00B72210">
        <w:rPr>
          <w:rFonts w:ascii="Cambria" w:hAnsi="Cambria"/>
          <w:lang w:val="es-CO"/>
        </w:rPr>
        <w:t>de la Secretarí</w:t>
      </w:r>
      <w:r w:rsidR="000D2220" w:rsidRPr="00B72210">
        <w:rPr>
          <w:rFonts w:ascii="Cambria" w:hAnsi="Cambria"/>
          <w:lang w:val="es-CO"/>
        </w:rPr>
        <w:t>a Ejecutiva de la CIDH, actuará</w:t>
      </w:r>
      <w:r w:rsidR="001E752A" w:rsidRPr="00B72210">
        <w:rPr>
          <w:rFonts w:ascii="Cambria" w:hAnsi="Cambria"/>
          <w:lang w:val="es-CO"/>
        </w:rPr>
        <w:t>n</w:t>
      </w:r>
      <w:r w:rsidRPr="00B72210">
        <w:rPr>
          <w:rFonts w:ascii="Cambria" w:hAnsi="Cambria"/>
          <w:lang w:val="es-CO"/>
        </w:rPr>
        <w:t xml:space="preserve"> como asesor</w:t>
      </w:r>
      <w:r w:rsidR="001E752A" w:rsidRPr="00B72210">
        <w:rPr>
          <w:rFonts w:ascii="Cambria" w:hAnsi="Cambria"/>
          <w:lang w:val="es-CO"/>
        </w:rPr>
        <w:t>es legales</w:t>
      </w:r>
      <w:r w:rsidR="000D2220" w:rsidRPr="00B72210">
        <w:rPr>
          <w:rFonts w:ascii="Cambria" w:hAnsi="Cambria"/>
          <w:lang w:val="es-CO"/>
        </w:rPr>
        <w:t>.</w:t>
      </w:r>
    </w:p>
    <w:p w:rsidR="00F00C1F" w:rsidRPr="00B72210" w:rsidRDefault="00F00C1F" w:rsidP="00F00C1F">
      <w:pPr>
        <w:autoSpaceDE w:val="0"/>
        <w:autoSpaceDN w:val="0"/>
        <w:adjustRightInd w:val="0"/>
        <w:spacing w:after="0" w:line="240" w:lineRule="auto"/>
        <w:ind w:right="480"/>
        <w:jc w:val="both"/>
        <w:rPr>
          <w:rFonts w:ascii="Cambria" w:hAnsi="Cambria"/>
          <w:b/>
          <w:lang w:val="es-CO"/>
        </w:rPr>
      </w:pPr>
    </w:p>
    <w:p w:rsidR="00F00C1F" w:rsidRPr="00B72210" w:rsidRDefault="00F00C1F" w:rsidP="00F00C1F">
      <w:pPr>
        <w:widowControl w:val="0"/>
        <w:autoSpaceDE w:val="0"/>
        <w:autoSpaceDN w:val="0"/>
        <w:adjustRightInd w:val="0"/>
        <w:spacing w:after="0" w:line="240" w:lineRule="auto"/>
        <w:ind w:firstLine="720"/>
        <w:jc w:val="both"/>
        <w:rPr>
          <w:rFonts w:ascii="Cambria" w:hAnsi="Cambria"/>
          <w:lang w:val="es-AR"/>
        </w:rPr>
      </w:pPr>
      <w:r w:rsidRPr="00B72210">
        <w:rPr>
          <w:rFonts w:ascii="Cambria" w:hAnsi="Cambria" w:cs="Arial"/>
          <w:lang w:val="es-CO"/>
        </w:rPr>
        <w:t xml:space="preserve">De conformidad con el artículo 35 del Reglamento de la Corte Interamericana, la Comisión adjunta </w:t>
      </w:r>
      <w:r w:rsidRPr="00B72210">
        <w:rPr>
          <w:rFonts w:ascii="Cambria" w:hAnsi="Cambria"/>
          <w:lang w:val="es-CO"/>
        </w:rPr>
        <w:t xml:space="preserve">copia del informe </w:t>
      </w:r>
      <w:r w:rsidR="0020150B" w:rsidRPr="00B72210">
        <w:rPr>
          <w:rFonts w:ascii="Cambria" w:hAnsi="Cambria"/>
          <w:lang w:val="es-CO"/>
        </w:rPr>
        <w:t>76</w:t>
      </w:r>
      <w:r w:rsidRPr="00B72210">
        <w:rPr>
          <w:rFonts w:ascii="Cambria" w:hAnsi="Cambria"/>
          <w:lang w:val="es-CO"/>
        </w:rPr>
        <w:t>/1</w:t>
      </w:r>
      <w:r w:rsidR="00D46312" w:rsidRPr="00B72210">
        <w:rPr>
          <w:rFonts w:ascii="Cambria" w:hAnsi="Cambria"/>
          <w:lang w:val="es-CO"/>
        </w:rPr>
        <w:t>7</w:t>
      </w:r>
      <w:r w:rsidRPr="00B72210">
        <w:rPr>
          <w:rFonts w:ascii="Cambria" w:hAnsi="Cambria"/>
          <w:lang w:val="es-CO"/>
        </w:rPr>
        <w:t xml:space="preserve"> elaborado en observancia del artículo 50 de la Convención, así como copia de la totalidad del expediente ante la Comisión Interamericana (Apéndice I) y los anexos utilizados en la elaboración del informe </w:t>
      </w:r>
      <w:r w:rsidR="0020150B" w:rsidRPr="00B72210">
        <w:rPr>
          <w:rFonts w:ascii="Cambria" w:hAnsi="Cambria"/>
          <w:lang w:val="es-CO"/>
        </w:rPr>
        <w:t>76</w:t>
      </w:r>
      <w:r w:rsidRPr="00B72210">
        <w:rPr>
          <w:rFonts w:ascii="Cambria" w:hAnsi="Cambria"/>
          <w:lang w:val="es-CO"/>
        </w:rPr>
        <w:t>/1</w:t>
      </w:r>
      <w:r w:rsidR="00D46312" w:rsidRPr="00B72210">
        <w:rPr>
          <w:rFonts w:ascii="Cambria" w:hAnsi="Cambria"/>
          <w:lang w:val="es-CO"/>
        </w:rPr>
        <w:t>7</w:t>
      </w:r>
      <w:r w:rsidRPr="00B72210">
        <w:rPr>
          <w:rFonts w:ascii="Cambria" w:hAnsi="Cambria"/>
          <w:lang w:val="es-CO"/>
        </w:rPr>
        <w:t xml:space="preserve"> (Anexos). Dicho informe de fondo </w:t>
      </w:r>
      <w:r w:rsidRPr="00B72210">
        <w:rPr>
          <w:rFonts w:ascii="Cambria" w:hAnsi="Cambria"/>
          <w:lang w:val="es-AR"/>
        </w:rPr>
        <w:t>fue</w:t>
      </w:r>
      <w:r w:rsidR="0033777E" w:rsidRPr="00B72210">
        <w:rPr>
          <w:rFonts w:ascii="Cambria" w:hAnsi="Cambria"/>
          <w:lang w:val="es-AR"/>
        </w:rPr>
        <w:t xml:space="preserve"> notificado al Estado de Guatemala</w:t>
      </w:r>
      <w:r w:rsidRPr="00B72210">
        <w:rPr>
          <w:rFonts w:ascii="Cambria" w:hAnsi="Cambria"/>
          <w:lang w:val="es-AR"/>
        </w:rPr>
        <w:t xml:space="preserve"> mediante comunicación de </w:t>
      </w:r>
      <w:r w:rsidR="001B06C2" w:rsidRPr="00B72210">
        <w:rPr>
          <w:rFonts w:ascii="Cambria" w:hAnsi="Cambria"/>
          <w:lang w:val="es-AR"/>
        </w:rPr>
        <w:t>30</w:t>
      </w:r>
      <w:r w:rsidRPr="00B72210">
        <w:rPr>
          <w:rFonts w:ascii="Cambria" w:hAnsi="Cambria"/>
          <w:lang w:val="es-AR"/>
        </w:rPr>
        <w:t xml:space="preserve"> de </w:t>
      </w:r>
      <w:r w:rsidR="001B06C2" w:rsidRPr="00B72210">
        <w:rPr>
          <w:rFonts w:ascii="Cambria" w:hAnsi="Cambria"/>
          <w:lang w:val="es-AR"/>
        </w:rPr>
        <w:t>ag</w:t>
      </w:r>
      <w:r w:rsidR="00983C7F" w:rsidRPr="00B72210">
        <w:rPr>
          <w:rFonts w:ascii="Cambria" w:hAnsi="Cambria"/>
          <w:lang w:val="es-AR"/>
        </w:rPr>
        <w:t>o</w:t>
      </w:r>
      <w:r w:rsidR="001B06C2" w:rsidRPr="00B72210">
        <w:rPr>
          <w:rFonts w:ascii="Cambria" w:hAnsi="Cambria"/>
          <w:lang w:val="es-AR"/>
        </w:rPr>
        <w:t>sto</w:t>
      </w:r>
      <w:r w:rsidRPr="00B72210">
        <w:rPr>
          <w:rFonts w:ascii="Cambria" w:hAnsi="Cambria"/>
          <w:lang w:val="es-AR"/>
        </w:rPr>
        <w:t xml:space="preserve"> de 2017, otorgándole un plazo de dos meses para informar sobre el cumplimiento de las </w:t>
      </w:r>
      <w:r w:rsidRPr="00B72210">
        <w:rPr>
          <w:rFonts w:ascii="Cambria" w:hAnsi="Cambria" w:cs="Arial"/>
          <w:lang w:val="es-CO"/>
        </w:rPr>
        <w:t>recomendaciones</w:t>
      </w:r>
      <w:r w:rsidR="000908A8" w:rsidRPr="00B72210">
        <w:rPr>
          <w:rFonts w:ascii="Cambria" w:hAnsi="Cambria"/>
          <w:lang w:val="es-AR"/>
        </w:rPr>
        <w:t xml:space="preserve">. </w:t>
      </w:r>
      <w:r w:rsidR="001B06C2" w:rsidRPr="00B72210">
        <w:rPr>
          <w:rFonts w:ascii="Cambria" w:hAnsi="Cambria"/>
          <w:lang w:val="es-AR"/>
        </w:rPr>
        <w:t xml:space="preserve">El Estado guatemalteco no presentó una respuesta en el plazo indicado por la Comisión. </w:t>
      </w:r>
    </w:p>
    <w:p w:rsidR="006C3715" w:rsidRPr="00B72210" w:rsidRDefault="006C3715" w:rsidP="00F00C1F">
      <w:pPr>
        <w:widowControl w:val="0"/>
        <w:autoSpaceDE w:val="0"/>
        <w:autoSpaceDN w:val="0"/>
        <w:adjustRightInd w:val="0"/>
        <w:spacing w:after="0" w:line="240" w:lineRule="auto"/>
        <w:ind w:firstLine="720"/>
        <w:jc w:val="both"/>
        <w:rPr>
          <w:rFonts w:ascii="Cambria" w:hAnsi="Cambria"/>
          <w:lang w:val="es-AR"/>
        </w:rPr>
      </w:pPr>
    </w:p>
    <w:p w:rsidR="00F00C1F" w:rsidRPr="00B72210" w:rsidRDefault="00F00C1F" w:rsidP="00F00C1F">
      <w:pPr>
        <w:widowControl w:val="0"/>
        <w:autoSpaceDE w:val="0"/>
        <w:autoSpaceDN w:val="0"/>
        <w:adjustRightInd w:val="0"/>
        <w:spacing w:after="0" w:line="240" w:lineRule="auto"/>
        <w:ind w:firstLine="720"/>
        <w:jc w:val="both"/>
        <w:rPr>
          <w:rFonts w:ascii="Cambria" w:hAnsi="Cambria"/>
          <w:lang w:val="es-AR"/>
        </w:rPr>
      </w:pPr>
      <w:r w:rsidRPr="00B72210">
        <w:rPr>
          <w:rFonts w:ascii="Cambria" w:hAnsi="Cambria"/>
          <w:lang w:val="es-AR"/>
        </w:rPr>
        <w:t xml:space="preserve">En consecuencia, la Comisión decidió someter el presente caso a la jurisdicción de la Corte Interamericana por la </w:t>
      </w:r>
      <w:r w:rsidRPr="00B72210">
        <w:rPr>
          <w:rFonts w:ascii="Cambria" w:hAnsi="Cambria" w:cs="Arial"/>
          <w:lang w:val="es-CO"/>
        </w:rPr>
        <w:t>necesidad</w:t>
      </w:r>
      <w:r w:rsidRPr="00B72210">
        <w:rPr>
          <w:rFonts w:ascii="Cambria" w:hAnsi="Cambria"/>
          <w:lang w:val="es-AR"/>
        </w:rPr>
        <w:t xml:space="preserve"> de obtenció</w:t>
      </w:r>
      <w:r w:rsidR="00A6191A" w:rsidRPr="00B72210">
        <w:rPr>
          <w:rFonts w:ascii="Cambria" w:hAnsi="Cambria"/>
          <w:lang w:val="es-AR"/>
        </w:rPr>
        <w:t>n de justicia y reparación</w:t>
      </w:r>
      <w:r w:rsidR="007019B7" w:rsidRPr="00B72210">
        <w:rPr>
          <w:rFonts w:ascii="Cambria" w:hAnsi="Cambria"/>
          <w:lang w:val="es-AR"/>
        </w:rPr>
        <w:t xml:space="preserve">. </w:t>
      </w:r>
      <w:r w:rsidRPr="00B72210">
        <w:rPr>
          <w:rFonts w:ascii="Cambria" w:hAnsi="Cambria"/>
          <w:lang w:val="es-CO"/>
        </w:rPr>
        <w:t xml:space="preserve">La Comisión Interamericana somete a la jurisdicción de la Corte la totalidad de los hechos y violaciones de derechos humanos descritos en el informe de fondo </w:t>
      </w:r>
      <w:r w:rsidR="0020150B" w:rsidRPr="00B72210">
        <w:rPr>
          <w:rFonts w:ascii="Cambria" w:hAnsi="Cambria"/>
          <w:lang w:val="es-CO"/>
        </w:rPr>
        <w:t>76</w:t>
      </w:r>
      <w:r w:rsidRPr="00B72210">
        <w:rPr>
          <w:rFonts w:ascii="Cambria" w:hAnsi="Cambria"/>
          <w:lang w:val="es-CO"/>
        </w:rPr>
        <w:t>/1</w:t>
      </w:r>
      <w:r w:rsidR="009A0F7C" w:rsidRPr="00B72210">
        <w:rPr>
          <w:rFonts w:ascii="Cambria" w:hAnsi="Cambria"/>
          <w:lang w:val="es-CO"/>
        </w:rPr>
        <w:t>7</w:t>
      </w:r>
      <w:r w:rsidRPr="00B72210">
        <w:rPr>
          <w:rFonts w:ascii="Cambria" w:hAnsi="Cambria"/>
          <w:lang w:val="es-CO"/>
        </w:rPr>
        <w:t xml:space="preserve">. </w:t>
      </w:r>
    </w:p>
    <w:p w:rsidR="00F00C1F" w:rsidRPr="00B72210" w:rsidRDefault="00F00C1F" w:rsidP="00F00C1F">
      <w:pPr>
        <w:widowControl w:val="0"/>
        <w:autoSpaceDE w:val="0"/>
        <w:autoSpaceDN w:val="0"/>
        <w:adjustRightInd w:val="0"/>
        <w:spacing w:after="0" w:line="240" w:lineRule="auto"/>
        <w:ind w:firstLine="720"/>
        <w:jc w:val="both"/>
        <w:rPr>
          <w:rFonts w:ascii="Cambria" w:hAnsi="Cambria"/>
          <w:lang w:val="es-AR"/>
        </w:rPr>
      </w:pPr>
    </w:p>
    <w:p w:rsidR="0020150B" w:rsidRPr="00B72210" w:rsidRDefault="00ED43DF" w:rsidP="00EA3A70">
      <w:pPr>
        <w:shd w:val="clear" w:color="auto" w:fill="FFFFFF"/>
        <w:tabs>
          <w:tab w:val="num" w:pos="720"/>
          <w:tab w:val="left" w:pos="1440"/>
          <w:tab w:val="num" w:pos="2040"/>
        </w:tabs>
        <w:spacing w:after="0" w:line="240" w:lineRule="auto"/>
        <w:jc w:val="both"/>
        <w:rPr>
          <w:rFonts w:ascii="Cambria" w:hAnsi="Cambria"/>
          <w:lang w:val="es-MX"/>
        </w:rPr>
      </w:pPr>
      <w:r w:rsidRPr="00B72210">
        <w:rPr>
          <w:rFonts w:ascii="Cambria" w:hAnsi="Cambria"/>
          <w:lang w:val="es-AR"/>
        </w:rPr>
        <w:tab/>
      </w:r>
      <w:r w:rsidR="00F00C1F" w:rsidRPr="00B72210">
        <w:rPr>
          <w:rFonts w:ascii="Cambria" w:hAnsi="Cambria"/>
          <w:lang w:val="es-CO"/>
        </w:rPr>
        <w:t>En ese sentido, la Comisión solicita a la Corte que concluya y declare la responsabilidad internacional del</w:t>
      </w:r>
      <w:r w:rsidR="00F00C1F" w:rsidRPr="00B72210">
        <w:rPr>
          <w:rFonts w:ascii="Cambria" w:hAnsi="Cambria" w:cs="Arial"/>
          <w:lang w:val="es-CL"/>
        </w:rPr>
        <w:t xml:space="preserve"> Estado de </w:t>
      </w:r>
      <w:r w:rsidR="001B06C2" w:rsidRPr="00B72210">
        <w:rPr>
          <w:rFonts w:ascii="Cambria" w:hAnsi="Cambria" w:cs="Arial"/>
          <w:lang w:val="es-CO"/>
        </w:rPr>
        <w:t xml:space="preserve">Guatemala </w:t>
      </w:r>
      <w:proofErr w:type="spellStart"/>
      <w:r w:rsidR="001B06C2" w:rsidRPr="00B72210">
        <w:rPr>
          <w:rFonts w:ascii="Cambria" w:hAnsi="Cambria" w:cs="Arial"/>
          <w:lang w:val="es-CO"/>
        </w:rPr>
        <w:t>po</w:t>
      </w:r>
      <w:proofErr w:type="spellEnd"/>
      <w:r w:rsidRPr="00B72210">
        <w:rPr>
          <w:rFonts w:ascii="Cambria" w:eastAsia="Times New Roman" w:hAnsi="Cambria"/>
          <w:lang w:val="es-AR"/>
        </w:rPr>
        <w:t xml:space="preserve">r la violación de los </w:t>
      </w:r>
      <w:r w:rsidR="0020150B" w:rsidRPr="00B72210">
        <w:rPr>
          <w:rFonts w:ascii="Cambria" w:hAnsi="Cambria" w:cs="Arial"/>
          <w:lang w:val="es-ES"/>
        </w:rPr>
        <w:t xml:space="preserve">derechos consagrados en los artículos 4.1, 4.2 (derecho a la vida), 5.1, 5.2 (integridad personal), 8.2, 8.2 c), 8.2 e) (garantías judiciales), 25.1 (protección judicial) de la Convención Americana en relación con las obligaciones establecidas en los artículos 1.1 y 2 del mismo instrumento en perjuicio de Roberto Girón y Pedro Castillo Mendoza. Asimismo, </w:t>
      </w:r>
      <w:r w:rsidR="006524FA" w:rsidRPr="00B72210">
        <w:rPr>
          <w:rFonts w:ascii="Cambria" w:hAnsi="Cambria" w:cs="Arial"/>
          <w:lang w:val="es-ES"/>
        </w:rPr>
        <w:t>que concluya</w:t>
      </w:r>
      <w:r w:rsidR="0020150B" w:rsidRPr="00B72210">
        <w:rPr>
          <w:rFonts w:ascii="Cambria" w:hAnsi="Cambria" w:cs="Arial"/>
          <w:lang w:val="es-ES"/>
        </w:rPr>
        <w:t xml:space="preserve"> que el Estado es responsable por la violación de los artículos 1 y 6 de la Convención Interamericana para Prevenir y Sancionar la Tortura. </w:t>
      </w:r>
    </w:p>
    <w:p w:rsidR="0020150B" w:rsidRPr="00B72210" w:rsidRDefault="0020150B" w:rsidP="00EA3A70">
      <w:pPr>
        <w:shd w:val="clear" w:color="auto" w:fill="FFFFFF"/>
        <w:tabs>
          <w:tab w:val="num" w:pos="720"/>
          <w:tab w:val="left" w:pos="1440"/>
          <w:tab w:val="num" w:pos="2040"/>
        </w:tabs>
        <w:spacing w:after="0" w:line="240" w:lineRule="auto"/>
        <w:jc w:val="both"/>
        <w:rPr>
          <w:rFonts w:ascii="Cambria" w:hAnsi="Cambria"/>
          <w:lang w:val="es-ES_tradnl"/>
        </w:rPr>
      </w:pPr>
    </w:p>
    <w:p w:rsidR="00EA3A70" w:rsidRPr="00B72210" w:rsidRDefault="00F00C1F" w:rsidP="00EA3A70">
      <w:pPr>
        <w:autoSpaceDE w:val="0"/>
        <w:autoSpaceDN w:val="0"/>
        <w:adjustRightInd w:val="0"/>
        <w:spacing w:after="0" w:line="240" w:lineRule="auto"/>
        <w:ind w:left="720" w:right="480"/>
        <w:jc w:val="both"/>
        <w:rPr>
          <w:rFonts w:ascii="Cambria" w:hAnsi="Cambria"/>
          <w:lang w:val="es-CO"/>
        </w:rPr>
      </w:pPr>
      <w:r w:rsidRPr="00B72210">
        <w:rPr>
          <w:rFonts w:ascii="Cambria" w:hAnsi="Cambria"/>
          <w:lang w:val="es-CO"/>
        </w:rPr>
        <w:t>Asimismo, la Comisión solicita a la Corte que establezca las si</w:t>
      </w:r>
      <w:r w:rsidR="00EA3A70" w:rsidRPr="00B72210">
        <w:rPr>
          <w:rFonts w:ascii="Cambria" w:hAnsi="Cambria"/>
          <w:lang w:val="es-CO"/>
        </w:rPr>
        <w:t>guientes medidas de reparación:</w:t>
      </w:r>
    </w:p>
    <w:p w:rsidR="00EA3A70" w:rsidRPr="00B72210" w:rsidRDefault="00EA3A70" w:rsidP="00EA3A70">
      <w:pPr>
        <w:widowControl w:val="0"/>
        <w:autoSpaceDE w:val="0"/>
        <w:autoSpaceDN w:val="0"/>
        <w:adjustRightInd w:val="0"/>
        <w:spacing w:after="0" w:line="240" w:lineRule="auto"/>
        <w:jc w:val="both"/>
        <w:rPr>
          <w:rFonts w:ascii="Cambria" w:hAnsi="Cambria" w:cs="Arial"/>
          <w:lang w:val="es-CL"/>
        </w:rPr>
      </w:pPr>
    </w:p>
    <w:p w:rsidR="006524FA" w:rsidRPr="00B72210" w:rsidRDefault="006524FA" w:rsidP="006524FA">
      <w:pPr>
        <w:pStyle w:val="Textoindependiente3"/>
        <w:numPr>
          <w:ilvl w:val="0"/>
          <w:numId w:val="4"/>
        </w:numPr>
        <w:tabs>
          <w:tab w:val="clear" w:pos="1860"/>
          <w:tab w:val="left" w:pos="720"/>
          <w:tab w:val="num" w:pos="1440"/>
        </w:tabs>
        <w:spacing w:after="0" w:line="240" w:lineRule="auto"/>
        <w:ind w:left="0" w:firstLine="720"/>
        <w:jc w:val="both"/>
        <w:rPr>
          <w:rFonts w:ascii="Cambria" w:hAnsi="Cambria"/>
          <w:sz w:val="22"/>
          <w:szCs w:val="22"/>
          <w:lang w:val="es-VE"/>
        </w:rPr>
      </w:pPr>
      <w:r w:rsidRPr="00B72210">
        <w:rPr>
          <w:rFonts w:ascii="Cambria" w:hAnsi="Cambria"/>
          <w:sz w:val="22"/>
          <w:szCs w:val="22"/>
          <w:lang w:val="es-VE"/>
        </w:rPr>
        <w:t xml:space="preserve">Reparar integralmente las violaciones de derechos humanos declaradas en el informe tanto en el aspecto material como inmaterial. Las medidas de reparación deberán incluir una justa compensación así como medidas de satisfacción y rehabilitación en consulta con los familiares de los señores Roberto Girón y Pedro Castillo Mendoza. </w:t>
      </w:r>
    </w:p>
    <w:p w:rsidR="00F774D7" w:rsidRPr="00B72210" w:rsidRDefault="00F774D7" w:rsidP="00F774D7">
      <w:pPr>
        <w:pStyle w:val="Textoindependiente3"/>
        <w:tabs>
          <w:tab w:val="left" w:pos="720"/>
        </w:tabs>
        <w:spacing w:after="0" w:line="240" w:lineRule="auto"/>
        <w:jc w:val="both"/>
        <w:rPr>
          <w:rFonts w:ascii="Cambria" w:hAnsi="Cambria"/>
          <w:sz w:val="22"/>
          <w:szCs w:val="22"/>
          <w:lang w:val="es-VE"/>
        </w:rPr>
      </w:pPr>
    </w:p>
    <w:p w:rsidR="00F774D7" w:rsidRPr="00B72210" w:rsidRDefault="00F774D7" w:rsidP="00F774D7">
      <w:pPr>
        <w:pStyle w:val="Textoindependiente3"/>
        <w:numPr>
          <w:ilvl w:val="0"/>
          <w:numId w:val="4"/>
        </w:numPr>
        <w:tabs>
          <w:tab w:val="clear" w:pos="1860"/>
          <w:tab w:val="left" w:pos="720"/>
        </w:tabs>
        <w:spacing w:after="0" w:line="240" w:lineRule="auto"/>
        <w:ind w:left="0" w:firstLine="720"/>
        <w:jc w:val="both"/>
        <w:rPr>
          <w:rFonts w:ascii="Cambria" w:hAnsi="Cambria"/>
          <w:sz w:val="22"/>
          <w:szCs w:val="22"/>
          <w:lang w:val="es-VE"/>
        </w:rPr>
      </w:pPr>
      <w:r w:rsidRPr="00B72210">
        <w:rPr>
          <w:rFonts w:ascii="Cambria" w:hAnsi="Cambria"/>
          <w:sz w:val="22"/>
          <w:szCs w:val="22"/>
          <w:lang w:val="es-VE"/>
        </w:rPr>
        <w:t xml:space="preserve">La Comisión tomó nota y valoró positivamente que desde hace 17 años la pena de muerte no ha sido impuesta por las autoridades judiciales y que también se ha dispuesto la conmutación de la pena desde hace más de una década frente a personas ya condenadas. Asimismo, la Comisión tomó nota y valoró positivamente que el Poder Ejecutivo durante años hubiese adoptado medidas para evitar la reactivación de la pena de muerte en Guatemala. En ese sentido, la Comisión observó que como consecuencia de acciones tanto del Poder Ejecutivo como del Poder Judicial, han pasado 17 años sin imposición ni ejecución de la pena de muerte en Guatemala. La Comisión entiende que, en la práctica, el Estado guatemalteco ha </w:t>
      </w:r>
      <w:r w:rsidRPr="00B72210">
        <w:rPr>
          <w:rFonts w:ascii="Cambria" w:hAnsi="Cambria"/>
          <w:sz w:val="22"/>
          <w:szCs w:val="22"/>
          <w:lang w:val="es-VE"/>
        </w:rPr>
        <w:lastRenderedPageBreak/>
        <w:t xml:space="preserve">avanzado en una tendencia hacia la abolición de la pena de muerte, lo que resulta consistente con el espíritu de la Convención Americana en la materia. Por lo anterior, tomando en cuenta la práctica de ya casi dos décadas, y lo indicado por la CIDH en su Informe </w:t>
      </w:r>
      <w:r w:rsidRPr="00B72210">
        <w:rPr>
          <w:rFonts w:ascii="Cambria" w:hAnsi="Cambria"/>
          <w:i/>
          <w:sz w:val="22"/>
          <w:szCs w:val="22"/>
          <w:lang w:val="es-VE"/>
        </w:rPr>
        <w:t xml:space="preserve">“La Pena de muerte en el Sistema Interamericano de Derechos Humanos: de restricciones a abolición” </w:t>
      </w:r>
      <w:r w:rsidRPr="00B72210">
        <w:rPr>
          <w:rFonts w:ascii="Cambria" w:hAnsi="Cambria"/>
          <w:sz w:val="22"/>
          <w:szCs w:val="22"/>
          <w:lang w:val="es-VE"/>
        </w:rPr>
        <w:t>respecto a que los Estados miembros de la OEA deben eliminar gradualmente la pena de muerte, la Comisión solicita a la Corte Interamericana que ordene al Estado de Guatemala adoptar las medidas necesarias para que la legislación interna sea consistente con dicha práctica y así continuar en el camino hacia la abolición de la pena de muerte.</w:t>
      </w:r>
    </w:p>
    <w:p w:rsidR="006524FA" w:rsidRPr="00B72210" w:rsidRDefault="006524FA" w:rsidP="00EA3A70">
      <w:pPr>
        <w:widowControl w:val="0"/>
        <w:autoSpaceDE w:val="0"/>
        <w:autoSpaceDN w:val="0"/>
        <w:adjustRightInd w:val="0"/>
        <w:spacing w:after="0" w:line="240" w:lineRule="auto"/>
        <w:jc w:val="both"/>
        <w:rPr>
          <w:rFonts w:ascii="Cambria" w:hAnsi="Cambria" w:cs="Arial"/>
          <w:lang w:val="es-CL"/>
        </w:rPr>
      </w:pPr>
    </w:p>
    <w:p w:rsidR="00F00C1F" w:rsidRPr="00B72210" w:rsidRDefault="00F00C1F" w:rsidP="00F00C1F">
      <w:pPr>
        <w:widowControl w:val="0"/>
        <w:autoSpaceDE w:val="0"/>
        <w:autoSpaceDN w:val="0"/>
        <w:adjustRightInd w:val="0"/>
        <w:spacing w:after="0" w:line="240" w:lineRule="auto"/>
        <w:ind w:firstLine="720"/>
        <w:jc w:val="both"/>
        <w:rPr>
          <w:rFonts w:ascii="Cambria" w:hAnsi="Cambria" w:cs="Arial"/>
          <w:lang w:val="es-CL"/>
        </w:rPr>
      </w:pPr>
      <w:r w:rsidRPr="00B72210">
        <w:rPr>
          <w:rFonts w:ascii="Cambria" w:hAnsi="Cambria" w:cs="Arial"/>
          <w:lang w:val="es-CL"/>
        </w:rPr>
        <w:t xml:space="preserve">En virtud de que estas cuestiones afectan de manera relevante el orden público interamericano, de conformidad </w:t>
      </w:r>
      <w:r w:rsidRPr="00B72210">
        <w:rPr>
          <w:rFonts w:ascii="Cambria" w:eastAsia="Times New Roman" w:hAnsi="Cambria" w:cs="Cambria"/>
          <w:lang w:val="es-CO"/>
        </w:rPr>
        <w:t>con</w:t>
      </w:r>
      <w:r w:rsidRPr="00B72210">
        <w:rPr>
          <w:rFonts w:ascii="Cambria" w:hAnsi="Cambria" w:cs="Arial"/>
          <w:lang w:val="es-CL"/>
        </w:rPr>
        <w:t xml:space="preserve"> el artículo 35.1 f) del Reglamento de la Corte Interamericana, la Comisión se permite ofrecer la siguiente declaración pericial:</w:t>
      </w:r>
    </w:p>
    <w:p w:rsidR="00F00C1F" w:rsidRPr="00B72210" w:rsidRDefault="00F00C1F" w:rsidP="00F00C1F">
      <w:pPr>
        <w:autoSpaceDE w:val="0"/>
        <w:autoSpaceDN w:val="0"/>
        <w:adjustRightInd w:val="0"/>
        <w:spacing w:after="0" w:line="240" w:lineRule="auto"/>
        <w:ind w:right="480"/>
        <w:jc w:val="both"/>
        <w:rPr>
          <w:rFonts w:ascii="Cambria" w:hAnsi="Cambria" w:cs="Arial"/>
          <w:lang w:val="es-CL"/>
        </w:rPr>
      </w:pPr>
    </w:p>
    <w:p w:rsidR="005533B9" w:rsidRPr="00B72210" w:rsidRDefault="00F00C1F" w:rsidP="005533B9">
      <w:pPr>
        <w:widowControl w:val="0"/>
        <w:autoSpaceDE w:val="0"/>
        <w:autoSpaceDN w:val="0"/>
        <w:adjustRightInd w:val="0"/>
        <w:spacing w:after="0" w:line="240" w:lineRule="auto"/>
        <w:ind w:firstLine="720"/>
        <w:jc w:val="both"/>
        <w:rPr>
          <w:rFonts w:ascii="Cambria" w:hAnsi="Cambria"/>
          <w:lang w:val="es-ES_tradnl"/>
        </w:rPr>
      </w:pPr>
      <w:r w:rsidRPr="00B72210">
        <w:rPr>
          <w:rFonts w:ascii="Cambria" w:hAnsi="Cambria" w:cs="Courier New"/>
          <w:b/>
          <w:lang w:val="es-ES_tradnl"/>
        </w:rPr>
        <w:t>Perito/a cuyo nombre será informado a la brevedad</w:t>
      </w:r>
      <w:r w:rsidRPr="00B72210">
        <w:rPr>
          <w:rFonts w:ascii="Cambria" w:hAnsi="Cambria" w:cs="Courier New"/>
          <w:lang w:val="es-ES_tradnl"/>
        </w:rPr>
        <w:t xml:space="preserve">, quien declarará sobre </w:t>
      </w:r>
      <w:r w:rsidR="00DF2BB2" w:rsidRPr="00B72210">
        <w:rPr>
          <w:rFonts w:ascii="Cambria" w:hAnsi="Cambria"/>
          <w:lang w:val="es-CO"/>
        </w:rPr>
        <w:t>los estándares internacionales sobre la pena de muerte en los aspectos relevantes para el presente caso. Además, el</w:t>
      </w:r>
      <w:r w:rsidR="00A55CFE">
        <w:rPr>
          <w:rFonts w:ascii="Cambria" w:hAnsi="Cambria"/>
          <w:lang w:val="es-CO"/>
        </w:rPr>
        <w:t>/la p</w:t>
      </w:r>
      <w:r w:rsidR="00DD3616">
        <w:rPr>
          <w:rFonts w:ascii="Cambria" w:hAnsi="Cambria"/>
          <w:lang w:val="es-CO"/>
        </w:rPr>
        <w:t>e</w:t>
      </w:r>
      <w:r w:rsidR="00A55CFE">
        <w:rPr>
          <w:rFonts w:ascii="Cambria" w:hAnsi="Cambria"/>
          <w:lang w:val="es-CO"/>
        </w:rPr>
        <w:t>rito/a</w:t>
      </w:r>
      <w:r w:rsidR="00DF2BB2" w:rsidRPr="00B72210">
        <w:rPr>
          <w:rFonts w:ascii="Cambria" w:hAnsi="Cambria"/>
          <w:lang w:val="es-CO"/>
        </w:rPr>
        <w:t xml:space="preserve"> perito se referirá a las cuestiones de debido proceso penal que plantea el caso como la </w:t>
      </w:r>
      <w:r w:rsidR="005533B9" w:rsidRPr="00B72210">
        <w:rPr>
          <w:rFonts w:ascii="Cambria" w:hAnsi="Cambria"/>
          <w:lang w:val="es-CO"/>
        </w:rPr>
        <w:t xml:space="preserve">asistencia jurídica por parte de estudiantes de derecho a personas procesadas en delitos que contemplan la pena de muerte. </w:t>
      </w:r>
      <w:r w:rsidR="005533B9" w:rsidRPr="00B72210">
        <w:rPr>
          <w:rFonts w:ascii="Cambria" w:hAnsi="Cambria" w:cs="Courier New"/>
          <w:lang w:val="es-ES_tradnl"/>
        </w:rPr>
        <w:t>El/la perito/a tomará en cuenta los hechos del caso para desarrollar su peritaje.</w:t>
      </w:r>
    </w:p>
    <w:p w:rsidR="005533B9" w:rsidRPr="00B72210" w:rsidRDefault="005533B9" w:rsidP="00F04427">
      <w:pPr>
        <w:tabs>
          <w:tab w:val="left" w:pos="0"/>
        </w:tabs>
        <w:spacing w:after="0" w:line="240" w:lineRule="auto"/>
        <w:jc w:val="both"/>
        <w:rPr>
          <w:rFonts w:ascii="Cambria" w:hAnsi="Cambria"/>
          <w:lang w:val="es-AR"/>
        </w:rPr>
      </w:pPr>
    </w:p>
    <w:p w:rsidR="00F00C1F" w:rsidRPr="00B72210" w:rsidRDefault="00F00C1F" w:rsidP="00F00C1F">
      <w:pPr>
        <w:widowControl w:val="0"/>
        <w:autoSpaceDE w:val="0"/>
        <w:autoSpaceDN w:val="0"/>
        <w:adjustRightInd w:val="0"/>
        <w:spacing w:after="0" w:line="240" w:lineRule="auto"/>
        <w:ind w:firstLine="720"/>
        <w:jc w:val="both"/>
        <w:rPr>
          <w:rFonts w:ascii="Cambria" w:hAnsi="Cambria"/>
          <w:lang w:val="es-CO"/>
        </w:rPr>
      </w:pPr>
      <w:r w:rsidRPr="00B72210">
        <w:rPr>
          <w:rFonts w:ascii="Cambria" w:hAnsi="Cambria"/>
          <w:lang w:val="es-AR"/>
        </w:rPr>
        <w:t>El CV del/la perito/</w:t>
      </w:r>
      <w:proofErr w:type="spellStart"/>
      <w:r w:rsidRPr="00B72210">
        <w:rPr>
          <w:rFonts w:ascii="Cambria" w:hAnsi="Cambria"/>
          <w:lang w:val="es-AR"/>
        </w:rPr>
        <w:t>a</w:t>
      </w:r>
      <w:proofErr w:type="spellEnd"/>
      <w:r w:rsidRPr="00B72210">
        <w:rPr>
          <w:rFonts w:ascii="Cambria" w:hAnsi="Cambria"/>
          <w:lang w:val="es-AR"/>
        </w:rPr>
        <w:t xml:space="preserve"> ofrecido/a </w:t>
      </w:r>
      <w:r w:rsidRPr="00B72210">
        <w:rPr>
          <w:rFonts w:ascii="Cambria" w:hAnsi="Cambria"/>
          <w:lang w:val="es-CO"/>
        </w:rPr>
        <w:t xml:space="preserve">será incluido en los anexos al informe de fondo </w:t>
      </w:r>
      <w:r w:rsidR="006524FA" w:rsidRPr="00B72210">
        <w:rPr>
          <w:rFonts w:ascii="Cambria" w:hAnsi="Cambria"/>
          <w:lang w:val="es-CO"/>
        </w:rPr>
        <w:t>76</w:t>
      </w:r>
      <w:r w:rsidRPr="00B72210">
        <w:rPr>
          <w:rFonts w:ascii="Cambria" w:hAnsi="Cambria"/>
          <w:lang w:val="es-CO"/>
        </w:rPr>
        <w:t>/1</w:t>
      </w:r>
      <w:r w:rsidR="00686199" w:rsidRPr="00B72210">
        <w:rPr>
          <w:rFonts w:ascii="Cambria" w:hAnsi="Cambria"/>
          <w:lang w:val="es-CO"/>
        </w:rPr>
        <w:t>7</w:t>
      </w:r>
      <w:r w:rsidRPr="00B72210">
        <w:rPr>
          <w:rFonts w:ascii="Cambria" w:hAnsi="Cambria"/>
          <w:lang w:val="es-CO"/>
        </w:rPr>
        <w:t xml:space="preserve">.  </w:t>
      </w:r>
      <w:r w:rsidRPr="00B72210">
        <w:rPr>
          <w:rFonts w:ascii="Cambria" w:hAnsi="Cambria"/>
          <w:lang w:val="es-ES_tradnl"/>
        </w:rPr>
        <w:t xml:space="preserve">La Comisión pone en conocimiento de la Corte los siguientes datos de quienes han actuado como peticionarios a lo largo del trámite interamericano: </w:t>
      </w:r>
    </w:p>
    <w:p w:rsidR="006524FA" w:rsidRPr="00B72210" w:rsidRDefault="006524FA" w:rsidP="00F04427">
      <w:pPr>
        <w:tabs>
          <w:tab w:val="left" w:pos="810"/>
        </w:tabs>
        <w:autoSpaceDE w:val="0"/>
        <w:autoSpaceDN w:val="0"/>
        <w:adjustRightInd w:val="0"/>
        <w:spacing w:after="0" w:line="240" w:lineRule="auto"/>
        <w:jc w:val="center"/>
        <w:rPr>
          <w:rFonts w:ascii="Cambria" w:hAnsi="Cambria"/>
          <w:lang w:val="es-ES"/>
        </w:rPr>
      </w:pPr>
    </w:p>
    <w:p w:rsidR="005533B9" w:rsidRPr="00B72210" w:rsidRDefault="005533B9" w:rsidP="005533B9">
      <w:pPr>
        <w:tabs>
          <w:tab w:val="left" w:pos="810"/>
        </w:tabs>
        <w:autoSpaceDE w:val="0"/>
        <w:autoSpaceDN w:val="0"/>
        <w:adjustRightInd w:val="0"/>
        <w:spacing w:after="0" w:line="240" w:lineRule="auto"/>
        <w:jc w:val="center"/>
        <w:rPr>
          <w:rFonts w:ascii="Cambria" w:hAnsi="Cambria"/>
          <w:lang w:val="es-ES"/>
        </w:rPr>
      </w:pPr>
      <w:r w:rsidRPr="00B72210">
        <w:rPr>
          <w:rFonts w:ascii="Cambria" w:hAnsi="Cambria"/>
          <w:lang w:val="es-ES"/>
        </w:rPr>
        <w:t>Centro de Acción Legal de Derechos Humanos</w:t>
      </w:r>
    </w:p>
    <w:p w:rsidR="005533B9" w:rsidRPr="00B72210" w:rsidRDefault="005533B9" w:rsidP="005533B9">
      <w:pPr>
        <w:tabs>
          <w:tab w:val="left" w:pos="810"/>
        </w:tabs>
        <w:autoSpaceDE w:val="0"/>
        <w:autoSpaceDN w:val="0"/>
        <w:adjustRightInd w:val="0"/>
        <w:spacing w:after="0" w:line="240" w:lineRule="auto"/>
        <w:jc w:val="center"/>
        <w:rPr>
          <w:rFonts w:ascii="Cambria" w:hAnsi="Cambria"/>
          <w:lang w:val="es-ES"/>
        </w:rPr>
      </w:pPr>
      <w:r w:rsidRPr="00B72210">
        <w:rPr>
          <w:rFonts w:ascii="Cambria" w:hAnsi="Cambria"/>
          <w:lang w:val="es-ES"/>
        </w:rPr>
        <w:t>CALDH</w:t>
      </w:r>
    </w:p>
    <w:p w:rsidR="005533B9" w:rsidRPr="00B72210" w:rsidRDefault="0098056C" w:rsidP="005533B9">
      <w:pPr>
        <w:tabs>
          <w:tab w:val="left" w:pos="810"/>
        </w:tabs>
        <w:autoSpaceDE w:val="0"/>
        <w:autoSpaceDN w:val="0"/>
        <w:adjustRightInd w:val="0"/>
        <w:spacing w:after="0" w:line="240" w:lineRule="auto"/>
        <w:jc w:val="center"/>
        <w:rPr>
          <w:rFonts w:ascii="Cambria" w:hAnsi="Cambria"/>
          <w:lang w:val="es-ES"/>
        </w:rPr>
      </w:pPr>
      <w:proofErr w:type="spellStart"/>
      <w:proofErr w:type="gramStart"/>
      <w:r w:rsidRPr="0098056C">
        <w:rPr>
          <w:rFonts w:ascii="Cambria" w:hAnsi="Cambria"/>
          <w:highlight w:val="black"/>
          <w:lang w:val="es-ES"/>
        </w:rPr>
        <w:t>xxxxxxxxxxxxxxxxxxxxxxxx</w:t>
      </w:r>
      <w:proofErr w:type="spellEnd"/>
      <w:proofErr w:type="gramEnd"/>
    </w:p>
    <w:p w:rsidR="00393909" w:rsidRPr="00B72210" w:rsidRDefault="00393909" w:rsidP="00A55CFE">
      <w:pPr>
        <w:tabs>
          <w:tab w:val="left" w:pos="810"/>
        </w:tabs>
        <w:autoSpaceDE w:val="0"/>
        <w:autoSpaceDN w:val="0"/>
        <w:adjustRightInd w:val="0"/>
        <w:spacing w:after="0" w:line="240" w:lineRule="auto"/>
        <w:rPr>
          <w:rFonts w:ascii="Cambria" w:hAnsi="Cambria" w:cs="Arial"/>
          <w:lang w:val="es-ES_tradnl"/>
        </w:rPr>
      </w:pPr>
      <w:r w:rsidRPr="00B72210">
        <w:rPr>
          <w:rFonts w:ascii="Cambria" w:hAnsi="Cambria" w:cs="Arial"/>
          <w:lang w:val="es-ES_tradnl"/>
        </w:rPr>
        <w:t xml:space="preserve"> </w:t>
      </w:r>
    </w:p>
    <w:p w:rsidR="00393909" w:rsidRPr="00B72210" w:rsidRDefault="00393909" w:rsidP="00F00C1F">
      <w:pPr>
        <w:autoSpaceDE w:val="0"/>
        <w:autoSpaceDN w:val="0"/>
        <w:adjustRightInd w:val="0"/>
        <w:spacing w:after="0" w:line="240" w:lineRule="auto"/>
        <w:jc w:val="center"/>
        <w:rPr>
          <w:rFonts w:ascii="Cambria" w:hAnsi="Cambria" w:cs="Arial"/>
          <w:lang w:val="es-ES_tradnl"/>
        </w:rPr>
      </w:pPr>
    </w:p>
    <w:p w:rsidR="00F00C1F" w:rsidRPr="00B72210" w:rsidRDefault="00F00C1F" w:rsidP="00F00C1F">
      <w:pPr>
        <w:tabs>
          <w:tab w:val="left" w:pos="0"/>
        </w:tabs>
        <w:spacing w:after="0" w:line="240" w:lineRule="auto"/>
        <w:ind w:firstLine="720"/>
        <w:jc w:val="both"/>
        <w:rPr>
          <w:rFonts w:ascii="Cambria" w:hAnsi="Cambria"/>
          <w:lang w:val="es-AR"/>
        </w:rPr>
      </w:pPr>
      <w:r w:rsidRPr="00B72210">
        <w:rPr>
          <w:rFonts w:ascii="Cambria" w:hAnsi="Cambria"/>
          <w:lang w:val="es-AR"/>
        </w:rPr>
        <w:t>Aprovecho la oportunidad para saludar a usted muy atentamente,</w:t>
      </w:r>
    </w:p>
    <w:p w:rsidR="00F00C1F" w:rsidRPr="00B72210" w:rsidRDefault="00F00C1F" w:rsidP="00F00C1F">
      <w:pPr>
        <w:suppressAutoHyphens/>
        <w:spacing w:after="0" w:line="240" w:lineRule="auto"/>
        <w:rPr>
          <w:rFonts w:ascii="Cambria" w:hAnsi="Cambria" w:cs="Arial"/>
          <w:snapToGrid w:val="0"/>
          <w:lang w:val="es-CO"/>
        </w:rPr>
      </w:pPr>
    </w:p>
    <w:p w:rsidR="00F00C1F" w:rsidRPr="00B72210" w:rsidRDefault="00F00C1F" w:rsidP="00F00C1F">
      <w:pPr>
        <w:suppressAutoHyphens/>
        <w:spacing w:after="0" w:line="240" w:lineRule="auto"/>
        <w:rPr>
          <w:rFonts w:ascii="Cambria" w:hAnsi="Cambria" w:cs="Arial"/>
          <w:snapToGrid w:val="0"/>
          <w:lang w:val="es-CO"/>
        </w:rPr>
      </w:pPr>
    </w:p>
    <w:p w:rsidR="00F00C1F" w:rsidRPr="00356F8F" w:rsidRDefault="00393909" w:rsidP="00F00C1F">
      <w:pPr>
        <w:suppressAutoHyphens/>
        <w:spacing w:after="0" w:line="240" w:lineRule="auto"/>
        <w:rPr>
          <w:rFonts w:ascii="Cambria" w:hAnsi="Cambria" w:cs="Arial"/>
          <w:snapToGrid w:val="0"/>
          <w:color w:val="A6A6A6"/>
          <w:lang w:val="es-CO"/>
        </w:rPr>
      </w:pPr>
      <w:r w:rsidRPr="00B72210">
        <w:rPr>
          <w:rFonts w:ascii="Cambria" w:hAnsi="Cambria" w:cs="Arial"/>
          <w:snapToGrid w:val="0"/>
          <w:lang w:val="es-CO"/>
        </w:rPr>
        <w:tab/>
      </w:r>
      <w:r w:rsidRPr="00B72210">
        <w:rPr>
          <w:rFonts w:ascii="Cambria" w:hAnsi="Cambria" w:cs="Arial"/>
          <w:snapToGrid w:val="0"/>
          <w:lang w:val="es-CO"/>
        </w:rPr>
        <w:tab/>
      </w:r>
      <w:r w:rsidRPr="00B72210">
        <w:rPr>
          <w:rFonts w:ascii="Cambria" w:hAnsi="Cambria" w:cs="Arial"/>
          <w:snapToGrid w:val="0"/>
          <w:lang w:val="es-CO"/>
        </w:rPr>
        <w:tab/>
      </w:r>
      <w:r w:rsidR="0098056C">
        <w:rPr>
          <w:rFonts w:ascii="Cambria" w:hAnsi="Cambria" w:cs="Arial"/>
          <w:snapToGrid w:val="0"/>
          <w:lang w:val="es-CO"/>
        </w:rPr>
        <w:tab/>
      </w:r>
      <w:r w:rsidR="0098056C">
        <w:rPr>
          <w:rFonts w:ascii="Cambria" w:hAnsi="Cambria" w:cs="Arial"/>
          <w:snapToGrid w:val="0"/>
          <w:lang w:val="es-CO"/>
        </w:rPr>
        <w:tab/>
      </w:r>
      <w:r w:rsidR="0098056C">
        <w:rPr>
          <w:rFonts w:ascii="Cambria" w:hAnsi="Cambria" w:cs="Arial"/>
          <w:snapToGrid w:val="0"/>
          <w:lang w:val="es-CO"/>
        </w:rPr>
        <w:tab/>
        <w:t xml:space="preserve">       </w:t>
      </w:r>
      <w:r w:rsidR="0098056C" w:rsidRPr="00356F8F">
        <w:rPr>
          <w:rFonts w:ascii="Cambria" w:hAnsi="Cambria" w:cs="Arial"/>
          <w:snapToGrid w:val="0"/>
          <w:color w:val="A6A6A6"/>
          <w:sz w:val="20"/>
          <w:lang w:val="es-CO"/>
        </w:rPr>
        <w:t>Firmado en el original</w:t>
      </w:r>
    </w:p>
    <w:p w:rsidR="00F00C1F" w:rsidRPr="00B72210" w:rsidRDefault="00F00C1F" w:rsidP="00F00C1F">
      <w:pPr>
        <w:suppressAutoHyphens/>
        <w:spacing w:after="0" w:line="240" w:lineRule="auto"/>
        <w:ind w:left="3600" w:firstLine="720"/>
        <w:rPr>
          <w:rFonts w:ascii="Cambria" w:hAnsi="Cambria" w:cs="Arial"/>
          <w:snapToGrid w:val="0"/>
          <w:lang w:val="es-CO"/>
        </w:rPr>
      </w:pPr>
      <w:r w:rsidRPr="00B72210">
        <w:rPr>
          <w:rFonts w:ascii="Cambria" w:hAnsi="Cambria" w:cs="Arial"/>
          <w:snapToGrid w:val="0"/>
          <w:lang w:val="es-CO"/>
        </w:rPr>
        <w:t xml:space="preserve">    Elizabeth Abi-Mershed </w:t>
      </w:r>
    </w:p>
    <w:p w:rsidR="00F00C1F" w:rsidRPr="00B72210" w:rsidRDefault="00F00C1F" w:rsidP="00F00C1F">
      <w:pPr>
        <w:suppressAutoHyphens/>
        <w:spacing w:after="0" w:line="240" w:lineRule="auto"/>
        <w:ind w:left="3600"/>
        <w:rPr>
          <w:rFonts w:ascii="Cambria" w:hAnsi="Cambria"/>
          <w:lang w:val="es-CO"/>
        </w:rPr>
      </w:pPr>
      <w:r w:rsidRPr="00B72210">
        <w:rPr>
          <w:rFonts w:ascii="Cambria" w:hAnsi="Cambria" w:cs="Arial"/>
          <w:snapToGrid w:val="0"/>
          <w:lang w:val="es-CO"/>
        </w:rPr>
        <w:t xml:space="preserve">              Secretaria Ejecutiva Adjunta </w:t>
      </w:r>
    </w:p>
    <w:p w:rsidR="00F00C1F" w:rsidRPr="00B72210" w:rsidRDefault="00F00C1F" w:rsidP="00F00C1F">
      <w:pPr>
        <w:spacing w:after="0" w:line="240" w:lineRule="auto"/>
        <w:rPr>
          <w:rFonts w:ascii="Cambria" w:hAnsi="Cambria"/>
          <w:lang w:val="es-CO"/>
        </w:rPr>
      </w:pPr>
    </w:p>
    <w:p w:rsidR="000908A8" w:rsidRPr="00B72210" w:rsidRDefault="000908A8" w:rsidP="00F00C1F">
      <w:pPr>
        <w:spacing w:after="0" w:line="240" w:lineRule="auto"/>
        <w:rPr>
          <w:rFonts w:ascii="Cambria" w:hAnsi="Cambria"/>
          <w:lang w:val="es-CO"/>
        </w:rPr>
      </w:pPr>
    </w:p>
    <w:p w:rsidR="000908A8" w:rsidRPr="00B72210" w:rsidRDefault="000908A8" w:rsidP="00F00C1F">
      <w:pPr>
        <w:spacing w:after="0" w:line="240" w:lineRule="auto"/>
        <w:rPr>
          <w:rFonts w:ascii="Cambria" w:hAnsi="Cambria"/>
          <w:lang w:val="es-CO"/>
        </w:rPr>
      </w:pPr>
    </w:p>
    <w:p w:rsidR="000908A8" w:rsidRPr="00B72210" w:rsidRDefault="000908A8" w:rsidP="00F00C1F">
      <w:pPr>
        <w:spacing w:after="0" w:line="240" w:lineRule="auto"/>
        <w:rPr>
          <w:rFonts w:ascii="Cambria" w:hAnsi="Cambria"/>
          <w:lang w:val="es-CO"/>
        </w:rPr>
      </w:pPr>
    </w:p>
    <w:p w:rsidR="000908A8" w:rsidRPr="00B72210" w:rsidRDefault="000908A8" w:rsidP="00F00C1F">
      <w:pPr>
        <w:spacing w:after="0" w:line="240" w:lineRule="auto"/>
        <w:rPr>
          <w:rFonts w:ascii="Cambria" w:hAnsi="Cambria"/>
          <w:lang w:val="es-CO"/>
        </w:rPr>
      </w:pPr>
    </w:p>
    <w:p w:rsidR="000908A8" w:rsidRPr="00B72210" w:rsidRDefault="000908A8" w:rsidP="00F00C1F">
      <w:pPr>
        <w:spacing w:after="0" w:line="240" w:lineRule="auto"/>
        <w:rPr>
          <w:rFonts w:ascii="Cambria" w:hAnsi="Cambria"/>
          <w:lang w:val="es-CO"/>
        </w:rPr>
      </w:pPr>
    </w:p>
    <w:p w:rsidR="00F00C1F" w:rsidRPr="00B72210" w:rsidRDefault="00F00C1F" w:rsidP="00F00C1F">
      <w:pPr>
        <w:spacing w:after="0" w:line="240" w:lineRule="auto"/>
        <w:rPr>
          <w:rFonts w:ascii="Cambria" w:hAnsi="Cambria"/>
          <w:lang w:val="es-CO"/>
        </w:rPr>
      </w:pPr>
    </w:p>
    <w:p w:rsidR="000E1C51" w:rsidRPr="00B72210" w:rsidRDefault="000E1C51">
      <w:pPr>
        <w:rPr>
          <w:rFonts w:ascii="Cambria" w:hAnsi="Cambria"/>
          <w:lang w:val="es-VE"/>
        </w:rPr>
      </w:pPr>
    </w:p>
    <w:sectPr w:rsidR="000E1C51" w:rsidRPr="00B72210" w:rsidSect="00967712">
      <w:headerReference w:type="default" r:id="rId7"/>
      <w:footerReference w:type="default" r:id="rId8"/>
      <w:pgSz w:w="12240" w:h="15840" w:code="1"/>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324D" w:rsidRDefault="00C1324D">
      <w:pPr>
        <w:spacing w:after="0" w:line="240" w:lineRule="auto"/>
      </w:pPr>
      <w:r>
        <w:separator/>
      </w:r>
    </w:p>
  </w:endnote>
  <w:endnote w:type="continuationSeparator" w:id="0">
    <w:p w:rsidR="00C1324D" w:rsidRDefault="00C132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7712" w:rsidRDefault="00967712" w:rsidP="00967712">
    <w:pPr>
      <w:pStyle w:val="Piedepgina"/>
      <w:spacing w:line="360" w:lineRule="auto"/>
    </w:pPr>
    <w:r>
      <w:pict>
        <v:rect id="_x0000_i1026" style="width:0;height:1.5pt" o:hralign="center" o:hrstd="t" o:hr="t" fillcolor="#a0a0a0" stroked="f"/>
      </w:pict>
    </w:r>
  </w:p>
  <w:p w:rsidR="00967712" w:rsidRDefault="00967712" w:rsidP="00967712">
    <w:pPr>
      <w:pStyle w:val="Piedepgina"/>
      <w:jc w:val="center"/>
    </w:pPr>
    <w:r w:rsidRPr="008A5CB5">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 o:spid="_x0000_i1029" type="#_x0000_t75" style="width:402.75pt;height:25.5pt;visibility:visible">
          <v:imagedata r:id="rId1" o:title="footer-es"/>
        </v:shape>
      </w:pict>
    </w:r>
  </w:p>
  <w:p w:rsidR="00967712" w:rsidRDefault="00967712" w:rsidP="00967712">
    <w:pPr>
      <w:pStyle w:val="Piedepgina"/>
    </w:pPr>
  </w:p>
  <w:p w:rsidR="00967712" w:rsidRDefault="0096771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324D" w:rsidRDefault="00C1324D">
      <w:pPr>
        <w:spacing w:after="0" w:line="240" w:lineRule="auto"/>
      </w:pPr>
      <w:r>
        <w:separator/>
      </w:r>
    </w:p>
  </w:footnote>
  <w:footnote w:type="continuationSeparator" w:id="0">
    <w:p w:rsidR="00C1324D" w:rsidRDefault="00C1324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7712" w:rsidRDefault="00967712" w:rsidP="00967712">
    <w:pPr>
      <w:pStyle w:val="Encabezado"/>
    </w:pPr>
    <w:r w:rsidRPr="008A5CB5">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7" type="#_x0000_t75" style="width:185.25pt;height:36pt;visibility:visible">
          <v:imagedata r:id="rId1" o:title="cidh-es"/>
        </v:shape>
      </w:pict>
    </w:r>
    <w:r>
      <w:tab/>
      <w:t xml:space="preserve">                                                                            </w:t>
    </w:r>
    <w:r w:rsidRPr="008A5CB5">
      <w:rPr>
        <w:noProof/>
      </w:rPr>
      <w:pict>
        <v:shape id="Picture 2" o:spid="_x0000_i1028" type="#_x0000_t75" style="width:129.75pt;height:37.5pt;visibility:visible">
          <v:imagedata r:id="rId2" o:title="oea-es"/>
        </v:shape>
      </w:pict>
    </w:r>
  </w:p>
  <w:p w:rsidR="00967712" w:rsidRDefault="00967712" w:rsidP="00967712">
    <w:pPr>
      <w:pStyle w:val="Encabezado"/>
    </w:pPr>
  </w:p>
  <w:p w:rsidR="00967712" w:rsidRDefault="00967712" w:rsidP="00967712">
    <w:pPr>
      <w:pStyle w:val="Encabezado"/>
    </w:pPr>
    <w:r>
      <w:pict>
        <v:rect id="_x0000_i1025" style="width:0;height:1.5pt" o:hralign="center" o:hrstd="t" o:hr="t" fillcolor="#a0a0a0" stroked="f"/>
      </w:pict>
    </w:r>
  </w:p>
  <w:p w:rsidR="00967712" w:rsidRDefault="0096771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FF60FE"/>
    <w:multiLevelType w:val="hybridMultilevel"/>
    <w:tmpl w:val="65640C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DC61D90"/>
    <w:multiLevelType w:val="hybridMultilevel"/>
    <w:tmpl w:val="9D80A4A8"/>
    <w:lvl w:ilvl="0" w:tplc="9A0C65BE">
      <w:start w:val="1"/>
      <w:numFmt w:val="decimal"/>
      <w:lvlText w:val="%1."/>
      <w:lvlJc w:val="left"/>
      <w:pPr>
        <w:tabs>
          <w:tab w:val="num" w:pos="1080"/>
        </w:tabs>
        <w:ind w:left="1080" w:hanging="360"/>
      </w:pPr>
      <w:rPr>
        <w:rFonts w:ascii="Cambria" w:hAnsi="Cambria" w:cs="Times New Roman" w:hint="default"/>
        <w:b w:val="0"/>
        <w:i w:val="0"/>
        <w:sz w:val="20"/>
        <w:szCs w:val="20"/>
        <w:lang w:val="es-E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FDF2ED9"/>
    <w:multiLevelType w:val="hybridMultilevel"/>
    <w:tmpl w:val="052CDC5E"/>
    <w:lvl w:ilvl="0" w:tplc="D92C12E8">
      <w:start w:val="1"/>
      <w:numFmt w:val="decimal"/>
      <w:lvlText w:val="%1."/>
      <w:lvlJc w:val="left"/>
      <w:pPr>
        <w:tabs>
          <w:tab w:val="num" w:pos="1860"/>
        </w:tabs>
        <w:ind w:left="186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6BE5E6A"/>
    <w:multiLevelType w:val="hybridMultilevel"/>
    <w:tmpl w:val="05FA9F38"/>
    <w:lvl w:ilvl="0" w:tplc="D27A5198">
      <w:start w:val="1"/>
      <w:numFmt w:val="decimal"/>
      <w:lvlText w:val="%1."/>
      <w:lvlJc w:val="left"/>
      <w:pPr>
        <w:tabs>
          <w:tab w:val="num" w:pos="720"/>
        </w:tabs>
        <w:ind w:left="0" w:firstLine="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proofState w:spelling="clean" w:grammar="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00C1F"/>
    <w:rsid w:val="00067B3B"/>
    <w:rsid w:val="000908A8"/>
    <w:rsid w:val="000D2220"/>
    <w:rsid w:val="000E1C51"/>
    <w:rsid w:val="000E6991"/>
    <w:rsid w:val="000F54F2"/>
    <w:rsid w:val="0013510A"/>
    <w:rsid w:val="001B06C2"/>
    <w:rsid w:val="001E752A"/>
    <w:rsid w:val="0020150B"/>
    <w:rsid w:val="00210ECA"/>
    <w:rsid w:val="0021225D"/>
    <w:rsid w:val="002952EF"/>
    <w:rsid w:val="002F6B6D"/>
    <w:rsid w:val="0033777E"/>
    <w:rsid w:val="00345E67"/>
    <w:rsid w:val="00352E44"/>
    <w:rsid w:val="00356F8F"/>
    <w:rsid w:val="00362A8C"/>
    <w:rsid w:val="00392D8B"/>
    <w:rsid w:val="00393909"/>
    <w:rsid w:val="003939F4"/>
    <w:rsid w:val="003E2E3A"/>
    <w:rsid w:val="003E71D9"/>
    <w:rsid w:val="003F1706"/>
    <w:rsid w:val="00437267"/>
    <w:rsid w:val="00491A9A"/>
    <w:rsid w:val="004A6C5F"/>
    <w:rsid w:val="004B7896"/>
    <w:rsid w:val="0054139F"/>
    <w:rsid w:val="005533B9"/>
    <w:rsid w:val="006524FA"/>
    <w:rsid w:val="00670403"/>
    <w:rsid w:val="00671973"/>
    <w:rsid w:val="00686199"/>
    <w:rsid w:val="006C3715"/>
    <w:rsid w:val="007019B7"/>
    <w:rsid w:val="00710D0E"/>
    <w:rsid w:val="007B3224"/>
    <w:rsid w:val="007F23D5"/>
    <w:rsid w:val="008244BF"/>
    <w:rsid w:val="008547AC"/>
    <w:rsid w:val="00861552"/>
    <w:rsid w:val="008D20C7"/>
    <w:rsid w:val="008F72EB"/>
    <w:rsid w:val="00945416"/>
    <w:rsid w:val="00962E85"/>
    <w:rsid w:val="00967712"/>
    <w:rsid w:val="0098056C"/>
    <w:rsid w:val="00983C7F"/>
    <w:rsid w:val="009A0F7C"/>
    <w:rsid w:val="009E0566"/>
    <w:rsid w:val="00A55CFE"/>
    <w:rsid w:val="00A6191A"/>
    <w:rsid w:val="00AE62F6"/>
    <w:rsid w:val="00B72210"/>
    <w:rsid w:val="00BB2009"/>
    <w:rsid w:val="00BB5A5E"/>
    <w:rsid w:val="00BC5E1D"/>
    <w:rsid w:val="00C1324D"/>
    <w:rsid w:val="00C37DD8"/>
    <w:rsid w:val="00C64003"/>
    <w:rsid w:val="00C72573"/>
    <w:rsid w:val="00D4271A"/>
    <w:rsid w:val="00D46312"/>
    <w:rsid w:val="00D80B5C"/>
    <w:rsid w:val="00DA48D8"/>
    <w:rsid w:val="00DC0922"/>
    <w:rsid w:val="00DD3616"/>
    <w:rsid w:val="00DF016C"/>
    <w:rsid w:val="00DF2BB2"/>
    <w:rsid w:val="00E0482A"/>
    <w:rsid w:val="00E04B71"/>
    <w:rsid w:val="00E21A3A"/>
    <w:rsid w:val="00E66AA0"/>
    <w:rsid w:val="00E770B8"/>
    <w:rsid w:val="00E97A0E"/>
    <w:rsid w:val="00EA3A70"/>
    <w:rsid w:val="00EB5418"/>
    <w:rsid w:val="00EC3F32"/>
    <w:rsid w:val="00ED43DF"/>
    <w:rsid w:val="00EE0672"/>
    <w:rsid w:val="00EF31E9"/>
    <w:rsid w:val="00F00C1F"/>
    <w:rsid w:val="00F04427"/>
    <w:rsid w:val="00F1278D"/>
    <w:rsid w:val="00F26F4D"/>
    <w:rsid w:val="00F505BA"/>
    <w:rsid w:val="00F56EF5"/>
    <w:rsid w:val="00F774D7"/>
    <w:rsid w:val="00FB7D4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00C1F"/>
    <w:pPr>
      <w:tabs>
        <w:tab w:val="center" w:pos="4680"/>
        <w:tab w:val="right" w:pos="9360"/>
      </w:tabs>
      <w:spacing w:after="0" w:line="240" w:lineRule="auto"/>
    </w:pPr>
    <w:rPr>
      <w:rFonts w:eastAsia="Batang"/>
    </w:rPr>
  </w:style>
  <w:style w:type="character" w:customStyle="1" w:styleId="EncabezadoCar">
    <w:name w:val="Encabezado Car"/>
    <w:link w:val="Encabezado"/>
    <w:uiPriority w:val="99"/>
    <w:rsid w:val="00F00C1F"/>
    <w:rPr>
      <w:rFonts w:eastAsia="Batang"/>
      <w:sz w:val="22"/>
      <w:szCs w:val="22"/>
    </w:rPr>
  </w:style>
  <w:style w:type="paragraph" w:styleId="Piedepgina">
    <w:name w:val="footer"/>
    <w:basedOn w:val="Normal"/>
    <w:link w:val="PiedepginaCar"/>
    <w:rsid w:val="00F00C1F"/>
    <w:pPr>
      <w:tabs>
        <w:tab w:val="center" w:pos="4320"/>
        <w:tab w:val="right" w:pos="8640"/>
      </w:tabs>
      <w:spacing w:after="0" w:line="240" w:lineRule="auto"/>
    </w:pPr>
    <w:rPr>
      <w:rFonts w:ascii="Times New Roman" w:eastAsia="Times New Roman" w:hAnsi="Times New Roman"/>
      <w:sz w:val="24"/>
      <w:szCs w:val="24"/>
      <w:lang w:val="es-ES" w:eastAsia="es-ES"/>
    </w:rPr>
  </w:style>
  <w:style w:type="character" w:customStyle="1" w:styleId="PiedepginaCar">
    <w:name w:val="Pie de página Car"/>
    <w:link w:val="Piedepgina"/>
    <w:rsid w:val="00F00C1F"/>
    <w:rPr>
      <w:rFonts w:ascii="Times New Roman" w:eastAsia="Times New Roman" w:hAnsi="Times New Roman"/>
      <w:sz w:val="24"/>
      <w:szCs w:val="24"/>
      <w:lang w:val="es-ES" w:eastAsia="es-ES"/>
    </w:rPr>
  </w:style>
  <w:style w:type="paragraph" w:styleId="Sangradetextonormal">
    <w:name w:val="Body Text Indent"/>
    <w:link w:val="SangradetextonormalCar"/>
    <w:rsid w:val="00F00C1F"/>
    <w:pPr>
      <w:pBdr>
        <w:top w:val="nil"/>
        <w:left w:val="nil"/>
        <w:bottom w:val="nil"/>
        <w:right w:val="nil"/>
        <w:between w:val="nil"/>
        <w:bar w:val="nil"/>
      </w:pBdr>
      <w:ind w:left="2160" w:hanging="720"/>
    </w:pPr>
    <w:rPr>
      <w:rFonts w:ascii="Times New Roman" w:eastAsia="Times New Roman" w:hAnsi="Times New Roman"/>
      <w:color w:val="000000"/>
      <w:sz w:val="24"/>
      <w:szCs w:val="24"/>
      <w:u w:color="000000"/>
      <w:bdr w:val="nil"/>
      <w:lang w:val="es-ES_tradnl" w:eastAsia="es-ES"/>
    </w:rPr>
  </w:style>
  <w:style w:type="character" w:customStyle="1" w:styleId="SangradetextonormalCar">
    <w:name w:val="Sangría de texto normal Car"/>
    <w:link w:val="Sangradetextonormal"/>
    <w:rsid w:val="00F00C1F"/>
    <w:rPr>
      <w:rFonts w:ascii="Times New Roman" w:eastAsia="Times New Roman" w:hAnsi="Times New Roman"/>
      <w:color w:val="000000"/>
      <w:sz w:val="24"/>
      <w:szCs w:val="24"/>
      <w:u w:color="000000"/>
      <w:bdr w:val="nil"/>
      <w:lang w:val="es-ES_tradnl" w:eastAsia="es-ES"/>
    </w:rPr>
  </w:style>
  <w:style w:type="character" w:styleId="Hipervnculo">
    <w:name w:val="Hyperlink"/>
    <w:uiPriority w:val="99"/>
    <w:unhideWhenUsed/>
    <w:rsid w:val="00F00C1F"/>
    <w:rPr>
      <w:color w:val="0000FF"/>
      <w:u w:val="single"/>
    </w:rPr>
  </w:style>
  <w:style w:type="paragraph" w:styleId="Textoindependiente3">
    <w:name w:val="Body Text 3"/>
    <w:basedOn w:val="Normal"/>
    <w:link w:val="Textoindependiente3Car"/>
    <w:uiPriority w:val="99"/>
    <w:unhideWhenUsed/>
    <w:rsid w:val="00EA3A70"/>
    <w:pPr>
      <w:spacing w:after="120"/>
    </w:pPr>
    <w:rPr>
      <w:sz w:val="16"/>
      <w:szCs w:val="16"/>
    </w:rPr>
  </w:style>
  <w:style w:type="character" w:customStyle="1" w:styleId="Textoindependiente3Car">
    <w:name w:val="Texto independiente 3 Car"/>
    <w:link w:val="Textoindependiente3"/>
    <w:uiPriority w:val="99"/>
    <w:rsid w:val="00EA3A7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1190</Words>
  <Characters>6549</Characters>
  <Application>Microsoft Office Word</Application>
  <DocSecurity>0</DocSecurity>
  <Lines>54</Lines>
  <Paragraphs>15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7724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3</cp:revision>
  <cp:lastPrinted>2018-04-20T19:57:00Z</cp:lastPrinted>
  <dcterms:created xsi:type="dcterms:W3CDTF">2018-04-20T19:56:00Z</dcterms:created>
  <dcterms:modified xsi:type="dcterms:W3CDTF">2018-04-20T19:57:00Z</dcterms:modified>
</cp:coreProperties>
</file>