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1A2" w:rsidRPr="00A1219A" w:rsidRDefault="006031A2" w:rsidP="00693812">
      <w:pPr>
        <w:ind w:firstLine="360"/>
        <w:jc w:val="center"/>
        <w:rPr>
          <w:b/>
          <w:sz w:val="20"/>
          <w:lang w:val="es-ES"/>
        </w:rPr>
      </w:pPr>
      <w:bookmarkStart w:id="0" w:name="_GoBack"/>
      <w:bookmarkEnd w:id="0"/>
      <w:r w:rsidRPr="00A1219A">
        <w:rPr>
          <w:b/>
          <w:bCs/>
          <w:sz w:val="20"/>
          <w:lang w:val="es-ES"/>
        </w:rPr>
        <w:t>INFORME N</w:t>
      </w:r>
      <w:r w:rsidR="00921096" w:rsidRPr="00A1219A">
        <w:rPr>
          <w:b/>
          <w:bCs/>
          <w:sz w:val="20"/>
          <w:lang w:val="es-ES"/>
        </w:rPr>
        <w:t>o.</w:t>
      </w:r>
      <w:r w:rsidR="00297461" w:rsidRPr="00A1219A">
        <w:rPr>
          <w:b/>
          <w:bCs/>
          <w:sz w:val="20"/>
          <w:lang w:val="es-ES"/>
        </w:rPr>
        <w:t xml:space="preserve"> </w:t>
      </w:r>
      <w:r w:rsidR="00630388">
        <w:rPr>
          <w:b/>
          <w:bCs/>
          <w:sz w:val="20"/>
          <w:lang w:val="es-ES"/>
        </w:rPr>
        <w:t>30</w:t>
      </w:r>
      <w:r w:rsidR="00297461" w:rsidRPr="00A1219A">
        <w:rPr>
          <w:b/>
          <w:bCs/>
          <w:sz w:val="20"/>
          <w:lang w:val="es-ES"/>
        </w:rPr>
        <w:t>/13</w:t>
      </w:r>
    </w:p>
    <w:p w:rsidR="006031A2" w:rsidRPr="00A1219A" w:rsidRDefault="006031A2" w:rsidP="00693812">
      <w:pPr>
        <w:jc w:val="center"/>
        <w:rPr>
          <w:sz w:val="20"/>
          <w:lang w:val="es-ES"/>
        </w:rPr>
      </w:pPr>
      <w:r w:rsidRPr="00A1219A">
        <w:rPr>
          <w:sz w:val="20"/>
          <w:lang w:val="es-ES"/>
        </w:rPr>
        <w:t>CASO 12.</w:t>
      </w:r>
      <w:r w:rsidR="00297461" w:rsidRPr="00A1219A">
        <w:rPr>
          <w:sz w:val="20"/>
          <w:lang w:val="es-ES"/>
        </w:rPr>
        <w:t>761</w:t>
      </w:r>
    </w:p>
    <w:p w:rsidR="006031A2" w:rsidRPr="00A1219A" w:rsidRDefault="006031A2" w:rsidP="00693812">
      <w:pPr>
        <w:jc w:val="center"/>
        <w:rPr>
          <w:sz w:val="20"/>
          <w:lang w:val="es-ES"/>
        </w:rPr>
      </w:pPr>
      <w:r w:rsidRPr="00A1219A">
        <w:rPr>
          <w:sz w:val="20"/>
          <w:lang w:val="es-ES"/>
        </w:rPr>
        <w:t>FONDO</w:t>
      </w:r>
    </w:p>
    <w:p w:rsidR="00297461" w:rsidRPr="00A1219A" w:rsidRDefault="00297461" w:rsidP="00693812">
      <w:pPr>
        <w:jc w:val="center"/>
        <w:rPr>
          <w:bCs/>
          <w:sz w:val="20"/>
          <w:lang w:val="es-ES"/>
        </w:rPr>
      </w:pPr>
      <w:r w:rsidRPr="00A1219A">
        <w:rPr>
          <w:bCs/>
          <w:sz w:val="20"/>
          <w:lang w:val="es-ES"/>
        </w:rPr>
        <w:t xml:space="preserve">COMUNIDAD GARÍFUNA </w:t>
      </w:r>
      <w:r w:rsidR="00F352B8" w:rsidRPr="00A1219A">
        <w:rPr>
          <w:bCs/>
          <w:sz w:val="20"/>
          <w:lang w:val="es-ES"/>
        </w:rPr>
        <w:t xml:space="preserve">DE </w:t>
      </w:r>
      <w:r w:rsidRPr="00A1219A">
        <w:rPr>
          <w:bCs/>
          <w:sz w:val="20"/>
          <w:lang w:val="es-ES"/>
        </w:rPr>
        <w:t>PUNTA PIEDRA Y SUS MIEMBROS</w:t>
      </w:r>
    </w:p>
    <w:p w:rsidR="006031A2" w:rsidRPr="00A1219A" w:rsidRDefault="006031A2" w:rsidP="00693812">
      <w:pPr>
        <w:jc w:val="center"/>
        <w:rPr>
          <w:sz w:val="20"/>
          <w:lang w:val="es-ES"/>
        </w:rPr>
      </w:pPr>
      <w:r w:rsidRPr="00A1219A">
        <w:rPr>
          <w:sz w:val="20"/>
          <w:lang w:val="es-ES"/>
        </w:rPr>
        <w:t>HONDURAS</w:t>
      </w:r>
    </w:p>
    <w:p w:rsidR="006031A2" w:rsidRPr="00A1219A" w:rsidRDefault="00630388" w:rsidP="00693812">
      <w:pPr>
        <w:jc w:val="center"/>
        <w:rPr>
          <w:sz w:val="20"/>
          <w:lang w:val="es-ES"/>
        </w:rPr>
      </w:pPr>
      <w:r>
        <w:rPr>
          <w:sz w:val="20"/>
          <w:lang w:val="es-ES"/>
        </w:rPr>
        <w:t>21</w:t>
      </w:r>
      <w:r w:rsidR="00297461" w:rsidRPr="00A1219A">
        <w:rPr>
          <w:sz w:val="20"/>
          <w:lang w:val="es-ES"/>
        </w:rPr>
        <w:t xml:space="preserve"> de </w:t>
      </w:r>
      <w:r>
        <w:rPr>
          <w:sz w:val="20"/>
          <w:lang w:val="es-ES"/>
        </w:rPr>
        <w:t>marzo</w:t>
      </w:r>
      <w:r w:rsidR="00297461" w:rsidRPr="00A1219A">
        <w:rPr>
          <w:sz w:val="20"/>
          <w:lang w:val="es-ES"/>
        </w:rPr>
        <w:t xml:space="preserve"> de 2013</w:t>
      </w:r>
    </w:p>
    <w:p w:rsidR="006031A2" w:rsidRPr="00A1219A" w:rsidRDefault="006031A2" w:rsidP="00693812">
      <w:pPr>
        <w:jc w:val="center"/>
        <w:rPr>
          <w:sz w:val="20"/>
          <w:lang w:val="es-ES"/>
        </w:rPr>
      </w:pPr>
    </w:p>
    <w:p w:rsidR="007A649C" w:rsidRPr="00A1219A" w:rsidRDefault="007A649C" w:rsidP="00693812">
      <w:pPr>
        <w:jc w:val="center"/>
        <w:rPr>
          <w:sz w:val="20"/>
          <w:lang w:val="es-ES"/>
        </w:rPr>
      </w:pPr>
    </w:p>
    <w:p w:rsidR="006031A2" w:rsidRPr="00A1219A" w:rsidRDefault="006031A2" w:rsidP="00693812">
      <w:pPr>
        <w:ind w:firstLine="720"/>
        <w:jc w:val="both"/>
        <w:outlineLvl w:val="0"/>
        <w:rPr>
          <w:sz w:val="20"/>
          <w:lang w:val="es-ES"/>
        </w:rPr>
      </w:pPr>
      <w:bookmarkStart w:id="1" w:name="_Toc336247990"/>
      <w:bookmarkStart w:id="2" w:name="_Toc350183571"/>
      <w:r w:rsidRPr="00A1219A">
        <w:rPr>
          <w:b/>
          <w:bCs/>
          <w:sz w:val="20"/>
          <w:lang w:val="es-ES"/>
        </w:rPr>
        <w:t>I.</w:t>
      </w:r>
      <w:r w:rsidRPr="00A1219A">
        <w:rPr>
          <w:b/>
          <w:bCs/>
          <w:sz w:val="20"/>
          <w:lang w:val="es-ES"/>
        </w:rPr>
        <w:tab/>
      </w:r>
      <w:r w:rsidRPr="00A1219A">
        <w:rPr>
          <w:rStyle w:val="Ttulo1Car"/>
          <w:rFonts w:ascii="Univers" w:hAnsi="Univers"/>
          <w:bCs w:val="0"/>
          <w:sz w:val="20"/>
          <w:lang w:val="es-ES"/>
        </w:rPr>
        <w:t>RESUMEN</w:t>
      </w:r>
      <w:bookmarkEnd w:id="1"/>
      <w:bookmarkEnd w:id="2"/>
    </w:p>
    <w:p w:rsidR="006031A2" w:rsidRPr="00A1219A" w:rsidRDefault="006031A2" w:rsidP="00693812">
      <w:pPr>
        <w:jc w:val="both"/>
        <w:rPr>
          <w:sz w:val="20"/>
          <w:lang w:val="es-ES"/>
        </w:rPr>
      </w:pPr>
    </w:p>
    <w:p w:rsidR="007856F9" w:rsidRPr="00A1219A" w:rsidRDefault="007856F9" w:rsidP="00693812">
      <w:pPr>
        <w:numPr>
          <w:ilvl w:val="0"/>
          <w:numId w:val="1"/>
        </w:numPr>
        <w:tabs>
          <w:tab w:val="clear" w:pos="900"/>
        </w:tabs>
        <w:ind w:left="0" w:firstLine="720"/>
        <w:jc w:val="both"/>
        <w:rPr>
          <w:sz w:val="20"/>
          <w:lang w:val="es-ES"/>
        </w:rPr>
      </w:pPr>
      <w:r w:rsidRPr="00A1219A">
        <w:rPr>
          <w:sz w:val="20"/>
          <w:lang w:val="es-ES"/>
        </w:rPr>
        <w:t xml:space="preserve">El 29 de octubre de 2003 la Comisión Interamericana de Derechos Humanos (en adelante “Comisión Interamericana”, “Comisión” o “CIDH”) recibió una petición presentada por la Organización Fraternal Negra Hondureña (en adelante “peticionaria” u “OFRANEH”), contra el Estado de </w:t>
      </w:r>
      <w:smartTag w:uri="urn:schemas-microsoft-com:office:smarttags" w:element="PersonName">
        <w:r w:rsidRPr="00A1219A">
          <w:rPr>
            <w:sz w:val="20"/>
            <w:lang w:val="es-ES"/>
          </w:rPr>
          <w:t>Honduras</w:t>
        </w:r>
      </w:smartTag>
      <w:r w:rsidRPr="00A1219A">
        <w:rPr>
          <w:sz w:val="20"/>
          <w:lang w:val="es-ES"/>
        </w:rPr>
        <w:t xml:space="preserve"> (en adelante “Estado hondureño”, “</w:t>
      </w:r>
      <w:smartTag w:uri="urn:schemas-microsoft-com:office:smarttags" w:element="PersonName">
        <w:r w:rsidRPr="00A1219A">
          <w:rPr>
            <w:sz w:val="20"/>
            <w:lang w:val="es-ES"/>
          </w:rPr>
          <w:t>Honduras</w:t>
        </w:r>
      </w:smartTag>
      <w:r w:rsidRPr="00A1219A">
        <w:rPr>
          <w:sz w:val="20"/>
          <w:lang w:val="es-ES"/>
        </w:rPr>
        <w:t xml:space="preserve">” o “Estado”) por la violación de los artículos 8, 21 y 25 de la Convención Americana sobre Derechos Humanos (en adelante “Convención Americana” o “Convención”) en relación con el artículo 1.1 del mismo instrumento internacional y con el Convenio 169 </w:t>
      </w:r>
      <w:r w:rsidRPr="00A1219A">
        <w:rPr>
          <w:rFonts w:cs="Arial"/>
          <w:sz w:val="20"/>
          <w:lang w:val="es-ES"/>
        </w:rPr>
        <w:t xml:space="preserve">sobre Pueblos Indígenas y Tribales en Países Independientes </w:t>
      </w:r>
      <w:r w:rsidRPr="00A1219A">
        <w:rPr>
          <w:sz w:val="20"/>
          <w:lang w:val="es-ES"/>
        </w:rPr>
        <w:t xml:space="preserve">de la Organización Internacional del Trabajo </w:t>
      </w:r>
      <w:r w:rsidRPr="00A1219A">
        <w:rPr>
          <w:rFonts w:cs="Arial"/>
          <w:sz w:val="20"/>
          <w:lang w:val="es-ES"/>
        </w:rPr>
        <w:t>(en adelante “Convenio 169</w:t>
      </w:r>
      <w:r w:rsidR="00C04C00" w:rsidRPr="00A1219A">
        <w:rPr>
          <w:rFonts w:cs="Arial"/>
          <w:sz w:val="20"/>
          <w:lang w:val="es-ES"/>
        </w:rPr>
        <w:t xml:space="preserve"> de la OIT</w:t>
      </w:r>
      <w:r w:rsidR="00B7436B" w:rsidRPr="00A1219A">
        <w:rPr>
          <w:rFonts w:cs="Arial"/>
          <w:sz w:val="20"/>
          <w:lang w:val="es-ES"/>
        </w:rPr>
        <w:t>”), e</w:t>
      </w:r>
      <w:r w:rsidRPr="00A1219A">
        <w:rPr>
          <w:rFonts w:cs="Arial"/>
          <w:sz w:val="20"/>
          <w:lang w:val="es-ES"/>
        </w:rPr>
        <w:t>ste último como de interpretación,</w:t>
      </w:r>
      <w:r w:rsidRPr="00A1219A">
        <w:rPr>
          <w:sz w:val="20"/>
          <w:lang w:val="es-ES"/>
        </w:rPr>
        <w:t xml:space="preserve"> en perjuicio de las Comunidades Garífunas de Cayos Cochinos, Punta Piedra y Triunfo de la Cruz, y de sus miembros.</w:t>
      </w:r>
    </w:p>
    <w:p w:rsidR="007856F9" w:rsidRPr="00A1219A" w:rsidRDefault="007856F9" w:rsidP="00693812">
      <w:pPr>
        <w:jc w:val="both"/>
        <w:rPr>
          <w:sz w:val="20"/>
          <w:lang w:val="es-ES"/>
        </w:rPr>
      </w:pPr>
    </w:p>
    <w:p w:rsidR="007856F9" w:rsidRPr="00A1219A" w:rsidRDefault="007856F9" w:rsidP="00693812">
      <w:pPr>
        <w:numPr>
          <w:ilvl w:val="0"/>
          <w:numId w:val="1"/>
        </w:numPr>
        <w:tabs>
          <w:tab w:val="clear" w:pos="900"/>
        </w:tabs>
        <w:ind w:left="0" w:firstLine="720"/>
        <w:jc w:val="both"/>
        <w:rPr>
          <w:sz w:val="20"/>
          <w:lang w:val="es-ES"/>
        </w:rPr>
      </w:pPr>
      <w:r w:rsidRPr="00A1219A">
        <w:rPr>
          <w:sz w:val="20"/>
          <w:lang w:val="es-ES"/>
        </w:rPr>
        <w:t xml:space="preserve">El 19 de diciembre de 2003 la CIDH decidió dividir la petición en tres asuntos separados, referidos a cada una de las </w:t>
      </w:r>
      <w:r w:rsidR="00FB13B3" w:rsidRPr="00A1219A">
        <w:rPr>
          <w:sz w:val="20"/>
          <w:lang w:val="es-ES"/>
        </w:rPr>
        <w:t>C</w:t>
      </w:r>
      <w:r w:rsidRPr="00A1219A">
        <w:rPr>
          <w:sz w:val="20"/>
          <w:lang w:val="es-ES"/>
        </w:rPr>
        <w:t xml:space="preserve">omunidades </w:t>
      </w:r>
      <w:r w:rsidR="00FB13B3" w:rsidRPr="00A1219A">
        <w:rPr>
          <w:sz w:val="20"/>
          <w:lang w:val="es-ES"/>
        </w:rPr>
        <w:t xml:space="preserve">Garífunas </w:t>
      </w:r>
      <w:r w:rsidRPr="00A1219A">
        <w:rPr>
          <w:sz w:val="20"/>
          <w:lang w:val="es-ES"/>
        </w:rPr>
        <w:t xml:space="preserve">y asignarles un número de registro individual. La petición de la Comunidad Garífuna de Punta Piedra fue asignada </w:t>
      </w:r>
      <w:r w:rsidR="00FB13B3" w:rsidRPr="00A1219A">
        <w:rPr>
          <w:sz w:val="20"/>
          <w:lang w:val="es-ES"/>
        </w:rPr>
        <w:t xml:space="preserve">con el </w:t>
      </w:r>
      <w:r w:rsidRPr="00A1219A">
        <w:rPr>
          <w:sz w:val="20"/>
          <w:lang w:val="es-ES"/>
        </w:rPr>
        <w:t>número 1119-03</w:t>
      </w:r>
      <w:r w:rsidR="00FB13B3" w:rsidRPr="00A1219A">
        <w:rPr>
          <w:sz w:val="20"/>
          <w:lang w:val="es-ES"/>
        </w:rPr>
        <w:t>.</w:t>
      </w:r>
      <w:r w:rsidR="00CF2C06" w:rsidRPr="00A1219A">
        <w:rPr>
          <w:sz w:val="20"/>
          <w:lang w:val="es-ES"/>
        </w:rPr>
        <w:t xml:space="preserve"> </w:t>
      </w:r>
      <w:r w:rsidR="00FB13B3" w:rsidRPr="00A1219A">
        <w:rPr>
          <w:rFonts w:cs="Arial"/>
          <w:sz w:val="20"/>
          <w:lang w:val="es-ES"/>
        </w:rPr>
        <w:t xml:space="preserve">Respecto de la Comunidad </w:t>
      </w:r>
      <w:r w:rsidR="00FB13B3" w:rsidRPr="00A1219A">
        <w:rPr>
          <w:sz w:val="20"/>
          <w:lang w:val="es-ES"/>
        </w:rPr>
        <w:t xml:space="preserve">Garífuna de Punta Piedra y sus miembros (en adelante “Comunidad Punta Piedra”, “Punta Piedra” o “Comunidad”), el </w:t>
      </w:r>
      <w:r w:rsidR="005842B8" w:rsidRPr="00A1219A">
        <w:rPr>
          <w:rFonts w:cs="Arial"/>
          <w:sz w:val="20"/>
          <w:lang w:val="es-ES"/>
        </w:rPr>
        <w:t>24 de marzo de 2010</w:t>
      </w:r>
      <w:r w:rsidR="00FB13B3" w:rsidRPr="00A1219A">
        <w:rPr>
          <w:rFonts w:cs="Arial"/>
          <w:sz w:val="20"/>
          <w:lang w:val="es-ES"/>
        </w:rPr>
        <w:t xml:space="preserve"> la CIDH emitió el Informe de </w:t>
      </w:r>
      <w:r w:rsidRPr="00A1219A">
        <w:rPr>
          <w:rFonts w:cs="Arial"/>
          <w:sz w:val="20"/>
          <w:lang w:val="es-ES"/>
        </w:rPr>
        <w:t xml:space="preserve">Admisibilidad N° </w:t>
      </w:r>
      <w:r w:rsidR="005842B8" w:rsidRPr="00A1219A">
        <w:rPr>
          <w:rFonts w:cs="Arial"/>
          <w:sz w:val="20"/>
          <w:lang w:val="es-ES"/>
        </w:rPr>
        <w:t>63/10</w:t>
      </w:r>
      <w:r w:rsidR="00FB13B3" w:rsidRPr="00A1219A">
        <w:rPr>
          <w:rStyle w:val="Refdenotaalpie"/>
          <w:rFonts w:cs="Arial"/>
          <w:sz w:val="20"/>
          <w:lang w:val="es-ES"/>
        </w:rPr>
        <w:footnoteReference w:id="1"/>
      </w:r>
      <w:r w:rsidR="00FB13B3" w:rsidRPr="00A1219A">
        <w:rPr>
          <w:rFonts w:cs="Arial"/>
          <w:sz w:val="20"/>
          <w:lang w:val="es-ES"/>
        </w:rPr>
        <w:t xml:space="preserve">, en el que </w:t>
      </w:r>
      <w:r w:rsidRPr="00A1219A">
        <w:rPr>
          <w:rFonts w:cs="Arial"/>
          <w:sz w:val="20"/>
          <w:lang w:val="es-ES"/>
        </w:rPr>
        <w:t xml:space="preserve">concluyó que tenía competencia para conocer la petición y decidió admitir la denuncia sobre la presunta violación de los artículos </w:t>
      </w:r>
      <w:r w:rsidRPr="00A1219A">
        <w:rPr>
          <w:sz w:val="20"/>
          <w:lang w:val="es-ES"/>
        </w:rPr>
        <w:t xml:space="preserve">21 y 25 </w:t>
      </w:r>
      <w:r w:rsidRPr="00A1219A">
        <w:rPr>
          <w:rFonts w:cs="Arial"/>
          <w:sz w:val="20"/>
          <w:lang w:val="es-ES"/>
        </w:rPr>
        <w:t>de la Convención Americana,</w:t>
      </w:r>
      <w:r w:rsidRPr="00A1219A">
        <w:rPr>
          <w:rFonts w:cs="Verdana"/>
          <w:sz w:val="20"/>
          <w:szCs w:val="26"/>
          <w:lang w:val="es-ES"/>
        </w:rPr>
        <w:t xml:space="preserve"> en relación con los artículos 1 y 2 del mismo instrumento internacional</w:t>
      </w:r>
      <w:r w:rsidRPr="00A1219A">
        <w:rPr>
          <w:sz w:val="20"/>
          <w:lang w:val="es-ES"/>
        </w:rPr>
        <w:t>.</w:t>
      </w:r>
    </w:p>
    <w:p w:rsidR="007856F9" w:rsidRPr="00A1219A" w:rsidRDefault="007856F9" w:rsidP="00693812">
      <w:pPr>
        <w:jc w:val="both"/>
        <w:rPr>
          <w:sz w:val="20"/>
          <w:lang w:val="es-ES"/>
        </w:rPr>
      </w:pPr>
    </w:p>
    <w:p w:rsidR="007B0915" w:rsidRPr="00A1219A" w:rsidRDefault="00FB13B3" w:rsidP="00FB13B3">
      <w:pPr>
        <w:numPr>
          <w:ilvl w:val="0"/>
          <w:numId w:val="1"/>
        </w:numPr>
        <w:tabs>
          <w:tab w:val="clear" w:pos="900"/>
        </w:tabs>
        <w:ind w:left="0" w:firstLine="720"/>
        <w:jc w:val="both"/>
        <w:rPr>
          <w:sz w:val="20"/>
          <w:lang w:val="es-ES"/>
        </w:rPr>
      </w:pPr>
      <w:r w:rsidRPr="009B6374">
        <w:rPr>
          <w:sz w:val="20"/>
          <w:lang w:val="es-ES"/>
        </w:rPr>
        <w:t xml:space="preserve">En </w:t>
      </w:r>
      <w:r w:rsidR="009B6374" w:rsidRPr="009B6374">
        <w:rPr>
          <w:sz w:val="20"/>
          <w:lang w:val="es-ES"/>
        </w:rPr>
        <w:t>el</w:t>
      </w:r>
      <w:r w:rsidR="009B6374">
        <w:rPr>
          <w:sz w:val="20"/>
          <w:lang w:val="es-ES"/>
        </w:rPr>
        <w:t xml:space="preserve"> </w:t>
      </w:r>
      <w:r w:rsidRPr="009B6374">
        <w:rPr>
          <w:sz w:val="20"/>
          <w:lang w:val="es-ES"/>
        </w:rPr>
        <w:t>presente asunto,</w:t>
      </w:r>
      <w:r w:rsidR="007E1967">
        <w:rPr>
          <w:sz w:val="20"/>
          <w:lang w:val="es-ES"/>
        </w:rPr>
        <w:t xml:space="preserve"> l</w:t>
      </w:r>
      <w:r w:rsidR="007B0915" w:rsidRPr="00A1219A">
        <w:rPr>
          <w:sz w:val="20"/>
          <w:lang w:val="es-ES"/>
        </w:rPr>
        <w:t>a peticionaria aleg</w:t>
      </w:r>
      <w:r w:rsidR="00D12D0F" w:rsidRPr="00A1219A">
        <w:rPr>
          <w:sz w:val="20"/>
          <w:lang w:val="es-ES"/>
        </w:rPr>
        <w:t>ó</w:t>
      </w:r>
      <w:r w:rsidR="007B0915" w:rsidRPr="00A1219A">
        <w:rPr>
          <w:sz w:val="20"/>
          <w:lang w:val="es-ES"/>
        </w:rPr>
        <w:t xml:space="preserve"> que</w:t>
      </w:r>
      <w:r w:rsidRPr="00A1219A">
        <w:rPr>
          <w:sz w:val="20"/>
          <w:lang w:val="es-ES"/>
        </w:rPr>
        <w:t xml:space="preserve"> a pesar del reconocimiento y titulación del territorio ancestral de la Comunidad de Punta Piedra por parte del Estado, éste no habría cumplido con asegurar a la Comunidad el goce efectivo y pacífico de su territorio</w:t>
      </w:r>
      <w:r w:rsidR="00E52546" w:rsidRPr="00A1219A">
        <w:rPr>
          <w:sz w:val="20"/>
          <w:lang w:val="es-ES"/>
        </w:rPr>
        <w:t>. Lo anterior, porque un grupo de personas habría invadido el territorio desde 1993, sin que el Estado haya realizado las acciones necesarias para el saneamiento lo que habría generado un clima de conflictividad por la alegada inacción del Estado.</w:t>
      </w:r>
    </w:p>
    <w:p w:rsidR="00E52546" w:rsidRPr="00A1219A" w:rsidRDefault="00E52546" w:rsidP="00E52546">
      <w:pPr>
        <w:jc w:val="both"/>
        <w:rPr>
          <w:sz w:val="20"/>
          <w:lang w:val="es-ES"/>
        </w:rPr>
      </w:pPr>
    </w:p>
    <w:p w:rsidR="005842B8" w:rsidRPr="00A1219A" w:rsidRDefault="007B0915" w:rsidP="00693812">
      <w:pPr>
        <w:numPr>
          <w:ilvl w:val="0"/>
          <w:numId w:val="1"/>
        </w:numPr>
        <w:tabs>
          <w:tab w:val="clear" w:pos="900"/>
        </w:tabs>
        <w:ind w:left="0" w:firstLine="720"/>
        <w:jc w:val="both"/>
        <w:rPr>
          <w:sz w:val="20"/>
          <w:lang w:val="es-ES"/>
        </w:rPr>
      </w:pPr>
      <w:r w:rsidRPr="00A1219A">
        <w:rPr>
          <w:sz w:val="20"/>
          <w:lang w:val="es-ES"/>
        </w:rPr>
        <w:t xml:space="preserve">El Estado, por su parte, </w:t>
      </w:r>
      <w:r w:rsidR="00D12D0F" w:rsidRPr="00A1219A">
        <w:rPr>
          <w:sz w:val="20"/>
          <w:lang w:val="es-ES"/>
        </w:rPr>
        <w:t>sostuvo</w:t>
      </w:r>
      <w:r w:rsidRPr="00A1219A">
        <w:rPr>
          <w:sz w:val="20"/>
          <w:lang w:val="es-ES"/>
        </w:rPr>
        <w:t xml:space="preserve"> que</w:t>
      </w:r>
      <w:r w:rsidR="00333B96" w:rsidRPr="00A1219A">
        <w:rPr>
          <w:sz w:val="20"/>
          <w:lang w:val="es-ES"/>
        </w:rPr>
        <w:t xml:space="preserve"> no ha vulnerado los derechos de la Comunidad de Punta Piedra </w:t>
      </w:r>
      <w:r w:rsidR="00E52546" w:rsidRPr="00A1219A">
        <w:rPr>
          <w:sz w:val="20"/>
          <w:lang w:val="es-ES"/>
        </w:rPr>
        <w:t xml:space="preserve">porque </w:t>
      </w:r>
      <w:r w:rsidR="00333B96" w:rsidRPr="00A1219A">
        <w:rPr>
          <w:sz w:val="20"/>
          <w:lang w:val="es-ES"/>
        </w:rPr>
        <w:t xml:space="preserve">le ha otorgado dos títulos de propiedad en dominio pleno sobre un área total de </w:t>
      </w:r>
      <w:r w:rsidR="00EE550E" w:rsidRPr="00A1219A">
        <w:rPr>
          <w:sz w:val="20"/>
          <w:lang w:val="es-ES"/>
        </w:rPr>
        <w:t>2.</w:t>
      </w:r>
      <w:r w:rsidR="00B557F6" w:rsidRPr="00A1219A">
        <w:rPr>
          <w:sz w:val="20"/>
          <w:lang w:val="es-ES"/>
        </w:rPr>
        <w:t>314</w:t>
      </w:r>
      <w:r w:rsidR="00EE550E" w:rsidRPr="00A1219A">
        <w:rPr>
          <w:sz w:val="20"/>
          <w:lang w:val="es-ES"/>
        </w:rPr>
        <w:t>,</w:t>
      </w:r>
      <w:r w:rsidR="00D12D0F" w:rsidRPr="00A1219A">
        <w:rPr>
          <w:sz w:val="20"/>
          <w:lang w:val="es-ES"/>
        </w:rPr>
        <w:t>18 hectáreas</w:t>
      </w:r>
      <w:r w:rsidR="00E52546" w:rsidRPr="00A1219A">
        <w:rPr>
          <w:sz w:val="20"/>
          <w:lang w:val="es-ES"/>
        </w:rPr>
        <w:t xml:space="preserve"> y que </w:t>
      </w:r>
      <w:r w:rsidR="00B557F6" w:rsidRPr="00A1219A">
        <w:rPr>
          <w:sz w:val="20"/>
          <w:lang w:val="es-ES"/>
        </w:rPr>
        <w:t xml:space="preserve">ha realizado numerosos esfuerzos para </w:t>
      </w:r>
      <w:r w:rsidR="009175B0" w:rsidRPr="00A1219A">
        <w:rPr>
          <w:sz w:val="20"/>
          <w:lang w:val="es-ES"/>
        </w:rPr>
        <w:t>lograr el saneamiento</w:t>
      </w:r>
      <w:r w:rsidR="00E52546" w:rsidRPr="00A1219A">
        <w:rPr>
          <w:sz w:val="20"/>
          <w:lang w:val="es-ES"/>
        </w:rPr>
        <w:t xml:space="preserve"> del territorio. Asimismo</w:t>
      </w:r>
      <w:r w:rsidR="009175B0" w:rsidRPr="00A1219A">
        <w:rPr>
          <w:sz w:val="20"/>
          <w:lang w:val="es-ES"/>
        </w:rPr>
        <w:t xml:space="preserve">, </w:t>
      </w:r>
      <w:r w:rsidR="00E52546" w:rsidRPr="00A1219A">
        <w:rPr>
          <w:sz w:val="20"/>
          <w:lang w:val="es-ES"/>
        </w:rPr>
        <w:t xml:space="preserve">afirmó que se están realizando </w:t>
      </w:r>
      <w:r w:rsidR="009175B0" w:rsidRPr="00A1219A">
        <w:rPr>
          <w:sz w:val="20"/>
          <w:lang w:val="es-ES"/>
        </w:rPr>
        <w:t xml:space="preserve">las investigaciones </w:t>
      </w:r>
      <w:r w:rsidR="00EE550E" w:rsidRPr="00A1219A">
        <w:rPr>
          <w:sz w:val="20"/>
          <w:lang w:val="es-ES"/>
        </w:rPr>
        <w:t xml:space="preserve">sobre los hechos de violencia denunciados </w:t>
      </w:r>
      <w:r w:rsidR="009175B0" w:rsidRPr="00A1219A">
        <w:rPr>
          <w:sz w:val="20"/>
          <w:lang w:val="es-ES"/>
        </w:rPr>
        <w:t>ante las autoridades pertinentes.</w:t>
      </w:r>
    </w:p>
    <w:p w:rsidR="005842B8" w:rsidRPr="00A1219A" w:rsidRDefault="005842B8" w:rsidP="00693812">
      <w:pPr>
        <w:jc w:val="both"/>
        <w:rPr>
          <w:sz w:val="20"/>
          <w:lang w:val="es-ES"/>
        </w:rPr>
      </w:pPr>
    </w:p>
    <w:p w:rsidR="005842B8" w:rsidRPr="00A1219A" w:rsidRDefault="0054776D" w:rsidP="00693812">
      <w:pPr>
        <w:numPr>
          <w:ilvl w:val="0"/>
          <w:numId w:val="1"/>
        </w:numPr>
        <w:tabs>
          <w:tab w:val="clear" w:pos="900"/>
        </w:tabs>
        <w:ind w:left="0" w:firstLine="720"/>
        <w:jc w:val="both"/>
        <w:rPr>
          <w:sz w:val="20"/>
          <w:lang w:val="es-ES"/>
        </w:rPr>
      </w:pPr>
      <w:r w:rsidRPr="00A1219A">
        <w:rPr>
          <w:sz w:val="20"/>
          <w:lang w:val="es-ES"/>
        </w:rPr>
        <w:t xml:space="preserve">En el presente informe, tras valorar las posiciones de las partes y analizar las pruebas presentadas, la CIDH concluye, de conformidad con lo establecido en el artículo 50 de la Convención Americana, que el Estado de </w:t>
      </w:r>
      <w:smartTag w:uri="urn:schemas-microsoft-com:office:smarttags" w:element="PersonName">
        <w:r w:rsidRPr="00A1219A">
          <w:rPr>
            <w:sz w:val="20"/>
            <w:lang w:val="es-ES"/>
          </w:rPr>
          <w:t>Honduras</w:t>
        </w:r>
      </w:smartTag>
      <w:r w:rsidRPr="00A1219A">
        <w:rPr>
          <w:sz w:val="20"/>
          <w:lang w:val="es-ES"/>
        </w:rPr>
        <w:t xml:space="preserve"> es responsable por la violación de los derechos contenidos en los artículos 21 y 25 de la Convención Americana, en relación con los artículos 1.1 y 2 del mismo instrumento, en perjuicio </w:t>
      </w:r>
      <w:r w:rsidR="00EE550E" w:rsidRPr="00A1219A">
        <w:rPr>
          <w:rFonts w:cs="Arial"/>
          <w:sz w:val="20"/>
          <w:lang w:val="es-ES"/>
        </w:rPr>
        <w:t>de la Comunidad de Punta Piedra y sus miembros</w:t>
      </w:r>
      <w:r w:rsidRPr="00A1219A">
        <w:rPr>
          <w:rFonts w:cs="Arial"/>
          <w:sz w:val="20"/>
          <w:lang w:val="es-ES"/>
        </w:rPr>
        <w:t>.</w:t>
      </w:r>
    </w:p>
    <w:p w:rsidR="00122F9D" w:rsidRPr="00A1219A" w:rsidRDefault="00122F9D" w:rsidP="00693812">
      <w:pPr>
        <w:ind w:left="1440" w:hanging="720"/>
        <w:jc w:val="both"/>
        <w:outlineLvl w:val="0"/>
        <w:rPr>
          <w:sz w:val="20"/>
          <w:lang w:val="es-ES"/>
        </w:rPr>
      </w:pPr>
    </w:p>
    <w:p w:rsidR="006031A2" w:rsidRPr="00A1219A" w:rsidRDefault="006031A2" w:rsidP="00693812">
      <w:pPr>
        <w:ind w:left="1440" w:hanging="720"/>
        <w:jc w:val="both"/>
        <w:outlineLvl w:val="0"/>
        <w:rPr>
          <w:sz w:val="20"/>
          <w:lang w:val="es-ES"/>
        </w:rPr>
      </w:pPr>
      <w:bookmarkStart w:id="3" w:name="_Toc336247991"/>
      <w:bookmarkStart w:id="4" w:name="_Toc350183572"/>
      <w:r w:rsidRPr="00A1219A">
        <w:rPr>
          <w:rFonts w:cs="Arial"/>
          <w:b/>
          <w:sz w:val="20"/>
          <w:lang w:val="es-ES"/>
        </w:rPr>
        <w:t>II.</w:t>
      </w:r>
      <w:r w:rsidRPr="00A1219A">
        <w:rPr>
          <w:rFonts w:cs="Arial"/>
          <w:b/>
          <w:sz w:val="20"/>
          <w:lang w:val="es-ES"/>
        </w:rPr>
        <w:tab/>
      </w:r>
      <w:r w:rsidRPr="00A1219A">
        <w:rPr>
          <w:rStyle w:val="Ttulo1Car"/>
          <w:rFonts w:ascii="Univers" w:hAnsi="Univers"/>
          <w:bCs w:val="0"/>
          <w:sz w:val="20"/>
          <w:lang w:val="es-ES"/>
        </w:rPr>
        <w:t>TRÁMITE ANTE LA CIDH</w:t>
      </w:r>
      <w:bookmarkEnd w:id="3"/>
      <w:bookmarkEnd w:id="4"/>
    </w:p>
    <w:p w:rsidR="00693812" w:rsidRPr="00A1219A" w:rsidRDefault="00693812" w:rsidP="00693812">
      <w:pPr>
        <w:jc w:val="both"/>
        <w:rPr>
          <w:sz w:val="20"/>
          <w:lang w:val="es-ES"/>
        </w:rPr>
      </w:pPr>
      <w:bookmarkStart w:id="5" w:name="_Toc336247992"/>
    </w:p>
    <w:p w:rsidR="00693812" w:rsidRPr="00A1219A" w:rsidRDefault="00693812" w:rsidP="00693812">
      <w:pPr>
        <w:numPr>
          <w:ilvl w:val="0"/>
          <w:numId w:val="1"/>
        </w:numPr>
        <w:tabs>
          <w:tab w:val="clear" w:pos="900"/>
        </w:tabs>
        <w:ind w:left="0" w:firstLine="720"/>
        <w:jc w:val="both"/>
        <w:rPr>
          <w:sz w:val="20"/>
          <w:lang w:val="es-ES"/>
        </w:rPr>
      </w:pPr>
      <w:r w:rsidRPr="00A1219A">
        <w:rPr>
          <w:sz w:val="20"/>
          <w:lang w:val="es-ES"/>
        </w:rPr>
        <w:t xml:space="preserve">El 24 de marzo de 2010 la CIDH </w:t>
      </w:r>
      <w:r w:rsidRPr="00A1219A">
        <w:rPr>
          <w:rFonts w:cs="Arial"/>
          <w:sz w:val="20"/>
          <w:lang w:val="es-ES"/>
        </w:rPr>
        <w:t>aprobó el Informe de Admisibilidad N° 63/10</w:t>
      </w:r>
      <w:r w:rsidRPr="00A1219A">
        <w:rPr>
          <w:sz w:val="20"/>
          <w:lang w:val="es-ES"/>
        </w:rPr>
        <w:t xml:space="preserve">, en el que declaró la admisibilidad de la petición referente a la Comunidad Garífuna de Punta Piedra </w:t>
      </w:r>
      <w:r w:rsidRPr="00A1219A">
        <w:rPr>
          <w:rFonts w:cs="Arial"/>
          <w:sz w:val="20"/>
          <w:lang w:val="es-ES"/>
        </w:rPr>
        <w:t>y sus miembros.</w:t>
      </w:r>
      <w:r w:rsidR="005671E9" w:rsidRPr="00A1219A">
        <w:rPr>
          <w:rFonts w:cs="Arial"/>
          <w:sz w:val="20"/>
          <w:lang w:val="es-ES"/>
        </w:rPr>
        <w:t xml:space="preserve"> El informe fue remitido a las partes el </w:t>
      </w:r>
      <w:r w:rsidR="00AC1AE0" w:rsidRPr="00A1219A">
        <w:rPr>
          <w:rFonts w:cs="Arial"/>
          <w:sz w:val="20"/>
          <w:lang w:val="es-ES"/>
        </w:rPr>
        <w:t>16 de abril de 2010</w:t>
      </w:r>
      <w:r w:rsidR="005671E9" w:rsidRPr="00A1219A">
        <w:rPr>
          <w:rFonts w:cs="Arial"/>
          <w:sz w:val="20"/>
          <w:lang w:val="es-ES"/>
        </w:rPr>
        <w:t xml:space="preserve">, oportunidad en que la Comisión, de </w:t>
      </w:r>
      <w:r w:rsidR="005671E9" w:rsidRPr="00A1219A">
        <w:rPr>
          <w:rFonts w:cs="Arial"/>
          <w:sz w:val="20"/>
          <w:lang w:val="es-ES"/>
        </w:rPr>
        <w:lastRenderedPageBreak/>
        <w:t xml:space="preserve">conformidad con el artículo </w:t>
      </w:r>
      <w:r w:rsidR="00AC1AE0" w:rsidRPr="00A1219A">
        <w:rPr>
          <w:rFonts w:cs="Arial"/>
          <w:sz w:val="20"/>
          <w:lang w:val="es-ES"/>
        </w:rPr>
        <w:t>37</w:t>
      </w:r>
      <w:r w:rsidR="005671E9" w:rsidRPr="00A1219A">
        <w:rPr>
          <w:rFonts w:cs="Arial"/>
          <w:sz w:val="20"/>
          <w:lang w:val="es-ES"/>
        </w:rPr>
        <w:t>.</w:t>
      </w:r>
      <w:r w:rsidR="00AC1AE0" w:rsidRPr="00A1219A">
        <w:rPr>
          <w:rFonts w:cs="Arial"/>
          <w:sz w:val="20"/>
          <w:lang w:val="es-ES"/>
        </w:rPr>
        <w:t>4</w:t>
      </w:r>
      <w:r w:rsidR="005671E9" w:rsidRPr="00A1219A">
        <w:rPr>
          <w:rFonts w:cs="Arial"/>
          <w:sz w:val="20"/>
          <w:lang w:val="es-ES"/>
        </w:rPr>
        <w:t xml:space="preserve"> de su Reglamento, </w:t>
      </w:r>
      <w:r w:rsidR="005671E9" w:rsidRPr="00A1219A">
        <w:rPr>
          <w:sz w:val="20"/>
          <w:lang w:val="es-ES"/>
        </w:rPr>
        <w:t>se puso a</w:t>
      </w:r>
      <w:r w:rsidR="00E451E3" w:rsidRPr="00A1219A">
        <w:rPr>
          <w:sz w:val="20"/>
          <w:lang w:val="es-ES"/>
        </w:rPr>
        <w:t xml:space="preserve"> su</w:t>
      </w:r>
      <w:r w:rsidR="005671E9" w:rsidRPr="00A1219A">
        <w:rPr>
          <w:sz w:val="20"/>
          <w:lang w:val="es-ES"/>
        </w:rPr>
        <w:t xml:space="preserve"> disposición a fin de </w:t>
      </w:r>
      <w:r w:rsidR="00A43B2B" w:rsidRPr="00A1219A">
        <w:rPr>
          <w:sz w:val="20"/>
          <w:lang w:val="es-ES"/>
        </w:rPr>
        <w:t xml:space="preserve">facilitar un posible proceso de </w:t>
      </w:r>
      <w:r w:rsidR="005671E9" w:rsidRPr="00A1219A">
        <w:rPr>
          <w:sz w:val="20"/>
          <w:lang w:val="es-ES"/>
        </w:rPr>
        <w:t>solución amistosa</w:t>
      </w:r>
      <w:r w:rsidR="00412B1E" w:rsidRPr="00A1219A">
        <w:rPr>
          <w:sz w:val="20"/>
          <w:lang w:val="es-ES"/>
        </w:rPr>
        <w:t xml:space="preserve"> del asunto</w:t>
      </w:r>
      <w:r w:rsidR="005671E9" w:rsidRPr="00A1219A">
        <w:rPr>
          <w:sz w:val="20"/>
          <w:lang w:val="es-ES"/>
        </w:rPr>
        <w:t>.</w:t>
      </w:r>
    </w:p>
    <w:p w:rsidR="00693812" w:rsidRPr="00A1219A" w:rsidRDefault="00693812" w:rsidP="00693812">
      <w:pPr>
        <w:jc w:val="both"/>
        <w:rPr>
          <w:sz w:val="20"/>
          <w:lang w:val="es-ES"/>
        </w:rPr>
      </w:pPr>
    </w:p>
    <w:p w:rsidR="00693812" w:rsidRPr="00A1219A" w:rsidRDefault="005671E9" w:rsidP="00693812">
      <w:pPr>
        <w:numPr>
          <w:ilvl w:val="0"/>
          <w:numId w:val="1"/>
        </w:numPr>
        <w:tabs>
          <w:tab w:val="clear" w:pos="900"/>
        </w:tabs>
        <w:ind w:left="0" w:firstLine="720"/>
        <w:jc w:val="both"/>
        <w:rPr>
          <w:sz w:val="20"/>
          <w:lang w:val="es-ES"/>
        </w:rPr>
      </w:pPr>
      <w:r w:rsidRPr="00A1219A">
        <w:rPr>
          <w:rFonts w:cs="Arial"/>
          <w:sz w:val="20"/>
          <w:lang w:val="es-ES"/>
        </w:rPr>
        <w:t xml:space="preserve">Con posterioridad a la notificación del informe de admisibilidad, la CIDH recibió información de la peticionaria en las siguientes fechas: </w:t>
      </w:r>
      <w:r w:rsidR="00412B1E" w:rsidRPr="00A1219A">
        <w:rPr>
          <w:rFonts w:cs="Arial"/>
          <w:sz w:val="20"/>
          <w:lang w:val="es-ES"/>
        </w:rPr>
        <w:t xml:space="preserve">6 de agosto </w:t>
      </w:r>
      <w:r w:rsidR="00F45C05" w:rsidRPr="00A1219A">
        <w:rPr>
          <w:rFonts w:cs="Arial"/>
          <w:sz w:val="20"/>
          <w:lang w:val="es-ES"/>
        </w:rPr>
        <w:t xml:space="preserve">y 27 de </w:t>
      </w:r>
      <w:r w:rsidR="003A160D" w:rsidRPr="00A1219A">
        <w:rPr>
          <w:rFonts w:cs="Arial"/>
          <w:sz w:val="20"/>
          <w:lang w:val="es-ES"/>
        </w:rPr>
        <w:t xml:space="preserve">septiembre de 2010, 3 de enero </w:t>
      </w:r>
      <w:r w:rsidR="009C201C" w:rsidRPr="00A1219A">
        <w:rPr>
          <w:rFonts w:cs="Arial"/>
          <w:sz w:val="20"/>
          <w:lang w:val="es-ES"/>
        </w:rPr>
        <w:t xml:space="preserve">y 2 de mayo </w:t>
      </w:r>
      <w:r w:rsidR="00F45C05" w:rsidRPr="00A1219A">
        <w:rPr>
          <w:rFonts w:cs="Arial"/>
          <w:sz w:val="20"/>
          <w:lang w:val="es-ES"/>
        </w:rPr>
        <w:t>de 2011</w:t>
      </w:r>
      <w:r w:rsidR="003A160D" w:rsidRPr="00A1219A">
        <w:rPr>
          <w:rFonts w:cs="Arial"/>
          <w:sz w:val="20"/>
          <w:lang w:val="es-ES"/>
        </w:rPr>
        <w:t>, y 19 de noviembre de 2012</w:t>
      </w:r>
      <w:r w:rsidRPr="00A1219A">
        <w:rPr>
          <w:rFonts w:cs="Arial"/>
          <w:sz w:val="20"/>
          <w:lang w:val="es-ES"/>
        </w:rPr>
        <w:t>. Por otra parte, la CIDH recibió observaciones del Estado en las siguientes fechas:</w:t>
      </w:r>
      <w:r w:rsidR="00F45C05" w:rsidRPr="00A1219A">
        <w:rPr>
          <w:rFonts w:cs="Arial"/>
          <w:sz w:val="20"/>
          <w:lang w:val="es-ES"/>
        </w:rPr>
        <w:t xml:space="preserve"> 13 de</w:t>
      </w:r>
      <w:r w:rsidR="00D92930" w:rsidRPr="00A1219A">
        <w:rPr>
          <w:rFonts w:cs="Arial"/>
          <w:sz w:val="20"/>
          <w:lang w:val="es-ES"/>
        </w:rPr>
        <w:t xml:space="preserve"> octubre de 2010,</w:t>
      </w:r>
      <w:r w:rsidR="00AB2D03" w:rsidRPr="00A1219A">
        <w:rPr>
          <w:rFonts w:cs="Arial"/>
          <w:sz w:val="20"/>
          <w:lang w:val="es-ES"/>
        </w:rPr>
        <w:t xml:space="preserve"> </w:t>
      </w:r>
      <w:r w:rsidR="003A160D" w:rsidRPr="00A1219A">
        <w:rPr>
          <w:rFonts w:cs="Arial"/>
          <w:sz w:val="20"/>
          <w:lang w:val="es-ES"/>
        </w:rPr>
        <w:t>18 de febrero y</w:t>
      </w:r>
      <w:r w:rsidR="00F45C05" w:rsidRPr="00A1219A">
        <w:rPr>
          <w:rFonts w:cs="Arial"/>
          <w:sz w:val="20"/>
          <w:lang w:val="es-ES"/>
        </w:rPr>
        <w:t xml:space="preserve"> </w:t>
      </w:r>
      <w:r w:rsidR="003A160D" w:rsidRPr="00A1219A">
        <w:rPr>
          <w:rFonts w:cs="Arial"/>
          <w:sz w:val="20"/>
          <w:lang w:val="es-ES"/>
        </w:rPr>
        <w:t>22</w:t>
      </w:r>
      <w:r w:rsidR="00F45C05" w:rsidRPr="00A1219A">
        <w:rPr>
          <w:rFonts w:cs="Arial"/>
          <w:sz w:val="20"/>
          <w:lang w:val="es-ES"/>
        </w:rPr>
        <w:t xml:space="preserve"> de agosto de 2011</w:t>
      </w:r>
      <w:r w:rsidRPr="00A1219A">
        <w:rPr>
          <w:rFonts w:cs="Arial"/>
          <w:sz w:val="20"/>
          <w:lang w:val="es-ES"/>
        </w:rPr>
        <w:t xml:space="preserve">. </w:t>
      </w:r>
      <w:r w:rsidR="00224D99" w:rsidRPr="00A1219A">
        <w:rPr>
          <w:rFonts w:cs="Arial"/>
          <w:sz w:val="20"/>
          <w:lang w:val="es-ES"/>
        </w:rPr>
        <w:t xml:space="preserve">Dichos escritos </w:t>
      </w:r>
      <w:r w:rsidRPr="00A1219A">
        <w:rPr>
          <w:rFonts w:cs="Arial"/>
          <w:sz w:val="20"/>
          <w:lang w:val="es-ES"/>
        </w:rPr>
        <w:t>fueron</w:t>
      </w:r>
      <w:r w:rsidR="00224D99" w:rsidRPr="00A1219A">
        <w:rPr>
          <w:rFonts w:cs="Arial"/>
          <w:sz w:val="20"/>
          <w:lang w:val="es-ES"/>
        </w:rPr>
        <w:t xml:space="preserve"> debidamente trasladados a las partes</w:t>
      </w:r>
      <w:r w:rsidRPr="00A1219A">
        <w:rPr>
          <w:rFonts w:cs="Arial"/>
          <w:sz w:val="20"/>
          <w:lang w:val="es-ES"/>
        </w:rPr>
        <w:t>.</w:t>
      </w:r>
    </w:p>
    <w:p w:rsidR="005671E9" w:rsidRPr="00A1219A" w:rsidRDefault="005671E9" w:rsidP="005671E9">
      <w:pPr>
        <w:jc w:val="both"/>
        <w:rPr>
          <w:sz w:val="20"/>
          <w:lang w:val="es-ES"/>
        </w:rPr>
      </w:pPr>
    </w:p>
    <w:p w:rsidR="00D40CC0" w:rsidRPr="00A1219A" w:rsidRDefault="00225F2E" w:rsidP="001A0612">
      <w:pPr>
        <w:numPr>
          <w:ilvl w:val="0"/>
          <w:numId w:val="1"/>
        </w:numPr>
        <w:tabs>
          <w:tab w:val="clear" w:pos="900"/>
        </w:tabs>
        <w:ind w:left="0" w:firstLine="720"/>
        <w:jc w:val="both"/>
        <w:rPr>
          <w:sz w:val="20"/>
          <w:lang w:val="es-ES"/>
        </w:rPr>
      </w:pPr>
      <w:r w:rsidRPr="00A1219A">
        <w:rPr>
          <w:sz w:val="20"/>
          <w:lang w:val="es-ES"/>
        </w:rPr>
        <w:t xml:space="preserve">Durante el trámite ante la </w:t>
      </w:r>
      <w:r w:rsidR="00DD4C8D" w:rsidRPr="00A1219A">
        <w:rPr>
          <w:sz w:val="20"/>
          <w:lang w:val="es-ES"/>
        </w:rPr>
        <w:t>Comisión</w:t>
      </w:r>
      <w:r w:rsidRPr="00A1219A">
        <w:rPr>
          <w:sz w:val="20"/>
          <w:lang w:val="es-ES"/>
        </w:rPr>
        <w:t xml:space="preserve"> </w:t>
      </w:r>
      <w:r w:rsidR="00B6623A" w:rsidRPr="00A1219A">
        <w:rPr>
          <w:sz w:val="20"/>
          <w:lang w:val="es-ES"/>
        </w:rPr>
        <w:t xml:space="preserve">se realizó </w:t>
      </w:r>
      <w:r w:rsidRPr="00A1219A">
        <w:rPr>
          <w:sz w:val="20"/>
          <w:lang w:val="es-ES"/>
        </w:rPr>
        <w:t>una audiencia pública</w:t>
      </w:r>
      <w:r w:rsidR="00DD4C8D" w:rsidRPr="00A1219A">
        <w:rPr>
          <w:sz w:val="20"/>
          <w:lang w:val="es-ES"/>
        </w:rPr>
        <w:t xml:space="preserve"> </w:t>
      </w:r>
      <w:r w:rsidR="00B6623A" w:rsidRPr="00A1219A">
        <w:rPr>
          <w:sz w:val="20"/>
          <w:lang w:val="es-ES"/>
        </w:rPr>
        <w:t xml:space="preserve">el </w:t>
      </w:r>
      <w:r w:rsidR="001A0612" w:rsidRPr="00A1219A">
        <w:rPr>
          <w:sz w:val="20"/>
          <w:lang w:val="es-ES"/>
        </w:rPr>
        <w:t xml:space="preserve">7 de marzo de 2006, </w:t>
      </w:r>
      <w:r w:rsidR="00E451E3" w:rsidRPr="00A1219A">
        <w:rPr>
          <w:sz w:val="20"/>
          <w:lang w:val="es-ES"/>
        </w:rPr>
        <w:t>en</w:t>
      </w:r>
      <w:r w:rsidR="001A0612" w:rsidRPr="00A1219A">
        <w:rPr>
          <w:sz w:val="20"/>
          <w:lang w:val="es-ES"/>
        </w:rPr>
        <w:t xml:space="preserve"> el </w:t>
      </w:r>
      <w:r w:rsidRPr="00A1219A">
        <w:rPr>
          <w:sz w:val="20"/>
          <w:lang w:val="es-ES"/>
        </w:rPr>
        <w:t>124º periodo ordinario de sesio</w:t>
      </w:r>
      <w:r w:rsidR="001A0612" w:rsidRPr="00A1219A">
        <w:rPr>
          <w:sz w:val="20"/>
          <w:lang w:val="es-ES"/>
        </w:rPr>
        <w:t>nes, oportunidad en la cual la peticionaria presentó los testimonios de</w:t>
      </w:r>
      <w:r w:rsidR="00DD4C8D" w:rsidRPr="00A1219A">
        <w:rPr>
          <w:sz w:val="20"/>
          <w:lang w:val="es-ES"/>
        </w:rPr>
        <w:t xml:space="preserve"> los siguientes</w:t>
      </w:r>
      <w:r w:rsidR="001A0612" w:rsidRPr="00A1219A">
        <w:rPr>
          <w:sz w:val="20"/>
          <w:lang w:val="es-ES"/>
        </w:rPr>
        <w:t xml:space="preserve"> tres miembros de la Comunidad </w:t>
      </w:r>
      <w:r w:rsidR="001B51B7" w:rsidRPr="00A1219A">
        <w:rPr>
          <w:sz w:val="20"/>
          <w:lang w:val="es-ES"/>
        </w:rPr>
        <w:t>de Punta Piedra</w:t>
      </w:r>
      <w:r w:rsidR="00DD4C8D" w:rsidRPr="00A1219A">
        <w:rPr>
          <w:sz w:val="20"/>
          <w:lang w:val="es-ES"/>
        </w:rPr>
        <w:t>:</w:t>
      </w:r>
      <w:r w:rsidR="001A0612" w:rsidRPr="00A1219A">
        <w:rPr>
          <w:sz w:val="20"/>
          <w:lang w:val="es-ES"/>
        </w:rPr>
        <w:t xml:space="preserve"> Doroteo Tomas, </w:t>
      </w:r>
      <w:r w:rsidR="001B51B7" w:rsidRPr="00A1219A">
        <w:rPr>
          <w:sz w:val="20"/>
          <w:lang w:val="es-ES"/>
        </w:rPr>
        <w:t>Edito Suazo y Benito Bernárdez</w:t>
      </w:r>
      <w:r w:rsidR="001B51B7" w:rsidRPr="00A1219A">
        <w:rPr>
          <w:rStyle w:val="Refdenotaalpie"/>
          <w:sz w:val="20"/>
          <w:lang w:val="es-ES"/>
        </w:rPr>
        <w:footnoteReference w:id="2"/>
      </w:r>
      <w:r w:rsidR="001A0612" w:rsidRPr="00A1219A">
        <w:rPr>
          <w:sz w:val="20"/>
          <w:lang w:val="es-ES"/>
        </w:rPr>
        <w:t xml:space="preserve">. Además, se realizaron </w:t>
      </w:r>
      <w:r w:rsidR="00607929" w:rsidRPr="00A1219A">
        <w:rPr>
          <w:sz w:val="20"/>
          <w:lang w:val="es-ES"/>
        </w:rPr>
        <w:t>dos reuniones de trabajo;</w:t>
      </w:r>
      <w:r w:rsidR="00224D99" w:rsidRPr="00A1219A">
        <w:rPr>
          <w:sz w:val="20"/>
          <w:lang w:val="es-ES"/>
        </w:rPr>
        <w:t xml:space="preserve"> el </w:t>
      </w:r>
      <w:r w:rsidR="00DD4C8D" w:rsidRPr="00A1219A">
        <w:rPr>
          <w:sz w:val="20"/>
          <w:lang w:val="es-ES"/>
        </w:rPr>
        <w:t xml:space="preserve">5 de marzo de 2007, </w:t>
      </w:r>
      <w:r w:rsidR="00E451E3" w:rsidRPr="00A1219A">
        <w:rPr>
          <w:sz w:val="20"/>
          <w:lang w:val="es-ES"/>
        </w:rPr>
        <w:t xml:space="preserve">durante </w:t>
      </w:r>
      <w:r w:rsidR="00DD4C8D" w:rsidRPr="00A1219A">
        <w:rPr>
          <w:sz w:val="20"/>
          <w:lang w:val="es-ES"/>
        </w:rPr>
        <w:t xml:space="preserve">el </w:t>
      </w:r>
      <w:r w:rsidRPr="00A1219A">
        <w:rPr>
          <w:sz w:val="20"/>
          <w:lang w:val="es-ES"/>
        </w:rPr>
        <w:t>127</w:t>
      </w:r>
      <w:r w:rsidR="00DD4C8D" w:rsidRPr="00A1219A">
        <w:rPr>
          <w:sz w:val="20"/>
          <w:lang w:val="es-ES"/>
        </w:rPr>
        <w:t>° periodo ordinario de sesiones</w:t>
      </w:r>
      <w:r w:rsidRPr="00A1219A">
        <w:rPr>
          <w:sz w:val="20"/>
          <w:lang w:val="es-ES"/>
        </w:rPr>
        <w:t xml:space="preserve"> y </w:t>
      </w:r>
      <w:r w:rsidR="00224D99" w:rsidRPr="00A1219A">
        <w:rPr>
          <w:sz w:val="20"/>
          <w:lang w:val="es-ES"/>
        </w:rPr>
        <w:t xml:space="preserve">el </w:t>
      </w:r>
      <w:r w:rsidR="00085EAC" w:rsidRPr="00A1219A">
        <w:rPr>
          <w:sz w:val="20"/>
          <w:lang w:val="es-ES"/>
        </w:rPr>
        <w:t>19</w:t>
      </w:r>
      <w:r w:rsidR="00DD4C8D" w:rsidRPr="00A1219A">
        <w:rPr>
          <w:sz w:val="20"/>
          <w:lang w:val="es-ES"/>
        </w:rPr>
        <w:t xml:space="preserve"> de julio de 2007, </w:t>
      </w:r>
      <w:r w:rsidR="00E451E3" w:rsidRPr="00A1219A">
        <w:rPr>
          <w:sz w:val="20"/>
          <w:lang w:val="es-ES"/>
        </w:rPr>
        <w:t xml:space="preserve">en </w:t>
      </w:r>
      <w:r w:rsidR="00DD4C8D" w:rsidRPr="00A1219A">
        <w:rPr>
          <w:sz w:val="20"/>
          <w:lang w:val="es-ES"/>
        </w:rPr>
        <w:t xml:space="preserve">el </w:t>
      </w:r>
      <w:r w:rsidRPr="00A1219A">
        <w:rPr>
          <w:sz w:val="20"/>
          <w:lang w:val="es-ES"/>
        </w:rPr>
        <w:t>128° período o</w:t>
      </w:r>
      <w:r w:rsidR="00DD4C8D" w:rsidRPr="00A1219A">
        <w:rPr>
          <w:sz w:val="20"/>
          <w:lang w:val="es-ES"/>
        </w:rPr>
        <w:t>rdinario de sesiones de la CIDH</w:t>
      </w:r>
      <w:r w:rsidRPr="00A1219A">
        <w:rPr>
          <w:sz w:val="20"/>
          <w:lang w:val="es-ES"/>
        </w:rPr>
        <w:t>.</w:t>
      </w:r>
      <w:r w:rsidR="00A8311C" w:rsidRPr="00A1219A">
        <w:rPr>
          <w:sz w:val="20"/>
          <w:lang w:val="es-ES"/>
        </w:rPr>
        <w:t xml:space="preserve"> </w:t>
      </w:r>
    </w:p>
    <w:p w:rsidR="005671E9" w:rsidRPr="00A1219A" w:rsidRDefault="005671E9" w:rsidP="005671E9">
      <w:pPr>
        <w:jc w:val="both"/>
        <w:rPr>
          <w:sz w:val="20"/>
          <w:lang w:val="es-ES"/>
        </w:rPr>
      </w:pPr>
    </w:p>
    <w:p w:rsidR="00225F2E" w:rsidRPr="00A1219A" w:rsidRDefault="00225F2E" w:rsidP="00225F2E">
      <w:pPr>
        <w:ind w:firstLine="720"/>
        <w:rPr>
          <w:b/>
          <w:sz w:val="20"/>
          <w:lang w:val="es-ES"/>
        </w:rPr>
      </w:pPr>
      <w:r w:rsidRPr="00A1219A">
        <w:rPr>
          <w:b/>
          <w:sz w:val="20"/>
          <w:lang w:val="es-ES"/>
        </w:rPr>
        <w:t>-</w:t>
      </w:r>
      <w:r w:rsidRPr="00A1219A">
        <w:rPr>
          <w:b/>
          <w:sz w:val="20"/>
          <w:lang w:val="es-ES"/>
        </w:rPr>
        <w:tab/>
        <w:t>Proceso de Solución Amistosa</w:t>
      </w:r>
    </w:p>
    <w:p w:rsidR="00225F2E" w:rsidRPr="00A1219A" w:rsidRDefault="00225F2E" w:rsidP="00225F2E">
      <w:pPr>
        <w:ind w:firstLine="720"/>
        <w:rPr>
          <w:b/>
          <w:sz w:val="20"/>
          <w:lang w:val="es-ES"/>
        </w:rPr>
      </w:pPr>
    </w:p>
    <w:p w:rsidR="00225F2E" w:rsidRPr="00A1219A" w:rsidRDefault="00225F2E" w:rsidP="00225F2E">
      <w:pPr>
        <w:numPr>
          <w:ilvl w:val="0"/>
          <w:numId w:val="15"/>
        </w:numPr>
        <w:tabs>
          <w:tab w:val="clear" w:pos="2160"/>
          <w:tab w:val="num" w:pos="1440"/>
        </w:tabs>
        <w:ind w:left="0" w:firstLine="720"/>
        <w:jc w:val="both"/>
        <w:rPr>
          <w:rFonts w:cs="Arial"/>
          <w:sz w:val="20"/>
          <w:lang w:val="es-ES"/>
        </w:rPr>
      </w:pPr>
      <w:r w:rsidRPr="00A1219A">
        <w:rPr>
          <w:sz w:val="20"/>
          <w:lang w:val="es-ES"/>
        </w:rPr>
        <w:t xml:space="preserve">En la audiencia pública realizada el 7 de marzo de 2006 las partes acordaron iniciar un proceso de solución </w:t>
      </w:r>
      <w:r w:rsidR="009B652C" w:rsidRPr="00A1219A">
        <w:rPr>
          <w:sz w:val="20"/>
          <w:lang w:val="es-ES"/>
        </w:rPr>
        <w:t>amistosa. El 8 de marzo de 2006</w:t>
      </w:r>
      <w:r w:rsidRPr="00A1219A">
        <w:rPr>
          <w:sz w:val="20"/>
          <w:lang w:val="es-ES"/>
        </w:rPr>
        <w:t xml:space="preserve"> la CIDH recibió la propuesta de solución amistosa formulada por la petici</w:t>
      </w:r>
      <w:r w:rsidR="009B652C" w:rsidRPr="00A1219A">
        <w:rPr>
          <w:sz w:val="20"/>
          <w:lang w:val="es-ES"/>
        </w:rPr>
        <w:t>onaria. El 26 de marzo de 2007</w:t>
      </w:r>
      <w:r w:rsidRPr="00A1219A">
        <w:rPr>
          <w:sz w:val="20"/>
          <w:lang w:val="es-ES"/>
        </w:rPr>
        <w:t xml:space="preserve"> la peticionaria manifestó su voluntad de retirarse del procedimiento amistoso y continuar con el trámite de la petición, alegando falta de </w:t>
      </w:r>
      <w:r w:rsidR="00A43B2B" w:rsidRPr="00A1219A">
        <w:rPr>
          <w:sz w:val="20"/>
          <w:lang w:val="es-ES"/>
        </w:rPr>
        <w:t>avances</w:t>
      </w:r>
      <w:r w:rsidRPr="00A1219A">
        <w:rPr>
          <w:sz w:val="20"/>
          <w:lang w:val="es-ES"/>
        </w:rPr>
        <w:t>. En la reunión de trabajo del 20 de julio de 2007</w:t>
      </w:r>
      <w:r w:rsidR="00607929" w:rsidRPr="00A1219A">
        <w:rPr>
          <w:sz w:val="20"/>
          <w:lang w:val="es-ES"/>
        </w:rPr>
        <w:t>,</w:t>
      </w:r>
      <w:r w:rsidRPr="00A1219A">
        <w:rPr>
          <w:sz w:val="20"/>
          <w:lang w:val="es-ES"/>
        </w:rPr>
        <w:t xml:space="preserve"> que contó con la asistencia de ambas partes, la peticionaria reiteró su decisión.</w:t>
      </w:r>
    </w:p>
    <w:p w:rsidR="00225F2E" w:rsidRPr="00A1219A" w:rsidRDefault="00225F2E" w:rsidP="00225F2E">
      <w:pPr>
        <w:ind w:left="720"/>
        <w:jc w:val="both"/>
        <w:rPr>
          <w:rFonts w:cs="Arial"/>
          <w:sz w:val="20"/>
          <w:lang w:val="es-ES"/>
        </w:rPr>
      </w:pPr>
    </w:p>
    <w:p w:rsidR="00225F2E" w:rsidRPr="00A1219A" w:rsidRDefault="00225F2E" w:rsidP="00225F2E">
      <w:pPr>
        <w:numPr>
          <w:ilvl w:val="0"/>
          <w:numId w:val="16"/>
        </w:numPr>
        <w:tabs>
          <w:tab w:val="left" w:pos="900"/>
        </w:tabs>
        <w:ind w:firstLine="0"/>
        <w:jc w:val="both"/>
        <w:rPr>
          <w:rFonts w:cs="Arial"/>
          <w:b/>
          <w:sz w:val="20"/>
          <w:lang w:val="es-ES"/>
        </w:rPr>
      </w:pPr>
      <w:r w:rsidRPr="00A1219A">
        <w:rPr>
          <w:rFonts w:cs="Arial"/>
          <w:b/>
          <w:sz w:val="20"/>
          <w:lang w:val="es-ES"/>
        </w:rPr>
        <w:t>Medida cautelar 109-07</w:t>
      </w:r>
    </w:p>
    <w:p w:rsidR="00225F2E" w:rsidRPr="00A1219A" w:rsidRDefault="00225F2E" w:rsidP="00225F2E">
      <w:pPr>
        <w:ind w:left="360"/>
        <w:jc w:val="both"/>
        <w:rPr>
          <w:rFonts w:cs="Arial"/>
          <w:sz w:val="20"/>
          <w:lang w:val="es-ES"/>
        </w:rPr>
      </w:pPr>
    </w:p>
    <w:p w:rsidR="0052489F" w:rsidRPr="00A1219A" w:rsidRDefault="0067483F" w:rsidP="002E703E">
      <w:pPr>
        <w:numPr>
          <w:ilvl w:val="0"/>
          <w:numId w:val="15"/>
        </w:numPr>
        <w:tabs>
          <w:tab w:val="clear" w:pos="2160"/>
          <w:tab w:val="num" w:pos="1440"/>
        </w:tabs>
        <w:ind w:left="0" w:firstLine="720"/>
        <w:jc w:val="both"/>
        <w:rPr>
          <w:rFonts w:cs="Arial"/>
          <w:sz w:val="20"/>
          <w:lang w:val="es-ES"/>
        </w:rPr>
      </w:pPr>
      <w:r w:rsidRPr="00A1219A">
        <w:rPr>
          <w:rFonts w:cs="Arial"/>
          <w:sz w:val="20"/>
          <w:lang w:val="es-ES"/>
        </w:rPr>
        <w:t>El 15 de junio de 2007</w:t>
      </w:r>
      <w:r w:rsidR="00225F2E" w:rsidRPr="00A1219A">
        <w:rPr>
          <w:rFonts w:cs="Arial"/>
          <w:sz w:val="20"/>
          <w:lang w:val="es-ES"/>
        </w:rPr>
        <w:t xml:space="preserve"> la peticionaria solicitó la adopción de medidas cautelares en beneficio de la Comunidad Garífuna </w:t>
      </w:r>
      <w:r w:rsidRPr="00A1219A">
        <w:rPr>
          <w:rFonts w:cs="Arial"/>
          <w:sz w:val="20"/>
          <w:lang w:val="es-ES"/>
        </w:rPr>
        <w:t>de Punta Piedra y</w:t>
      </w:r>
      <w:r w:rsidR="00225F2E" w:rsidRPr="00A1219A">
        <w:rPr>
          <w:rFonts w:cs="Arial"/>
          <w:sz w:val="20"/>
          <w:lang w:val="es-ES"/>
        </w:rPr>
        <w:t xml:space="preserve"> en especial de uno de sus miem</w:t>
      </w:r>
      <w:r w:rsidRPr="00A1219A">
        <w:rPr>
          <w:rFonts w:cs="Arial"/>
          <w:sz w:val="20"/>
          <w:lang w:val="es-ES"/>
        </w:rPr>
        <w:t xml:space="preserve">bros, Marcos Bonifacio Castillo, </w:t>
      </w:r>
      <w:r w:rsidR="009B652C" w:rsidRPr="00A1219A">
        <w:rPr>
          <w:rFonts w:cs="Arial"/>
          <w:sz w:val="20"/>
          <w:lang w:val="es-ES"/>
        </w:rPr>
        <w:t>dado que</w:t>
      </w:r>
      <w:r w:rsidR="00225F2E" w:rsidRPr="00A1219A">
        <w:rPr>
          <w:rFonts w:cs="Arial"/>
          <w:sz w:val="20"/>
          <w:lang w:val="es-ES"/>
        </w:rPr>
        <w:t xml:space="preserve"> </w:t>
      </w:r>
      <w:r w:rsidR="00225F2E" w:rsidRPr="00A1219A">
        <w:rPr>
          <w:sz w:val="20"/>
          <w:lang w:val="es-ES"/>
        </w:rPr>
        <w:t>habría sido amenazado de muerte. El 20 de agosto de 2007 la CIDH otorgó medidas cautelares a favor de Marcos Bonifacio Castillo</w:t>
      </w:r>
      <w:r w:rsidR="00225F2E" w:rsidRPr="00A1219A">
        <w:rPr>
          <w:rStyle w:val="Refdenotaalpie"/>
          <w:sz w:val="20"/>
          <w:lang w:val="es-ES"/>
        </w:rPr>
        <w:footnoteReference w:id="3"/>
      </w:r>
      <w:r w:rsidR="00225F2E" w:rsidRPr="00A1219A">
        <w:rPr>
          <w:sz w:val="20"/>
          <w:lang w:val="es-ES"/>
        </w:rPr>
        <w:t xml:space="preserve">. El 13 de septiembre de 2007 </w:t>
      </w:r>
      <w:smartTag w:uri="urn:schemas-microsoft-com:office:smarttags" w:element="PersonName">
        <w:r w:rsidR="00225F2E" w:rsidRPr="00A1219A">
          <w:rPr>
            <w:sz w:val="20"/>
            <w:lang w:val="es-ES"/>
          </w:rPr>
          <w:t>Honduras</w:t>
        </w:r>
      </w:smartTag>
      <w:r w:rsidR="00225F2E" w:rsidRPr="00A1219A">
        <w:rPr>
          <w:sz w:val="20"/>
          <w:lang w:val="es-ES"/>
        </w:rPr>
        <w:t xml:space="preserve"> remitió su respuesta. </w:t>
      </w:r>
      <w:r w:rsidR="009B652C" w:rsidRPr="00A1219A">
        <w:rPr>
          <w:sz w:val="20"/>
          <w:lang w:val="es-ES"/>
        </w:rPr>
        <w:t>A la fecha de adopción del presente informe, la CIDH continúa dando seguimiento al cumplimiento de l</w:t>
      </w:r>
      <w:r w:rsidR="009B652C" w:rsidRPr="00A1219A">
        <w:rPr>
          <w:rFonts w:cs="Arial"/>
          <w:sz w:val="20"/>
          <w:lang w:val="es-ES"/>
        </w:rPr>
        <w:t>as medidas cautelares otorgadas.</w:t>
      </w:r>
      <w:bookmarkEnd w:id="5"/>
    </w:p>
    <w:p w:rsidR="0052489F" w:rsidRPr="00A1219A" w:rsidRDefault="0052489F" w:rsidP="00693812">
      <w:pPr>
        <w:jc w:val="both"/>
        <w:rPr>
          <w:sz w:val="20"/>
          <w:lang w:val="es-ES"/>
        </w:rPr>
      </w:pPr>
    </w:p>
    <w:p w:rsidR="006031A2" w:rsidRPr="00A1219A" w:rsidRDefault="006031A2" w:rsidP="00693812">
      <w:pPr>
        <w:ind w:firstLine="720"/>
        <w:jc w:val="both"/>
        <w:outlineLvl w:val="0"/>
        <w:rPr>
          <w:sz w:val="20"/>
          <w:lang w:val="es-ES"/>
        </w:rPr>
      </w:pPr>
      <w:bookmarkStart w:id="6" w:name="_Toc336247993"/>
      <w:bookmarkStart w:id="7" w:name="_Toc350183573"/>
      <w:r w:rsidRPr="00A1219A">
        <w:rPr>
          <w:b/>
          <w:bCs/>
          <w:sz w:val="20"/>
          <w:lang w:val="es-ES"/>
        </w:rPr>
        <w:t>III.</w:t>
      </w:r>
      <w:r w:rsidRPr="00A1219A">
        <w:rPr>
          <w:b/>
          <w:bCs/>
          <w:sz w:val="20"/>
          <w:lang w:val="es-ES"/>
        </w:rPr>
        <w:tab/>
      </w:r>
      <w:r w:rsidRPr="00A1219A">
        <w:rPr>
          <w:rStyle w:val="Ttulo1Car"/>
          <w:rFonts w:ascii="Univers" w:hAnsi="Univers"/>
          <w:bCs w:val="0"/>
          <w:sz w:val="20"/>
          <w:lang w:val="es-ES"/>
        </w:rPr>
        <w:t>POSICIONES DE LAS PARTES</w:t>
      </w:r>
      <w:bookmarkEnd w:id="6"/>
      <w:bookmarkEnd w:id="7"/>
    </w:p>
    <w:p w:rsidR="006031A2" w:rsidRPr="00A1219A" w:rsidRDefault="006031A2" w:rsidP="00693812">
      <w:pPr>
        <w:ind w:firstLine="720"/>
        <w:jc w:val="both"/>
        <w:rPr>
          <w:sz w:val="20"/>
          <w:lang w:val="es-ES"/>
        </w:rPr>
      </w:pPr>
    </w:p>
    <w:p w:rsidR="006031A2" w:rsidRPr="00A1219A" w:rsidRDefault="006031A2" w:rsidP="00693812">
      <w:pPr>
        <w:pStyle w:val="Ttulo2"/>
        <w:spacing w:before="0" w:after="0"/>
        <w:ind w:left="720"/>
        <w:rPr>
          <w:rFonts w:ascii="Univers" w:hAnsi="Univers"/>
          <w:i w:val="0"/>
          <w:sz w:val="20"/>
          <w:lang w:val="es-ES"/>
        </w:rPr>
      </w:pPr>
      <w:bookmarkStart w:id="8" w:name="_Toc336247994"/>
      <w:bookmarkStart w:id="9" w:name="_Toc350183574"/>
      <w:r w:rsidRPr="00A1219A">
        <w:rPr>
          <w:rFonts w:ascii="Univers" w:hAnsi="Univers"/>
          <w:bCs w:val="0"/>
          <w:i w:val="0"/>
          <w:sz w:val="20"/>
          <w:lang w:val="es-ES"/>
        </w:rPr>
        <w:t>A.</w:t>
      </w:r>
      <w:r w:rsidRPr="00A1219A">
        <w:rPr>
          <w:rFonts w:ascii="Univers" w:hAnsi="Univers"/>
          <w:i w:val="0"/>
          <w:sz w:val="20"/>
          <w:lang w:val="es-ES"/>
        </w:rPr>
        <w:tab/>
      </w:r>
      <w:r w:rsidRPr="00A1219A">
        <w:rPr>
          <w:rFonts w:ascii="Univers" w:hAnsi="Univers"/>
          <w:bCs w:val="0"/>
          <w:i w:val="0"/>
          <w:iCs w:val="0"/>
          <w:sz w:val="20"/>
          <w:lang w:val="es-ES"/>
        </w:rPr>
        <w:t>La peticionaria</w:t>
      </w:r>
      <w:bookmarkEnd w:id="8"/>
      <w:bookmarkEnd w:id="9"/>
    </w:p>
    <w:p w:rsidR="006031A2" w:rsidRPr="00A1219A" w:rsidRDefault="006031A2" w:rsidP="00693812">
      <w:pPr>
        <w:jc w:val="both"/>
        <w:rPr>
          <w:sz w:val="20"/>
          <w:lang w:val="es-ES"/>
        </w:rPr>
      </w:pPr>
      <w:r w:rsidRPr="00A1219A">
        <w:rPr>
          <w:sz w:val="20"/>
          <w:lang w:val="es-ES"/>
        </w:rPr>
        <w:t> </w:t>
      </w:r>
    </w:p>
    <w:p w:rsidR="00464C90" w:rsidRPr="00A1219A" w:rsidRDefault="008E459B" w:rsidP="00710D8D">
      <w:pPr>
        <w:numPr>
          <w:ilvl w:val="0"/>
          <w:numId w:val="1"/>
        </w:numPr>
        <w:tabs>
          <w:tab w:val="clear" w:pos="900"/>
        </w:tabs>
        <w:ind w:left="0" w:firstLine="720"/>
        <w:jc w:val="both"/>
        <w:rPr>
          <w:sz w:val="20"/>
          <w:lang w:val="es-ES"/>
        </w:rPr>
      </w:pPr>
      <w:r w:rsidRPr="00A1219A">
        <w:rPr>
          <w:sz w:val="20"/>
          <w:lang w:val="es-ES"/>
        </w:rPr>
        <w:t xml:space="preserve">La </w:t>
      </w:r>
      <w:r w:rsidR="00464C90" w:rsidRPr="00A1219A">
        <w:rPr>
          <w:sz w:val="20"/>
          <w:lang w:val="es-ES"/>
        </w:rPr>
        <w:t>peticionaria</w:t>
      </w:r>
      <w:r w:rsidRPr="00A1219A">
        <w:rPr>
          <w:sz w:val="20"/>
          <w:lang w:val="es-ES"/>
        </w:rPr>
        <w:t xml:space="preserve"> </w:t>
      </w:r>
      <w:r w:rsidR="003F5345" w:rsidRPr="00A1219A">
        <w:rPr>
          <w:sz w:val="20"/>
          <w:lang w:val="es-ES"/>
        </w:rPr>
        <w:t>sostiene</w:t>
      </w:r>
      <w:r w:rsidRPr="00A1219A">
        <w:rPr>
          <w:sz w:val="20"/>
          <w:lang w:val="es-ES"/>
        </w:rPr>
        <w:t xml:space="preserve"> que</w:t>
      </w:r>
      <w:r w:rsidR="00464C90" w:rsidRPr="00A1219A">
        <w:rPr>
          <w:sz w:val="20"/>
          <w:lang w:val="es-ES"/>
        </w:rPr>
        <w:t xml:space="preserve"> el pueblo Garífun</w:t>
      </w:r>
      <w:r w:rsidRPr="00A1219A">
        <w:rPr>
          <w:sz w:val="20"/>
          <w:lang w:val="es-ES"/>
        </w:rPr>
        <w:t>a</w:t>
      </w:r>
      <w:r w:rsidR="003C1E95" w:rsidRPr="00A1219A">
        <w:rPr>
          <w:sz w:val="20"/>
          <w:lang w:val="es-ES"/>
        </w:rPr>
        <w:t xml:space="preserve"> habita en </w:t>
      </w:r>
      <w:smartTag w:uri="urn:schemas-microsoft-com:office:smarttags" w:element="PersonName">
        <w:r w:rsidR="003C1E95" w:rsidRPr="00A1219A">
          <w:rPr>
            <w:sz w:val="20"/>
            <w:lang w:val="es-ES"/>
          </w:rPr>
          <w:t>Honduras</w:t>
        </w:r>
      </w:smartTag>
      <w:r w:rsidR="003C1E95" w:rsidRPr="00A1219A">
        <w:rPr>
          <w:sz w:val="20"/>
          <w:lang w:val="es-ES"/>
        </w:rPr>
        <w:t xml:space="preserve"> desde 1797 </w:t>
      </w:r>
      <w:r w:rsidRPr="00A1219A">
        <w:rPr>
          <w:sz w:val="20"/>
          <w:lang w:val="es-ES"/>
        </w:rPr>
        <w:t xml:space="preserve">y que, en particular, </w:t>
      </w:r>
      <w:r w:rsidR="00414F52" w:rsidRPr="00A1219A">
        <w:rPr>
          <w:sz w:val="20"/>
          <w:lang w:val="es-ES"/>
        </w:rPr>
        <w:t>la Comunidad Garífuna de Punta Piedra</w:t>
      </w:r>
      <w:r w:rsidRPr="00A1219A">
        <w:rPr>
          <w:sz w:val="20"/>
          <w:lang w:val="es-ES"/>
        </w:rPr>
        <w:t xml:space="preserve"> </w:t>
      </w:r>
      <w:r w:rsidR="00607929" w:rsidRPr="00A1219A">
        <w:rPr>
          <w:sz w:val="20"/>
          <w:lang w:val="es-ES"/>
        </w:rPr>
        <w:t>ocupa su</w:t>
      </w:r>
      <w:r w:rsidR="00414F52" w:rsidRPr="00A1219A">
        <w:rPr>
          <w:sz w:val="20"/>
          <w:lang w:val="es-ES"/>
        </w:rPr>
        <w:t xml:space="preserve"> </w:t>
      </w:r>
      <w:r w:rsidR="00607929" w:rsidRPr="00A1219A">
        <w:rPr>
          <w:sz w:val="20"/>
          <w:lang w:val="es-ES"/>
        </w:rPr>
        <w:t>territorio</w:t>
      </w:r>
      <w:r w:rsidR="00414F52" w:rsidRPr="00A1219A">
        <w:rPr>
          <w:sz w:val="20"/>
          <w:lang w:val="es-ES"/>
        </w:rPr>
        <w:t xml:space="preserve"> </w:t>
      </w:r>
      <w:r w:rsidR="00D93913" w:rsidRPr="00A1219A">
        <w:rPr>
          <w:sz w:val="20"/>
          <w:lang w:val="es-ES"/>
        </w:rPr>
        <w:t xml:space="preserve">desde hace </w:t>
      </w:r>
      <w:r w:rsidR="00C3015D" w:rsidRPr="00A1219A">
        <w:rPr>
          <w:sz w:val="20"/>
          <w:lang w:val="es-ES"/>
        </w:rPr>
        <w:t xml:space="preserve">aproximadamente </w:t>
      </w:r>
      <w:r w:rsidR="00D93913" w:rsidRPr="00A1219A">
        <w:rPr>
          <w:sz w:val="20"/>
          <w:lang w:val="es-ES"/>
        </w:rPr>
        <w:t>dos siglos</w:t>
      </w:r>
      <w:r w:rsidR="00A01CDC" w:rsidRPr="00A1219A">
        <w:rPr>
          <w:sz w:val="20"/>
          <w:lang w:val="es-ES"/>
        </w:rPr>
        <w:t>, ubicad</w:t>
      </w:r>
      <w:r w:rsidR="00607929" w:rsidRPr="00A1219A">
        <w:rPr>
          <w:sz w:val="20"/>
          <w:lang w:val="es-ES"/>
        </w:rPr>
        <w:t>o</w:t>
      </w:r>
      <w:r w:rsidR="00A01CDC" w:rsidRPr="00A1219A">
        <w:rPr>
          <w:sz w:val="20"/>
          <w:lang w:val="es-ES"/>
        </w:rPr>
        <w:t xml:space="preserve"> en el </w:t>
      </w:r>
      <w:r w:rsidR="003C1E95" w:rsidRPr="00A1219A">
        <w:rPr>
          <w:sz w:val="20"/>
          <w:lang w:val="es-ES"/>
        </w:rPr>
        <w:t xml:space="preserve">actual </w:t>
      </w:r>
      <w:r w:rsidR="00A01CDC" w:rsidRPr="00A1219A">
        <w:rPr>
          <w:sz w:val="20"/>
          <w:lang w:val="es-ES"/>
        </w:rPr>
        <w:t xml:space="preserve">Municipio de </w:t>
      </w:r>
      <w:proofErr w:type="spellStart"/>
      <w:r w:rsidR="00A01CDC" w:rsidRPr="00A1219A">
        <w:rPr>
          <w:sz w:val="20"/>
          <w:lang w:val="es-ES"/>
        </w:rPr>
        <w:t>Iriona</w:t>
      </w:r>
      <w:proofErr w:type="spellEnd"/>
      <w:r w:rsidR="00A01CDC" w:rsidRPr="00A1219A">
        <w:rPr>
          <w:sz w:val="20"/>
          <w:lang w:val="es-ES"/>
        </w:rPr>
        <w:t xml:space="preserve">, Departamento de Colón, </w:t>
      </w:r>
      <w:smartTag w:uri="urn:schemas-microsoft-com:office:smarttags" w:element="PersonName">
        <w:r w:rsidR="00A01CDC" w:rsidRPr="00A1219A">
          <w:rPr>
            <w:sz w:val="20"/>
            <w:lang w:val="es-ES"/>
          </w:rPr>
          <w:t>Honduras</w:t>
        </w:r>
      </w:smartTag>
      <w:r w:rsidRPr="00A1219A">
        <w:rPr>
          <w:sz w:val="20"/>
          <w:lang w:val="es-ES"/>
        </w:rPr>
        <w:t>.</w:t>
      </w:r>
      <w:r w:rsidR="00D93913" w:rsidRPr="00A1219A">
        <w:rPr>
          <w:sz w:val="20"/>
          <w:lang w:val="es-ES"/>
        </w:rPr>
        <w:t xml:space="preserve"> I</w:t>
      </w:r>
      <w:r w:rsidR="00414F52" w:rsidRPr="00A1219A">
        <w:rPr>
          <w:sz w:val="20"/>
          <w:lang w:val="es-ES"/>
        </w:rPr>
        <w:t>ndica</w:t>
      </w:r>
      <w:r w:rsidR="004F04FD" w:rsidRPr="00A1219A">
        <w:rPr>
          <w:sz w:val="20"/>
          <w:lang w:val="es-ES"/>
        </w:rPr>
        <w:t xml:space="preserve"> que </w:t>
      </w:r>
      <w:r w:rsidR="001B12BC" w:rsidRPr="00A1219A">
        <w:rPr>
          <w:sz w:val="20"/>
          <w:lang w:val="es-ES"/>
        </w:rPr>
        <w:t>la</w:t>
      </w:r>
      <w:r w:rsidR="004F04FD" w:rsidRPr="00A1219A">
        <w:rPr>
          <w:sz w:val="20"/>
          <w:lang w:val="es-ES"/>
        </w:rPr>
        <w:t xml:space="preserve"> ocupación histórica</w:t>
      </w:r>
      <w:r w:rsidR="001B12BC" w:rsidRPr="00A1219A">
        <w:rPr>
          <w:sz w:val="20"/>
          <w:lang w:val="es-ES"/>
        </w:rPr>
        <w:t xml:space="preserve"> de la Comunidad</w:t>
      </w:r>
      <w:r w:rsidR="00414F52" w:rsidRPr="00A1219A">
        <w:rPr>
          <w:sz w:val="20"/>
          <w:lang w:val="es-ES"/>
        </w:rPr>
        <w:t xml:space="preserve"> fue reconocida por el Estado a través de </w:t>
      </w:r>
      <w:r w:rsidR="0093406F" w:rsidRPr="00A1219A">
        <w:rPr>
          <w:sz w:val="20"/>
          <w:lang w:val="es-ES"/>
        </w:rPr>
        <w:t xml:space="preserve">dos </w:t>
      </w:r>
      <w:r w:rsidR="00414F52" w:rsidRPr="00A1219A">
        <w:rPr>
          <w:sz w:val="20"/>
          <w:lang w:val="es-ES"/>
        </w:rPr>
        <w:t>título</w:t>
      </w:r>
      <w:r w:rsidR="004C024D" w:rsidRPr="00A1219A">
        <w:rPr>
          <w:sz w:val="20"/>
          <w:lang w:val="es-ES"/>
        </w:rPr>
        <w:t>s</w:t>
      </w:r>
      <w:r w:rsidR="00414F52" w:rsidRPr="00A1219A">
        <w:rPr>
          <w:sz w:val="20"/>
          <w:lang w:val="es-ES"/>
        </w:rPr>
        <w:t xml:space="preserve"> de dominio pleno</w:t>
      </w:r>
      <w:r w:rsidR="00871334" w:rsidRPr="00A1219A">
        <w:rPr>
          <w:sz w:val="20"/>
          <w:lang w:val="es-ES"/>
        </w:rPr>
        <w:t xml:space="preserve"> dados por el </w:t>
      </w:r>
      <w:r w:rsidR="00A57F4F" w:rsidRPr="00A1219A">
        <w:rPr>
          <w:sz w:val="20"/>
          <w:lang w:val="es-ES"/>
        </w:rPr>
        <w:t xml:space="preserve">Instituto Nacional Agrario (en adelante, “INA”) </w:t>
      </w:r>
      <w:r w:rsidR="0093406F" w:rsidRPr="00A1219A">
        <w:rPr>
          <w:sz w:val="20"/>
          <w:lang w:val="es-ES"/>
        </w:rPr>
        <w:t>en 1993 y 1999</w:t>
      </w:r>
      <w:r w:rsidR="00BF6BD4" w:rsidRPr="00A1219A">
        <w:rPr>
          <w:sz w:val="20"/>
          <w:lang w:val="es-ES"/>
        </w:rPr>
        <w:t xml:space="preserve">. </w:t>
      </w:r>
    </w:p>
    <w:p w:rsidR="00464C90" w:rsidRPr="00A1219A" w:rsidRDefault="00464C90" w:rsidP="00464C90">
      <w:pPr>
        <w:jc w:val="both"/>
        <w:rPr>
          <w:sz w:val="20"/>
          <w:lang w:val="es-ES"/>
        </w:rPr>
      </w:pPr>
    </w:p>
    <w:p w:rsidR="00710D8D" w:rsidRPr="00A1219A" w:rsidRDefault="003D6F55" w:rsidP="002F3F6F">
      <w:pPr>
        <w:numPr>
          <w:ilvl w:val="0"/>
          <w:numId w:val="1"/>
        </w:numPr>
        <w:tabs>
          <w:tab w:val="clear" w:pos="900"/>
        </w:tabs>
        <w:ind w:left="0" w:firstLine="720"/>
        <w:jc w:val="both"/>
        <w:rPr>
          <w:sz w:val="20"/>
          <w:lang w:val="es-ES"/>
        </w:rPr>
      </w:pPr>
      <w:r w:rsidRPr="00A1219A">
        <w:rPr>
          <w:sz w:val="20"/>
          <w:lang w:val="es-ES"/>
        </w:rPr>
        <w:t xml:space="preserve">Señala que, a principios de los años 90, </w:t>
      </w:r>
      <w:r w:rsidR="00F85D1D" w:rsidRPr="00A1219A">
        <w:rPr>
          <w:sz w:val="20"/>
          <w:lang w:val="es-ES"/>
        </w:rPr>
        <w:t>se autorizó</w:t>
      </w:r>
      <w:r w:rsidR="00710D8D" w:rsidRPr="00A1219A">
        <w:rPr>
          <w:sz w:val="20"/>
          <w:lang w:val="es-ES"/>
        </w:rPr>
        <w:t xml:space="preserve"> el asentamiento de campesinos en la zona conocida como “</w:t>
      </w:r>
      <w:proofErr w:type="spellStart"/>
      <w:r w:rsidR="00710D8D" w:rsidRPr="00A1219A">
        <w:rPr>
          <w:sz w:val="20"/>
          <w:lang w:val="es-ES"/>
        </w:rPr>
        <w:t>Entrerríos</w:t>
      </w:r>
      <w:proofErr w:type="spellEnd"/>
      <w:r w:rsidR="00710D8D" w:rsidRPr="00A1219A">
        <w:rPr>
          <w:sz w:val="20"/>
          <w:lang w:val="es-ES"/>
        </w:rPr>
        <w:t xml:space="preserve">”, conformada por los territorios ubicados entre los ríos Sico y </w:t>
      </w:r>
      <w:proofErr w:type="spellStart"/>
      <w:r w:rsidR="00710D8D" w:rsidRPr="00A1219A">
        <w:rPr>
          <w:sz w:val="20"/>
          <w:lang w:val="es-ES"/>
        </w:rPr>
        <w:t>Paulaya</w:t>
      </w:r>
      <w:proofErr w:type="spellEnd"/>
      <w:r w:rsidR="00F85D1D" w:rsidRPr="00A1219A">
        <w:rPr>
          <w:sz w:val="20"/>
          <w:lang w:val="es-ES"/>
        </w:rPr>
        <w:t xml:space="preserve">, </w:t>
      </w:r>
      <w:r w:rsidR="004F04FD" w:rsidRPr="00A1219A">
        <w:rPr>
          <w:sz w:val="20"/>
          <w:lang w:val="es-ES"/>
        </w:rPr>
        <w:t xml:space="preserve">y que </w:t>
      </w:r>
      <w:r w:rsidR="00414F52" w:rsidRPr="00A1219A">
        <w:rPr>
          <w:sz w:val="20"/>
          <w:lang w:val="es-ES"/>
        </w:rPr>
        <w:t>coincide en</w:t>
      </w:r>
      <w:r w:rsidR="00887D19" w:rsidRPr="00A1219A">
        <w:rPr>
          <w:sz w:val="20"/>
          <w:lang w:val="es-ES"/>
        </w:rPr>
        <w:t xml:space="preserve"> </w:t>
      </w:r>
      <w:r w:rsidR="00F85D1D" w:rsidRPr="00A1219A">
        <w:rPr>
          <w:sz w:val="20"/>
          <w:lang w:val="es-ES"/>
        </w:rPr>
        <w:t xml:space="preserve">parte </w:t>
      </w:r>
      <w:r w:rsidR="00414F52" w:rsidRPr="00A1219A">
        <w:rPr>
          <w:sz w:val="20"/>
          <w:lang w:val="es-ES"/>
        </w:rPr>
        <w:t xml:space="preserve">con </w:t>
      </w:r>
      <w:r w:rsidR="00F85D1D" w:rsidRPr="00A1219A">
        <w:rPr>
          <w:sz w:val="20"/>
          <w:lang w:val="es-ES"/>
        </w:rPr>
        <w:t>el área de amortiguamiento de la Reserva Biológica de Río Plátano</w:t>
      </w:r>
      <w:r w:rsidR="00710D8D" w:rsidRPr="00A1219A">
        <w:rPr>
          <w:sz w:val="20"/>
          <w:lang w:val="es-ES"/>
        </w:rPr>
        <w:t>. Agrega que</w:t>
      </w:r>
      <w:r w:rsidR="003731FD" w:rsidRPr="00A1219A">
        <w:rPr>
          <w:sz w:val="20"/>
          <w:lang w:val="es-ES"/>
        </w:rPr>
        <w:t xml:space="preserve">, en </w:t>
      </w:r>
      <w:r w:rsidR="00607929" w:rsidRPr="00A1219A">
        <w:rPr>
          <w:sz w:val="20"/>
          <w:lang w:val="es-ES"/>
        </w:rPr>
        <w:t>consecuencia</w:t>
      </w:r>
      <w:r w:rsidR="003731FD" w:rsidRPr="00A1219A">
        <w:rPr>
          <w:sz w:val="20"/>
          <w:lang w:val="es-ES"/>
        </w:rPr>
        <w:t>,</w:t>
      </w:r>
      <w:r w:rsidR="00710D8D" w:rsidRPr="00A1219A">
        <w:rPr>
          <w:sz w:val="20"/>
          <w:lang w:val="es-ES"/>
        </w:rPr>
        <w:t xml:space="preserve"> se destruyeron bosques y cuencas hidrográficas </w:t>
      </w:r>
      <w:r w:rsidR="003731FD" w:rsidRPr="00A1219A">
        <w:rPr>
          <w:sz w:val="20"/>
          <w:lang w:val="es-ES"/>
        </w:rPr>
        <w:t xml:space="preserve">del área, y se </w:t>
      </w:r>
      <w:r w:rsidR="00E21F6C" w:rsidRPr="00A1219A">
        <w:rPr>
          <w:sz w:val="20"/>
          <w:lang w:val="es-ES"/>
        </w:rPr>
        <w:t>generó</w:t>
      </w:r>
      <w:r w:rsidR="003731FD" w:rsidRPr="00A1219A">
        <w:rPr>
          <w:sz w:val="20"/>
          <w:lang w:val="es-ES"/>
        </w:rPr>
        <w:t xml:space="preserve"> un flujo constante de campesinos y ganaderos</w:t>
      </w:r>
      <w:r w:rsidR="00E21F6C" w:rsidRPr="00A1219A">
        <w:rPr>
          <w:sz w:val="20"/>
          <w:lang w:val="es-ES"/>
        </w:rPr>
        <w:t xml:space="preserve"> –también llamados “ladinos”-</w:t>
      </w:r>
      <w:r w:rsidR="00887D19" w:rsidRPr="00A1219A">
        <w:rPr>
          <w:sz w:val="20"/>
          <w:lang w:val="es-ES"/>
        </w:rPr>
        <w:t xml:space="preserve"> hacia las tierras ocupadas </w:t>
      </w:r>
      <w:r w:rsidR="00887D19" w:rsidRPr="00A1219A">
        <w:rPr>
          <w:sz w:val="20"/>
          <w:lang w:val="es-ES"/>
        </w:rPr>
        <w:lastRenderedPageBreak/>
        <w:t>históricamente por comunidades garífunas</w:t>
      </w:r>
      <w:r w:rsidR="00E21F6C" w:rsidRPr="00A1219A">
        <w:rPr>
          <w:sz w:val="20"/>
          <w:lang w:val="es-ES"/>
        </w:rPr>
        <w:t xml:space="preserve">, </w:t>
      </w:r>
      <w:r w:rsidR="003D7BAA" w:rsidRPr="00A1219A">
        <w:rPr>
          <w:sz w:val="20"/>
          <w:lang w:val="es-ES"/>
        </w:rPr>
        <w:t>en especial</w:t>
      </w:r>
      <w:r w:rsidR="00E21F6C" w:rsidRPr="00A1219A">
        <w:rPr>
          <w:sz w:val="20"/>
          <w:lang w:val="es-ES"/>
        </w:rPr>
        <w:t xml:space="preserve"> </w:t>
      </w:r>
      <w:r w:rsidR="0054776D" w:rsidRPr="00A1219A">
        <w:rPr>
          <w:sz w:val="20"/>
          <w:lang w:val="es-ES"/>
        </w:rPr>
        <w:t xml:space="preserve">hacia </w:t>
      </w:r>
      <w:r w:rsidR="003D7BAA" w:rsidRPr="00A1219A">
        <w:rPr>
          <w:sz w:val="20"/>
          <w:lang w:val="es-ES"/>
        </w:rPr>
        <w:t>las</w:t>
      </w:r>
      <w:r w:rsidR="00E21F6C" w:rsidRPr="00A1219A">
        <w:rPr>
          <w:sz w:val="20"/>
          <w:lang w:val="es-ES"/>
        </w:rPr>
        <w:t xml:space="preserve"> </w:t>
      </w:r>
      <w:r w:rsidR="004F04FD" w:rsidRPr="00A1219A">
        <w:rPr>
          <w:sz w:val="20"/>
          <w:lang w:val="es-ES"/>
        </w:rPr>
        <w:t xml:space="preserve">zonas </w:t>
      </w:r>
      <w:r w:rsidR="00E21F6C" w:rsidRPr="00A1219A">
        <w:rPr>
          <w:sz w:val="20"/>
          <w:lang w:val="es-ES"/>
        </w:rPr>
        <w:t xml:space="preserve">utilizadas para sus actividades de </w:t>
      </w:r>
      <w:r w:rsidR="00F06575" w:rsidRPr="00A1219A">
        <w:rPr>
          <w:sz w:val="20"/>
          <w:lang w:val="es-ES"/>
        </w:rPr>
        <w:t>subsistencia</w:t>
      </w:r>
      <w:r w:rsidR="00E21F6C" w:rsidRPr="00A1219A">
        <w:rPr>
          <w:sz w:val="20"/>
          <w:lang w:val="es-ES"/>
        </w:rPr>
        <w:t>.</w:t>
      </w:r>
    </w:p>
    <w:p w:rsidR="00710D8D" w:rsidRPr="00A1219A" w:rsidRDefault="00710D8D" w:rsidP="00710D8D">
      <w:pPr>
        <w:jc w:val="both"/>
        <w:rPr>
          <w:sz w:val="20"/>
          <w:lang w:val="es-ES"/>
        </w:rPr>
      </w:pPr>
    </w:p>
    <w:p w:rsidR="00661A2F" w:rsidRPr="00A1219A" w:rsidRDefault="00E21F6C" w:rsidP="00661A2F">
      <w:pPr>
        <w:numPr>
          <w:ilvl w:val="0"/>
          <w:numId w:val="1"/>
        </w:numPr>
        <w:tabs>
          <w:tab w:val="clear" w:pos="900"/>
        </w:tabs>
        <w:ind w:left="0" w:firstLine="720"/>
        <w:jc w:val="both"/>
        <w:rPr>
          <w:sz w:val="20"/>
          <w:lang w:val="es-ES"/>
        </w:rPr>
      </w:pPr>
      <w:r w:rsidRPr="00A1219A">
        <w:rPr>
          <w:sz w:val="20"/>
          <w:lang w:val="es-ES"/>
        </w:rPr>
        <w:t>En este contexto, afirma</w:t>
      </w:r>
      <w:r w:rsidR="001D4E9D" w:rsidRPr="00A1219A">
        <w:rPr>
          <w:sz w:val="20"/>
          <w:lang w:val="es-ES"/>
        </w:rPr>
        <w:t xml:space="preserve"> que</w:t>
      </w:r>
      <w:r w:rsidR="002F3F6F" w:rsidRPr="00A1219A">
        <w:rPr>
          <w:sz w:val="20"/>
          <w:lang w:val="es-ES"/>
        </w:rPr>
        <w:t xml:space="preserve"> </w:t>
      </w:r>
      <w:r w:rsidR="001B12BC" w:rsidRPr="00A1219A">
        <w:rPr>
          <w:sz w:val="20"/>
          <w:lang w:val="es-ES"/>
        </w:rPr>
        <w:t>en diciembre de 1993</w:t>
      </w:r>
      <w:r w:rsidR="002F3F6F" w:rsidRPr="00A1219A">
        <w:rPr>
          <w:sz w:val="20"/>
          <w:lang w:val="es-ES"/>
        </w:rPr>
        <w:t xml:space="preserve">, un grupo de </w:t>
      </w:r>
      <w:r w:rsidRPr="00A1219A">
        <w:rPr>
          <w:sz w:val="20"/>
          <w:lang w:val="es-ES"/>
        </w:rPr>
        <w:t>campesinos</w:t>
      </w:r>
      <w:r w:rsidR="002F3F6F" w:rsidRPr="00A1219A">
        <w:rPr>
          <w:sz w:val="20"/>
          <w:lang w:val="es-ES"/>
        </w:rPr>
        <w:t xml:space="preserve"> tomó posesión </w:t>
      </w:r>
      <w:r w:rsidR="00696845" w:rsidRPr="00A1219A">
        <w:rPr>
          <w:sz w:val="20"/>
          <w:lang w:val="es-ES"/>
        </w:rPr>
        <w:t xml:space="preserve">a la fuerza </w:t>
      </w:r>
      <w:r w:rsidR="002F3F6F" w:rsidRPr="00A1219A">
        <w:rPr>
          <w:sz w:val="20"/>
          <w:lang w:val="es-ES"/>
        </w:rPr>
        <w:t xml:space="preserve">de las tierras </w:t>
      </w:r>
      <w:r w:rsidR="00420565" w:rsidRPr="00A1219A">
        <w:rPr>
          <w:sz w:val="20"/>
          <w:lang w:val="es-ES"/>
        </w:rPr>
        <w:t xml:space="preserve">tradicionales </w:t>
      </w:r>
      <w:r w:rsidR="002F3F6F" w:rsidRPr="00A1219A">
        <w:rPr>
          <w:sz w:val="20"/>
          <w:lang w:val="es-ES"/>
        </w:rPr>
        <w:t xml:space="preserve">de </w:t>
      </w:r>
      <w:r w:rsidR="00420565" w:rsidRPr="00A1219A">
        <w:rPr>
          <w:sz w:val="20"/>
          <w:lang w:val="es-ES"/>
        </w:rPr>
        <w:t>cultivo</w:t>
      </w:r>
      <w:r w:rsidR="002F3F6F" w:rsidRPr="00A1219A">
        <w:rPr>
          <w:sz w:val="20"/>
          <w:lang w:val="es-ES"/>
        </w:rPr>
        <w:t xml:space="preserve"> </w:t>
      </w:r>
      <w:r w:rsidRPr="00A1219A">
        <w:rPr>
          <w:sz w:val="20"/>
          <w:lang w:val="es-ES"/>
        </w:rPr>
        <w:t xml:space="preserve">o “trabajaderos” </w:t>
      </w:r>
      <w:r w:rsidR="001D4E9D" w:rsidRPr="00A1219A">
        <w:rPr>
          <w:sz w:val="20"/>
          <w:lang w:val="es-ES"/>
        </w:rPr>
        <w:t xml:space="preserve">ubicadas en las márgenes del Río Miel (en adelante “campesinos </w:t>
      </w:r>
      <w:r w:rsidR="00D51BB7" w:rsidRPr="00A1219A">
        <w:rPr>
          <w:sz w:val="20"/>
          <w:lang w:val="es-ES"/>
        </w:rPr>
        <w:t xml:space="preserve">o pobladores </w:t>
      </w:r>
      <w:r w:rsidR="001D4E9D" w:rsidRPr="00A1219A">
        <w:rPr>
          <w:sz w:val="20"/>
          <w:lang w:val="es-ES"/>
        </w:rPr>
        <w:t xml:space="preserve">de Río Miel”) que son parte del territorio ancestral </w:t>
      </w:r>
      <w:r w:rsidR="002F3F6F" w:rsidRPr="00A1219A">
        <w:rPr>
          <w:sz w:val="20"/>
          <w:lang w:val="es-ES"/>
        </w:rPr>
        <w:t>de</w:t>
      </w:r>
      <w:r w:rsidRPr="00A1219A">
        <w:rPr>
          <w:sz w:val="20"/>
          <w:lang w:val="es-ES"/>
        </w:rPr>
        <w:t xml:space="preserve"> </w:t>
      </w:r>
      <w:r w:rsidR="00464C90" w:rsidRPr="00A1219A">
        <w:rPr>
          <w:sz w:val="20"/>
          <w:lang w:val="es-ES"/>
        </w:rPr>
        <w:t>l</w:t>
      </w:r>
      <w:r w:rsidRPr="00A1219A">
        <w:rPr>
          <w:sz w:val="20"/>
          <w:lang w:val="es-ES"/>
        </w:rPr>
        <w:t>a</w:t>
      </w:r>
      <w:r w:rsidR="00464C90" w:rsidRPr="00A1219A">
        <w:rPr>
          <w:sz w:val="20"/>
          <w:lang w:val="es-ES"/>
        </w:rPr>
        <w:t xml:space="preserve"> </w:t>
      </w:r>
      <w:r w:rsidRPr="00A1219A">
        <w:rPr>
          <w:sz w:val="20"/>
          <w:lang w:val="es-ES"/>
        </w:rPr>
        <w:t>Comunidad</w:t>
      </w:r>
      <w:r w:rsidR="00464C90" w:rsidRPr="00A1219A">
        <w:rPr>
          <w:sz w:val="20"/>
          <w:lang w:val="es-ES"/>
        </w:rPr>
        <w:t xml:space="preserve"> Garífuna de Punta Piedra</w:t>
      </w:r>
      <w:r w:rsidR="001D4E9D" w:rsidRPr="00A1219A">
        <w:rPr>
          <w:sz w:val="20"/>
          <w:lang w:val="es-ES"/>
        </w:rPr>
        <w:t xml:space="preserve">. Alega que ello habría </w:t>
      </w:r>
      <w:r w:rsidR="001B12BC" w:rsidRPr="00A1219A">
        <w:rPr>
          <w:sz w:val="20"/>
          <w:lang w:val="es-ES"/>
        </w:rPr>
        <w:t>generado serias amenazas para la supervivencia física y cultural de la comunidad</w:t>
      </w:r>
      <w:r w:rsidR="00D51BB7" w:rsidRPr="00A1219A">
        <w:rPr>
          <w:sz w:val="20"/>
          <w:lang w:val="es-ES"/>
        </w:rPr>
        <w:t>.</w:t>
      </w:r>
      <w:r w:rsidR="00661A2F" w:rsidRPr="00A1219A">
        <w:rPr>
          <w:sz w:val="20"/>
          <w:lang w:val="es-ES"/>
        </w:rPr>
        <w:t xml:space="preserve"> Indica que el Instituto Nacional Agrario habría titulado porciones de tierras a favor de los invasores y que éstas fueron luego trasladadas a un militar, quien a su vez las vendió a un empresario palmero.</w:t>
      </w:r>
    </w:p>
    <w:p w:rsidR="00D51BB7" w:rsidRPr="00A1219A" w:rsidRDefault="00D51BB7" w:rsidP="00D51BB7">
      <w:pPr>
        <w:jc w:val="both"/>
        <w:rPr>
          <w:sz w:val="20"/>
          <w:lang w:val="es-ES"/>
        </w:rPr>
      </w:pPr>
    </w:p>
    <w:p w:rsidR="00464C90" w:rsidRPr="00A1219A" w:rsidRDefault="00C21AD4" w:rsidP="002F3F6F">
      <w:pPr>
        <w:numPr>
          <w:ilvl w:val="0"/>
          <w:numId w:val="1"/>
        </w:numPr>
        <w:tabs>
          <w:tab w:val="clear" w:pos="900"/>
        </w:tabs>
        <w:ind w:left="0" w:firstLine="720"/>
        <w:jc w:val="both"/>
        <w:rPr>
          <w:sz w:val="20"/>
          <w:lang w:val="es-ES"/>
        </w:rPr>
      </w:pPr>
      <w:r w:rsidRPr="00A1219A">
        <w:rPr>
          <w:sz w:val="20"/>
          <w:lang w:val="es-ES"/>
        </w:rPr>
        <w:t>Enfatiza</w:t>
      </w:r>
      <w:r w:rsidR="00E21F6C" w:rsidRPr="00A1219A">
        <w:rPr>
          <w:sz w:val="20"/>
          <w:lang w:val="es-ES"/>
        </w:rPr>
        <w:t xml:space="preserve"> que la invasión ha</w:t>
      </w:r>
      <w:r w:rsidR="00464C90" w:rsidRPr="00A1219A">
        <w:rPr>
          <w:sz w:val="20"/>
          <w:lang w:val="es-ES"/>
        </w:rPr>
        <w:t xml:space="preserve"> </w:t>
      </w:r>
      <w:r w:rsidR="00E21F6C" w:rsidRPr="00A1219A">
        <w:rPr>
          <w:sz w:val="20"/>
          <w:lang w:val="es-ES"/>
        </w:rPr>
        <w:t>generado</w:t>
      </w:r>
      <w:r w:rsidR="0004748B" w:rsidRPr="00A1219A">
        <w:rPr>
          <w:sz w:val="20"/>
          <w:lang w:val="es-ES"/>
        </w:rPr>
        <w:t xml:space="preserve"> una situación </w:t>
      </w:r>
      <w:r w:rsidR="00464C90" w:rsidRPr="00A1219A">
        <w:rPr>
          <w:sz w:val="20"/>
          <w:lang w:val="es-ES"/>
        </w:rPr>
        <w:t xml:space="preserve">de </w:t>
      </w:r>
      <w:r w:rsidR="00DD7FF1" w:rsidRPr="00A1219A">
        <w:rPr>
          <w:sz w:val="20"/>
          <w:lang w:val="es-ES"/>
        </w:rPr>
        <w:t xml:space="preserve">constante </w:t>
      </w:r>
      <w:r w:rsidR="00464C90" w:rsidRPr="00A1219A">
        <w:rPr>
          <w:sz w:val="20"/>
          <w:lang w:val="es-ES"/>
        </w:rPr>
        <w:t>viol</w:t>
      </w:r>
      <w:r w:rsidR="00C02859" w:rsidRPr="00A1219A">
        <w:rPr>
          <w:sz w:val="20"/>
          <w:lang w:val="es-ES"/>
        </w:rPr>
        <w:t xml:space="preserve">encia </w:t>
      </w:r>
      <w:r w:rsidR="001B12BC" w:rsidRPr="00A1219A">
        <w:rPr>
          <w:sz w:val="20"/>
          <w:lang w:val="es-ES"/>
        </w:rPr>
        <w:t>e</w:t>
      </w:r>
      <w:r w:rsidR="00C02859" w:rsidRPr="00A1219A">
        <w:rPr>
          <w:sz w:val="20"/>
          <w:lang w:val="es-ES"/>
        </w:rPr>
        <w:t xml:space="preserve"> </w:t>
      </w:r>
      <w:r w:rsidR="001B12BC" w:rsidRPr="00A1219A">
        <w:rPr>
          <w:sz w:val="20"/>
          <w:lang w:val="es-ES"/>
        </w:rPr>
        <w:t>inseguridad en la C</w:t>
      </w:r>
      <w:r w:rsidR="00C02859" w:rsidRPr="00A1219A">
        <w:rPr>
          <w:sz w:val="20"/>
          <w:lang w:val="es-ES"/>
        </w:rPr>
        <w:t>omunidad,</w:t>
      </w:r>
      <w:r w:rsidR="001B12BC" w:rsidRPr="00A1219A">
        <w:rPr>
          <w:sz w:val="20"/>
          <w:lang w:val="es-ES"/>
        </w:rPr>
        <w:t xml:space="preserve"> manifestada en amenazas </w:t>
      </w:r>
      <w:r w:rsidR="001D4E9D" w:rsidRPr="00A1219A">
        <w:rPr>
          <w:sz w:val="20"/>
          <w:lang w:val="es-ES"/>
        </w:rPr>
        <w:t xml:space="preserve">y agresiones </w:t>
      </w:r>
      <w:r w:rsidR="001B12BC" w:rsidRPr="00A1219A">
        <w:rPr>
          <w:sz w:val="20"/>
          <w:lang w:val="es-ES"/>
        </w:rPr>
        <w:t xml:space="preserve">sufridas por </w:t>
      </w:r>
      <w:r w:rsidR="0004748B" w:rsidRPr="00A1219A">
        <w:rPr>
          <w:sz w:val="20"/>
          <w:lang w:val="es-ES"/>
        </w:rPr>
        <w:t>gar</w:t>
      </w:r>
      <w:r w:rsidR="00DD7FF1" w:rsidRPr="00A1219A">
        <w:rPr>
          <w:sz w:val="20"/>
          <w:lang w:val="es-ES"/>
        </w:rPr>
        <w:t>í</w:t>
      </w:r>
      <w:r w:rsidR="0004748B" w:rsidRPr="00A1219A">
        <w:rPr>
          <w:sz w:val="20"/>
          <w:lang w:val="es-ES"/>
        </w:rPr>
        <w:t>funas de Punta Piedra</w:t>
      </w:r>
      <w:r w:rsidR="0047155D" w:rsidRPr="00A1219A">
        <w:rPr>
          <w:sz w:val="20"/>
          <w:lang w:val="es-ES"/>
        </w:rPr>
        <w:t xml:space="preserve">. Como ejemplo contextual del ambiente de conflicto, informa sobre el </w:t>
      </w:r>
      <w:r w:rsidR="00DF707C" w:rsidRPr="00A1219A">
        <w:rPr>
          <w:sz w:val="20"/>
          <w:lang w:val="es-ES"/>
        </w:rPr>
        <w:t xml:space="preserve">asesinato </w:t>
      </w:r>
      <w:r w:rsidR="00C02859" w:rsidRPr="00A1219A">
        <w:rPr>
          <w:sz w:val="20"/>
          <w:lang w:val="es-ES"/>
        </w:rPr>
        <w:t xml:space="preserve">de Félix Ordóñez Suazo </w:t>
      </w:r>
      <w:r w:rsidR="00E3514E" w:rsidRPr="00A1219A">
        <w:rPr>
          <w:sz w:val="20"/>
          <w:lang w:val="es-ES"/>
        </w:rPr>
        <w:t xml:space="preserve">cometido en junio de 2007, presuntamente </w:t>
      </w:r>
      <w:r w:rsidR="00C02859" w:rsidRPr="00A1219A">
        <w:rPr>
          <w:sz w:val="20"/>
          <w:lang w:val="es-ES"/>
        </w:rPr>
        <w:t>por poblador</w:t>
      </w:r>
      <w:r w:rsidR="001B12BC" w:rsidRPr="00A1219A">
        <w:rPr>
          <w:sz w:val="20"/>
          <w:lang w:val="es-ES"/>
        </w:rPr>
        <w:t>es</w:t>
      </w:r>
      <w:r w:rsidR="00C02859" w:rsidRPr="00A1219A">
        <w:rPr>
          <w:sz w:val="20"/>
          <w:lang w:val="es-ES"/>
        </w:rPr>
        <w:t xml:space="preserve"> de Río Miel</w:t>
      </w:r>
      <w:r w:rsidR="0047155D" w:rsidRPr="00A1219A">
        <w:rPr>
          <w:sz w:val="20"/>
          <w:lang w:val="es-ES"/>
        </w:rPr>
        <w:t xml:space="preserve"> </w:t>
      </w:r>
      <w:r w:rsidR="001D4E9D" w:rsidRPr="00A1219A">
        <w:rPr>
          <w:sz w:val="20"/>
          <w:lang w:val="es-ES"/>
        </w:rPr>
        <w:t xml:space="preserve">hechos que </w:t>
      </w:r>
      <w:r w:rsidR="0047155D" w:rsidRPr="00A1219A">
        <w:rPr>
          <w:sz w:val="20"/>
          <w:lang w:val="es-ES"/>
        </w:rPr>
        <w:t xml:space="preserve">indica </w:t>
      </w:r>
      <w:r w:rsidR="00C96C90" w:rsidRPr="00A1219A">
        <w:rPr>
          <w:sz w:val="20"/>
          <w:lang w:val="es-ES"/>
        </w:rPr>
        <w:t>fueron denunciados</w:t>
      </w:r>
      <w:r w:rsidR="00DF707C" w:rsidRPr="00A1219A">
        <w:rPr>
          <w:sz w:val="20"/>
          <w:lang w:val="es-ES"/>
        </w:rPr>
        <w:t xml:space="preserve"> ante las autoridades competentes</w:t>
      </w:r>
      <w:r w:rsidR="001D4E9D" w:rsidRPr="00A1219A">
        <w:rPr>
          <w:sz w:val="20"/>
          <w:lang w:val="es-ES"/>
        </w:rPr>
        <w:t xml:space="preserve"> y que permanecerían </w:t>
      </w:r>
      <w:r w:rsidR="00C96C90" w:rsidRPr="00A1219A">
        <w:rPr>
          <w:sz w:val="20"/>
          <w:lang w:val="es-ES"/>
        </w:rPr>
        <w:t>en la impunidad</w:t>
      </w:r>
      <w:r w:rsidR="0047155D" w:rsidRPr="00A1219A">
        <w:rPr>
          <w:sz w:val="20"/>
          <w:lang w:val="es-ES"/>
        </w:rPr>
        <w:t xml:space="preserve">. </w:t>
      </w:r>
      <w:r w:rsidR="001D4E9D" w:rsidRPr="00A1219A">
        <w:rPr>
          <w:sz w:val="20"/>
          <w:lang w:val="es-ES"/>
        </w:rPr>
        <w:t>E</w:t>
      </w:r>
      <w:r w:rsidR="0047155D" w:rsidRPr="00A1219A">
        <w:rPr>
          <w:sz w:val="20"/>
          <w:lang w:val="es-ES"/>
        </w:rPr>
        <w:t xml:space="preserve">n este mismo contexto indica </w:t>
      </w:r>
      <w:r w:rsidR="00C276F2" w:rsidRPr="00A1219A">
        <w:rPr>
          <w:sz w:val="20"/>
          <w:lang w:val="es-ES"/>
        </w:rPr>
        <w:t xml:space="preserve">que Marcos Bonifacio, </w:t>
      </w:r>
      <w:r w:rsidR="00E3514E" w:rsidRPr="00A1219A">
        <w:rPr>
          <w:sz w:val="20"/>
          <w:lang w:val="es-ES"/>
        </w:rPr>
        <w:t xml:space="preserve">miembro de la Comunidad </w:t>
      </w:r>
      <w:r w:rsidR="001D4E9D" w:rsidRPr="00A1219A">
        <w:rPr>
          <w:sz w:val="20"/>
          <w:lang w:val="es-ES"/>
        </w:rPr>
        <w:t xml:space="preserve">y </w:t>
      </w:r>
      <w:r w:rsidR="00C276F2" w:rsidRPr="00A1219A">
        <w:rPr>
          <w:sz w:val="20"/>
          <w:lang w:val="es-ES"/>
        </w:rPr>
        <w:t>testigo del</w:t>
      </w:r>
      <w:r w:rsidR="00DF707C" w:rsidRPr="00A1219A">
        <w:rPr>
          <w:sz w:val="20"/>
          <w:lang w:val="es-ES"/>
        </w:rPr>
        <w:t xml:space="preserve"> referido asesinato</w:t>
      </w:r>
      <w:r w:rsidR="00C276F2" w:rsidRPr="00A1219A">
        <w:rPr>
          <w:sz w:val="20"/>
          <w:lang w:val="es-ES"/>
        </w:rPr>
        <w:t xml:space="preserve">, recibió </w:t>
      </w:r>
      <w:r w:rsidR="00607929" w:rsidRPr="00A1219A">
        <w:rPr>
          <w:sz w:val="20"/>
          <w:lang w:val="es-ES"/>
        </w:rPr>
        <w:t xml:space="preserve">constantes </w:t>
      </w:r>
      <w:r w:rsidR="00C276F2" w:rsidRPr="00A1219A">
        <w:rPr>
          <w:sz w:val="20"/>
          <w:lang w:val="es-ES"/>
        </w:rPr>
        <w:t xml:space="preserve">amenazas </w:t>
      </w:r>
      <w:r w:rsidR="00607929" w:rsidRPr="00A1219A">
        <w:rPr>
          <w:sz w:val="20"/>
          <w:lang w:val="es-ES"/>
        </w:rPr>
        <w:t xml:space="preserve">de muerte por lo que fue necesario </w:t>
      </w:r>
      <w:r w:rsidR="00E3514E" w:rsidRPr="00A1219A">
        <w:rPr>
          <w:sz w:val="20"/>
          <w:lang w:val="es-ES"/>
        </w:rPr>
        <w:t>solicitar</w:t>
      </w:r>
      <w:r w:rsidR="00607929" w:rsidRPr="00A1219A">
        <w:rPr>
          <w:sz w:val="20"/>
          <w:lang w:val="es-ES"/>
        </w:rPr>
        <w:t xml:space="preserve"> medidas cautelares </w:t>
      </w:r>
      <w:r w:rsidR="00E3514E" w:rsidRPr="00A1219A">
        <w:rPr>
          <w:sz w:val="20"/>
          <w:lang w:val="es-ES"/>
        </w:rPr>
        <w:t>a</w:t>
      </w:r>
      <w:r w:rsidR="00607929" w:rsidRPr="00A1219A">
        <w:rPr>
          <w:sz w:val="20"/>
          <w:lang w:val="es-ES"/>
        </w:rPr>
        <w:t xml:space="preserve"> la CIDH</w:t>
      </w:r>
      <w:r w:rsidR="00C276F2" w:rsidRPr="00A1219A">
        <w:rPr>
          <w:sz w:val="20"/>
          <w:lang w:val="es-ES"/>
        </w:rPr>
        <w:t>.</w:t>
      </w:r>
    </w:p>
    <w:p w:rsidR="00464C90" w:rsidRPr="00A1219A" w:rsidRDefault="00464C90" w:rsidP="00464C90">
      <w:pPr>
        <w:jc w:val="both"/>
        <w:rPr>
          <w:sz w:val="20"/>
          <w:lang w:val="es-ES"/>
        </w:rPr>
      </w:pPr>
    </w:p>
    <w:p w:rsidR="001C6F04" w:rsidRPr="00A1219A" w:rsidRDefault="00946CD0" w:rsidP="00AD32F9">
      <w:pPr>
        <w:numPr>
          <w:ilvl w:val="0"/>
          <w:numId w:val="1"/>
        </w:numPr>
        <w:tabs>
          <w:tab w:val="clear" w:pos="900"/>
        </w:tabs>
        <w:ind w:left="0" w:firstLine="720"/>
        <w:jc w:val="both"/>
        <w:rPr>
          <w:sz w:val="20"/>
          <w:lang w:val="es-ES"/>
        </w:rPr>
      </w:pPr>
      <w:r w:rsidRPr="00A1219A">
        <w:rPr>
          <w:sz w:val="20"/>
          <w:lang w:val="es-ES"/>
        </w:rPr>
        <w:t>Afirma que</w:t>
      </w:r>
      <w:r w:rsidR="001D4E9D" w:rsidRPr="00A1219A">
        <w:rPr>
          <w:sz w:val="20"/>
          <w:lang w:val="es-ES"/>
        </w:rPr>
        <w:t xml:space="preserve"> </w:t>
      </w:r>
      <w:r w:rsidRPr="00A1219A">
        <w:rPr>
          <w:sz w:val="20"/>
          <w:lang w:val="es-ES"/>
        </w:rPr>
        <w:t xml:space="preserve">la Comunidad de Punta Piedra ha realizado numerosas acciones </w:t>
      </w:r>
      <w:r w:rsidR="001D4E9D" w:rsidRPr="00A1219A">
        <w:rPr>
          <w:sz w:val="20"/>
          <w:lang w:val="es-ES"/>
        </w:rPr>
        <w:t xml:space="preserve">ante el Estado </w:t>
      </w:r>
      <w:r w:rsidRPr="00A1219A">
        <w:rPr>
          <w:sz w:val="20"/>
          <w:lang w:val="es-ES"/>
        </w:rPr>
        <w:t>dirigidas a obtener la restitución de las tierras invadidas</w:t>
      </w:r>
      <w:r w:rsidR="001D4E9D" w:rsidRPr="00A1219A">
        <w:rPr>
          <w:sz w:val="20"/>
          <w:lang w:val="es-ES"/>
        </w:rPr>
        <w:t>.</w:t>
      </w:r>
      <w:r w:rsidR="000560B5" w:rsidRPr="00A1219A">
        <w:rPr>
          <w:sz w:val="20"/>
          <w:lang w:val="es-ES"/>
        </w:rPr>
        <w:t xml:space="preserve"> </w:t>
      </w:r>
      <w:r w:rsidR="001D4E9D" w:rsidRPr="00A1219A">
        <w:rPr>
          <w:sz w:val="20"/>
          <w:lang w:val="es-ES"/>
        </w:rPr>
        <w:t xml:space="preserve">En virtud de dichas gestiones, informa que </w:t>
      </w:r>
      <w:r w:rsidR="005A7BB4" w:rsidRPr="00A1219A">
        <w:rPr>
          <w:sz w:val="20"/>
          <w:lang w:val="es-ES"/>
        </w:rPr>
        <w:t xml:space="preserve">el 13 de diciembre de 2001 se </w:t>
      </w:r>
      <w:r w:rsidR="003C1E95" w:rsidRPr="00A1219A">
        <w:rPr>
          <w:sz w:val="20"/>
          <w:lang w:val="es-ES"/>
        </w:rPr>
        <w:t>suscribió un “A</w:t>
      </w:r>
      <w:r w:rsidR="001D4E9D" w:rsidRPr="00A1219A">
        <w:rPr>
          <w:sz w:val="20"/>
          <w:lang w:val="es-ES"/>
        </w:rPr>
        <w:t>cta de C</w:t>
      </w:r>
      <w:r w:rsidR="00AD32F9" w:rsidRPr="00A1219A">
        <w:rPr>
          <w:sz w:val="20"/>
          <w:lang w:val="es-ES"/>
        </w:rPr>
        <w:t>ompromiso” para resolver definitivamente el conflicto entre</w:t>
      </w:r>
      <w:r w:rsidR="005A7BB4" w:rsidRPr="00A1219A">
        <w:rPr>
          <w:sz w:val="20"/>
          <w:lang w:val="es-ES"/>
        </w:rPr>
        <w:t xml:space="preserve"> representantes d</w:t>
      </w:r>
      <w:r w:rsidR="00AD32F9" w:rsidRPr="00A1219A">
        <w:rPr>
          <w:sz w:val="20"/>
          <w:lang w:val="es-ES"/>
        </w:rPr>
        <w:t xml:space="preserve">e la Comunidad de Punta Piedra, </w:t>
      </w:r>
      <w:r w:rsidR="001E5AF2" w:rsidRPr="00A1219A">
        <w:rPr>
          <w:sz w:val="20"/>
          <w:lang w:val="es-ES"/>
        </w:rPr>
        <w:t xml:space="preserve">campesinos </w:t>
      </w:r>
      <w:r w:rsidR="001D4E9D" w:rsidRPr="00A1219A">
        <w:rPr>
          <w:sz w:val="20"/>
          <w:lang w:val="es-ES"/>
        </w:rPr>
        <w:t xml:space="preserve">de </w:t>
      </w:r>
      <w:r w:rsidR="001E5AF2" w:rsidRPr="00A1219A">
        <w:rPr>
          <w:sz w:val="20"/>
          <w:lang w:val="es-ES"/>
        </w:rPr>
        <w:t>Río Miel</w:t>
      </w:r>
      <w:r w:rsidR="005A7BB4" w:rsidRPr="00A1219A">
        <w:rPr>
          <w:sz w:val="20"/>
          <w:lang w:val="es-ES"/>
        </w:rPr>
        <w:t>, representantes del INA,</w:t>
      </w:r>
      <w:r w:rsidR="0073694F" w:rsidRPr="00A1219A">
        <w:rPr>
          <w:sz w:val="20"/>
          <w:lang w:val="es-ES"/>
        </w:rPr>
        <w:t xml:space="preserve"> y las organizaciones garífunas</w:t>
      </w:r>
      <w:r w:rsidR="005A7BB4" w:rsidRPr="00A1219A">
        <w:rPr>
          <w:sz w:val="20"/>
          <w:lang w:val="es-ES"/>
        </w:rPr>
        <w:t xml:space="preserve"> OFRANEH y Organización de Desarrollo Étnico Comunitario (</w:t>
      </w:r>
      <w:r w:rsidR="006E0EB1" w:rsidRPr="00A1219A">
        <w:rPr>
          <w:sz w:val="20"/>
          <w:lang w:val="es-ES"/>
        </w:rPr>
        <w:t>en adelante, “</w:t>
      </w:r>
      <w:r w:rsidR="005A7BB4" w:rsidRPr="00A1219A">
        <w:rPr>
          <w:sz w:val="20"/>
          <w:lang w:val="es-ES"/>
        </w:rPr>
        <w:t>ODECO</w:t>
      </w:r>
      <w:r w:rsidR="006E0EB1" w:rsidRPr="00A1219A">
        <w:rPr>
          <w:sz w:val="20"/>
          <w:lang w:val="es-ES"/>
        </w:rPr>
        <w:t>”</w:t>
      </w:r>
      <w:r w:rsidR="005A7BB4" w:rsidRPr="00A1219A">
        <w:rPr>
          <w:sz w:val="20"/>
          <w:lang w:val="es-ES"/>
        </w:rPr>
        <w:t xml:space="preserve">). </w:t>
      </w:r>
      <w:r w:rsidR="0079694B" w:rsidRPr="00A1219A">
        <w:rPr>
          <w:sz w:val="20"/>
          <w:lang w:val="es-ES"/>
        </w:rPr>
        <w:t>Indica</w:t>
      </w:r>
      <w:r w:rsidR="005A7BB4" w:rsidRPr="00A1219A">
        <w:rPr>
          <w:sz w:val="20"/>
          <w:lang w:val="es-ES"/>
        </w:rPr>
        <w:t xml:space="preserve"> que </w:t>
      </w:r>
      <w:r w:rsidR="0011662F" w:rsidRPr="00A1219A">
        <w:rPr>
          <w:sz w:val="20"/>
          <w:lang w:val="es-ES"/>
        </w:rPr>
        <w:t>en</w:t>
      </w:r>
      <w:r w:rsidR="00AD32F9" w:rsidRPr="00A1219A">
        <w:rPr>
          <w:sz w:val="20"/>
          <w:lang w:val="es-ES"/>
        </w:rPr>
        <w:t xml:space="preserve"> dicho documento </w:t>
      </w:r>
      <w:r w:rsidR="002F3F6F" w:rsidRPr="00A1219A">
        <w:rPr>
          <w:sz w:val="20"/>
          <w:lang w:val="es-ES"/>
        </w:rPr>
        <w:t>el INA se comprometió</w:t>
      </w:r>
      <w:r w:rsidR="005A7BB4" w:rsidRPr="00A1219A">
        <w:rPr>
          <w:sz w:val="20"/>
          <w:lang w:val="es-ES"/>
        </w:rPr>
        <w:t xml:space="preserve"> </w:t>
      </w:r>
      <w:r w:rsidR="002F3F6F" w:rsidRPr="00A1219A">
        <w:rPr>
          <w:sz w:val="20"/>
          <w:lang w:val="es-ES"/>
        </w:rPr>
        <w:t>a reubica</w:t>
      </w:r>
      <w:r w:rsidR="00AE4A39" w:rsidRPr="00A1219A">
        <w:rPr>
          <w:sz w:val="20"/>
          <w:lang w:val="es-ES"/>
        </w:rPr>
        <w:t>r a los campesinos</w:t>
      </w:r>
      <w:r w:rsidR="005A7BB4" w:rsidRPr="00A1219A">
        <w:rPr>
          <w:sz w:val="20"/>
          <w:lang w:val="es-ES"/>
        </w:rPr>
        <w:t xml:space="preserve"> de Río Miel y </w:t>
      </w:r>
      <w:r w:rsidR="00AE4A39" w:rsidRPr="00A1219A">
        <w:rPr>
          <w:sz w:val="20"/>
          <w:lang w:val="es-ES"/>
        </w:rPr>
        <w:t xml:space="preserve">pagarles </w:t>
      </w:r>
      <w:r w:rsidR="0054776D" w:rsidRPr="00A1219A">
        <w:rPr>
          <w:sz w:val="20"/>
          <w:lang w:val="es-ES"/>
        </w:rPr>
        <w:t>las mejoras introducidas</w:t>
      </w:r>
      <w:r w:rsidR="0014391E" w:rsidRPr="00A1219A">
        <w:rPr>
          <w:sz w:val="20"/>
          <w:lang w:val="es-ES"/>
        </w:rPr>
        <w:t xml:space="preserve"> </w:t>
      </w:r>
      <w:r w:rsidR="00AE4A39" w:rsidRPr="00A1219A">
        <w:rPr>
          <w:sz w:val="20"/>
          <w:lang w:val="es-ES"/>
        </w:rPr>
        <w:t xml:space="preserve">en los en el territorio invadido </w:t>
      </w:r>
      <w:r w:rsidR="0014391E" w:rsidRPr="00A1219A">
        <w:rPr>
          <w:sz w:val="20"/>
          <w:lang w:val="es-ES"/>
        </w:rPr>
        <w:t>ascendentes a 13.168.982</w:t>
      </w:r>
      <w:r w:rsidR="00647F1F" w:rsidRPr="00A1219A">
        <w:rPr>
          <w:sz w:val="20"/>
          <w:lang w:val="es-ES"/>
        </w:rPr>
        <w:t>,</w:t>
      </w:r>
      <w:r w:rsidR="0014391E" w:rsidRPr="00A1219A">
        <w:rPr>
          <w:sz w:val="20"/>
          <w:lang w:val="es-ES"/>
        </w:rPr>
        <w:t>84 lempiras</w:t>
      </w:r>
      <w:r w:rsidR="0054776D" w:rsidRPr="00A1219A">
        <w:rPr>
          <w:sz w:val="20"/>
          <w:lang w:val="es-ES"/>
        </w:rPr>
        <w:t>,</w:t>
      </w:r>
      <w:r w:rsidR="0014391E" w:rsidRPr="00A1219A">
        <w:rPr>
          <w:sz w:val="20"/>
          <w:lang w:val="es-ES"/>
        </w:rPr>
        <w:t xml:space="preserve"> según el avalúo realizado por </w:t>
      </w:r>
      <w:r w:rsidR="00AE4A39" w:rsidRPr="00A1219A">
        <w:rPr>
          <w:sz w:val="20"/>
          <w:lang w:val="es-ES"/>
        </w:rPr>
        <w:t>el mismo INA</w:t>
      </w:r>
      <w:r w:rsidR="0014391E" w:rsidRPr="00A1219A">
        <w:rPr>
          <w:sz w:val="20"/>
          <w:lang w:val="es-ES"/>
        </w:rPr>
        <w:t>.</w:t>
      </w:r>
      <w:r w:rsidR="0060344A" w:rsidRPr="00A1219A">
        <w:rPr>
          <w:sz w:val="20"/>
          <w:lang w:val="es-ES"/>
        </w:rPr>
        <w:t xml:space="preserve"> </w:t>
      </w:r>
      <w:r w:rsidR="0014391E" w:rsidRPr="00A1219A">
        <w:rPr>
          <w:sz w:val="20"/>
          <w:lang w:val="es-ES"/>
        </w:rPr>
        <w:t>Sostiene</w:t>
      </w:r>
      <w:r w:rsidR="005A7BB4" w:rsidRPr="00A1219A">
        <w:rPr>
          <w:sz w:val="20"/>
          <w:lang w:val="es-ES"/>
        </w:rPr>
        <w:t xml:space="preserve"> que, </w:t>
      </w:r>
      <w:r w:rsidR="0088347A" w:rsidRPr="00A1219A">
        <w:rPr>
          <w:sz w:val="20"/>
          <w:lang w:val="es-ES"/>
        </w:rPr>
        <w:t>para que e</w:t>
      </w:r>
      <w:r w:rsidR="00F77D8F" w:rsidRPr="00A1219A">
        <w:rPr>
          <w:sz w:val="20"/>
          <w:lang w:val="es-ES"/>
        </w:rPr>
        <w:t>l INA</w:t>
      </w:r>
      <w:r w:rsidR="0088347A" w:rsidRPr="00A1219A">
        <w:rPr>
          <w:sz w:val="20"/>
          <w:lang w:val="es-ES"/>
        </w:rPr>
        <w:t xml:space="preserve"> cumpl</w:t>
      </w:r>
      <w:r w:rsidR="00AE4A39" w:rsidRPr="00A1219A">
        <w:rPr>
          <w:sz w:val="20"/>
          <w:lang w:val="es-ES"/>
        </w:rPr>
        <w:t>iera</w:t>
      </w:r>
      <w:r w:rsidR="0088347A" w:rsidRPr="00A1219A">
        <w:rPr>
          <w:sz w:val="20"/>
          <w:lang w:val="es-ES"/>
        </w:rPr>
        <w:t xml:space="preserve"> con tal compromiso</w:t>
      </w:r>
      <w:r w:rsidR="00E82C4A" w:rsidRPr="00A1219A">
        <w:rPr>
          <w:sz w:val="20"/>
          <w:lang w:val="es-ES"/>
        </w:rPr>
        <w:t xml:space="preserve">, la </w:t>
      </w:r>
      <w:r w:rsidR="0088347A" w:rsidRPr="00A1219A">
        <w:rPr>
          <w:sz w:val="20"/>
          <w:lang w:val="es-ES"/>
        </w:rPr>
        <w:t>propia</w:t>
      </w:r>
      <w:r w:rsidR="00F77D8F" w:rsidRPr="00A1219A">
        <w:rPr>
          <w:sz w:val="20"/>
          <w:lang w:val="es-ES"/>
        </w:rPr>
        <w:t xml:space="preserve"> </w:t>
      </w:r>
      <w:r w:rsidR="00E82C4A" w:rsidRPr="00A1219A">
        <w:rPr>
          <w:sz w:val="20"/>
          <w:lang w:val="es-ES"/>
        </w:rPr>
        <w:t xml:space="preserve">Comunidad </w:t>
      </w:r>
      <w:r w:rsidR="0088347A" w:rsidRPr="00A1219A">
        <w:rPr>
          <w:sz w:val="20"/>
          <w:lang w:val="es-ES"/>
        </w:rPr>
        <w:t>solicitó</w:t>
      </w:r>
      <w:r w:rsidR="00141632" w:rsidRPr="00A1219A">
        <w:rPr>
          <w:sz w:val="20"/>
          <w:lang w:val="es-ES"/>
        </w:rPr>
        <w:t xml:space="preserve"> </w:t>
      </w:r>
      <w:r w:rsidR="00E82C4A" w:rsidRPr="00A1219A">
        <w:rPr>
          <w:sz w:val="20"/>
          <w:lang w:val="es-ES"/>
        </w:rPr>
        <w:t>a</w:t>
      </w:r>
      <w:r w:rsidR="00141632" w:rsidRPr="00A1219A">
        <w:rPr>
          <w:sz w:val="20"/>
          <w:lang w:val="es-ES"/>
        </w:rPr>
        <w:t xml:space="preserve">l Congreso Nacional </w:t>
      </w:r>
      <w:r w:rsidR="00F77D8F" w:rsidRPr="00A1219A">
        <w:rPr>
          <w:sz w:val="20"/>
          <w:lang w:val="es-ES"/>
        </w:rPr>
        <w:t xml:space="preserve">la </w:t>
      </w:r>
      <w:r w:rsidR="0088347A" w:rsidRPr="00A1219A">
        <w:rPr>
          <w:sz w:val="20"/>
          <w:lang w:val="es-ES"/>
        </w:rPr>
        <w:t>dotación de</w:t>
      </w:r>
      <w:r w:rsidR="00F77D8F" w:rsidRPr="00A1219A">
        <w:rPr>
          <w:sz w:val="20"/>
          <w:lang w:val="es-ES"/>
        </w:rPr>
        <w:t xml:space="preserve"> los recursos económicos </w:t>
      </w:r>
      <w:r w:rsidR="00357A5B" w:rsidRPr="00A1219A">
        <w:rPr>
          <w:sz w:val="20"/>
          <w:lang w:val="es-ES"/>
        </w:rPr>
        <w:t xml:space="preserve">necesarios, en virtud </w:t>
      </w:r>
      <w:r w:rsidR="00AE4A39" w:rsidRPr="00A1219A">
        <w:rPr>
          <w:sz w:val="20"/>
          <w:lang w:val="es-ES"/>
        </w:rPr>
        <w:t xml:space="preserve">de </w:t>
      </w:r>
      <w:r w:rsidR="00357A5B" w:rsidRPr="00A1219A">
        <w:rPr>
          <w:sz w:val="20"/>
          <w:lang w:val="es-ES"/>
        </w:rPr>
        <w:t>lo cual</w:t>
      </w:r>
      <w:r w:rsidR="0088347A" w:rsidRPr="00A1219A">
        <w:rPr>
          <w:sz w:val="20"/>
          <w:lang w:val="es-ES"/>
        </w:rPr>
        <w:t xml:space="preserve"> </w:t>
      </w:r>
      <w:r w:rsidR="00357A5B" w:rsidRPr="00A1219A">
        <w:rPr>
          <w:sz w:val="20"/>
          <w:lang w:val="es-ES"/>
        </w:rPr>
        <w:t xml:space="preserve">el </w:t>
      </w:r>
      <w:r w:rsidR="0088347A" w:rsidRPr="00A1219A">
        <w:rPr>
          <w:sz w:val="20"/>
          <w:lang w:val="es-ES"/>
        </w:rPr>
        <w:t xml:space="preserve">Congreso </w:t>
      </w:r>
      <w:r w:rsidR="00402E69" w:rsidRPr="00A1219A">
        <w:rPr>
          <w:sz w:val="20"/>
          <w:lang w:val="es-ES"/>
        </w:rPr>
        <w:t>aprobó</w:t>
      </w:r>
      <w:r w:rsidR="0088347A" w:rsidRPr="00A1219A">
        <w:rPr>
          <w:sz w:val="20"/>
          <w:lang w:val="es-ES"/>
        </w:rPr>
        <w:t xml:space="preserve"> una moción para crear la</w:t>
      </w:r>
      <w:r w:rsidR="006E0EB1" w:rsidRPr="00A1219A">
        <w:rPr>
          <w:sz w:val="20"/>
          <w:lang w:val="es-ES"/>
        </w:rPr>
        <w:t xml:space="preserve"> partida presupuestal</w:t>
      </w:r>
      <w:r w:rsidR="00357A5B" w:rsidRPr="00A1219A">
        <w:rPr>
          <w:sz w:val="20"/>
          <w:lang w:val="es-ES"/>
        </w:rPr>
        <w:t xml:space="preserve"> correspondiente. Afirma que</w:t>
      </w:r>
      <w:r w:rsidR="006E0EB1" w:rsidRPr="00A1219A">
        <w:rPr>
          <w:sz w:val="20"/>
          <w:lang w:val="es-ES"/>
        </w:rPr>
        <w:t xml:space="preserve"> </w:t>
      </w:r>
      <w:r w:rsidR="00402E69" w:rsidRPr="00A1219A">
        <w:rPr>
          <w:sz w:val="20"/>
          <w:lang w:val="es-ES"/>
        </w:rPr>
        <w:t>si bien</w:t>
      </w:r>
      <w:r w:rsidR="0088347A" w:rsidRPr="00A1219A">
        <w:rPr>
          <w:sz w:val="20"/>
          <w:lang w:val="es-ES"/>
        </w:rPr>
        <w:t xml:space="preserve"> </w:t>
      </w:r>
      <w:r w:rsidR="00E37D50" w:rsidRPr="00A1219A">
        <w:rPr>
          <w:sz w:val="20"/>
          <w:lang w:val="es-ES"/>
        </w:rPr>
        <w:t>"</w:t>
      </w:r>
      <w:r w:rsidR="0088347A" w:rsidRPr="00A1219A">
        <w:rPr>
          <w:sz w:val="20"/>
          <w:lang w:val="es-ES"/>
        </w:rPr>
        <w:t>aparentemente el Ministerio de</w:t>
      </w:r>
      <w:r w:rsidR="00402E69" w:rsidRPr="00A1219A">
        <w:rPr>
          <w:sz w:val="20"/>
          <w:lang w:val="es-ES"/>
        </w:rPr>
        <w:t xml:space="preserve"> Finanzas </w:t>
      </w:r>
      <w:proofErr w:type="spellStart"/>
      <w:r w:rsidR="00402E69" w:rsidRPr="00A1219A">
        <w:rPr>
          <w:sz w:val="20"/>
          <w:lang w:val="es-ES"/>
        </w:rPr>
        <w:t>proporcion</w:t>
      </w:r>
      <w:proofErr w:type="spellEnd"/>
      <w:r w:rsidR="00E37D50" w:rsidRPr="00A1219A">
        <w:rPr>
          <w:sz w:val="20"/>
          <w:lang w:val="es-ES"/>
        </w:rPr>
        <w:t>[ó]</w:t>
      </w:r>
      <w:r w:rsidR="003C1E95" w:rsidRPr="00A1219A">
        <w:rPr>
          <w:sz w:val="20"/>
          <w:lang w:val="es-ES"/>
        </w:rPr>
        <w:t xml:space="preserve"> </w:t>
      </w:r>
      <w:r w:rsidR="00402E69" w:rsidRPr="00A1219A">
        <w:rPr>
          <w:sz w:val="20"/>
          <w:lang w:val="es-ES"/>
        </w:rPr>
        <w:t>el dinero</w:t>
      </w:r>
      <w:r w:rsidR="00E37D50" w:rsidRPr="00A1219A">
        <w:rPr>
          <w:sz w:val="20"/>
          <w:lang w:val="es-ES"/>
        </w:rPr>
        <w:t>”</w:t>
      </w:r>
      <w:r w:rsidR="00402E69" w:rsidRPr="00A1219A">
        <w:rPr>
          <w:sz w:val="20"/>
          <w:lang w:val="es-ES"/>
        </w:rPr>
        <w:t xml:space="preserve">, </w:t>
      </w:r>
      <w:r w:rsidR="0088347A" w:rsidRPr="00A1219A">
        <w:rPr>
          <w:sz w:val="20"/>
          <w:lang w:val="es-ES"/>
        </w:rPr>
        <w:t>el INA no procedió a solucionar la situación</w:t>
      </w:r>
      <w:r w:rsidR="00F22714" w:rsidRPr="00A1219A">
        <w:rPr>
          <w:sz w:val="20"/>
          <w:lang w:val="es-ES"/>
        </w:rPr>
        <w:t xml:space="preserve">, sino que </w:t>
      </w:r>
      <w:r w:rsidR="00F66F49" w:rsidRPr="00A1219A">
        <w:rPr>
          <w:sz w:val="20"/>
          <w:lang w:val="es-ES"/>
        </w:rPr>
        <w:t>utilizó</w:t>
      </w:r>
      <w:r w:rsidR="00F22714" w:rsidRPr="00A1219A">
        <w:rPr>
          <w:sz w:val="20"/>
          <w:lang w:val="es-ES"/>
        </w:rPr>
        <w:t xml:space="preserve"> los recursos para fines distintos</w:t>
      </w:r>
      <w:r w:rsidR="003C1E95" w:rsidRPr="00A1219A">
        <w:rPr>
          <w:sz w:val="20"/>
          <w:lang w:val="es-ES"/>
        </w:rPr>
        <w:t xml:space="preserve"> al saneamiento</w:t>
      </w:r>
      <w:r w:rsidR="0088347A" w:rsidRPr="00A1219A">
        <w:rPr>
          <w:sz w:val="20"/>
          <w:lang w:val="es-ES"/>
        </w:rPr>
        <w:t xml:space="preserve">. </w:t>
      </w:r>
    </w:p>
    <w:p w:rsidR="001C6F04" w:rsidRPr="00A1219A" w:rsidRDefault="001C6F04" w:rsidP="001C6F04">
      <w:pPr>
        <w:jc w:val="both"/>
        <w:rPr>
          <w:sz w:val="20"/>
          <w:lang w:val="es-ES"/>
        </w:rPr>
      </w:pPr>
    </w:p>
    <w:p w:rsidR="001C6F04" w:rsidRPr="00A1219A" w:rsidRDefault="001C6F04" w:rsidP="0088347A">
      <w:pPr>
        <w:numPr>
          <w:ilvl w:val="0"/>
          <w:numId w:val="1"/>
        </w:numPr>
        <w:tabs>
          <w:tab w:val="clear" w:pos="900"/>
        </w:tabs>
        <w:ind w:left="0" w:firstLine="720"/>
        <w:jc w:val="both"/>
        <w:rPr>
          <w:sz w:val="20"/>
          <w:lang w:val="es-ES"/>
        </w:rPr>
      </w:pPr>
      <w:r w:rsidRPr="00A1219A">
        <w:rPr>
          <w:sz w:val="20"/>
          <w:lang w:val="es-ES"/>
        </w:rPr>
        <w:t>Agrega que</w:t>
      </w:r>
      <w:r w:rsidR="00BD5E69" w:rsidRPr="00A1219A">
        <w:rPr>
          <w:sz w:val="20"/>
          <w:lang w:val="es-ES"/>
        </w:rPr>
        <w:t xml:space="preserve"> </w:t>
      </w:r>
      <w:r w:rsidR="003C184B" w:rsidRPr="00A1219A">
        <w:rPr>
          <w:sz w:val="20"/>
          <w:lang w:val="es-ES"/>
        </w:rPr>
        <w:t xml:space="preserve">ante el </w:t>
      </w:r>
      <w:r w:rsidR="00BD5E69" w:rsidRPr="00A1219A">
        <w:rPr>
          <w:sz w:val="20"/>
          <w:lang w:val="es-ES"/>
        </w:rPr>
        <w:t>incumplimiento</w:t>
      </w:r>
      <w:r w:rsidR="003C184B" w:rsidRPr="00A1219A">
        <w:rPr>
          <w:sz w:val="20"/>
          <w:lang w:val="es-ES"/>
        </w:rPr>
        <w:t xml:space="preserve"> del compromiso</w:t>
      </w:r>
      <w:r w:rsidR="00BD5E69" w:rsidRPr="00A1219A">
        <w:rPr>
          <w:sz w:val="20"/>
          <w:lang w:val="es-ES"/>
        </w:rPr>
        <w:t xml:space="preserve">, con </w:t>
      </w:r>
      <w:r w:rsidRPr="00A1219A">
        <w:rPr>
          <w:sz w:val="20"/>
          <w:lang w:val="es-ES"/>
        </w:rPr>
        <w:t>posterior</w:t>
      </w:r>
      <w:r w:rsidR="00BD5E69" w:rsidRPr="00A1219A">
        <w:rPr>
          <w:sz w:val="20"/>
          <w:lang w:val="es-ES"/>
        </w:rPr>
        <w:t>idad</w:t>
      </w:r>
      <w:r w:rsidR="00C7501C" w:rsidRPr="00A1219A">
        <w:rPr>
          <w:sz w:val="20"/>
          <w:lang w:val="es-ES"/>
        </w:rPr>
        <w:t xml:space="preserve"> la Comunidad y la peticionaria </w:t>
      </w:r>
      <w:r w:rsidR="00CD016B" w:rsidRPr="00A1219A">
        <w:rPr>
          <w:sz w:val="20"/>
          <w:lang w:val="es-ES"/>
        </w:rPr>
        <w:t>debieron realizar esfuerzos para alcanzar</w:t>
      </w:r>
      <w:r w:rsidR="00F36292" w:rsidRPr="00A1219A">
        <w:rPr>
          <w:sz w:val="20"/>
          <w:lang w:val="es-ES"/>
        </w:rPr>
        <w:t xml:space="preserve"> </w:t>
      </w:r>
      <w:r w:rsidR="00CD016B" w:rsidRPr="00A1219A">
        <w:rPr>
          <w:sz w:val="20"/>
          <w:lang w:val="es-ES"/>
        </w:rPr>
        <w:t xml:space="preserve">nuevos acuerdos con </w:t>
      </w:r>
      <w:r w:rsidR="00F36292" w:rsidRPr="00A1219A">
        <w:rPr>
          <w:sz w:val="20"/>
          <w:lang w:val="es-ES"/>
        </w:rPr>
        <w:t>el Estado</w:t>
      </w:r>
      <w:r w:rsidR="00CD016B" w:rsidRPr="00A1219A">
        <w:rPr>
          <w:sz w:val="20"/>
          <w:lang w:val="es-ES"/>
        </w:rPr>
        <w:t xml:space="preserve">, que se concretaron en </w:t>
      </w:r>
      <w:r w:rsidR="00D87288" w:rsidRPr="00A1219A">
        <w:rPr>
          <w:sz w:val="20"/>
          <w:lang w:val="es-ES"/>
        </w:rPr>
        <w:t>un</w:t>
      </w:r>
      <w:r w:rsidR="00CD016B" w:rsidRPr="00A1219A">
        <w:rPr>
          <w:sz w:val="20"/>
          <w:lang w:val="es-ES"/>
        </w:rPr>
        <w:t xml:space="preserve"> </w:t>
      </w:r>
      <w:r w:rsidR="00405494">
        <w:rPr>
          <w:sz w:val="20"/>
          <w:lang w:val="es-ES"/>
        </w:rPr>
        <w:t>“</w:t>
      </w:r>
      <w:r w:rsidR="003C184B" w:rsidRPr="007E1967">
        <w:rPr>
          <w:sz w:val="20"/>
          <w:lang w:val="es-ES"/>
        </w:rPr>
        <w:t>acta</w:t>
      </w:r>
      <w:r w:rsidR="00405494" w:rsidRPr="007E1967">
        <w:rPr>
          <w:sz w:val="20"/>
          <w:lang w:val="es-ES"/>
        </w:rPr>
        <w:t xml:space="preserve"> de entendimiento”</w:t>
      </w:r>
      <w:r w:rsidR="003C184B" w:rsidRPr="007E1967">
        <w:rPr>
          <w:sz w:val="20"/>
          <w:lang w:val="es-ES"/>
        </w:rPr>
        <w:t xml:space="preserve"> suscrita</w:t>
      </w:r>
      <w:r w:rsidR="006A3F4F" w:rsidRPr="00A1219A">
        <w:rPr>
          <w:sz w:val="20"/>
          <w:lang w:val="es-ES"/>
        </w:rPr>
        <w:t xml:space="preserve"> el 28 de</w:t>
      </w:r>
      <w:r w:rsidR="00F36292" w:rsidRPr="00A1219A">
        <w:rPr>
          <w:sz w:val="20"/>
          <w:lang w:val="es-ES"/>
        </w:rPr>
        <w:t xml:space="preserve"> septiem</w:t>
      </w:r>
      <w:r w:rsidR="003C184B" w:rsidRPr="00A1219A">
        <w:rPr>
          <w:sz w:val="20"/>
          <w:lang w:val="es-ES"/>
        </w:rPr>
        <w:t xml:space="preserve">bre de 2006 en </w:t>
      </w:r>
      <w:r w:rsidR="00CD016B" w:rsidRPr="00A1219A">
        <w:rPr>
          <w:sz w:val="20"/>
          <w:lang w:val="es-ES"/>
        </w:rPr>
        <w:t>l</w:t>
      </w:r>
      <w:r w:rsidR="003C184B" w:rsidRPr="00A1219A">
        <w:rPr>
          <w:sz w:val="20"/>
          <w:lang w:val="es-ES"/>
        </w:rPr>
        <w:t>a</w:t>
      </w:r>
      <w:r w:rsidR="00CD016B" w:rsidRPr="00A1219A">
        <w:rPr>
          <w:sz w:val="20"/>
          <w:lang w:val="es-ES"/>
        </w:rPr>
        <w:t xml:space="preserve"> que el INA se comprometió nuevamente</w:t>
      </w:r>
      <w:r w:rsidR="00F36292" w:rsidRPr="00A1219A">
        <w:rPr>
          <w:sz w:val="20"/>
          <w:lang w:val="es-ES"/>
        </w:rPr>
        <w:t xml:space="preserve"> al saneamiento de las tierras ancestrales</w:t>
      </w:r>
      <w:r w:rsidR="002A7818" w:rsidRPr="00A1219A">
        <w:rPr>
          <w:sz w:val="20"/>
          <w:lang w:val="es-ES"/>
        </w:rPr>
        <w:t xml:space="preserve"> de la Comunidad Garífuna</w:t>
      </w:r>
      <w:r w:rsidR="00D87288" w:rsidRPr="00A1219A">
        <w:rPr>
          <w:sz w:val="20"/>
          <w:lang w:val="es-ES"/>
        </w:rPr>
        <w:t xml:space="preserve"> de Punta Piedra, sin que se haya cumplido tal compromiso.</w:t>
      </w:r>
      <w:r w:rsidR="00BD5E69" w:rsidRPr="00A1219A">
        <w:rPr>
          <w:sz w:val="20"/>
          <w:lang w:val="es-ES"/>
        </w:rPr>
        <w:t xml:space="preserve"> </w:t>
      </w:r>
      <w:r w:rsidR="00D87288" w:rsidRPr="00A1219A">
        <w:rPr>
          <w:sz w:val="20"/>
          <w:lang w:val="es-ES"/>
        </w:rPr>
        <w:t xml:space="preserve">Agrega que el </w:t>
      </w:r>
      <w:r w:rsidRPr="00A1219A">
        <w:rPr>
          <w:sz w:val="20"/>
          <w:lang w:val="es-ES"/>
        </w:rPr>
        <w:t>14 de marzo de 2007</w:t>
      </w:r>
      <w:r w:rsidR="008D401B" w:rsidRPr="00A1219A">
        <w:rPr>
          <w:sz w:val="20"/>
          <w:lang w:val="es-ES"/>
        </w:rPr>
        <w:t>,</w:t>
      </w:r>
      <w:r w:rsidRPr="00A1219A">
        <w:rPr>
          <w:sz w:val="20"/>
          <w:lang w:val="es-ES"/>
        </w:rPr>
        <w:t xml:space="preserve"> representantes del </w:t>
      </w:r>
      <w:r w:rsidR="00BD5E69" w:rsidRPr="00A1219A">
        <w:rPr>
          <w:sz w:val="20"/>
          <w:lang w:val="es-ES"/>
        </w:rPr>
        <w:t xml:space="preserve">INA y otras agencias estatales </w:t>
      </w:r>
      <w:r w:rsidRPr="00A1219A">
        <w:rPr>
          <w:sz w:val="20"/>
          <w:lang w:val="es-ES"/>
        </w:rPr>
        <w:t xml:space="preserve">visitaron la zona con el propósito de “reiniciar el proceso de negociación con los individuos de Río Miel sin la participación de la Comunidad de </w:t>
      </w:r>
      <w:r w:rsidR="00BD5E69" w:rsidRPr="00A1219A">
        <w:rPr>
          <w:sz w:val="20"/>
          <w:lang w:val="es-ES"/>
        </w:rPr>
        <w:t xml:space="preserve">Punta Piedra”. Indica que en esta oportunidad los campesinos de Río Miel se opusieron a </w:t>
      </w:r>
      <w:r w:rsidR="00F36292" w:rsidRPr="00A1219A">
        <w:rPr>
          <w:sz w:val="20"/>
          <w:lang w:val="es-ES"/>
        </w:rPr>
        <w:t>la realización de</w:t>
      </w:r>
      <w:r w:rsidR="00D87288" w:rsidRPr="00A1219A">
        <w:rPr>
          <w:sz w:val="20"/>
          <w:lang w:val="es-ES"/>
        </w:rPr>
        <w:t xml:space="preserve"> un nuevo</w:t>
      </w:r>
      <w:r w:rsidR="00BD5E69" w:rsidRPr="00A1219A">
        <w:rPr>
          <w:sz w:val="20"/>
          <w:lang w:val="es-ES"/>
        </w:rPr>
        <w:t xml:space="preserve"> avalúo</w:t>
      </w:r>
      <w:r w:rsidR="00D87288" w:rsidRPr="00A1219A">
        <w:rPr>
          <w:sz w:val="20"/>
          <w:lang w:val="es-ES"/>
        </w:rPr>
        <w:t>.</w:t>
      </w:r>
      <w:r w:rsidR="00336F9C" w:rsidRPr="00A1219A">
        <w:rPr>
          <w:sz w:val="20"/>
          <w:lang w:val="es-ES"/>
        </w:rPr>
        <w:t xml:space="preserve"> </w:t>
      </w:r>
    </w:p>
    <w:p w:rsidR="002B3419" w:rsidRPr="00A1219A" w:rsidRDefault="002B3419" w:rsidP="002B3419">
      <w:pPr>
        <w:jc w:val="both"/>
        <w:rPr>
          <w:sz w:val="20"/>
          <w:lang w:val="es-ES"/>
        </w:rPr>
      </w:pPr>
    </w:p>
    <w:p w:rsidR="002F3F6F" w:rsidRPr="00A1219A" w:rsidRDefault="0088347A" w:rsidP="0088347A">
      <w:pPr>
        <w:numPr>
          <w:ilvl w:val="0"/>
          <w:numId w:val="1"/>
        </w:numPr>
        <w:tabs>
          <w:tab w:val="clear" w:pos="900"/>
        </w:tabs>
        <w:ind w:left="0" w:firstLine="720"/>
        <w:jc w:val="both"/>
        <w:rPr>
          <w:sz w:val="20"/>
          <w:lang w:val="es-ES"/>
        </w:rPr>
      </w:pPr>
      <w:r w:rsidRPr="00A1219A">
        <w:rPr>
          <w:sz w:val="20"/>
          <w:lang w:val="es-ES"/>
        </w:rPr>
        <w:t xml:space="preserve">En suma, afirma que, a pesar de las </w:t>
      </w:r>
      <w:r w:rsidR="00EA1CE0" w:rsidRPr="00A1219A">
        <w:rPr>
          <w:sz w:val="20"/>
          <w:lang w:val="es-ES"/>
        </w:rPr>
        <w:t xml:space="preserve">numerosas gestiones realizadas </w:t>
      </w:r>
      <w:r w:rsidRPr="00A1219A">
        <w:rPr>
          <w:sz w:val="20"/>
          <w:lang w:val="es-ES"/>
        </w:rPr>
        <w:t xml:space="preserve">por la peticionaria y la Comunidad de Punta Piedra, </w:t>
      </w:r>
      <w:r w:rsidR="005A7BB4" w:rsidRPr="00A1219A">
        <w:rPr>
          <w:sz w:val="20"/>
          <w:lang w:val="es-ES"/>
        </w:rPr>
        <w:t>el Estado no ha cumplido</w:t>
      </w:r>
      <w:r w:rsidR="00270E4E" w:rsidRPr="00A1219A">
        <w:rPr>
          <w:sz w:val="20"/>
          <w:lang w:val="es-ES"/>
        </w:rPr>
        <w:t xml:space="preserve"> a la fecha</w:t>
      </w:r>
      <w:r w:rsidR="005A7BB4" w:rsidRPr="00A1219A">
        <w:rPr>
          <w:sz w:val="20"/>
          <w:lang w:val="es-ES"/>
        </w:rPr>
        <w:t xml:space="preserve"> con sus compromisos</w:t>
      </w:r>
      <w:r w:rsidRPr="00A1219A">
        <w:rPr>
          <w:sz w:val="20"/>
          <w:lang w:val="es-ES"/>
        </w:rPr>
        <w:t>, lo que</w:t>
      </w:r>
      <w:r w:rsidR="005A7BB4" w:rsidRPr="00A1219A">
        <w:rPr>
          <w:sz w:val="20"/>
          <w:lang w:val="es-ES"/>
        </w:rPr>
        <w:t xml:space="preserve"> “ha implicado el renacer de</w:t>
      </w:r>
      <w:r w:rsidR="007B67E6" w:rsidRPr="00A1219A">
        <w:rPr>
          <w:sz w:val="20"/>
          <w:lang w:val="es-ES"/>
        </w:rPr>
        <w:t xml:space="preserve"> b</w:t>
      </w:r>
      <w:r w:rsidR="00245279" w:rsidRPr="00A1219A">
        <w:rPr>
          <w:sz w:val="20"/>
          <w:lang w:val="es-ES"/>
        </w:rPr>
        <w:t xml:space="preserve">rotes de violencia en la zona” </w:t>
      </w:r>
      <w:r w:rsidR="00C27394" w:rsidRPr="00A1219A">
        <w:rPr>
          <w:sz w:val="20"/>
          <w:lang w:val="es-ES"/>
        </w:rPr>
        <w:t xml:space="preserve">y </w:t>
      </w:r>
      <w:r w:rsidR="001C7320" w:rsidRPr="00A1219A">
        <w:rPr>
          <w:sz w:val="20"/>
          <w:lang w:val="es-ES"/>
        </w:rPr>
        <w:t xml:space="preserve">“ha intensificado el racismo existente </w:t>
      </w:r>
      <w:r w:rsidR="00A001D6" w:rsidRPr="00A1219A">
        <w:rPr>
          <w:sz w:val="20"/>
          <w:lang w:val="es-ES"/>
        </w:rPr>
        <w:t>por parte de los mestizos hacia los garifunas</w:t>
      </w:r>
      <w:r w:rsidR="001C7320" w:rsidRPr="00A1219A">
        <w:rPr>
          <w:sz w:val="20"/>
          <w:lang w:val="es-ES"/>
        </w:rPr>
        <w:t>”</w:t>
      </w:r>
      <w:r w:rsidR="00A001D6" w:rsidRPr="00A1219A">
        <w:rPr>
          <w:sz w:val="20"/>
          <w:lang w:val="es-ES"/>
        </w:rPr>
        <w:t>.</w:t>
      </w:r>
      <w:r w:rsidR="00245279" w:rsidRPr="00A1219A">
        <w:rPr>
          <w:sz w:val="20"/>
          <w:lang w:val="es-ES"/>
        </w:rPr>
        <w:t xml:space="preserve"> Enfatiza que “la constante falta de protección efectiva por parte del Estado para salvaguardar los derechos de la Comunidad de Punta Piedra y la ausencia de respuesta al incesante conflicto por el territorio ancestral de la Comunidad ha incitado el aumento de inseguridad y violencia en el área y ha suscitado amenazas violentas, confrontaciones y muerte”.</w:t>
      </w:r>
    </w:p>
    <w:p w:rsidR="00E82C4A" w:rsidRPr="00A1219A" w:rsidRDefault="00E82C4A" w:rsidP="002F3F6F">
      <w:pPr>
        <w:jc w:val="both"/>
        <w:rPr>
          <w:sz w:val="20"/>
          <w:lang w:val="es-ES"/>
        </w:rPr>
      </w:pPr>
    </w:p>
    <w:p w:rsidR="009353B1" w:rsidRPr="00A1219A" w:rsidRDefault="00087256" w:rsidP="00727E74">
      <w:pPr>
        <w:numPr>
          <w:ilvl w:val="0"/>
          <w:numId w:val="1"/>
        </w:numPr>
        <w:tabs>
          <w:tab w:val="clear" w:pos="900"/>
        </w:tabs>
        <w:ind w:left="0" w:firstLine="720"/>
        <w:jc w:val="both"/>
        <w:rPr>
          <w:sz w:val="20"/>
          <w:lang w:val="es-ES"/>
        </w:rPr>
      </w:pPr>
      <w:r w:rsidRPr="00A1219A">
        <w:rPr>
          <w:sz w:val="20"/>
          <w:lang w:val="es-ES"/>
        </w:rPr>
        <w:t>Con relación a la alegada violación de</w:t>
      </w:r>
      <w:r w:rsidR="00536DA6" w:rsidRPr="00A1219A">
        <w:rPr>
          <w:sz w:val="20"/>
          <w:lang w:val="es-ES"/>
        </w:rPr>
        <w:t>l artículo 21 de la Convención A</w:t>
      </w:r>
      <w:r w:rsidRPr="00A1219A">
        <w:rPr>
          <w:sz w:val="20"/>
          <w:lang w:val="es-ES"/>
        </w:rPr>
        <w:t xml:space="preserve">mericana, </w:t>
      </w:r>
      <w:r w:rsidR="006D3A8F" w:rsidRPr="00A1219A">
        <w:rPr>
          <w:sz w:val="20"/>
          <w:lang w:val="es-ES"/>
        </w:rPr>
        <w:t>señala</w:t>
      </w:r>
      <w:r w:rsidRPr="00A1219A">
        <w:rPr>
          <w:sz w:val="20"/>
          <w:lang w:val="es-ES"/>
        </w:rPr>
        <w:t xml:space="preserve"> que </w:t>
      </w:r>
      <w:r w:rsidR="00727E74" w:rsidRPr="00A1219A">
        <w:rPr>
          <w:sz w:val="20"/>
          <w:lang w:val="es-ES"/>
        </w:rPr>
        <w:t xml:space="preserve">la problemática de la tenencia de la tierra se </w:t>
      </w:r>
      <w:r w:rsidR="001C4396" w:rsidRPr="00A1219A">
        <w:rPr>
          <w:sz w:val="20"/>
          <w:lang w:val="es-ES"/>
        </w:rPr>
        <w:t xml:space="preserve">debe </w:t>
      </w:r>
      <w:r w:rsidR="00E33D08" w:rsidRPr="00A1219A">
        <w:rPr>
          <w:sz w:val="20"/>
          <w:lang w:val="es-ES"/>
        </w:rPr>
        <w:t>a</w:t>
      </w:r>
      <w:r w:rsidR="00727E74" w:rsidRPr="00A1219A">
        <w:rPr>
          <w:sz w:val="20"/>
          <w:lang w:val="es-ES"/>
        </w:rPr>
        <w:t xml:space="preserve">l impedimento de </w:t>
      </w:r>
      <w:r w:rsidR="001C4396" w:rsidRPr="00A1219A">
        <w:rPr>
          <w:sz w:val="20"/>
          <w:lang w:val="es-ES"/>
        </w:rPr>
        <w:t>la</w:t>
      </w:r>
      <w:r w:rsidR="00727E74" w:rsidRPr="00A1219A">
        <w:rPr>
          <w:sz w:val="20"/>
          <w:lang w:val="es-ES"/>
        </w:rPr>
        <w:t xml:space="preserve"> posesión pacífica</w:t>
      </w:r>
      <w:r w:rsidR="001C4396" w:rsidRPr="00A1219A">
        <w:rPr>
          <w:sz w:val="20"/>
          <w:lang w:val="es-ES"/>
        </w:rPr>
        <w:t xml:space="preserve"> del territorio ocupado históricamente por la Comunidad Garífuna causada por la invasión y ocupación </w:t>
      </w:r>
      <w:r w:rsidR="00F5319B" w:rsidRPr="00A1219A">
        <w:rPr>
          <w:sz w:val="20"/>
          <w:lang w:val="es-ES"/>
        </w:rPr>
        <w:t>por parte de</w:t>
      </w:r>
      <w:r w:rsidR="001C4396" w:rsidRPr="00A1219A">
        <w:rPr>
          <w:sz w:val="20"/>
          <w:lang w:val="es-ES"/>
        </w:rPr>
        <w:t xml:space="preserve"> terceros</w:t>
      </w:r>
      <w:r w:rsidR="00727E74" w:rsidRPr="00A1219A">
        <w:rPr>
          <w:sz w:val="20"/>
          <w:lang w:val="es-ES"/>
        </w:rPr>
        <w:t xml:space="preserve">. </w:t>
      </w:r>
      <w:r w:rsidR="001C4396" w:rsidRPr="00A1219A">
        <w:rPr>
          <w:sz w:val="20"/>
          <w:lang w:val="es-ES"/>
        </w:rPr>
        <w:t>Afirma</w:t>
      </w:r>
      <w:r w:rsidR="00947328" w:rsidRPr="00A1219A">
        <w:rPr>
          <w:sz w:val="20"/>
          <w:lang w:val="es-ES"/>
        </w:rPr>
        <w:t xml:space="preserve"> que </w:t>
      </w:r>
      <w:r w:rsidRPr="00A1219A">
        <w:rPr>
          <w:sz w:val="20"/>
          <w:lang w:val="es-ES"/>
        </w:rPr>
        <w:t xml:space="preserve">si bien la titulación de las tierras colectivas constituye el punto de partida indispensable, los títulos formales no son en sí mismos suficientes para garantizar en la práctica </w:t>
      </w:r>
      <w:r w:rsidR="009A46CE" w:rsidRPr="00A1219A">
        <w:rPr>
          <w:sz w:val="20"/>
          <w:lang w:val="es-ES"/>
        </w:rPr>
        <w:t>“</w:t>
      </w:r>
      <w:r w:rsidRPr="00A1219A">
        <w:rPr>
          <w:sz w:val="20"/>
          <w:lang w:val="es-ES"/>
        </w:rPr>
        <w:t>la cultura, economía, tierra y segurid</w:t>
      </w:r>
      <w:r w:rsidR="00F66F49" w:rsidRPr="00A1219A">
        <w:rPr>
          <w:sz w:val="20"/>
          <w:lang w:val="es-ES"/>
        </w:rPr>
        <w:t xml:space="preserve">ad social para los </w:t>
      </w:r>
      <w:r w:rsidRPr="00A1219A">
        <w:rPr>
          <w:sz w:val="20"/>
          <w:lang w:val="es-ES"/>
        </w:rPr>
        <w:t>Garífuna</w:t>
      </w:r>
      <w:r w:rsidR="00F66F49" w:rsidRPr="00A1219A">
        <w:rPr>
          <w:sz w:val="20"/>
          <w:lang w:val="es-ES"/>
        </w:rPr>
        <w:t>s</w:t>
      </w:r>
      <w:r w:rsidR="00861AC3" w:rsidRPr="00A1219A">
        <w:rPr>
          <w:sz w:val="20"/>
          <w:lang w:val="es-ES"/>
        </w:rPr>
        <w:t>”</w:t>
      </w:r>
      <w:r w:rsidRPr="00A1219A">
        <w:rPr>
          <w:sz w:val="20"/>
          <w:lang w:val="es-ES"/>
        </w:rPr>
        <w:t xml:space="preserve">. </w:t>
      </w:r>
    </w:p>
    <w:p w:rsidR="009353B1" w:rsidRPr="00A1219A" w:rsidRDefault="009353B1" w:rsidP="009353B1">
      <w:pPr>
        <w:jc w:val="both"/>
        <w:rPr>
          <w:sz w:val="20"/>
          <w:lang w:val="es-ES"/>
        </w:rPr>
      </w:pPr>
    </w:p>
    <w:p w:rsidR="009353B1" w:rsidRPr="00A1219A" w:rsidRDefault="002C1C9F" w:rsidP="00727E74">
      <w:pPr>
        <w:numPr>
          <w:ilvl w:val="0"/>
          <w:numId w:val="1"/>
        </w:numPr>
        <w:tabs>
          <w:tab w:val="clear" w:pos="900"/>
        </w:tabs>
        <w:ind w:left="0" w:firstLine="720"/>
        <w:jc w:val="both"/>
        <w:rPr>
          <w:sz w:val="20"/>
          <w:lang w:val="es-ES"/>
        </w:rPr>
      </w:pPr>
      <w:r w:rsidRPr="00A1219A">
        <w:rPr>
          <w:sz w:val="20"/>
          <w:lang w:val="es-ES"/>
        </w:rPr>
        <w:t>E</w:t>
      </w:r>
      <w:r w:rsidR="00DB02E3" w:rsidRPr="00A1219A">
        <w:rPr>
          <w:sz w:val="20"/>
          <w:lang w:val="es-ES"/>
        </w:rPr>
        <w:t xml:space="preserve">n lo relativo al artículo 2 de la Convención Americana, alega que </w:t>
      </w:r>
      <w:r w:rsidR="009353B1" w:rsidRPr="00A1219A">
        <w:rPr>
          <w:sz w:val="20"/>
          <w:lang w:val="es-ES"/>
        </w:rPr>
        <w:t>no existe en la legislación nacional una normativa esp</w:t>
      </w:r>
      <w:r w:rsidR="00DB02E3" w:rsidRPr="00A1219A">
        <w:rPr>
          <w:sz w:val="20"/>
          <w:lang w:val="es-ES"/>
        </w:rPr>
        <w:t>ecífica aplicable a los pueblos</w:t>
      </w:r>
      <w:r w:rsidR="00D87288" w:rsidRPr="00A1219A">
        <w:rPr>
          <w:sz w:val="20"/>
          <w:lang w:val="es-ES"/>
        </w:rPr>
        <w:t xml:space="preserve"> indígenas y </w:t>
      </w:r>
      <w:r w:rsidR="009353B1" w:rsidRPr="00A1219A">
        <w:rPr>
          <w:sz w:val="20"/>
          <w:lang w:val="es-ES"/>
        </w:rPr>
        <w:t>que el sistema normativo interno es “inadecuado para lograr la obtención de los derechos territoriales indí</w:t>
      </w:r>
      <w:r w:rsidR="00D87288" w:rsidRPr="00A1219A">
        <w:rPr>
          <w:sz w:val="20"/>
          <w:lang w:val="es-ES"/>
        </w:rPr>
        <w:t>genas”, por</w:t>
      </w:r>
      <w:r w:rsidR="00B272E7" w:rsidRPr="00A1219A">
        <w:rPr>
          <w:sz w:val="20"/>
          <w:lang w:val="es-ES"/>
        </w:rPr>
        <w:t xml:space="preserve">que “no reconoce expresamente la existencia de derechos colectivos </w:t>
      </w:r>
      <w:r w:rsidR="00B272E7" w:rsidRPr="00A1219A">
        <w:rPr>
          <w:sz w:val="20"/>
          <w:lang w:val="es-ES"/>
        </w:rPr>
        <w:sym w:font="Symbol" w:char="F05B"/>
      </w:r>
      <w:r w:rsidR="00B272E7" w:rsidRPr="00A1219A">
        <w:rPr>
          <w:sz w:val="20"/>
          <w:lang w:val="es-ES"/>
        </w:rPr>
        <w:t>y</w:t>
      </w:r>
      <w:r w:rsidR="00B272E7" w:rsidRPr="00A1219A">
        <w:rPr>
          <w:sz w:val="20"/>
          <w:lang w:val="es-ES"/>
        </w:rPr>
        <w:sym w:font="Symbol" w:char="F05D"/>
      </w:r>
      <w:r w:rsidR="00B272E7" w:rsidRPr="00A1219A">
        <w:rPr>
          <w:sz w:val="20"/>
          <w:lang w:val="es-ES"/>
        </w:rPr>
        <w:t xml:space="preserve"> contiene solo unas normas fragmentaria[s] con respecto a los pueblos étnicos”.</w:t>
      </w:r>
      <w:r w:rsidR="00DB02E3" w:rsidRPr="00A1219A">
        <w:rPr>
          <w:sz w:val="20"/>
          <w:lang w:val="es-ES"/>
        </w:rPr>
        <w:t xml:space="preserve"> Menciona como ejemplo de ello el artículo 92 de la Ley de Modernización y Desarrollo Agrícola, el artículo 65 de la Ley de Reforma Agraria, y el artículo 71 de la Ley de Ambiente.</w:t>
      </w:r>
      <w:r w:rsidR="009353B1" w:rsidRPr="00A1219A">
        <w:rPr>
          <w:sz w:val="20"/>
          <w:lang w:val="es-ES"/>
        </w:rPr>
        <w:t xml:space="preserve"> </w:t>
      </w:r>
    </w:p>
    <w:p w:rsidR="009353B1" w:rsidRPr="00A1219A" w:rsidRDefault="009353B1" w:rsidP="009353B1">
      <w:pPr>
        <w:jc w:val="both"/>
        <w:rPr>
          <w:sz w:val="20"/>
          <w:lang w:val="es-ES"/>
        </w:rPr>
      </w:pPr>
    </w:p>
    <w:p w:rsidR="00727E74" w:rsidRPr="00A1219A" w:rsidRDefault="009353B1" w:rsidP="009353B1">
      <w:pPr>
        <w:numPr>
          <w:ilvl w:val="0"/>
          <w:numId w:val="1"/>
        </w:numPr>
        <w:tabs>
          <w:tab w:val="clear" w:pos="900"/>
        </w:tabs>
        <w:ind w:left="0" w:firstLine="720"/>
        <w:jc w:val="both"/>
        <w:rPr>
          <w:sz w:val="20"/>
          <w:lang w:val="es-ES"/>
        </w:rPr>
      </w:pPr>
      <w:r w:rsidRPr="00A1219A">
        <w:rPr>
          <w:sz w:val="20"/>
          <w:lang w:val="es-ES"/>
        </w:rPr>
        <w:t xml:space="preserve">En cuanto al derecho a la protección judicial, sostiene que no existen en </w:t>
      </w:r>
      <w:smartTag w:uri="urn:schemas-microsoft-com:office:smarttags" w:element="PersonName">
        <w:r w:rsidRPr="00A1219A">
          <w:rPr>
            <w:sz w:val="20"/>
            <w:lang w:val="es-ES"/>
          </w:rPr>
          <w:t>Honduras</w:t>
        </w:r>
      </w:smartTag>
      <w:r w:rsidR="00087256" w:rsidRPr="00A1219A">
        <w:rPr>
          <w:sz w:val="20"/>
          <w:lang w:val="es-ES"/>
        </w:rPr>
        <w:t xml:space="preserve"> instituciones independientes que, además de asignar los títulos, resuelvan los conflictos existentes, asegurando la demarcación y el saneamiento de las tierras. </w:t>
      </w:r>
      <w:r w:rsidR="00B43127" w:rsidRPr="00A1219A">
        <w:rPr>
          <w:sz w:val="20"/>
          <w:lang w:val="es-ES"/>
        </w:rPr>
        <w:t>S</w:t>
      </w:r>
      <w:r w:rsidR="00D73537" w:rsidRPr="00A1219A">
        <w:rPr>
          <w:sz w:val="20"/>
          <w:lang w:val="es-ES"/>
        </w:rPr>
        <w:t>ostiene</w:t>
      </w:r>
      <w:r w:rsidR="00B43127" w:rsidRPr="00A1219A">
        <w:rPr>
          <w:sz w:val="20"/>
          <w:lang w:val="es-ES"/>
        </w:rPr>
        <w:t xml:space="preserve"> </w:t>
      </w:r>
      <w:r w:rsidR="00D73537" w:rsidRPr="00A1219A">
        <w:rPr>
          <w:sz w:val="20"/>
          <w:lang w:val="es-ES"/>
        </w:rPr>
        <w:t xml:space="preserve">que </w:t>
      </w:r>
      <w:r w:rsidR="00850562" w:rsidRPr="00A1219A">
        <w:rPr>
          <w:sz w:val="20"/>
          <w:lang w:val="es-ES"/>
        </w:rPr>
        <w:t>las denuncias interpuestas con relación a los hechos violentos</w:t>
      </w:r>
      <w:r w:rsidR="00C97EED" w:rsidRPr="00A1219A">
        <w:rPr>
          <w:sz w:val="20"/>
          <w:lang w:val="es-ES"/>
        </w:rPr>
        <w:t xml:space="preserve"> contra miembros de la Comunidad</w:t>
      </w:r>
      <w:r w:rsidR="00850562" w:rsidRPr="00A1219A">
        <w:rPr>
          <w:sz w:val="20"/>
          <w:lang w:val="es-ES"/>
        </w:rPr>
        <w:t xml:space="preserve">, como </w:t>
      </w:r>
      <w:r w:rsidR="000015D8" w:rsidRPr="00A1219A">
        <w:rPr>
          <w:sz w:val="20"/>
          <w:lang w:val="es-ES"/>
        </w:rPr>
        <w:t xml:space="preserve">por ejemplo </w:t>
      </w:r>
      <w:r w:rsidR="00850562" w:rsidRPr="00A1219A">
        <w:rPr>
          <w:sz w:val="20"/>
          <w:lang w:val="es-ES"/>
        </w:rPr>
        <w:t xml:space="preserve">el asesinato de </w:t>
      </w:r>
      <w:r w:rsidR="00C97EED" w:rsidRPr="00A1219A">
        <w:rPr>
          <w:sz w:val="20"/>
          <w:lang w:val="es-ES"/>
        </w:rPr>
        <w:t>Félix Ordóñez</w:t>
      </w:r>
      <w:r w:rsidR="00D51BB7" w:rsidRPr="00A1219A">
        <w:rPr>
          <w:sz w:val="20"/>
          <w:lang w:val="es-ES"/>
        </w:rPr>
        <w:t>,</w:t>
      </w:r>
      <w:r w:rsidR="00C97EED" w:rsidRPr="00A1219A">
        <w:rPr>
          <w:sz w:val="20"/>
          <w:lang w:val="es-ES"/>
        </w:rPr>
        <w:t xml:space="preserve"> permanecen en la impunidad</w:t>
      </w:r>
      <w:r w:rsidR="00D73537" w:rsidRPr="00A1219A">
        <w:rPr>
          <w:sz w:val="20"/>
          <w:lang w:val="es-ES"/>
        </w:rPr>
        <w:t xml:space="preserve">. En virtud a ello, afirma </w:t>
      </w:r>
      <w:r w:rsidR="00CF4AE6" w:rsidRPr="00A1219A">
        <w:rPr>
          <w:sz w:val="20"/>
          <w:lang w:val="es-ES"/>
        </w:rPr>
        <w:t>que</w:t>
      </w:r>
      <w:r w:rsidR="00C96C90" w:rsidRPr="00A1219A">
        <w:rPr>
          <w:sz w:val="20"/>
          <w:lang w:val="es-ES"/>
        </w:rPr>
        <w:t xml:space="preserve"> </w:t>
      </w:r>
      <w:r w:rsidR="00727E74" w:rsidRPr="00A1219A">
        <w:rPr>
          <w:sz w:val="20"/>
          <w:lang w:val="es-ES"/>
        </w:rPr>
        <w:t>“</w:t>
      </w:r>
      <w:r w:rsidR="00CF4AE6" w:rsidRPr="00A1219A">
        <w:rPr>
          <w:sz w:val="20"/>
          <w:lang w:val="es-ES"/>
        </w:rPr>
        <w:t>[l]</w:t>
      </w:r>
      <w:r w:rsidR="00727E74" w:rsidRPr="00A1219A">
        <w:rPr>
          <w:sz w:val="20"/>
          <w:lang w:val="es-ES"/>
        </w:rPr>
        <w:t xml:space="preserve">a grave crisis que padece </w:t>
      </w:r>
      <w:smartTag w:uri="urn:schemas-microsoft-com:office:smarttags" w:element="PersonName">
        <w:r w:rsidR="00727E74" w:rsidRPr="00A1219A">
          <w:rPr>
            <w:sz w:val="20"/>
            <w:lang w:val="es-ES"/>
          </w:rPr>
          <w:t>Honduras</w:t>
        </w:r>
      </w:smartTag>
      <w:r w:rsidR="00727E74" w:rsidRPr="00A1219A">
        <w:rPr>
          <w:sz w:val="20"/>
          <w:lang w:val="es-ES"/>
        </w:rPr>
        <w:t xml:space="preserve"> en materia de aplicación de justicia nos coloca a los pueblos indígenas en una endeble posición, que nos conlleva paulatinamente a la desaparic</w:t>
      </w:r>
      <w:r w:rsidR="002C1C9F" w:rsidRPr="00A1219A">
        <w:rPr>
          <w:sz w:val="20"/>
          <w:lang w:val="es-ES"/>
        </w:rPr>
        <w:t>ión como cultura diferenciada”.</w:t>
      </w:r>
    </w:p>
    <w:p w:rsidR="00727E74" w:rsidRPr="00A1219A" w:rsidRDefault="00727E74" w:rsidP="00812767">
      <w:pPr>
        <w:jc w:val="both"/>
        <w:rPr>
          <w:sz w:val="20"/>
          <w:lang w:val="es-ES"/>
        </w:rPr>
      </w:pPr>
    </w:p>
    <w:p w:rsidR="00812767" w:rsidRPr="00A1219A" w:rsidRDefault="008461A2" w:rsidP="00812767">
      <w:pPr>
        <w:numPr>
          <w:ilvl w:val="0"/>
          <w:numId w:val="1"/>
        </w:numPr>
        <w:tabs>
          <w:tab w:val="clear" w:pos="900"/>
        </w:tabs>
        <w:ind w:left="0" w:firstLine="720"/>
        <w:jc w:val="both"/>
        <w:rPr>
          <w:sz w:val="20"/>
          <w:lang w:val="es-ES"/>
        </w:rPr>
      </w:pPr>
      <w:r w:rsidRPr="00A1219A">
        <w:rPr>
          <w:sz w:val="20"/>
          <w:lang w:val="es-ES"/>
        </w:rPr>
        <w:t>Concluye</w:t>
      </w:r>
      <w:r w:rsidR="009B21F2" w:rsidRPr="00A1219A">
        <w:rPr>
          <w:sz w:val="20"/>
          <w:lang w:val="es-ES"/>
        </w:rPr>
        <w:t xml:space="preserve"> que el “Estado ha demostrado estar consciente del conflicto territorial en Punta Piedra </w:t>
      </w:r>
      <w:r w:rsidR="002C1C9F" w:rsidRPr="00A1219A">
        <w:rPr>
          <w:sz w:val="20"/>
          <w:lang w:val="es-ES"/>
        </w:rPr>
        <w:t>por lo menos desde hace 15 años</w:t>
      </w:r>
      <w:r w:rsidR="00BE29DF" w:rsidRPr="00A1219A">
        <w:rPr>
          <w:sz w:val="20"/>
          <w:lang w:val="es-ES"/>
        </w:rPr>
        <w:t xml:space="preserve"> </w:t>
      </w:r>
      <w:r w:rsidR="009B21F2" w:rsidRPr="00A1219A">
        <w:rPr>
          <w:sz w:val="20"/>
          <w:lang w:val="es-ES"/>
        </w:rPr>
        <w:t>y hasta la fecha, no ha tomado las medidas necesarias para garantizar y proteger efectivamente los derechos colectivos que le permitan a la Comunidad de Punta Piedra el pacífico goce y disfrute de su territorio ancestral”.</w:t>
      </w:r>
      <w:r w:rsidRPr="00A1219A">
        <w:rPr>
          <w:sz w:val="20"/>
          <w:lang w:val="es-ES"/>
        </w:rPr>
        <w:t xml:space="preserve"> </w:t>
      </w:r>
      <w:r w:rsidR="00812767" w:rsidRPr="00A1219A">
        <w:rPr>
          <w:sz w:val="20"/>
          <w:lang w:val="es-ES"/>
        </w:rPr>
        <w:t xml:space="preserve">En virtud a lo anterior, solicita se declare la responsabilidad internacional de </w:t>
      </w:r>
      <w:smartTag w:uri="urn:schemas-microsoft-com:office:smarttags" w:element="PersonName">
        <w:r w:rsidR="00812767" w:rsidRPr="00A1219A">
          <w:rPr>
            <w:sz w:val="20"/>
            <w:lang w:val="es-ES"/>
          </w:rPr>
          <w:t>Honduras</w:t>
        </w:r>
      </w:smartTag>
      <w:r w:rsidR="00812767" w:rsidRPr="00A1219A">
        <w:rPr>
          <w:sz w:val="20"/>
          <w:lang w:val="es-ES"/>
        </w:rPr>
        <w:t xml:space="preserve"> por la violación de los artículos 21 y 25 de la Convención Americana, en relación con los artículos 1.1 y 2 de la misma, utilizando como norma complementaria de interpretación el Convenio 169 de la OIT</w:t>
      </w:r>
      <w:r w:rsidR="00C0009D" w:rsidRPr="00A1219A">
        <w:rPr>
          <w:sz w:val="20"/>
          <w:lang w:val="es-ES"/>
        </w:rPr>
        <w:t>.</w:t>
      </w:r>
    </w:p>
    <w:p w:rsidR="002F3F6F" w:rsidRPr="00A1219A" w:rsidRDefault="002F3F6F" w:rsidP="00693812">
      <w:pPr>
        <w:jc w:val="both"/>
        <w:rPr>
          <w:sz w:val="20"/>
          <w:lang w:val="es-ES"/>
        </w:rPr>
      </w:pPr>
    </w:p>
    <w:p w:rsidR="006031A2" w:rsidRPr="00A1219A" w:rsidRDefault="006031A2" w:rsidP="00693812">
      <w:pPr>
        <w:pStyle w:val="Ttulo2"/>
        <w:spacing w:before="0" w:after="0"/>
        <w:ind w:left="720"/>
        <w:rPr>
          <w:rFonts w:ascii="Univers" w:hAnsi="Univers"/>
          <w:i w:val="0"/>
          <w:sz w:val="20"/>
          <w:lang w:val="es-ES"/>
        </w:rPr>
      </w:pPr>
      <w:bookmarkStart w:id="10" w:name="_Toc336247995"/>
      <w:bookmarkStart w:id="11" w:name="_Toc350183575"/>
      <w:r w:rsidRPr="00A1219A">
        <w:rPr>
          <w:rFonts w:ascii="Univers" w:hAnsi="Univers"/>
          <w:bCs w:val="0"/>
          <w:i w:val="0"/>
          <w:sz w:val="20"/>
          <w:lang w:val="es-ES"/>
        </w:rPr>
        <w:t>B.</w:t>
      </w:r>
      <w:r w:rsidRPr="00A1219A">
        <w:rPr>
          <w:rFonts w:ascii="Univers" w:hAnsi="Univers"/>
          <w:bCs w:val="0"/>
          <w:i w:val="0"/>
          <w:sz w:val="20"/>
          <w:lang w:val="es-ES"/>
        </w:rPr>
        <w:tab/>
      </w:r>
      <w:r w:rsidRPr="00A1219A">
        <w:rPr>
          <w:rFonts w:ascii="Univers" w:hAnsi="Univers"/>
          <w:bCs w:val="0"/>
          <w:i w:val="0"/>
          <w:iCs w:val="0"/>
          <w:sz w:val="20"/>
          <w:lang w:val="es-ES"/>
        </w:rPr>
        <w:t>El Estado</w:t>
      </w:r>
      <w:bookmarkEnd w:id="10"/>
      <w:bookmarkEnd w:id="11"/>
    </w:p>
    <w:p w:rsidR="006031A2" w:rsidRPr="00A1219A" w:rsidRDefault="006031A2" w:rsidP="00693812">
      <w:pPr>
        <w:jc w:val="both"/>
        <w:rPr>
          <w:sz w:val="20"/>
          <w:lang w:val="es-ES"/>
        </w:rPr>
      </w:pPr>
    </w:p>
    <w:p w:rsidR="00A60148" w:rsidRPr="00A1219A" w:rsidRDefault="00414947" w:rsidP="00A60148">
      <w:pPr>
        <w:numPr>
          <w:ilvl w:val="0"/>
          <w:numId w:val="1"/>
        </w:numPr>
        <w:tabs>
          <w:tab w:val="clear" w:pos="900"/>
        </w:tabs>
        <w:ind w:left="0" w:firstLine="720"/>
        <w:jc w:val="both"/>
        <w:rPr>
          <w:sz w:val="20"/>
          <w:lang w:val="es-ES"/>
        </w:rPr>
      </w:pPr>
      <w:r w:rsidRPr="00A1219A">
        <w:rPr>
          <w:sz w:val="20"/>
          <w:lang w:val="es-ES"/>
        </w:rPr>
        <w:t xml:space="preserve">El Estado, por su parte, </w:t>
      </w:r>
      <w:r w:rsidR="00A60148" w:rsidRPr="00A1219A">
        <w:rPr>
          <w:sz w:val="20"/>
          <w:lang w:val="es-ES"/>
        </w:rPr>
        <w:t>alega</w:t>
      </w:r>
      <w:r w:rsidRPr="00A1219A">
        <w:rPr>
          <w:sz w:val="20"/>
          <w:lang w:val="es-ES"/>
        </w:rPr>
        <w:t xml:space="preserve"> que </w:t>
      </w:r>
      <w:r w:rsidR="00A60148" w:rsidRPr="00A1219A">
        <w:rPr>
          <w:sz w:val="20"/>
          <w:lang w:val="es-ES"/>
        </w:rPr>
        <w:t>como Estado de Derecho respetuoso de las leyes y tratados internacionales, “siempre</w:t>
      </w:r>
      <w:r w:rsidR="00BF15DF" w:rsidRPr="00A1219A">
        <w:rPr>
          <w:sz w:val="20"/>
          <w:lang w:val="es-ES"/>
        </w:rPr>
        <w:t xml:space="preserve"> ha tomado en cue</w:t>
      </w:r>
      <w:r w:rsidR="00A60148" w:rsidRPr="00A1219A">
        <w:rPr>
          <w:sz w:val="20"/>
          <w:lang w:val="es-ES"/>
        </w:rPr>
        <w:t xml:space="preserve">nta el carácter legal de dominio de </w:t>
      </w:r>
      <w:r w:rsidR="00A60148" w:rsidRPr="00A1219A">
        <w:rPr>
          <w:sz w:val="20"/>
          <w:lang w:val="es-ES"/>
        </w:rPr>
        <w:sym w:font="Symbol" w:char="F05B"/>
      </w:r>
      <w:r w:rsidR="00A60148" w:rsidRPr="00A1219A">
        <w:rPr>
          <w:sz w:val="20"/>
          <w:lang w:val="es-ES"/>
        </w:rPr>
        <w:t>la</w:t>
      </w:r>
      <w:r w:rsidR="00A60148" w:rsidRPr="00A1219A">
        <w:rPr>
          <w:sz w:val="20"/>
          <w:lang w:val="es-ES"/>
        </w:rPr>
        <w:sym w:font="Symbol" w:char="F05D"/>
      </w:r>
      <w:r w:rsidR="00A60148" w:rsidRPr="00A1219A">
        <w:rPr>
          <w:sz w:val="20"/>
          <w:lang w:val="es-ES"/>
        </w:rPr>
        <w:t xml:space="preserve"> Comunidad [de Punta Piedra]”, lo que afirma se </w:t>
      </w:r>
      <w:r w:rsidR="00F82F22" w:rsidRPr="00A1219A">
        <w:rPr>
          <w:sz w:val="20"/>
          <w:lang w:val="es-ES"/>
        </w:rPr>
        <w:t>demuestra</w:t>
      </w:r>
      <w:r w:rsidR="00A60148" w:rsidRPr="00A1219A">
        <w:rPr>
          <w:sz w:val="20"/>
          <w:lang w:val="es-ES"/>
        </w:rPr>
        <w:t xml:space="preserve"> en los títulos otorgados a su favor. Sostiene que el problema de la tenencia de la tierra inició con “la llegada de los primeros pobladores de la comunidad que se conoce como Río Miel, a quienes los pobladores de Punta P</w:t>
      </w:r>
      <w:r w:rsidR="00617AA6" w:rsidRPr="00A1219A">
        <w:rPr>
          <w:sz w:val="20"/>
          <w:lang w:val="es-ES"/>
        </w:rPr>
        <w:t>iedra los conocen como ladinos”. Agrega que</w:t>
      </w:r>
      <w:r w:rsidR="004B7D80" w:rsidRPr="00A1219A">
        <w:rPr>
          <w:sz w:val="20"/>
          <w:lang w:val="es-ES"/>
        </w:rPr>
        <w:t>, frente a ello,</w:t>
      </w:r>
      <w:r w:rsidR="00F82F22" w:rsidRPr="00A1219A">
        <w:rPr>
          <w:sz w:val="20"/>
          <w:lang w:val="es-ES"/>
        </w:rPr>
        <w:t xml:space="preserve"> </w:t>
      </w:r>
      <w:r w:rsidR="00617AA6" w:rsidRPr="00A1219A">
        <w:rPr>
          <w:sz w:val="20"/>
          <w:lang w:val="es-ES"/>
        </w:rPr>
        <w:t>ha realizado numerosos esfuerzos para resolver el conflicto y lograr el saneamiento de las tierras.</w:t>
      </w:r>
    </w:p>
    <w:p w:rsidR="00A60148" w:rsidRPr="00A1219A" w:rsidRDefault="00A60148" w:rsidP="00A60148">
      <w:pPr>
        <w:jc w:val="both"/>
        <w:rPr>
          <w:sz w:val="20"/>
          <w:lang w:val="es-ES"/>
        </w:rPr>
      </w:pPr>
    </w:p>
    <w:p w:rsidR="00914369" w:rsidRPr="00A1219A" w:rsidRDefault="00A60148" w:rsidP="00F82F22">
      <w:pPr>
        <w:numPr>
          <w:ilvl w:val="0"/>
          <w:numId w:val="1"/>
        </w:numPr>
        <w:tabs>
          <w:tab w:val="clear" w:pos="900"/>
        </w:tabs>
        <w:ind w:left="0" w:firstLine="720"/>
        <w:jc w:val="both"/>
        <w:rPr>
          <w:sz w:val="20"/>
          <w:lang w:val="es-ES"/>
        </w:rPr>
      </w:pPr>
      <w:r w:rsidRPr="00A1219A">
        <w:rPr>
          <w:sz w:val="20"/>
          <w:lang w:val="es-ES"/>
        </w:rPr>
        <w:t>En particular, s</w:t>
      </w:r>
      <w:r w:rsidR="00D84FEA" w:rsidRPr="00A1219A">
        <w:rPr>
          <w:sz w:val="20"/>
          <w:lang w:val="es-ES"/>
        </w:rPr>
        <w:t>eñala</w:t>
      </w:r>
      <w:r w:rsidR="00414947" w:rsidRPr="00A1219A">
        <w:rPr>
          <w:sz w:val="20"/>
          <w:lang w:val="es-ES"/>
        </w:rPr>
        <w:t xml:space="preserve"> que </w:t>
      </w:r>
      <w:r w:rsidR="00DC5A31" w:rsidRPr="00A1219A">
        <w:rPr>
          <w:sz w:val="20"/>
          <w:lang w:val="es-ES"/>
        </w:rPr>
        <w:t xml:space="preserve">el 26 de diciembre de 1922 el Estado, en aplicación de la Ley Agraria </w:t>
      </w:r>
      <w:r w:rsidR="00914369" w:rsidRPr="00A1219A">
        <w:rPr>
          <w:sz w:val="20"/>
          <w:lang w:val="es-ES"/>
        </w:rPr>
        <w:t xml:space="preserve">entonces </w:t>
      </w:r>
      <w:r w:rsidR="00DC5A31" w:rsidRPr="00A1219A">
        <w:rPr>
          <w:sz w:val="20"/>
          <w:lang w:val="es-ES"/>
        </w:rPr>
        <w:t>vigente, otorgó a la Comunidad un título ejidal sobre un área de 800</w:t>
      </w:r>
      <w:r w:rsidR="00914369" w:rsidRPr="00A1219A">
        <w:rPr>
          <w:sz w:val="20"/>
          <w:lang w:val="es-ES"/>
        </w:rPr>
        <w:t>.64</w:t>
      </w:r>
      <w:r w:rsidR="00A85AC3" w:rsidRPr="00A1219A">
        <w:rPr>
          <w:sz w:val="20"/>
          <w:lang w:val="es-ES"/>
        </w:rPr>
        <w:t xml:space="preserve"> hectáreas para su </w:t>
      </w:r>
      <w:r w:rsidR="00DC5A31" w:rsidRPr="00A1219A">
        <w:rPr>
          <w:sz w:val="20"/>
          <w:lang w:val="es-ES"/>
        </w:rPr>
        <w:t xml:space="preserve">uso </w:t>
      </w:r>
      <w:r w:rsidR="00A85AC3" w:rsidRPr="00A1219A">
        <w:rPr>
          <w:sz w:val="20"/>
          <w:lang w:val="es-ES"/>
        </w:rPr>
        <w:t>y goce</w:t>
      </w:r>
      <w:r w:rsidR="00DC5A31" w:rsidRPr="00A1219A">
        <w:rPr>
          <w:sz w:val="20"/>
          <w:lang w:val="es-ES"/>
        </w:rPr>
        <w:t xml:space="preserve"> y que, </w:t>
      </w:r>
      <w:r w:rsidR="00414947" w:rsidRPr="00A1219A">
        <w:rPr>
          <w:sz w:val="20"/>
          <w:lang w:val="es-ES"/>
        </w:rPr>
        <w:t>el 16 de diciembre de 1993</w:t>
      </w:r>
      <w:r w:rsidR="00DC5A31" w:rsidRPr="00A1219A">
        <w:rPr>
          <w:sz w:val="20"/>
          <w:lang w:val="es-ES"/>
        </w:rPr>
        <w:t>,</w:t>
      </w:r>
      <w:r w:rsidR="00414947" w:rsidRPr="00A1219A">
        <w:rPr>
          <w:sz w:val="20"/>
          <w:lang w:val="es-ES"/>
        </w:rPr>
        <w:t xml:space="preserve"> el INA </w:t>
      </w:r>
      <w:r w:rsidR="00914369" w:rsidRPr="00A1219A">
        <w:rPr>
          <w:sz w:val="20"/>
          <w:lang w:val="es-ES"/>
        </w:rPr>
        <w:t xml:space="preserve">elevó dicho título a </w:t>
      </w:r>
      <w:r w:rsidR="00414947" w:rsidRPr="00A1219A">
        <w:rPr>
          <w:sz w:val="20"/>
          <w:lang w:val="es-ES"/>
        </w:rPr>
        <w:t>un</w:t>
      </w:r>
      <w:r w:rsidR="00914369" w:rsidRPr="00A1219A">
        <w:rPr>
          <w:sz w:val="20"/>
          <w:lang w:val="es-ES"/>
        </w:rPr>
        <w:t>o</w:t>
      </w:r>
      <w:r w:rsidR="00414947" w:rsidRPr="00A1219A">
        <w:rPr>
          <w:sz w:val="20"/>
          <w:lang w:val="es-ES"/>
        </w:rPr>
        <w:t xml:space="preserve"> de domin</w:t>
      </w:r>
      <w:r w:rsidR="00DC5A31" w:rsidRPr="00A1219A">
        <w:rPr>
          <w:sz w:val="20"/>
          <w:lang w:val="es-ES"/>
        </w:rPr>
        <w:t xml:space="preserve">io pleno. Afirma que </w:t>
      </w:r>
      <w:r w:rsidR="00414947" w:rsidRPr="00A1219A">
        <w:rPr>
          <w:sz w:val="20"/>
          <w:lang w:val="es-ES"/>
        </w:rPr>
        <w:t xml:space="preserve">como “ampliación de su territorio”, el 6 de diciembre de 1999 </w:t>
      </w:r>
      <w:r w:rsidR="00914369" w:rsidRPr="00A1219A">
        <w:rPr>
          <w:sz w:val="20"/>
          <w:lang w:val="es-ES"/>
        </w:rPr>
        <w:t xml:space="preserve">el INA </w:t>
      </w:r>
      <w:r w:rsidR="00414947" w:rsidRPr="00A1219A">
        <w:rPr>
          <w:sz w:val="20"/>
          <w:lang w:val="es-ES"/>
        </w:rPr>
        <w:t xml:space="preserve">concedió </w:t>
      </w:r>
      <w:r w:rsidR="00914369" w:rsidRPr="00A1219A">
        <w:rPr>
          <w:sz w:val="20"/>
          <w:lang w:val="es-ES"/>
        </w:rPr>
        <w:t xml:space="preserve">a la Comunidad un segundo título en </w:t>
      </w:r>
      <w:r w:rsidR="00A85AC3" w:rsidRPr="00A1219A">
        <w:rPr>
          <w:sz w:val="20"/>
          <w:lang w:val="es-ES"/>
        </w:rPr>
        <w:t xml:space="preserve">dominio pleno sobre un </w:t>
      </w:r>
      <w:r w:rsidR="00414947" w:rsidRPr="00A1219A">
        <w:rPr>
          <w:sz w:val="20"/>
          <w:lang w:val="es-ES"/>
        </w:rPr>
        <w:t>predio rural de naturaleza jurídica nacional con una extensión superficial de 1</w:t>
      </w:r>
      <w:r w:rsidR="00336F9C" w:rsidRPr="00A1219A">
        <w:rPr>
          <w:sz w:val="20"/>
          <w:lang w:val="es-ES"/>
        </w:rPr>
        <w:t>.</w:t>
      </w:r>
      <w:r w:rsidR="00414947" w:rsidRPr="00A1219A">
        <w:rPr>
          <w:sz w:val="20"/>
          <w:lang w:val="es-ES"/>
        </w:rPr>
        <w:t>513</w:t>
      </w:r>
      <w:r w:rsidR="00336F9C" w:rsidRPr="00A1219A">
        <w:rPr>
          <w:sz w:val="20"/>
          <w:lang w:val="es-ES"/>
        </w:rPr>
        <w:t>,</w:t>
      </w:r>
      <w:r w:rsidR="00414947" w:rsidRPr="00A1219A">
        <w:rPr>
          <w:sz w:val="20"/>
          <w:lang w:val="es-ES"/>
        </w:rPr>
        <w:t>54 hectáreas</w:t>
      </w:r>
      <w:r w:rsidR="00914369" w:rsidRPr="00A1219A">
        <w:rPr>
          <w:sz w:val="20"/>
          <w:lang w:val="es-ES"/>
        </w:rPr>
        <w:t>, el cual colinda por el norte con el anteriormente otorgado</w:t>
      </w:r>
      <w:r w:rsidR="00414947" w:rsidRPr="00A1219A">
        <w:rPr>
          <w:sz w:val="20"/>
          <w:lang w:val="es-ES"/>
        </w:rPr>
        <w:t xml:space="preserve">. </w:t>
      </w:r>
    </w:p>
    <w:p w:rsidR="00914369" w:rsidRPr="00A1219A" w:rsidRDefault="00914369" w:rsidP="00914369">
      <w:pPr>
        <w:jc w:val="both"/>
        <w:rPr>
          <w:sz w:val="20"/>
          <w:lang w:val="es-ES"/>
        </w:rPr>
      </w:pPr>
    </w:p>
    <w:p w:rsidR="00F82F22" w:rsidRPr="00A1219A" w:rsidRDefault="00414947" w:rsidP="00A85AC3">
      <w:pPr>
        <w:numPr>
          <w:ilvl w:val="0"/>
          <w:numId w:val="1"/>
        </w:numPr>
        <w:tabs>
          <w:tab w:val="clear" w:pos="900"/>
        </w:tabs>
        <w:ind w:left="0" w:firstLine="720"/>
        <w:jc w:val="both"/>
        <w:rPr>
          <w:sz w:val="20"/>
          <w:lang w:val="es-ES"/>
        </w:rPr>
      </w:pPr>
      <w:r w:rsidRPr="00A1219A">
        <w:rPr>
          <w:sz w:val="20"/>
          <w:lang w:val="es-ES"/>
        </w:rPr>
        <w:t>Indica que, dentro del perímetro adjudicad</w:t>
      </w:r>
      <w:r w:rsidR="00E06EB0" w:rsidRPr="00A1219A">
        <w:rPr>
          <w:sz w:val="20"/>
          <w:lang w:val="es-ES"/>
        </w:rPr>
        <w:t>o</w:t>
      </w:r>
      <w:r w:rsidR="00914369" w:rsidRPr="00A1219A">
        <w:rPr>
          <w:sz w:val="20"/>
          <w:lang w:val="es-ES"/>
        </w:rPr>
        <w:t xml:space="preserve"> en ampliación</w:t>
      </w:r>
      <w:r w:rsidRPr="00A1219A">
        <w:rPr>
          <w:sz w:val="20"/>
          <w:lang w:val="es-ES"/>
        </w:rPr>
        <w:t xml:space="preserve"> a la Comunidad</w:t>
      </w:r>
      <w:r w:rsidR="00234445" w:rsidRPr="00A1219A">
        <w:rPr>
          <w:sz w:val="20"/>
          <w:lang w:val="es-ES"/>
        </w:rPr>
        <w:t xml:space="preserve"> en 1999</w:t>
      </w:r>
      <w:r w:rsidR="00914369" w:rsidRPr="00A1219A">
        <w:rPr>
          <w:sz w:val="20"/>
          <w:lang w:val="es-ES"/>
        </w:rPr>
        <w:t>, “quedó comprendida un área de aproximadamente 670 hectáreas cuya posesión ejercían, en aquel tiempo y ejercen a la fecha, los vecinos de la Comunidad de Río Miel”. Señala que, p</w:t>
      </w:r>
      <w:r w:rsidR="00842BF8" w:rsidRPr="00A1219A">
        <w:rPr>
          <w:sz w:val="20"/>
          <w:lang w:val="es-ES"/>
        </w:rPr>
        <w:t>or ello, en el título otorgado se excluyó esta área, estipulándose que “el Estado podía disponer de la misma con el fin de legalizar su tenencia a favor de aquellas personas que acre</w:t>
      </w:r>
      <w:r w:rsidR="00A85AC3" w:rsidRPr="00A1219A">
        <w:rPr>
          <w:sz w:val="20"/>
          <w:lang w:val="es-ES"/>
        </w:rPr>
        <w:t xml:space="preserve">ditaran los requisitos de ley”. Sin embargo, sostiene que posteriormente se rectificó el título para dejar sin valor lo referente a la exclusión de las hectáreas ocupadas y explotadas por </w:t>
      </w:r>
      <w:r w:rsidR="00D51BB7" w:rsidRPr="00A1219A">
        <w:rPr>
          <w:sz w:val="20"/>
          <w:lang w:val="es-ES"/>
        </w:rPr>
        <w:t xml:space="preserve">los campesinos </w:t>
      </w:r>
      <w:r w:rsidR="00234445" w:rsidRPr="00A1219A">
        <w:rPr>
          <w:sz w:val="20"/>
          <w:lang w:val="es-ES"/>
        </w:rPr>
        <w:t>de Río Miel, con lo cual quedó</w:t>
      </w:r>
      <w:r w:rsidR="00A85AC3" w:rsidRPr="00A1219A">
        <w:rPr>
          <w:sz w:val="20"/>
          <w:lang w:val="es-ES"/>
        </w:rPr>
        <w:t xml:space="preserve"> en dominio pleno a favor de la Comunidad de Punta Piedra la totalidad del área. </w:t>
      </w:r>
      <w:r w:rsidR="004F220E" w:rsidRPr="00A1219A">
        <w:rPr>
          <w:sz w:val="20"/>
          <w:lang w:val="es-ES"/>
        </w:rPr>
        <w:t xml:space="preserve">Enfatiza que el área </w:t>
      </w:r>
      <w:r w:rsidR="00A85AC3" w:rsidRPr="00A1219A">
        <w:rPr>
          <w:sz w:val="20"/>
          <w:lang w:val="es-ES"/>
        </w:rPr>
        <w:t>titulada</w:t>
      </w:r>
      <w:r w:rsidR="004F220E" w:rsidRPr="00A1219A">
        <w:rPr>
          <w:sz w:val="20"/>
          <w:lang w:val="es-ES"/>
        </w:rPr>
        <w:t xml:space="preserve"> a Punta Piedra </w:t>
      </w:r>
      <w:r w:rsidR="00D47AA8" w:rsidRPr="00A1219A">
        <w:rPr>
          <w:sz w:val="20"/>
          <w:lang w:val="es-ES"/>
        </w:rPr>
        <w:t>alcanza</w:t>
      </w:r>
      <w:r w:rsidR="004F220E" w:rsidRPr="00A1219A">
        <w:rPr>
          <w:sz w:val="20"/>
          <w:lang w:val="es-ES"/>
        </w:rPr>
        <w:t xml:space="preserve"> </w:t>
      </w:r>
      <w:r w:rsidR="00D47AA8" w:rsidRPr="00A1219A">
        <w:rPr>
          <w:sz w:val="20"/>
          <w:lang w:val="es-ES"/>
        </w:rPr>
        <w:t>un</w:t>
      </w:r>
      <w:r w:rsidR="0052378B" w:rsidRPr="00A1219A">
        <w:rPr>
          <w:sz w:val="20"/>
          <w:lang w:val="es-ES"/>
        </w:rPr>
        <w:t xml:space="preserve"> total </w:t>
      </w:r>
      <w:r w:rsidR="00D47AA8" w:rsidRPr="00A1219A">
        <w:rPr>
          <w:sz w:val="20"/>
          <w:lang w:val="es-ES"/>
        </w:rPr>
        <w:t>de</w:t>
      </w:r>
      <w:r w:rsidR="00336F9C" w:rsidRPr="00A1219A">
        <w:rPr>
          <w:sz w:val="20"/>
          <w:lang w:val="es-ES"/>
        </w:rPr>
        <w:t xml:space="preserve"> 2.</w:t>
      </w:r>
      <w:r w:rsidR="004F220E" w:rsidRPr="00A1219A">
        <w:rPr>
          <w:sz w:val="20"/>
          <w:lang w:val="es-ES"/>
        </w:rPr>
        <w:t>314</w:t>
      </w:r>
      <w:r w:rsidR="00336F9C" w:rsidRPr="00A1219A">
        <w:rPr>
          <w:sz w:val="20"/>
          <w:lang w:val="es-ES"/>
        </w:rPr>
        <w:t>,</w:t>
      </w:r>
      <w:r w:rsidR="004F220E" w:rsidRPr="00A1219A">
        <w:rPr>
          <w:sz w:val="20"/>
          <w:lang w:val="es-ES"/>
        </w:rPr>
        <w:t>18 hectáreas, “de las cua</w:t>
      </w:r>
      <w:r w:rsidR="00E06EB0" w:rsidRPr="00A1219A">
        <w:rPr>
          <w:sz w:val="20"/>
          <w:lang w:val="es-ES"/>
        </w:rPr>
        <w:t>les únicamente 278.40 hectáreas</w:t>
      </w:r>
      <w:r w:rsidR="00A85AC3" w:rsidRPr="00A1219A">
        <w:rPr>
          <w:sz w:val="20"/>
          <w:lang w:val="es-ES"/>
        </w:rPr>
        <w:sym w:font="Symbol" w:char="F05B"/>
      </w:r>
      <w:r w:rsidR="00A85AC3" w:rsidRPr="00A1219A">
        <w:rPr>
          <w:sz w:val="20"/>
          <w:lang w:val="es-ES"/>
        </w:rPr>
        <w:t>sic</w:t>
      </w:r>
      <w:r w:rsidR="00A85AC3" w:rsidRPr="00A1219A">
        <w:rPr>
          <w:sz w:val="20"/>
          <w:lang w:val="es-ES"/>
        </w:rPr>
        <w:sym w:font="Symbol" w:char="F05D"/>
      </w:r>
      <w:r w:rsidR="00A85AC3" w:rsidRPr="00A1219A">
        <w:rPr>
          <w:sz w:val="20"/>
          <w:lang w:val="es-ES"/>
        </w:rPr>
        <w:t xml:space="preserve"> </w:t>
      </w:r>
      <w:r w:rsidR="00E06EB0" w:rsidRPr="00A1219A">
        <w:rPr>
          <w:sz w:val="20"/>
          <w:lang w:val="es-ES"/>
        </w:rPr>
        <w:sym w:font="Symbol" w:char="F05B"/>
      </w:r>
      <w:r w:rsidR="00E06EB0" w:rsidRPr="00A1219A">
        <w:rPr>
          <w:sz w:val="20"/>
          <w:lang w:val="es-ES"/>
        </w:rPr>
        <w:t>…</w:t>
      </w:r>
      <w:r w:rsidR="00E06EB0" w:rsidRPr="00A1219A">
        <w:rPr>
          <w:sz w:val="20"/>
          <w:lang w:val="es-ES"/>
        </w:rPr>
        <w:sym w:font="Symbol" w:char="F05D"/>
      </w:r>
      <w:r w:rsidR="004F220E" w:rsidRPr="00A1219A">
        <w:rPr>
          <w:sz w:val="20"/>
          <w:lang w:val="es-ES"/>
        </w:rPr>
        <w:t xml:space="preserve"> ocupa la Aldea de Río Miel, por lo que es mínima el área en que la Comunidad no puede ejercer los derechos de uso, goce y posesión sobre dicho territorio”.</w:t>
      </w:r>
    </w:p>
    <w:p w:rsidR="001137A7" w:rsidRPr="00A1219A" w:rsidRDefault="001137A7" w:rsidP="00F82F22">
      <w:pPr>
        <w:jc w:val="both"/>
        <w:rPr>
          <w:sz w:val="20"/>
          <w:lang w:val="es-ES"/>
        </w:rPr>
      </w:pPr>
    </w:p>
    <w:p w:rsidR="00414947" w:rsidRPr="00A1219A" w:rsidRDefault="00282513" w:rsidP="00A23301">
      <w:pPr>
        <w:numPr>
          <w:ilvl w:val="0"/>
          <w:numId w:val="1"/>
        </w:numPr>
        <w:tabs>
          <w:tab w:val="clear" w:pos="900"/>
        </w:tabs>
        <w:ind w:left="0" w:firstLine="720"/>
        <w:jc w:val="both"/>
        <w:rPr>
          <w:sz w:val="20"/>
          <w:lang w:val="es-ES"/>
        </w:rPr>
      </w:pPr>
      <w:r w:rsidRPr="00A1219A">
        <w:rPr>
          <w:sz w:val="20"/>
          <w:lang w:val="es-ES"/>
        </w:rPr>
        <w:t>Afirma</w:t>
      </w:r>
      <w:r w:rsidR="00414947" w:rsidRPr="00A1219A">
        <w:rPr>
          <w:sz w:val="20"/>
          <w:lang w:val="es-ES"/>
        </w:rPr>
        <w:t xml:space="preserve"> que, con el </w:t>
      </w:r>
      <w:r w:rsidR="00336F9C" w:rsidRPr="00A1219A">
        <w:rPr>
          <w:sz w:val="20"/>
          <w:lang w:val="es-ES"/>
        </w:rPr>
        <w:t>fin</w:t>
      </w:r>
      <w:r w:rsidR="00414947" w:rsidRPr="00A1219A">
        <w:rPr>
          <w:sz w:val="20"/>
          <w:lang w:val="es-ES"/>
        </w:rPr>
        <w:t xml:space="preserve"> de buscar una solución al conflicto, </w:t>
      </w:r>
      <w:r w:rsidR="00A23301" w:rsidRPr="00A1219A">
        <w:rPr>
          <w:sz w:val="20"/>
          <w:lang w:val="es-ES"/>
        </w:rPr>
        <w:t>el 7 de abril de 2001 se creó una Comisión Interinstitucional</w:t>
      </w:r>
      <w:r w:rsidR="006B1B8A" w:rsidRPr="00A1219A">
        <w:rPr>
          <w:sz w:val="20"/>
          <w:lang w:val="es-ES"/>
        </w:rPr>
        <w:t xml:space="preserve"> </w:t>
      </w:r>
      <w:r w:rsidR="006B1B8A" w:rsidRPr="00A1219A">
        <w:rPr>
          <w:i/>
          <w:sz w:val="20"/>
          <w:lang w:val="es-ES"/>
        </w:rPr>
        <w:t>ad-hoc</w:t>
      </w:r>
      <w:r w:rsidR="00A23301" w:rsidRPr="00A1219A">
        <w:rPr>
          <w:sz w:val="20"/>
          <w:lang w:val="es-ES"/>
        </w:rPr>
        <w:t xml:space="preserve">, </w:t>
      </w:r>
      <w:r w:rsidR="00F853F6" w:rsidRPr="00A1219A">
        <w:rPr>
          <w:sz w:val="20"/>
          <w:lang w:val="es-ES"/>
        </w:rPr>
        <w:t>integrada</w:t>
      </w:r>
      <w:r w:rsidRPr="00A1219A">
        <w:rPr>
          <w:sz w:val="20"/>
          <w:lang w:val="es-ES"/>
        </w:rPr>
        <w:t xml:space="preserve"> por</w:t>
      </w:r>
      <w:r w:rsidR="00A23301" w:rsidRPr="00A1219A">
        <w:rPr>
          <w:sz w:val="20"/>
          <w:lang w:val="es-ES"/>
        </w:rPr>
        <w:t xml:space="preserve"> representantes de</w:t>
      </w:r>
      <w:r w:rsidRPr="00A1219A">
        <w:rPr>
          <w:sz w:val="20"/>
          <w:lang w:val="es-ES"/>
        </w:rPr>
        <w:t>l INA, la Comunida</w:t>
      </w:r>
      <w:r w:rsidR="0052378B" w:rsidRPr="00A1219A">
        <w:rPr>
          <w:sz w:val="20"/>
          <w:lang w:val="es-ES"/>
        </w:rPr>
        <w:t xml:space="preserve">d Garífuna de </w:t>
      </w:r>
      <w:r w:rsidR="0052378B" w:rsidRPr="00A1219A">
        <w:rPr>
          <w:sz w:val="20"/>
          <w:lang w:val="es-ES"/>
        </w:rPr>
        <w:lastRenderedPageBreak/>
        <w:t xml:space="preserve">Punta Piedra, representantes de la localidad </w:t>
      </w:r>
      <w:r w:rsidR="00F853F6" w:rsidRPr="00A1219A">
        <w:rPr>
          <w:sz w:val="20"/>
          <w:lang w:val="es-ES"/>
        </w:rPr>
        <w:t xml:space="preserve">de </w:t>
      </w:r>
      <w:r w:rsidRPr="00A1219A">
        <w:rPr>
          <w:sz w:val="20"/>
          <w:lang w:val="es-ES"/>
        </w:rPr>
        <w:t>Río Miel, OFRANEH</w:t>
      </w:r>
      <w:r w:rsidR="0052378B" w:rsidRPr="00A1219A">
        <w:rPr>
          <w:sz w:val="20"/>
          <w:lang w:val="es-ES"/>
        </w:rPr>
        <w:t xml:space="preserve"> y ODECO</w:t>
      </w:r>
      <w:r w:rsidRPr="00A1219A">
        <w:rPr>
          <w:sz w:val="20"/>
          <w:lang w:val="es-ES"/>
        </w:rPr>
        <w:t xml:space="preserve">. Agrega que dicha Comisión </w:t>
      </w:r>
      <w:r w:rsidR="00A81DAF" w:rsidRPr="00A1219A">
        <w:rPr>
          <w:sz w:val="20"/>
          <w:lang w:val="es-ES"/>
        </w:rPr>
        <w:t>logró la firma de un acuerdo equivalente a un</w:t>
      </w:r>
      <w:r w:rsidR="00041A9E" w:rsidRPr="00A1219A">
        <w:rPr>
          <w:sz w:val="20"/>
          <w:lang w:val="es-ES"/>
        </w:rPr>
        <w:t xml:space="preserve">a “conciliación extrajudicial”, en virtud </w:t>
      </w:r>
      <w:r w:rsidR="00D51BB7" w:rsidRPr="00A1219A">
        <w:rPr>
          <w:sz w:val="20"/>
          <w:lang w:val="es-ES"/>
        </w:rPr>
        <w:t xml:space="preserve">del </w:t>
      </w:r>
      <w:r w:rsidR="00041A9E" w:rsidRPr="00A1219A">
        <w:rPr>
          <w:sz w:val="20"/>
          <w:lang w:val="es-ES"/>
        </w:rPr>
        <w:t>cual se</w:t>
      </w:r>
      <w:r w:rsidR="00A81DAF" w:rsidRPr="00A1219A">
        <w:rPr>
          <w:sz w:val="20"/>
          <w:lang w:val="es-ES"/>
        </w:rPr>
        <w:t xml:space="preserve"> </w:t>
      </w:r>
      <w:r w:rsidR="00A23301" w:rsidRPr="00A1219A">
        <w:rPr>
          <w:sz w:val="20"/>
          <w:lang w:val="es-ES"/>
        </w:rPr>
        <w:t xml:space="preserve">gestionó ante el INA la realización de un </w:t>
      </w:r>
      <w:r w:rsidR="00414947" w:rsidRPr="00A1219A">
        <w:rPr>
          <w:sz w:val="20"/>
          <w:lang w:val="es-ES"/>
        </w:rPr>
        <w:t>avalúo de las mejoras introducidas por los oc</w:t>
      </w:r>
      <w:r w:rsidR="00CD463B" w:rsidRPr="00A1219A">
        <w:rPr>
          <w:sz w:val="20"/>
          <w:lang w:val="es-ES"/>
        </w:rPr>
        <w:t>upantes de</w:t>
      </w:r>
      <w:r w:rsidR="00D51BB7" w:rsidRPr="00A1219A">
        <w:rPr>
          <w:sz w:val="20"/>
          <w:lang w:val="es-ES"/>
        </w:rPr>
        <w:t>l área de</w:t>
      </w:r>
      <w:r w:rsidR="00CD463B" w:rsidRPr="00A1219A">
        <w:rPr>
          <w:sz w:val="20"/>
          <w:lang w:val="es-ES"/>
        </w:rPr>
        <w:t xml:space="preserve"> Río Miel</w:t>
      </w:r>
      <w:r w:rsidRPr="00A1219A">
        <w:rPr>
          <w:sz w:val="20"/>
          <w:lang w:val="es-ES"/>
        </w:rPr>
        <w:t>, el cual</w:t>
      </w:r>
      <w:r w:rsidR="00414947" w:rsidRPr="00A1219A">
        <w:rPr>
          <w:sz w:val="20"/>
          <w:lang w:val="es-ES"/>
        </w:rPr>
        <w:t xml:space="preserve"> arrojó </w:t>
      </w:r>
      <w:r w:rsidR="003B0B56" w:rsidRPr="00A1219A">
        <w:rPr>
          <w:sz w:val="20"/>
          <w:lang w:val="es-ES"/>
        </w:rPr>
        <w:t>un</w:t>
      </w:r>
      <w:r w:rsidR="003C38B5" w:rsidRPr="00A1219A">
        <w:rPr>
          <w:sz w:val="20"/>
          <w:lang w:val="es-ES"/>
        </w:rPr>
        <w:t xml:space="preserve"> monto total de </w:t>
      </w:r>
      <w:r w:rsidR="00647F1F" w:rsidRPr="00A1219A">
        <w:rPr>
          <w:sz w:val="20"/>
          <w:lang w:val="es-ES"/>
        </w:rPr>
        <w:t xml:space="preserve">13.168.982,84 </w:t>
      </w:r>
      <w:r w:rsidR="003C38B5" w:rsidRPr="00A1219A">
        <w:rPr>
          <w:sz w:val="20"/>
          <w:lang w:val="es-ES"/>
        </w:rPr>
        <w:t>lempiras</w:t>
      </w:r>
      <w:r w:rsidR="00C67AFA" w:rsidRPr="00A1219A">
        <w:rPr>
          <w:sz w:val="20"/>
          <w:lang w:val="es-ES"/>
        </w:rPr>
        <w:t xml:space="preserve">. Informa que el Presidente de la Comisión de Presupuesto del Congreso Nacional envió al INA el Anteproyecto de Dictamen sobre el Proyecto de Decreto “Desarrollo Garífuna” y que dicha entidad emitió opinión favorable. Afirma que, no obstante, “nunca fue incorporada la partida en el presupuesto de la Institución para el saneamiento de Punta Piedra, razón por la cual dicho saneamiento no se ha efectuado”. </w:t>
      </w:r>
    </w:p>
    <w:p w:rsidR="009701BD" w:rsidRPr="00A1219A" w:rsidRDefault="009701BD" w:rsidP="009701BD">
      <w:pPr>
        <w:jc w:val="both"/>
        <w:rPr>
          <w:sz w:val="20"/>
          <w:lang w:val="es-ES"/>
        </w:rPr>
      </w:pPr>
    </w:p>
    <w:p w:rsidR="00C02859" w:rsidRPr="00A1219A" w:rsidRDefault="00AA0B24" w:rsidP="00C02859">
      <w:pPr>
        <w:numPr>
          <w:ilvl w:val="0"/>
          <w:numId w:val="1"/>
        </w:numPr>
        <w:tabs>
          <w:tab w:val="clear" w:pos="900"/>
        </w:tabs>
        <w:ind w:left="0" w:firstLine="720"/>
        <w:jc w:val="both"/>
        <w:rPr>
          <w:sz w:val="20"/>
          <w:lang w:val="es-ES"/>
        </w:rPr>
      </w:pPr>
      <w:r w:rsidRPr="00A1219A">
        <w:rPr>
          <w:sz w:val="20"/>
          <w:lang w:val="es-ES"/>
        </w:rPr>
        <w:t xml:space="preserve">Indica que, posteriormente, </w:t>
      </w:r>
      <w:r w:rsidR="00146CA7" w:rsidRPr="00A1219A">
        <w:rPr>
          <w:sz w:val="20"/>
          <w:lang w:val="es-ES"/>
        </w:rPr>
        <w:t>realizó</w:t>
      </w:r>
      <w:r w:rsidRPr="00A1219A">
        <w:rPr>
          <w:sz w:val="20"/>
          <w:lang w:val="es-ES"/>
        </w:rPr>
        <w:t xml:space="preserve"> una serie</w:t>
      </w:r>
      <w:r w:rsidR="00835236" w:rsidRPr="00A1219A">
        <w:rPr>
          <w:sz w:val="20"/>
          <w:lang w:val="es-ES"/>
        </w:rPr>
        <w:t xml:space="preserve"> de acciones dirigidas a solucionar</w:t>
      </w:r>
      <w:r w:rsidRPr="00A1219A">
        <w:rPr>
          <w:sz w:val="20"/>
          <w:lang w:val="es-ES"/>
        </w:rPr>
        <w:t xml:space="preserve"> el problema de tenencia de la tierra. </w:t>
      </w:r>
      <w:r w:rsidR="00041A9E" w:rsidRPr="00A1219A">
        <w:rPr>
          <w:sz w:val="20"/>
          <w:lang w:val="es-ES"/>
        </w:rPr>
        <w:t>Al respecto</w:t>
      </w:r>
      <w:r w:rsidRPr="00A1219A">
        <w:rPr>
          <w:sz w:val="20"/>
          <w:lang w:val="es-ES"/>
        </w:rPr>
        <w:t>, informa que</w:t>
      </w:r>
      <w:r w:rsidR="00835236" w:rsidRPr="00A1219A">
        <w:rPr>
          <w:sz w:val="20"/>
          <w:lang w:val="es-ES"/>
        </w:rPr>
        <w:t xml:space="preserve"> el 22 de enero de 2007 el INA suscribió un acta con OFRANEH en la que </w:t>
      </w:r>
      <w:r w:rsidR="00146CA7" w:rsidRPr="00A1219A">
        <w:rPr>
          <w:sz w:val="20"/>
          <w:lang w:val="es-ES"/>
        </w:rPr>
        <w:t>acordaron</w:t>
      </w:r>
      <w:r w:rsidR="00835236" w:rsidRPr="00A1219A">
        <w:rPr>
          <w:sz w:val="20"/>
          <w:lang w:val="es-ES"/>
        </w:rPr>
        <w:t xml:space="preserve"> conformar</w:t>
      </w:r>
      <w:r w:rsidR="00A65DA5" w:rsidRPr="00A1219A">
        <w:rPr>
          <w:sz w:val="20"/>
          <w:lang w:val="es-ES"/>
        </w:rPr>
        <w:t xml:space="preserve"> una Comisión Interinstitucional, la cual </w:t>
      </w:r>
      <w:r w:rsidRPr="00A1219A">
        <w:rPr>
          <w:sz w:val="20"/>
          <w:lang w:val="es-ES"/>
        </w:rPr>
        <w:t xml:space="preserve">mantuvo reuniones con representantes de la aldea </w:t>
      </w:r>
      <w:r w:rsidR="00A65DA5" w:rsidRPr="00A1219A">
        <w:rPr>
          <w:sz w:val="20"/>
          <w:lang w:val="es-ES"/>
        </w:rPr>
        <w:t>de</w:t>
      </w:r>
      <w:r w:rsidRPr="00A1219A">
        <w:rPr>
          <w:sz w:val="20"/>
          <w:lang w:val="es-ES"/>
        </w:rPr>
        <w:t xml:space="preserve"> Río</w:t>
      </w:r>
      <w:r w:rsidR="00A65DA5" w:rsidRPr="00A1219A">
        <w:rPr>
          <w:sz w:val="20"/>
          <w:lang w:val="es-ES"/>
        </w:rPr>
        <w:t xml:space="preserve"> Miel</w:t>
      </w:r>
      <w:r w:rsidRPr="00A1219A">
        <w:rPr>
          <w:sz w:val="20"/>
          <w:lang w:val="es-ES"/>
        </w:rPr>
        <w:t xml:space="preserve">. </w:t>
      </w:r>
      <w:r w:rsidR="00A65DA5" w:rsidRPr="00A1219A">
        <w:rPr>
          <w:sz w:val="20"/>
          <w:lang w:val="es-ES"/>
        </w:rPr>
        <w:t xml:space="preserve">Informa que el 12 de julio de 2007 el INA </w:t>
      </w:r>
      <w:r w:rsidR="009279F0" w:rsidRPr="00A1219A">
        <w:rPr>
          <w:sz w:val="20"/>
          <w:lang w:val="es-ES"/>
        </w:rPr>
        <w:t>emitió</w:t>
      </w:r>
      <w:r w:rsidR="00A65DA5" w:rsidRPr="00A1219A">
        <w:rPr>
          <w:sz w:val="20"/>
          <w:lang w:val="es-ES"/>
        </w:rPr>
        <w:t xml:space="preserve"> un nuevo avalúo </w:t>
      </w:r>
      <w:r w:rsidR="0082678E" w:rsidRPr="00A1219A">
        <w:rPr>
          <w:sz w:val="20"/>
          <w:lang w:val="es-ES"/>
        </w:rPr>
        <w:t>por un total de</w:t>
      </w:r>
      <w:r w:rsidR="00A90072" w:rsidRPr="00A1219A">
        <w:rPr>
          <w:sz w:val="20"/>
          <w:lang w:val="es-ES"/>
        </w:rPr>
        <w:t xml:space="preserve"> 17.</w:t>
      </w:r>
      <w:r w:rsidR="00A65DA5" w:rsidRPr="00A1219A">
        <w:rPr>
          <w:sz w:val="20"/>
          <w:lang w:val="es-ES"/>
        </w:rPr>
        <w:t>108</w:t>
      </w:r>
      <w:r w:rsidR="00A90072" w:rsidRPr="00A1219A">
        <w:rPr>
          <w:sz w:val="20"/>
          <w:lang w:val="es-ES"/>
        </w:rPr>
        <w:t>.448,</w:t>
      </w:r>
      <w:r w:rsidR="00A65DA5" w:rsidRPr="00A1219A">
        <w:rPr>
          <w:sz w:val="20"/>
          <w:lang w:val="es-ES"/>
        </w:rPr>
        <w:t>58 lempiras, el mismo que fue presentado a la Secretaría de Finanzas el 14 de diciembre de 20</w:t>
      </w:r>
      <w:r w:rsidR="009279F0" w:rsidRPr="00A1219A">
        <w:rPr>
          <w:sz w:val="20"/>
          <w:lang w:val="es-ES"/>
        </w:rPr>
        <w:t>07, sin que haya sido aprobado.</w:t>
      </w:r>
    </w:p>
    <w:p w:rsidR="0098564A" w:rsidRPr="00A1219A" w:rsidRDefault="0098564A" w:rsidP="0098564A">
      <w:pPr>
        <w:jc w:val="both"/>
        <w:rPr>
          <w:sz w:val="20"/>
          <w:lang w:val="es-ES"/>
        </w:rPr>
      </w:pPr>
    </w:p>
    <w:p w:rsidR="00AE76D2" w:rsidRPr="00A1219A" w:rsidRDefault="000015D8" w:rsidP="00AE76D2">
      <w:pPr>
        <w:numPr>
          <w:ilvl w:val="0"/>
          <w:numId w:val="1"/>
        </w:numPr>
        <w:tabs>
          <w:tab w:val="clear" w:pos="900"/>
        </w:tabs>
        <w:ind w:left="0" w:firstLine="720"/>
        <w:jc w:val="both"/>
        <w:rPr>
          <w:sz w:val="20"/>
          <w:lang w:val="es-ES"/>
        </w:rPr>
      </w:pPr>
      <w:r w:rsidRPr="00A1219A">
        <w:rPr>
          <w:sz w:val="20"/>
          <w:lang w:val="es-ES"/>
        </w:rPr>
        <w:t xml:space="preserve">Sobre el argumento de agresiones que habría sido objeto la Comunidad, informa que el </w:t>
      </w:r>
      <w:r w:rsidR="005E6386" w:rsidRPr="00A1219A">
        <w:rPr>
          <w:sz w:val="20"/>
          <w:lang w:val="es-ES"/>
        </w:rPr>
        <w:t xml:space="preserve">hermano de </w:t>
      </w:r>
      <w:r w:rsidR="00C02859" w:rsidRPr="00A1219A">
        <w:rPr>
          <w:sz w:val="20"/>
          <w:lang w:val="es-ES"/>
        </w:rPr>
        <w:t>Félix Ordóñez Suazo</w:t>
      </w:r>
      <w:r w:rsidR="005E6386" w:rsidRPr="00A1219A">
        <w:rPr>
          <w:sz w:val="20"/>
          <w:lang w:val="es-ES"/>
        </w:rPr>
        <w:t xml:space="preserve"> interpuso una denuncia por su homicidio (Denuncia </w:t>
      </w:r>
      <w:r w:rsidR="0098564A" w:rsidRPr="00A1219A">
        <w:rPr>
          <w:sz w:val="20"/>
          <w:lang w:val="es-ES"/>
        </w:rPr>
        <w:t>No. 310-07</w:t>
      </w:r>
      <w:r w:rsidR="005E6386" w:rsidRPr="00A1219A">
        <w:rPr>
          <w:sz w:val="20"/>
          <w:lang w:val="es-ES"/>
        </w:rPr>
        <w:t>)</w:t>
      </w:r>
      <w:r w:rsidR="0098564A" w:rsidRPr="00A1219A">
        <w:rPr>
          <w:sz w:val="20"/>
          <w:lang w:val="es-ES"/>
        </w:rPr>
        <w:t>, “por lo que en la actualidad la Dirección General de Investigación Criminal está realizando las investigaciones que conduzcan a esclarecer la muerte antes citada”. Agrega que “el Ministerio Público tuvo conocimiento de los hecho</w:t>
      </w:r>
      <w:r w:rsidR="004061F7" w:rsidRPr="00A1219A">
        <w:rPr>
          <w:sz w:val="20"/>
          <w:lang w:val="es-ES"/>
        </w:rPr>
        <w:t>s a través de denuncia recibida</w:t>
      </w:r>
      <w:r w:rsidR="00C7497E" w:rsidRPr="00A1219A">
        <w:rPr>
          <w:sz w:val="20"/>
          <w:lang w:val="es-ES"/>
        </w:rPr>
        <w:sym w:font="Symbol" w:char="F05B"/>
      </w:r>
      <w:r w:rsidR="00C7497E" w:rsidRPr="00A1219A">
        <w:rPr>
          <w:sz w:val="20"/>
          <w:lang w:val="es-ES"/>
        </w:rPr>
        <w:t>…</w:t>
      </w:r>
      <w:r w:rsidR="00C7497E" w:rsidRPr="00A1219A">
        <w:rPr>
          <w:sz w:val="20"/>
          <w:lang w:val="es-ES"/>
        </w:rPr>
        <w:sym w:font="Symbol" w:char="F05D"/>
      </w:r>
      <w:r w:rsidR="00C7497E" w:rsidRPr="00A1219A">
        <w:rPr>
          <w:sz w:val="20"/>
          <w:lang w:val="es-ES"/>
        </w:rPr>
        <w:t xml:space="preserve"> por la Fiscal Especial de Etnias y Patrimonio Cultural, proveniente de OFRANEH</w:t>
      </w:r>
      <w:r w:rsidR="0098564A" w:rsidRPr="00A1219A">
        <w:rPr>
          <w:sz w:val="20"/>
          <w:lang w:val="es-ES"/>
        </w:rPr>
        <w:t>”</w:t>
      </w:r>
      <w:r w:rsidR="00C7497E" w:rsidRPr="00A1219A">
        <w:rPr>
          <w:sz w:val="20"/>
          <w:lang w:val="es-ES"/>
        </w:rPr>
        <w:t>.</w:t>
      </w:r>
      <w:r w:rsidR="006F74A0" w:rsidRPr="00A1219A">
        <w:rPr>
          <w:sz w:val="20"/>
          <w:lang w:val="es-ES"/>
        </w:rPr>
        <w:t xml:space="preserve"> Informa que,</w:t>
      </w:r>
      <w:r w:rsidR="004B53F7" w:rsidRPr="00A1219A">
        <w:rPr>
          <w:sz w:val="20"/>
          <w:lang w:val="es-ES"/>
        </w:rPr>
        <w:t xml:space="preserve"> en virtud a ello, </w:t>
      </w:r>
      <w:r w:rsidR="006F74A0" w:rsidRPr="00A1219A">
        <w:rPr>
          <w:sz w:val="20"/>
          <w:lang w:val="es-ES"/>
        </w:rPr>
        <w:t>se han abierto dos investigaciones, una a cargo de la Fiscalía Local de Trujillo, y otra en la Fiscalía Especial de Etnias y Patrimonio Cultural, registrada bajo el númer</w:t>
      </w:r>
      <w:r w:rsidR="004B53F7" w:rsidRPr="00A1219A">
        <w:rPr>
          <w:sz w:val="20"/>
          <w:lang w:val="es-ES"/>
        </w:rPr>
        <w:t xml:space="preserve">o 7277-2007, las cuales se encuentran realizando </w:t>
      </w:r>
      <w:r w:rsidR="008F459D" w:rsidRPr="00A1219A">
        <w:rPr>
          <w:sz w:val="20"/>
          <w:lang w:val="es-ES"/>
        </w:rPr>
        <w:t>diligencias investigativas.</w:t>
      </w:r>
    </w:p>
    <w:p w:rsidR="00A85AC3" w:rsidRPr="00A1219A" w:rsidRDefault="00A85AC3" w:rsidP="00A85AC3">
      <w:pPr>
        <w:jc w:val="both"/>
        <w:rPr>
          <w:sz w:val="20"/>
          <w:lang w:val="es-ES"/>
        </w:rPr>
      </w:pPr>
    </w:p>
    <w:p w:rsidR="00096644" w:rsidRPr="00A1219A" w:rsidRDefault="00A85AC3" w:rsidP="00016987">
      <w:pPr>
        <w:numPr>
          <w:ilvl w:val="0"/>
          <w:numId w:val="1"/>
        </w:numPr>
        <w:tabs>
          <w:tab w:val="clear" w:pos="900"/>
        </w:tabs>
        <w:ind w:left="0" w:firstLine="720"/>
        <w:jc w:val="both"/>
        <w:rPr>
          <w:sz w:val="20"/>
          <w:lang w:val="es-ES"/>
        </w:rPr>
      </w:pPr>
      <w:r w:rsidRPr="00A1219A">
        <w:rPr>
          <w:sz w:val="20"/>
          <w:lang w:val="es-ES"/>
        </w:rPr>
        <w:t xml:space="preserve">En cuanto a alegatos de </w:t>
      </w:r>
      <w:r w:rsidR="006147F8" w:rsidRPr="00A1219A">
        <w:rPr>
          <w:sz w:val="20"/>
          <w:lang w:val="es-ES"/>
        </w:rPr>
        <w:t>derecho, sin referirse específicamente a los artículos declarados admisibles</w:t>
      </w:r>
      <w:r w:rsidR="00E83A45" w:rsidRPr="00A1219A">
        <w:rPr>
          <w:sz w:val="20"/>
          <w:lang w:val="es-ES"/>
        </w:rPr>
        <w:t xml:space="preserve"> por la CIDH</w:t>
      </w:r>
      <w:r w:rsidR="006147F8" w:rsidRPr="00A1219A">
        <w:rPr>
          <w:sz w:val="20"/>
          <w:lang w:val="es-ES"/>
        </w:rPr>
        <w:t>, e</w:t>
      </w:r>
      <w:r w:rsidRPr="00A1219A">
        <w:rPr>
          <w:sz w:val="20"/>
          <w:lang w:val="es-ES"/>
        </w:rPr>
        <w:t xml:space="preserve">l Estado </w:t>
      </w:r>
      <w:r w:rsidR="006147F8" w:rsidRPr="00A1219A">
        <w:rPr>
          <w:sz w:val="20"/>
          <w:lang w:val="es-ES"/>
        </w:rPr>
        <w:t>sostiene que</w:t>
      </w:r>
      <w:r w:rsidRPr="00A1219A">
        <w:rPr>
          <w:sz w:val="20"/>
          <w:lang w:val="es-ES"/>
        </w:rPr>
        <w:t xml:space="preserve"> </w:t>
      </w:r>
      <w:r w:rsidR="006147F8" w:rsidRPr="00A1219A">
        <w:rPr>
          <w:sz w:val="20"/>
          <w:lang w:val="es-ES"/>
        </w:rPr>
        <w:t>“</w:t>
      </w:r>
      <w:r w:rsidRPr="00A1219A">
        <w:rPr>
          <w:sz w:val="20"/>
          <w:lang w:val="es-ES"/>
        </w:rPr>
        <w:t>considera una obligación ineludible la solución del problema de las comunidades en conflicto</w:t>
      </w:r>
      <w:r w:rsidR="006147F8" w:rsidRPr="00A1219A">
        <w:rPr>
          <w:sz w:val="20"/>
          <w:lang w:val="es-ES"/>
        </w:rPr>
        <w:t>, y que su desenlace pasa por la buena voluntad de la base social involucrada, en que ambas partes en conflicto alegan tener igual o mejor derecho</w:t>
      </w:r>
      <w:r w:rsidRPr="00A1219A">
        <w:rPr>
          <w:sz w:val="20"/>
          <w:lang w:val="es-ES"/>
        </w:rPr>
        <w:t>”</w:t>
      </w:r>
      <w:r w:rsidR="006147F8" w:rsidRPr="00A1219A">
        <w:rPr>
          <w:sz w:val="20"/>
          <w:lang w:val="es-ES"/>
        </w:rPr>
        <w:t xml:space="preserve">. </w:t>
      </w:r>
      <w:r w:rsidR="00E83A45" w:rsidRPr="00A1219A">
        <w:rPr>
          <w:sz w:val="20"/>
          <w:lang w:val="es-ES"/>
        </w:rPr>
        <w:t>Señala que, en virtud al artículo 15 de la Ley de Reforma Agraria, “quien ocupe y explote tierras nacionales o ejidales, durante tres años, tiene derecho a que se le adjudique la correspondiente superficie”. Sostiene que esta disposición y el artículo 103 de la Constitución que recoge el derecho a la propiedad, ampara a la Comunidad de Río Miel y a otros ocupantes que cuentan con “dominios amparados en escrituras públicas debidamente registradas”.</w:t>
      </w:r>
      <w:r w:rsidR="00016987" w:rsidRPr="00A1219A">
        <w:rPr>
          <w:sz w:val="20"/>
          <w:lang w:val="es-ES"/>
        </w:rPr>
        <w:t xml:space="preserve"> </w:t>
      </w:r>
      <w:r w:rsidR="00096644" w:rsidRPr="00A1219A">
        <w:rPr>
          <w:sz w:val="20"/>
          <w:lang w:val="es-ES"/>
        </w:rPr>
        <w:t>Destaca que “ratifica su compromiso de continuar la ruta diligente de búsqueda de solución al conflicto entre ambas comunidades, enfatizando aquella de la negociación, que no violente las disposiciones legales sobre la materia”</w:t>
      </w:r>
      <w:r w:rsidR="00016987" w:rsidRPr="00A1219A">
        <w:rPr>
          <w:sz w:val="20"/>
          <w:lang w:val="es-ES"/>
        </w:rPr>
        <w:t>.</w:t>
      </w:r>
    </w:p>
    <w:p w:rsidR="00096644" w:rsidRPr="00A1219A" w:rsidRDefault="00096644" w:rsidP="00096644">
      <w:pPr>
        <w:ind w:left="720"/>
        <w:jc w:val="both"/>
        <w:rPr>
          <w:sz w:val="20"/>
          <w:lang w:val="es-ES"/>
        </w:rPr>
      </w:pPr>
    </w:p>
    <w:p w:rsidR="006031A2" w:rsidRPr="00A1219A" w:rsidRDefault="006031A2" w:rsidP="00693812">
      <w:pPr>
        <w:ind w:firstLine="720"/>
        <w:jc w:val="both"/>
        <w:outlineLvl w:val="0"/>
        <w:rPr>
          <w:b/>
          <w:bCs/>
          <w:sz w:val="20"/>
          <w:lang w:val="es-ES"/>
        </w:rPr>
      </w:pPr>
      <w:bookmarkStart w:id="12" w:name="_Toc336247996"/>
      <w:bookmarkStart w:id="13" w:name="_Toc350183576"/>
      <w:r w:rsidRPr="00A1219A">
        <w:rPr>
          <w:b/>
          <w:bCs/>
          <w:sz w:val="20"/>
          <w:lang w:val="es-ES"/>
        </w:rPr>
        <w:t>IV.</w:t>
      </w:r>
      <w:r w:rsidRPr="00A1219A">
        <w:rPr>
          <w:b/>
          <w:bCs/>
          <w:sz w:val="20"/>
          <w:lang w:val="es-ES"/>
        </w:rPr>
        <w:tab/>
        <w:t>HECHOS PROBADOS</w:t>
      </w:r>
      <w:bookmarkEnd w:id="12"/>
      <w:bookmarkEnd w:id="13"/>
    </w:p>
    <w:p w:rsidR="006031A2" w:rsidRPr="00A1219A" w:rsidRDefault="006031A2" w:rsidP="00693812">
      <w:pPr>
        <w:ind w:firstLine="720"/>
        <w:jc w:val="both"/>
        <w:rPr>
          <w:b/>
          <w:bCs/>
          <w:sz w:val="20"/>
          <w:lang w:val="es-ES"/>
        </w:rPr>
      </w:pPr>
    </w:p>
    <w:p w:rsidR="006031A2" w:rsidRPr="00A1219A" w:rsidRDefault="006031A2" w:rsidP="00693812">
      <w:pPr>
        <w:numPr>
          <w:ilvl w:val="0"/>
          <w:numId w:val="1"/>
        </w:numPr>
        <w:tabs>
          <w:tab w:val="clear" w:pos="900"/>
          <w:tab w:val="num" w:pos="-360"/>
        </w:tabs>
        <w:ind w:left="0" w:firstLine="720"/>
        <w:jc w:val="both"/>
        <w:rPr>
          <w:color w:val="000000"/>
          <w:sz w:val="20"/>
          <w:lang w:val="es-ES"/>
        </w:rPr>
      </w:pPr>
      <w:r w:rsidRPr="00A1219A">
        <w:rPr>
          <w:color w:val="000000"/>
          <w:sz w:val="20"/>
          <w:lang w:val="es-ES"/>
        </w:rPr>
        <w:t xml:space="preserve">En aplicación del artículo 43.1 de su Reglamento, la CIDH examinará los alegatos y pruebas </w:t>
      </w:r>
      <w:r w:rsidRPr="00A1219A">
        <w:rPr>
          <w:sz w:val="20"/>
          <w:lang w:val="es-ES"/>
        </w:rPr>
        <w:t>suministradas</w:t>
      </w:r>
      <w:r w:rsidRPr="00A1219A">
        <w:rPr>
          <w:color w:val="000000"/>
          <w:sz w:val="20"/>
          <w:lang w:val="es-ES"/>
        </w:rPr>
        <w:t xml:space="preserve"> por las partes, la información obtenida durante la audiencia realizada en el </w:t>
      </w:r>
      <w:r w:rsidR="00166159" w:rsidRPr="00A1219A">
        <w:rPr>
          <w:color w:val="000000"/>
          <w:sz w:val="20"/>
          <w:lang w:val="es-ES"/>
        </w:rPr>
        <w:t>124</w:t>
      </w:r>
      <w:r w:rsidRPr="00A1219A">
        <w:rPr>
          <w:color w:val="000000"/>
          <w:sz w:val="20"/>
          <w:lang w:val="es-ES"/>
        </w:rPr>
        <w:sym w:font="Symbol" w:char="F0B0"/>
      </w:r>
      <w:r w:rsidRPr="00A1219A">
        <w:rPr>
          <w:color w:val="000000"/>
          <w:sz w:val="20"/>
          <w:lang w:val="es-ES"/>
        </w:rPr>
        <w:t xml:space="preserve"> periodo ordinario de sesiones de la CIDH</w:t>
      </w:r>
      <w:r w:rsidR="00417EAB" w:rsidRPr="00A1219A">
        <w:rPr>
          <w:rStyle w:val="Refdenotaalpie"/>
          <w:sz w:val="20"/>
          <w:lang w:val="es-ES"/>
        </w:rPr>
        <w:footnoteReference w:id="4"/>
      </w:r>
      <w:r w:rsidRPr="00A1219A">
        <w:rPr>
          <w:color w:val="000000"/>
          <w:sz w:val="20"/>
          <w:lang w:val="es-ES"/>
        </w:rPr>
        <w:t>, e informació</w:t>
      </w:r>
      <w:r w:rsidRPr="00A1219A">
        <w:rPr>
          <w:rFonts w:cs="Arial"/>
          <w:color w:val="000000"/>
          <w:sz w:val="20"/>
          <w:lang w:val="es-ES"/>
        </w:rPr>
        <w:t>n de público conocimiento</w:t>
      </w:r>
      <w:r w:rsidRPr="00A1219A">
        <w:rPr>
          <w:rStyle w:val="Refdenotaalpie"/>
          <w:rFonts w:cs="Arial"/>
          <w:color w:val="000000"/>
          <w:sz w:val="20"/>
          <w:lang w:val="es-ES"/>
        </w:rPr>
        <w:footnoteReference w:id="5"/>
      </w:r>
      <w:r w:rsidRPr="00A1219A">
        <w:rPr>
          <w:rFonts w:cs="Arial"/>
          <w:color w:val="000000"/>
          <w:sz w:val="20"/>
          <w:lang w:val="es-ES"/>
        </w:rPr>
        <w:t>.</w:t>
      </w:r>
    </w:p>
    <w:p w:rsidR="004F2CD4" w:rsidRPr="00A1219A" w:rsidRDefault="004F2CD4" w:rsidP="00DC5639">
      <w:pPr>
        <w:pStyle w:val="Ttulo2"/>
        <w:spacing w:before="0" w:after="0"/>
        <w:ind w:left="1440" w:hanging="720"/>
        <w:jc w:val="both"/>
        <w:rPr>
          <w:rFonts w:ascii="Univers" w:hAnsi="Univers"/>
          <w:i w:val="0"/>
          <w:iCs w:val="0"/>
          <w:sz w:val="20"/>
          <w:lang w:val="es-ES"/>
        </w:rPr>
      </w:pPr>
      <w:bookmarkStart w:id="14" w:name="_Toc336247997"/>
    </w:p>
    <w:p w:rsidR="006031A2" w:rsidRPr="00A1219A" w:rsidRDefault="006031A2" w:rsidP="00DC5639">
      <w:pPr>
        <w:pStyle w:val="Ttulo2"/>
        <w:spacing w:before="0" w:after="0"/>
        <w:ind w:left="1440" w:hanging="720"/>
        <w:jc w:val="both"/>
        <w:rPr>
          <w:rFonts w:ascii="Univers" w:hAnsi="Univers"/>
          <w:i w:val="0"/>
          <w:iCs w:val="0"/>
          <w:sz w:val="20"/>
          <w:lang w:val="es-ES"/>
        </w:rPr>
      </w:pPr>
      <w:bookmarkStart w:id="15" w:name="_Toc350183577"/>
      <w:r w:rsidRPr="00A1219A">
        <w:rPr>
          <w:rFonts w:ascii="Univers" w:hAnsi="Univers"/>
          <w:i w:val="0"/>
          <w:iCs w:val="0"/>
          <w:sz w:val="20"/>
          <w:lang w:val="es-ES"/>
        </w:rPr>
        <w:t>A.</w:t>
      </w:r>
      <w:r w:rsidRPr="00A1219A">
        <w:rPr>
          <w:rFonts w:ascii="Univers" w:hAnsi="Univers"/>
          <w:i w:val="0"/>
          <w:iCs w:val="0"/>
          <w:sz w:val="20"/>
          <w:lang w:val="es-ES"/>
        </w:rPr>
        <w:tab/>
        <w:t xml:space="preserve">Pueblo Garífuna en </w:t>
      </w:r>
      <w:smartTag w:uri="urn:schemas-microsoft-com:office:smarttags" w:element="PersonName">
        <w:r w:rsidRPr="00A1219A">
          <w:rPr>
            <w:rFonts w:ascii="Univers" w:hAnsi="Univers"/>
            <w:i w:val="0"/>
            <w:iCs w:val="0"/>
            <w:sz w:val="20"/>
            <w:lang w:val="es-ES"/>
          </w:rPr>
          <w:t>Honduras</w:t>
        </w:r>
      </w:smartTag>
      <w:bookmarkEnd w:id="14"/>
      <w:r w:rsidR="001F3583" w:rsidRPr="00A1219A">
        <w:rPr>
          <w:rFonts w:ascii="Univers" w:hAnsi="Univers"/>
          <w:bCs w:val="0"/>
          <w:i w:val="0"/>
          <w:sz w:val="20"/>
          <w:lang w:val="es-ES"/>
        </w:rPr>
        <w:t>:</w:t>
      </w:r>
      <w:r w:rsidR="001F3583" w:rsidRPr="00A1219A">
        <w:rPr>
          <w:rFonts w:ascii="Univers" w:hAnsi="Univers"/>
          <w:i w:val="0"/>
          <w:sz w:val="20"/>
          <w:lang w:val="es-ES"/>
        </w:rPr>
        <w:t xml:space="preserve"> territorio, organización y modo de subsistencia</w:t>
      </w:r>
      <w:bookmarkEnd w:id="15"/>
    </w:p>
    <w:p w:rsidR="006031A2" w:rsidRPr="00A1219A" w:rsidRDefault="006031A2" w:rsidP="00693812">
      <w:pPr>
        <w:ind w:firstLine="720"/>
        <w:jc w:val="both"/>
        <w:rPr>
          <w:b/>
          <w:sz w:val="20"/>
          <w:lang w:val="es-ES"/>
        </w:rPr>
      </w:pPr>
    </w:p>
    <w:p w:rsidR="006031A2" w:rsidRPr="00A1219A" w:rsidRDefault="006031A2" w:rsidP="00693812">
      <w:pPr>
        <w:numPr>
          <w:ilvl w:val="0"/>
          <w:numId w:val="1"/>
        </w:numPr>
        <w:tabs>
          <w:tab w:val="clear" w:pos="900"/>
        </w:tabs>
        <w:ind w:left="0" w:firstLine="720"/>
        <w:jc w:val="both"/>
        <w:rPr>
          <w:sz w:val="20"/>
          <w:lang w:val="es-ES"/>
        </w:rPr>
      </w:pPr>
      <w:smartTag w:uri="urn:schemas-microsoft-com:office:smarttags" w:element="PersonName">
        <w:r w:rsidRPr="00A1219A">
          <w:rPr>
            <w:sz w:val="20"/>
            <w:lang w:val="es-ES"/>
          </w:rPr>
          <w:t>Honduras</w:t>
        </w:r>
      </w:smartTag>
      <w:r w:rsidRPr="00A1219A">
        <w:rPr>
          <w:sz w:val="20"/>
          <w:lang w:val="es-ES"/>
        </w:rPr>
        <w:t xml:space="preserve"> tiene una composición multiétnica y pluricultural, y está integrada por personas mestizas, indígenas y afrodescendientes. Existen estimaciones diversas sobre el número total de la población que compone el pueblo Garífuna en </w:t>
      </w:r>
      <w:smartTag w:uri="urn:schemas-microsoft-com:office:smarttags" w:element="PersonName">
        <w:r w:rsidRPr="00A1219A">
          <w:rPr>
            <w:sz w:val="20"/>
            <w:lang w:val="es-ES"/>
          </w:rPr>
          <w:t>Honduras</w:t>
        </w:r>
      </w:smartTag>
      <w:r w:rsidRPr="00A1219A">
        <w:rPr>
          <w:sz w:val="20"/>
          <w:lang w:val="es-ES"/>
        </w:rPr>
        <w:t xml:space="preserve">. Según el censo realizado por el Instituto </w:t>
      </w:r>
      <w:r w:rsidRPr="00A1219A">
        <w:rPr>
          <w:sz w:val="20"/>
          <w:lang w:val="es-ES"/>
        </w:rPr>
        <w:lastRenderedPageBreak/>
        <w:t>Naci</w:t>
      </w:r>
      <w:r w:rsidR="001E3897" w:rsidRPr="00A1219A">
        <w:rPr>
          <w:sz w:val="20"/>
          <w:lang w:val="es-ES"/>
        </w:rPr>
        <w:t>onal de Estadística en 2001, 46.</w:t>
      </w:r>
      <w:r w:rsidRPr="00A1219A">
        <w:rPr>
          <w:sz w:val="20"/>
          <w:lang w:val="es-ES"/>
        </w:rPr>
        <w:t xml:space="preserve">448 personas se </w:t>
      </w:r>
      <w:proofErr w:type="spellStart"/>
      <w:r w:rsidRPr="00A1219A">
        <w:rPr>
          <w:sz w:val="20"/>
          <w:lang w:val="es-ES"/>
        </w:rPr>
        <w:t>autoidentifican</w:t>
      </w:r>
      <w:proofErr w:type="spellEnd"/>
      <w:r w:rsidRPr="00A1219A">
        <w:rPr>
          <w:sz w:val="20"/>
          <w:lang w:val="es-ES"/>
        </w:rPr>
        <w:t xml:space="preserve"> como garífunas, mientras que otras fuentes estiman</w:t>
      </w:r>
      <w:r w:rsidR="008A12BF" w:rsidRPr="00A1219A">
        <w:rPr>
          <w:sz w:val="20"/>
          <w:lang w:val="es-ES"/>
        </w:rPr>
        <w:t xml:space="preserve"> una población aproximada de 98.</w:t>
      </w:r>
      <w:r w:rsidRPr="00A1219A">
        <w:rPr>
          <w:sz w:val="20"/>
          <w:lang w:val="es-ES"/>
        </w:rPr>
        <w:t>000 personas</w:t>
      </w:r>
      <w:r w:rsidRPr="00A1219A">
        <w:rPr>
          <w:rStyle w:val="Refdenotaalpie"/>
          <w:sz w:val="20"/>
          <w:lang w:val="es-ES"/>
        </w:rPr>
        <w:footnoteReference w:id="6"/>
      </w:r>
      <w:r w:rsidRPr="00A1219A">
        <w:rPr>
          <w:sz w:val="20"/>
          <w:lang w:val="es-ES"/>
        </w:rPr>
        <w:t>.</w:t>
      </w:r>
    </w:p>
    <w:p w:rsidR="006031A2" w:rsidRPr="00A1219A" w:rsidRDefault="006031A2" w:rsidP="00693812">
      <w:pPr>
        <w:jc w:val="both"/>
        <w:rPr>
          <w:sz w:val="20"/>
          <w:lang w:val="es-ES"/>
        </w:rPr>
      </w:pPr>
    </w:p>
    <w:p w:rsidR="006031A2" w:rsidRPr="00A1219A" w:rsidRDefault="006031A2" w:rsidP="00693812">
      <w:pPr>
        <w:numPr>
          <w:ilvl w:val="0"/>
          <w:numId w:val="1"/>
        </w:numPr>
        <w:tabs>
          <w:tab w:val="clear" w:pos="900"/>
        </w:tabs>
        <w:ind w:left="0" w:firstLine="720"/>
        <w:jc w:val="both"/>
        <w:rPr>
          <w:sz w:val="20"/>
          <w:lang w:val="es-ES"/>
        </w:rPr>
      </w:pPr>
      <w:r w:rsidRPr="00A1219A">
        <w:rPr>
          <w:sz w:val="20"/>
          <w:lang w:val="es-ES"/>
        </w:rPr>
        <w:t>El origen del pueblo Garífuna se remonta al siglo XVIII y surge del sincretismo entre pueblos indígenas y africanos</w:t>
      </w:r>
      <w:r w:rsidRPr="00A1219A">
        <w:rPr>
          <w:rFonts w:cs="Arial"/>
          <w:sz w:val="20"/>
          <w:lang w:val="es-ES"/>
        </w:rPr>
        <w:t>. E</w:t>
      </w:r>
      <w:r w:rsidRPr="00A1219A">
        <w:rPr>
          <w:sz w:val="20"/>
          <w:lang w:val="es-ES"/>
        </w:rPr>
        <w:t>n 1635, dos barcos españoles que transportaban personas provenientes de África para realizar trabajo esclavo, naufragaron en la isla San Vicente. A la época, la isla se encontraba habitada por descendientes del pueblo indígena arawak</w:t>
      </w:r>
      <w:r w:rsidRPr="00A1219A">
        <w:rPr>
          <w:rFonts w:cs="Arial"/>
          <w:sz w:val="20"/>
          <w:lang w:val="es-ES"/>
        </w:rPr>
        <w:t xml:space="preserve"> y del pueblo indígena </w:t>
      </w:r>
      <w:proofErr w:type="spellStart"/>
      <w:r w:rsidRPr="00A1219A">
        <w:rPr>
          <w:rFonts w:cs="Arial"/>
          <w:sz w:val="20"/>
          <w:lang w:val="es-ES"/>
        </w:rPr>
        <w:t>kalinagu</w:t>
      </w:r>
      <w:proofErr w:type="spellEnd"/>
      <w:r w:rsidRPr="00A1219A">
        <w:rPr>
          <w:rFonts w:cs="Arial"/>
          <w:sz w:val="20"/>
          <w:lang w:val="es-ES"/>
        </w:rPr>
        <w:t>. Este último, proveniente de Sudamérica, invadió la isla en el siglo XIII.</w:t>
      </w:r>
      <w:r w:rsidRPr="00A1219A">
        <w:rPr>
          <w:sz w:val="20"/>
          <w:lang w:val="es-ES"/>
        </w:rPr>
        <w:t xml:space="preserve"> Los descendientes de la fusión de indígenas con africanos fueron llamados </w:t>
      </w:r>
      <w:proofErr w:type="spellStart"/>
      <w:r w:rsidRPr="00A1219A">
        <w:rPr>
          <w:sz w:val="20"/>
          <w:lang w:val="es-ES"/>
        </w:rPr>
        <w:t>karaphunas</w:t>
      </w:r>
      <w:proofErr w:type="spellEnd"/>
      <w:r w:rsidRPr="00A1219A">
        <w:rPr>
          <w:sz w:val="20"/>
          <w:lang w:val="es-ES"/>
        </w:rPr>
        <w:t xml:space="preserve">. En 1797 Gran Bretaña tomó control de la isla San Vicente y los </w:t>
      </w:r>
      <w:proofErr w:type="spellStart"/>
      <w:r w:rsidRPr="00A1219A">
        <w:rPr>
          <w:sz w:val="20"/>
          <w:lang w:val="es-ES"/>
        </w:rPr>
        <w:t>karaphunas</w:t>
      </w:r>
      <w:proofErr w:type="spellEnd"/>
      <w:r w:rsidRPr="00A1219A">
        <w:rPr>
          <w:sz w:val="20"/>
          <w:lang w:val="es-ES"/>
        </w:rPr>
        <w:t xml:space="preserve"> fueron deportados a la isla Roatán. Desde Roatán emigraron a tierra firme </w:t>
      </w:r>
      <w:r w:rsidR="004F2CD4" w:rsidRPr="00A1219A">
        <w:rPr>
          <w:sz w:val="20"/>
          <w:lang w:val="es-ES"/>
        </w:rPr>
        <w:t>en</w:t>
      </w:r>
      <w:r w:rsidRPr="00A1219A">
        <w:rPr>
          <w:sz w:val="20"/>
          <w:lang w:val="es-ES"/>
        </w:rPr>
        <w:t xml:space="preserve"> lo que hoy es territorio de </w:t>
      </w:r>
      <w:smartTag w:uri="urn:schemas-microsoft-com:office:smarttags" w:element="PersonName">
        <w:r w:rsidRPr="00A1219A">
          <w:rPr>
            <w:sz w:val="20"/>
            <w:lang w:val="es-ES"/>
          </w:rPr>
          <w:t>Honduras</w:t>
        </w:r>
      </w:smartTag>
      <w:r w:rsidRPr="00A1219A">
        <w:rPr>
          <w:sz w:val="20"/>
          <w:lang w:val="es-ES"/>
        </w:rPr>
        <w:t>, a través de Trujillo, para luego extenderse a lo largo de la costa norte hondureña y hacia la costa del caribe de Guatemala y Belice</w:t>
      </w:r>
      <w:r w:rsidRPr="00A1219A">
        <w:rPr>
          <w:rStyle w:val="Refdenotaalpie"/>
          <w:sz w:val="20"/>
          <w:lang w:val="es-ES"/>
        </w:rPr>
        <w:footnoteReference w:id="7"/>
      </w:r>
      <w:r w:rsidRPr="00A1219A">
        <w:rPr>
          <w:sz w:val="20"/>
          <w:lang w:val="es-ES"/>
        </w:rPr>
        <w:t>.</w:t>
      </w:r>
    </w:p>
    <w:p w:rsidR="006031A2" w:rsidRPr="00A1219A" w:rsidRDefault="006031A2" w:rsidP="00693812">
      <w:pPr>
        <w:jc w:val="both"/>
        <w:rPr>
          <w:sz w:val="20"/>
          <w:lang w:val="es-ES"/>
        </w:rPr>
      </w:pPr>
    </w:p>
    <w:p w:rsidR="006031A2" w:rsidRPr="00A1219A" w:rsidRDefault="006031A2" w:rsidP="00693812">
      <w:pPr>
        <w:numPr>
          <w:ilvl w:val="0"/>
          <w:numId w:val="1"/>
        </w:numPr>
        <w:tabs>
          <w:tab w:val="clear" w:pos="900"/>
        </w:tabs>
        <w:ind w:left="0" w:firstLine="720"/>
        <w:jc w:val="both"/>
        <w:rPr>
          <w:sz w:val="20"/>
          <w:lang w:val="es-ES"/>
        </w:rPr>
      </w:pPr>
      <w:r w:rsidRPr="00A1219A">
        <w:rPr>
          <w:sz w:val="20"/>
          <w:lang w:val="es-ES"/>
        </w:rPr>
        <w:t>La unión entre africanos y amerindios de S</w:t>
      </w:r>
      <w:r w:rsidR="00D438F4" w:rsidRPr="00A1219A">
        <w:rPr>
          <w:sz w:val="20"/>
          <w:lang w:val="es-ES"/>
        </w:rPr>
        <w:t>an Vicente hizo de los Garífuna</w:t>
      </w:r>
      <w:r w:rsidRPr="00A1219A">
        <w:rPr>
          <w:sz w:val="20"/>
          <w:lang w:val="es-ES"/>
        </w:rPr>
        <w:t xml:space="preserve"> una cultura y un grupo étnico diferenciado. Los Garífuna se auto identifican como un pueblo indígena de cultura africana</w:t>
      </w:r>
      <w:r w:rsidRPr="00A1219A">
        <w:rPr>
          <w:rStyle w:val="Refdenotaalpie"/>
          <w:sz w:val="20"/>
          <w:lang w:val="es-ES"/>
        </w:rPr>
        <w:footnoteReference w:id="8"/>
      </w:r>
      <w:r w:rsidRPr="00A1219A">
        <w:rPr>
          <w:sz w:val="20"/>
          <w:lang w:val="es-ES"/>
        </w:rPr>
        <w:t xml:space="preserve">. </w:t>
      </w:r>
    </w:p>
    <w:p w:rsidR="006031A2" w:rsidRPr="00A1219A" w:rsidRDefault="006031A2" w:rsidP="00693812">
      <w:pPr>
        <w:jc w:val="both"/>
        <w:rPr>
          <w:sz w:val="20"/>
          <w:lang w:val="es-ES"/>
        </w:rPr>
      </w:pPr>
    </w:p>
    <w:p w:rsidR="00B829E7" w:rsidRPr="00A1219A" w:rsidRDefault="00B73F06" w:rsidP="00B829E7">
      <w:pPr>
        <w:numPr>
          <w:ilvl w:val="0"/>
          <w:numId w:val="1"/>
        </w:numPr>
        <w:tabs>
          <w:tab w:val="clear" w:pos="900"/>
        </w:tabs>
        <w:ind w:left="0" w:firstLine="720"/>
        <w:jc w:val="both"/>
        <w:rPr>
          <w:sz w:val="20"/>
          <w:lang w:val="es-ES"/>
        </w:rPr>
      </w:pPr>
      <w:r w:rsidRPr="00A1219A">
        <w:rPr>
          <w:sz w:val="20"/>
          <w:lang w:val="es-ES"/>
        </w:rPr>
        <w:t xml:space="preserve">El pueblo Garífuna habita </w:t>
      </w:r>
      <w:r w:rsidR="004F2CD4" w:rsidRPr="00A1219A">
        <w:rPr>
          <w:sz w:val="20"/>
          <w:lang w:val="es-ES"/>
        </w:rPr>
        <w:t xml:space="preserve">en </w:t>
      </w:r>
      <w:smartTag w:uri="urn:schemas-microsoft-com:office:smarttags" w:element="PersonName">
        <w:r w:rsidR="004F2CD4" w:rsidRPr="00A1219A">
          <w:rPr>
            <w:sz w:val="20"/>
            <w:lang w:val="es-ES"/>
          </w:rPr>
          <w:t>Honduras</w:t>
        </w:r>
      </w:smartTag>
      <w:r w:rsidR="004F2CD4" w:rsidRPr="00A1219A">
        <w:rPr>
          <w:sz w:val="20"/>
          <w:lang w:val="es-ES"/>
        </w:rPr>
        <w:t xml:space="preserve"> </w:t>
      </w:r>
      <w:r w:rsidRPr="00A1219A">
        <w:rPr>
          <w:sz w:val="20"/>
          <w:lang w:val="es-ES"/>
        </w:rPr>
        <w:t xml:space="preserve">en comunidades rurales </w:t>
      </w:r>
      <w:r w:rsidR="004F2CD4" w:rsidRPr="00A1219A">
        <w:rPr>
          <w:sz w:val="20"/>
          <w:lang w:val="es-ES"/>
        </w:rPr>
        <w:t xml:space="preserve">ubicadas </w:t>
      </w:r>
      <w:r w:rsidRPr="00A1219A">
        <w:rPr>
          <w:sz w:val="20"/>
          <w:lang w:val="es-ES"/>
        </w:rPr>
        <w:t>en el litoral atlántico o zona costera del Caribe</w:t>
      </w:r>
      <w:r w:rsidR="004F2CD4" w:rsidRPr="00A1219A">
        <w:rPr>
          <w:sz w:val="20"/>
          <w:lang w:val="es-ES"/>
        </w:rPr>
        <w:t xml:space="preserve"> que corresponden a</w:t>
      </w:r>
      <w:r w:rsidRPr="00A1219A">
        <w:rPr>
          <w:sz w:val="20"/>
          <w:lang w:val="es-ES"/>
        </w:rPr>
        <w:t xml:space="preserve"> los departamentos de Cortés, Atlántida, Colón y Gracias a Dios y un número creciente de garífunas vive en ciudades como La Ceiba, Tela, Cortés, Trujillo, San Pedro Sula y Tegucigalpa</w:t>
      </w:r>
      <w:r w:rsidR="00075679" w:rsidRPr="00A1219A">
        <w:rPr>
          <w:sz w:val="20"/>
          <w:lang w:val="es-ES"/>
        </w:rPr>
        <w:t>.</w:t>
      </w:r>
    </w:p>
    <w:p w:rsidR="006031A2" w:rsidRPr="00A1219A" w:rsidRDefault="006031A2" w:rsidP="00B829E7">
      <w:pPr>
        <w:jc w:val="both"/>
        <w:rPr>
          <w:sz w:val="20"/>
          <w:lang w:val="es-ES"/>
        </w:rPr>
      </w:pPr>
    </w:p>
    <w:p w:rsidR="006031A2" w:rsidRPr="00A1219A" w:rsidRDefault="006031A2" w:rsidP="00693812">
      <w:pPr>
        <w:numPr>
          <w:ilvl w:val="0"/>
          <w:numId w:val="1"/>
        </w:numPr>
        <w:tabs>
          <w:tab w:val="clear" w:pos="900"/>
        </w:tabs>
        <w:ind w:left="0" w:firstLine="720"/>
        <w:jc w:val="both"/>
        <w:rPr>
          <w:sz w:val="20"/>
          <w:lang w:val="es-ES"/>
        </w:rPr>
      </w:pPr>
      <w:r w:rsidRPr="00A1219A">
        <w:rPr>
          <w:sz w:val="20"/>
          <w:lang w:val="es-ES"/>
        </w:rPr>
        <w:t xml:space="preserve">El pueblo Garífuna en </w:t>
      </w:r>
      <w:smartTag w:uri="urn:schemas-microsoft-com:office:smarttags" w:element="PersonName">
        <w:r w:rsidRPr="00A1219A">
          <w:rPr>
            <w:sz w:val="20"/>
            <w:lang w:val="es-ES"/>
          </w:rPr>
          <w:t>Honduras</w:t>
        </w:r>
      </w:smartTag>
      <w:r w:rsidRPr="00A1219A">
        <w:rPr>
          <w:sz w:val="20"/>
          <w:lang w:val="es-ES"/>
        </w:rPr>
        <w:t xml:space="preserve"> ha mantenido sus propias formas culturales, organización e instituciones sociales y culturales, forma de vida, cosmovisión, usos, costumbres, prácticas ceremoniales, idioma, vestuario y relación especial con la tierra</w:t>
      </w:r>
      <w:r w:rsidRPr="00A1219A">
        <w:rPr>
          <w:rStyle w:val="Refdenotaalpie"/>
          <w:sz w:val="20"/>
          <w:lang w:val="es-ES"/>
        </w:rPr>
        <w:footnoteReference w:id="9"/>
      </w:r>
      <w:r w:rsidRPr="00A1219A">
        <w:rPr>
          <w:sz w:val="20"/>
          <w:lang w:val="es-ES"/>
        </w:rPr>
        <w:t>.</w:t>
      </w:r>
    </w:p>
    <w:p w:rsidR="006031A2" w:rsidRPr="00A1219A" w:rsidRDefault="006031A2" w:rsidP="00693812">
      <w:pPr>
        <w:jc w:val="both"/>
        <w:rPr>
          <w:sz w:val="20"/>
          <w:lang w:val="es-ES"/>
        </w:rPr>
      </w:pPr>
    </w:p>
    <w:p w:rsidR="006031A2" w:rsidRPr="00A1219A" w:rsidRDefault="0099551A" w:rsidP="00693812">
      <w:pPr>
        <w:numPr>
          <w:ilvl w:val="0"/>
          <w:numId w:val="1"/>
        </w:numPr>
        <w:tabs>
          <w:tab w:val="clear" w:pos="900"/>
        </w:tabs>
        <w:ind w:left="0" w:firstLine="720"/>
        <w:jc w:val="both"/>
        <w:rPr>
          <w:sz w:val="20"/>
          <w:lang w:val="es-ES"/>
        </w:rPr>
      </w:pPr>
      <w:r w:rsidRPr="00A1219A">
        <w:rPr>
          <w:sz w:val="20"/>
          <w:lang w:val="es-ES"/>
        </w:rPr>
        <w:t xml:space="preserve">Para las comunidades </w:t>
      </w:r>
      <w:r w:rsidR="006031A2" w:rsidRPr="00A1219A">
        <w:rPr>
          <w:sz w:val="20"/>
          <w:lang w:val="es-ES"/>
        </w:rPr>
        <w:t>Garífuna la tierra es fundamental en su supervivencia, hay una vivencia permanente con la tierra en armónica relación con los recursos naturales en su territorio.  Esta estrecha relación se refleja en la creencia de los Garífuna de que “</w:t>
      </w:r>
      <w:r w:rsidR="006031A2" w:rsidRPr="00A1219A">
        <w:rPr>
          <w:sz w:val="20"/>
          <w:lang w:val="es-ES"/>
        </w:rPr>
        <w:sym w:font="Symbol" w:char="F05B"/>
      </w:r>
      <w:r w:rsidR="006031A2" w:rsidRPr="00A1219A">
        <w:rPr>
          <w:sz w:val="20"/>
          <w:lang w:val="es-ES"/>
        </w:rPr>
        <w:t>l</w:t>
      </w:r>
      <w:r w:rsidR="006031A2" w:rsidRPr="00A1219A">
        <w:rPr>
          <w:sz w:val="20"/>
          <w:lang w:val="es-ES"/>
        </w:rPr>
        <w:sym w:font="Symbol" w:char="F05D"/>
      </w:r>
      <w:r w:rsidR="006031A2" w:rsidRPr="00A1219A">
        <w:rPr>
          <w:sz w:val="20"/>
          <w:lang w:val="es-ES"/>
        </w:rPr>
        <w:t>a tierra es la madre, es la vida, […] el garífuna sin tierra no es garífuna, el garífuna sin mar no es garífuna”</w:t>
      </w:r>
      <w:r w:rsidR="006031A2" w:rsidRPr="00A1219A">
        <w:rPr>
          <w:rStyle w:val="Refdenotaalpie"/>
          <w:sz w:val="20"/>
          <w:lang w:val="es-ES"/>
        </w:rPr>
        <w:footnoteReference w:id="10"/>
      </w:r>
      <w:r w:rsidR="006031A2" w:rsidRPr="00A1219A">
        <w:rPr>
          <w:sz w:val="20"/>
          <w:lang w:val="es-ES"/>
        </w:rPr>
        <w:t xml:space="preserve">. </w:t>
      </w:r>
    </w:p>
    <w:p w:rsidR="006031A2" w:rsidRPr="00A1219A" w:rsidRDefault="006031A2" w:rsidP="00693812">
      <w:pPr>
        <w:jc w:val="both"/>
        <w:rPr>
          <w:sz w:val="20"/>
          <w:lang w:val="es-ES"/>
        </w:rPr>
      </w:pPr>
    </w:p>
    <w:p w:rsidR="006031A2" w:rsidRPr="00A1219A" w:rsidRDefault="006031A2" w:rsidP="00693812">
      <w:pPr>
        <w:numPr>
          <w:ilvl w:val="0"/>
          <w:numId w:val="1"/>
        </w:numPr>
        <w:tabs>
          <w:tab w:val="clear" w:pos="900"/>
        </w:tabs>
        <w:ind w:left="0" w:firstLine="720"/>
        <w:jc w:val="both"/>
        <w:rPr>
          <w:sz w:val="20"/>
          <w:lang w:val="es-ES"/>
        </w:rPr>
      </w:pPr>
      <w:r w:rsidRPr="00A1219A">
        <w:rPr>
          <w:sz w:val="20"/>
          <w:lang w:val="es-ES"/>
        </w:rPr>
        <w:t xml:space="preserve">Los </w:t>
      </w:r>
      <w:r w:rsidR="00D438F4" w:rsidRPr="00A1219A">
        <w:rPr>
          <w:sz w:val="20"/>
          <w:lang w:val="es-ES"/>
        </w:rPr>
        <w:t>Garífuna</w:t>
      </w:r>
      <w:r w:rsidRPr="00A1219A">
        <w:rPr>
          <w:sz w:val="20"/>
          <w:lang w:val="es-ES"/>
        </w:rPr>
        <w:t xml:space="preserve"> mantienen los usos comunitarios tradicionales de la tierra y otros patrones de trabajo y actividad que reflejan sus orígenes, su hogar en la costa norte de </w:t>
      </w:r>
      <w:smartTag w:uri="urn:schemas-microsoft-com:office:smarttags" w:element="PersonName">
        <w:r w:rsidRPr="00A1219A">
          <w:rPr>
            <w:sz w:val="20"/>
            <w:lang w:val="es-ES"/>
          </w:rPr>
          <w:t>Honduras</w:t>
        </w:r>
      </w:smartTag>
      <w:r w:rsidRPr="00A1219A">
        <w:rPr>
          <w:sz w:val="20"/>
          <w:lang w:val="es-ES"/>
        </w:rPr>
        <w:t>, y su singular cultura</w:t>
      </w:r>
      <w:r w:rsidRPr="00A1219A">
        <w:rPr>
          <w:rStyle w:val="Refdenotaalpie"/>
          <w:sz w:val="20"/>
          <w:lang w:val="es-ES"/>
        </w:rPr>
        <w:footnoteReference w:id="11"/>
      </w:r>
      <w:r w:rsidRPr="00A1219A">
        <w:rPr>
          <w:sz w:val="20"/>
          <w:lang w:val="es-ES"/>
        </w:rPr>
        <w:t xml:space="preserve">. La economía está conformada, entre </w:t>
      </w:r>
      <w:r w:rsidR="0099551A" w:rsidRPr="00A1219A">
        <w:rPr>
          <w:sz w:val="20"/>
          <w:lang w:val="es-ES"/>
        </w:rPr>
        <w:t xml:space="preserve">otros, por la pesca artesanal, </w:t>
      </w:r>
      <w:r w:rsidRPr="00A1219A">
        <w:rPr>
          <w:sz w:val="20"/>
          <w:lang w:val="es-ES"/>
        </w:rPr>
        <w:t xml:space="preserve">el cultivo de arroz, </w:t>
      </w:r>
      <w:r w:rsidRPr="00A1219A">
        <w:rPr>
          <w:sz w:val="20"/>
          <w:lang w:val="es-ES"/>
        </w:rPr>
        <w:lastRenderedPageBreak/>
        <w:t xml:space="preserve">mandioca, banano y yuca, y </w:t>
      </w:r>
      <w:r w:rsidRPr="00A1219A">
        <w:rPr>
          <w:rFonts w:cs="Arial"/>
          <w:sz w:val="20"/>
          <w:lang w:val="es-ES"/>
        </w:rPr>
        <w:t>la caza de pequeños animales del mar y el bosque tales como ciervos, agutíes, tortugas y manatíes</w:t>
      </w:r>
      <w:r w:rsidRPr="00A1219A">
        <w:rPr>
          <w:rStyle w:val="Refdenotaalpie"/>
          <w:sz w:val="20"/>
          <w:lang w:val="es-ES"/>
        </w:rPr>
        <w:footnoteReference w:id="12"/>
      </w:r>
      <w:r w:rsidRPr="00A1219A">
        <w:rPr>
          <w:sz w:val="20"/>
          <w:lang w:val="es-ES"/>
        </w:rPr>
        <w:t xml:space="preserve">. </w:t>
      </w:r>
    </w:p>
    <w:p w:rsidR="006031A2" w:rsidRPr="00A1219A" w:rsidRDefault="006031A2" w:rsidP="00693812">
      <w:pPr>
        <w:jc w:val="both"/>
        <w:rPr>
          <w:sz w:val="20"/>
          <w:lang w:val="es-ES"/>
        </w:rPr>
      </w:pPr>
    </w:p>
    <w:p w:rsidR="006031A2" w:rsidRPr="00A1219A" w:rsidRDefault="006031A2" w:rsidP="00693812">
      <w:pPr>
        <w:numPr>
          <w:ilvl w:val="0"/>
          <w:numId w:val="1"/>
        </w:numPr>
        <w:tabs>
          <w:tab w:val="clear" w:pos="900"/>
        </w:tabs>
        <w:ind w:left="0" w:firstLine="720"/>
        <w:jc w:val="both"/>
        <w:rPr>
          <w:sz w:val="20"/>
          <w:lang w:val="es-ES"/>
        </w:rPr>
      </w:pPr>
      <w:r w:rsidRPr="00A1219A">
        <w:rPr>
          <w:sz w:val="20"/>
          <w:lang w:val="es-ES"/>
        </w:rPr>
        <w:t>La playa y el mar son parte de la identidad étnica y cultural garifunas, pues además de tener un valor fundamental para su subsistencia, están vinculados a su historia, por lo que son elementos importantes en ceremonias religiosas y de conmemoración de su llegada por mar a Centroamericana</w:t>
      </w:r>
      <w:r w:rsidRPr="00A1219A">
        <w:rPr>
          <w:rStyle w:val="Refdenotaalpie"/>
          <w:sz w:val="20"/>
          <w:lang w:val="es-ES"/>
        </w:rPr>
        <w:footnoteReference w:id="13"/>
      </w:r>
      <w:r w:rsidRPr="00A1219A">
        <w:rPr>
          <w:sz w:val="20"/>
          <w:lang w:val="es-ES"/>
        </w:rPr>
        <w:t>.</w:t>
      </w:r>
    </w:p>
    <w:p w:rsidR="006031A2" w:rsidRPr="00A1219A" w:rsidRDefault="006031A2" w:rsidP="00693812">
      <w:pPr>
        <w:jc w:val="both"/>
        <w:rPr>
          <w:sz w:val="20"/>
          <w:lang w:val="es-ES"/>
        </w:rPr>
      </w:pPr>
    </w:p>
    <w:p w:rsidR="006031A2" w:rsidRPr="00A1219A" w:rsidRDefault="006031A2" w:rsidP="00693812">
      <w:pPr>
        <w:numPr>
          <w:ilvl w:val="0"/>
          <w:numId w:val="1"/>
        </w:numPr>
        <w:tabs>
          <w:tab w:val="clear" w:pos="900"/>
        </w:tabs>
        <w:ind w:left="0" w:firstLine="720"/>
        <w:jc w:val="both"/>
        <w:rPr>
          <w:sz w:val="20"/>
          <w:lang w:val="es-ES"/>
        </w:rPr>
      </w:pPr>
      <w:r w:rsidRPr="00A1219A">
        <w:rPr>
          <w:sz w:val="20"/>
          <w:lang w:val="es-ES"/>
        </w:rPr>
        <w:t>La identidad del pueblo Garífuna se ve reforzada por la existencia de un idioma propio que se basa en “los idiomas amerindios arawak y caribe, e incorpora palabras del francés, el español y el inglés</w:t>
      </w:r>
      <w:r w:rsidRPr="00A1219A">
        <w:rPr>
          <w:rStyle w:val="Refdenotaalpie"/>
          <w:sz w:val="20"/>
          <w:lang w:val="es-ES"/>
        </w:rPr>
        <w:footnoteReference w:id="14"/>
      </w:r>
      <w:r w:rsidRPr="00A1219A">
        <w:rPr>
          <w:sz w:val="20"/>
          <w:lang w:val="es-ES"/>
        </w:rPr>
        <w:t>”, y por las formas de organización ancestral alrededor de las manifestaciones culturales, como son los cuadros de danza, que juegan un papel importante no solo en la conservación de la cultura, sino también en la comunicación y la transmisión oral de su historia. Dado el valor cultural que representa el lenguaje, la danza y la música garífuna, basadas en una cultura oral, la Organización de Naciones Unidas para la Educación, Ciencia y Cultura (UNESCO) las declaró Obra Maestra del Patrimonio Oral e Inmaterial de la Humanidad en el 2001</w:t>
      </w:r>
      <w:r w:rsidRPr="00A1219A">
        <w:rPr>
          <w:rStyle w:val="Refdenotaalpie"/>
          <w:sz w:val="20"/>
          <w:lang w:val="es-ES"/>
        </w:rPr>
        <w:footnoteReference w:id="15"/>
      </w:r>
      <w:r w:rsidRPr="00A1219A">
        <w:rPr>
          <w:sz w:val="20"/>
          <w:lang w:val="es-ES"/>
        </w:rPr>
        <w:t>.</w:t>
      </w:r>
    </w:p>
    <w:p w:rsidR="006031A2" w:rsidRPr="00A1219A" w:rsidRDefault="006031A2" w:rsidP="00693812">
      <w:pPr>
        <w:jc w:val="both"/>
        <w:rPr>
          <w:sz w:val="20"/>
          <w:lang w:val="es-ES"/>
        </w:rPr>
      </w:pPr>
    </w:p>
    <w:p w:rsidR="006031A2" w:rsidRPr="00A1219A" w:rsidRDefault="00B829E7" w:rsidP="00693812">
      <w:pPr>
        <w:numPr>
          <w:ilvl w:val="0"/>
          <w:numId w:val="1"/>
        </w:numPr>
        <w:tabs>
          <w:tab w:val="clear" w:pos="900"/>
        </w:tabs>
        <w:ind w:left="0" w:firstLine="720"/>
        <w:jc w:val="both"/>
        <w:rPr>
          <w:sz w:val="20"/>
          <w:lang w:val="es-ES"/>
        </w:rPr>
      </w:pPr>
      <w:r w:rsidRPr="00A1219A">
        <w:rPr>
          <w:sz w:val="20"/>
          <w:lang w:val="es-ES"/>
        </w:rPr>
        <w:t>Las comunidades G</w:t>
      </w:r>
      <w:r w:rsidR="0099551A" w:rsidRPr="00A1219A">
        <w:rPr>
          <w:sz w:val="20"/>
          <w:lang w:val="es-ES"/>
        </w:rPr>
        <w:t xml:space="preserve">arífuna </w:t>
      </w:r>
      <w:r w:rsidR="006031A2" w:rsidRPr="00A1219A">
        <w:rPr>
          <w:sz w:val="20"/>
          <w:lang w:val="es-ES"/>
        </w:rPr>
        <w:t>poseen diferentes formas de organización social, algunas de carácter tradicional y otras que han sido producto de la necesidad de defender sus derechos y territorios. El matriarcado prevalece en su cultura, lo que refuerza considerablemente el papel de la mujer en materia educativa, política, económica y social, aspectos en los cuales las mujeres participan conjuntamente con los hombres</w:t>
      </w:r>
      <w:r w:rsidR="006031A2" w:rsidRPr="00A1219A">
        <w:rPr>
          <w:rStyle w:val="Refdenotaalpie"/>
          <w:sz w:val="20"/>
          <w:lang w:val="es-ES"/>
        </w:rPr>
        <w:footnoteReference w:id="16"/>
      </w:r>
      <w:r w:rsidR="006031A2" w:rsidRPr="00A1219A">
        <w:rPr>
          <w:sz w:val="20"/>
          <w:lang w:val="es-ES"/>
        </w:rPr>
        <w:t>. Por otra parte, la poligamia masculina es admisible dentro de la cultura garífuna</w:t>
      </w:r>
      <w:r w:rsidR="006031A2" w:rsidRPr="00A1219A">
        <w:rPr>
          <w:rStyle w:val="Refdenotaalpie"/>
          <w:sz w:val="20"/>
          <w:lang w:val="es-ES"/>
        </w:rPr>
        <w:footnoteReference w:id="17"/>
      </w:r>
      <w:r w:rsidR="006031A2" w:rsidRPr="00A1219A">
        <w:rPr>
          <w:sz w:val="20"/>
          <w:lang w:val="es-ES"/>
        </w:rPr>
        <w:t>.</w:t>
      </w:r>
    </w:p>
    <w:p w:rsidR="00B0346A" w:rsidRPr="00A1219A" w:rsidRDefault="00B0346A" w:rsidP="00B0346A">
      <w:pPr>
        <w:ind w:left="720" w:right="720"/>
        <w:jc w:val="both"/>
        <w:rPr>
          <w:rFonts w:cs="Arial"/>
          <w:sz w:val="18"/>
          <w:szCs w:val="18"/>
          <w:lang w:val="es-ES"/>
        </w:rPr>
      </w:pPr>
    </w:p>
    <w:p w:rsidR="00B0346A" w:rsidRPr="00A1219A" w:rsidRDefault="00B0346A" w:rsidP="00B0346A">
      <w:pPr>
        <w:ind w:left="720" w:right="720"/>
        <w:jc w:val="both"/>
        <w:rPr>
          <w:rFonts w:cs="Arial"/>
          <w:sz w:val="18"/>
          <w:szCs w:val="18"/>
          <w:lang w:val="es-ES"/>
        </w:rPr>
      </w:pPr>
      <w:r w:rsidRPr="00A1219A">
        <w:rPr>
          <w:rFonts w:cs="Arial"/>
          <w:sz w:val="18"/>
          <w:szCs w:val="18"/>
          <w:lang w:val="es-ES"/>
        </w:rPr>
        <w:t xml:space="preserve">EI pueblo Garífuna de </w:t>
      </w:r>
      <w:smartTag w:uri="urn:schemas-microsoft-com:office:smarttags" w:element="PersonName">
        <w:r w:rsidRPr="00A1219A">
          <w:rPr>
            <w:rFonts w:cs="Arial"/>
            <w:sz w:val="18"/>
            <w:szCs w:val="18"/>
            <w:lang w:val="es-ES"/>
          </w:rPr>
          <w:t>Honduras</w:t>
        </w:r>
      </w:smartTag>
      <w:r w:rsidRPr="00A1219A">
        <w:rPr>
          <w:rFonts w:cs="Arial"/>
          <w:sz w:val="18"/>
          <w:szCs w:val="18"/>
          <w:lang w:val="es-ES"/>
        </w:rPr>
        <w:t xml:space="preserve"> esta ubicado a lo largo de la costa atlántica de </w:t>
      </w:r>
      <w:smartTag w:uri="urn:schemas-microsoft-com:office:smarttags" w:element="PersonName">
        <w:r w:rsidRPr="00A1219A">
          <w:rPr>
            <w:rFonts w:cs="Arial"/>
            <w:sz w:val="18"/>
            <w:szCs w:val="18"/>
            <w:lang w:val="es-ES"/>
          </w:rPr>
          <w:t>Honduras</w:t>
        </w:r>
      </w:smartTag>
      <w:r w:rsidRPr="00A1219A">
        <w:rPr>
          <w:rFonts w:cs="Arial"/>
          <w:sz w:val="18"/>
          <w:szCs w:val="18"/>
          <w:lang w:val="es-ES"/>
        </w:rPr>
        <w:t xml:space="preserve">, cuenta con aproximadamente 200,000 habitantes diseminadas en 46 comunidades, por' mas 205 años. Forma parte de la identidad cultural de la hondureña. </w:t>
      </w:r>
    </w:p>
    <w:p w:rsidR="00B0346A" w:rsidRPr="00A1219A" w:rsidRDefault="00B0346A" w:rsidP="00B0346A">
      <w:pPr>
        <w:ind w:left="720" w:right="720"/>
        <w:jc w:val="both"/>
        <w:rPr>
          <w:rFonts w:cs="Arial"/>
          <w:sz w:val="18"/>
          <w:szCs w:val="18"/>
          <w:lang w:val="es-ES"/>
        </w:rPr>
      </w:pPr>
    </w:p>
    <w:p w:rsidR="00B0346A" w:rsidRPr="00A1219A" w:rsidRDefault="00B0346A" w:rsidP="00B0346A">
      <w:pPr>
        <w:ind w:left="720" w:right="720"/>
        <w:jc w:val="both"/>
        <w:rPr>
          <w:rFonts w:cs="Arial"/>
          <w:sz w:val="18"/>
          <w:szCs w:val="18"/>
          <w:lang w:val="es-ES"/>
        </w:rPr>
      </w:pPr>
      <w:r w:rsidRPr="00A1219A">
        <w:rPr>
          <w:rFonts w:cs="Arial"/>
          <w:sz w:val="18"/>
          <w:szCs w:val="18"/>
          <w:lang w:val="es-ES"/>
        </w:rPr>
        <w:t>Históricamente se ha caracterizado por ser un pueblo pacifico, respetuoso de la naturaleza por lo que las zonas habitadas por dicho pueblo cuentan con recursos naturales que les permite recrear y desarrollar su cultura.</w:t>
      </w:r>
    </w:p>
    <w:p w:rsidR="00B0346A" w:rsidRPr="00A1219A" w:rsidRDefault="00B0346A" w:rsidP="00B0346A">
      <w:pPr>
        <w:ind w:left="720" w:right="720"/>
        <w:jc w:val="both"/>
        <w:rPr>
          <w:rFonts w:cs="Arial"/>
          <w:sz w:val="18"/>
          <w:szCs w:val="18"/>
          <w:lang w:val="es-ES"/>
        </w:rPr>
      </w:pPr>
    </w:p>
    <w:p w:rsidR="00B0346A" w:rsidRPr="00A1219A" w:rsidRDefault="00B0346A" w:rsidP="00B0346A">
      <w:pPr>
        <w:ind w:left="720" w:right="720"/>
        <w:jc w:val="both"/>
        <w:rPr>
          <w:rFonts w:cs="Arial"/>
          <w:sz w:val="18"/>
          <w:szCs w:val="18"/>
          <w:lang w:val="es-ES"/>
        </w:rPr>
      </w:pPr>
      <w:r w:rsidRPr="00A1219A">
        <w:rPr>
          <w:rFonts w:cs="Arial"/>
          <w:sz w:val="18"/>
          <w:szCs w:val="18"/>
          <w:lang w:val="es-ES"/>
        </w:rPr>
        <w:lastRenderedPageBreak/>
        <w:t>Por la importancia de los recursos naturales para el desarrollo del pueblo Garifuna y para el pueblo hondureño en general, se precisa que el Estado tome medidas tendientes a garantizar la preservación de dichos recursos naturales</w:t>
      </w:r>
      <w:r w:rsidR="007E4457">
        <w:rPr>
          <w:rFonts w:cs="Arial"/>
          <w:sz w:val="18"/>
          <w:szCs w:val="18"/>
          <w:lang w:val="es-ES"/>
        </w:rPr>
        <w:t xml:space="preserve"> [sic]</w:t>
      </w:r>
      <w:r w:rsidRPr="00A1219A">
        <w:rPr>
          <w:rStyle w:val="Refdenotaalpie"/>
          <w:sz w:val="18"/>
          <w:szCs w:val="18"/>
          <w:lang w:val="es-ES"/>
        </w:rPr>
        <w:footnoteReference w:id="18"/>
      </w:r>
      <w:r w:rsidRPr="00A1219A">
        <w:rPr>
          <w:rFonts w:cs="Arial"/>
          <w:sz w:val="18"/>
          <w:szCs w:val="18"/>
          <w:lang w:val="es-ES"/>
        </w:rPr>
        <w:t>.</w:t>
      </w:r>
    </w:p>
    <w:p w:rsidR="00B829E7" w:rsidRPr="00A1219A" w:rsidRDefault="00B829E7" w:rsidP="00B829E7">
      <w:pPr>
        <w:jc w:val="both"/>
        <w:rPr>
          <w:sz w:val="20"/>
          <w:lang w:val="es-ES"/>
        </w:rPr>
      </w:pPr>
    </w:p>
    <w:p w:rsidR="00B829E7" w:rsidRPr="00A1219A" w:rsidRDefault="00B829E7" w:rsidP="00B829E7">
      <w:pPr>
        <w:pStyle w:val="Ttulo2"/>
        <w:spacing w:before="0" w:after="0"/>
        <w:ind w:left="1440" w:hanging="720"/>
        <w:jc w:val="both"/>
        <w:rPr>
          <w:rFonts w:ascii="Univers" w:hAnsi="Univers"/>
          <w:i w:val="0"/>
          <w:iCs w:val="0"/>
          <w:sz w:val="20"/>
          <w:lang w:val="es-ES"/>
        </w:rPr>
      </w:pPr>
      <w:bookmarkStart w:id="16" w:name="_Toc350183578"/>
      <w:r w:rsidRPr="00A1219A">
        <w:rPr>
          <w:rFonts w:ascii="Univers" w:hAnsi="Univers"/>
          <w:i w:val="0"/>
          <w:iCs w:val="0"/>
          <w:sz w:val="20"/>
          <w:lang w:val="es-ES"/>
        </w:rPr>
        <w:t>B.</w:t>
      </w:r>
      <w:r w:rsidRPr="00A1219A">
        <w:rPr>
          <w:rFonts w:ascii="Univers" w:hAnsi="Univers"/>
          <w:i w:val="0"/>
          <w:iCs w:val="0"/>
          <w:sz w:val="20"/>
          <w:lang w:val="es-ES"/>
        </w:rPr>
        <w:tab/>
        <w:t>Comunidad Garífuna de Punta Piedra</w:t>
      </w:r>
      <w:bookmarkEnd w:id="16"/>
    </w:p>
    <w:p w:rsidR="00B829E7" w:rsidRPr="00A1219A" w:rsidRDefault="00B829E7" w:rsidP="00B829E7">
      <w:pPr>
        <w:jc w:val="both"/>
        <w:rPr>
          <w:sz w:val="20"/>
          <w:lang w:val="es-ES"/>
        </w:rPr>
      </w:pPr>
    </w:p>
    <w:p w:rsidR="00B829E7" w:rsidRPr="00A1219A" w:rsidRDefault="00B829E7" w:rsidP="00B829E7">
      <w:pPr>
        <w:numPr>
          <w:ilvl w:val="0"/>
          <w:numId w:val="1"/>
        </w:numPr>
        <w:tabs>
          <w:tab w:val="clear" w:pos="900"/>
        </w:tabs>
        <w:ind w:left="0" w:firstLine="720"/>
        <w:jc w:val="both"/>
        <w:rPr>
          <w:sz w:val="20"/>
          <w:lang w:val="es-ES"/>
        </w:rPr>
      </w:pPr>
      <w:r w:rsidRPr="00A1219A">
        <w:rPr>
          <w:sz w:val="20"/>
          <w:lang w:val="es-ES"/>
        </w:rPr>
        <w:t xml:space="preserve">La Comunidad Garífuna de Punta Piedra se ubica en el Municipio de </w:t>
      </w:r>
      <w:proofErr w:type="spellStart"/>
      <w:r w:rsidRPr="00A1219A">
        <w:rPr>
          <w:sz w:val="20"/>
          <w:lang w:val="es-ES"/>
        </w:rPr>
        <w:t>Iriona</w:t>
      </w:r>
      <w:proofErr w:type="spellEnd"/>
      <w:r w:rsidRPr="00A1219A">
        <w:rPr>
          <w:sz w:val="20"/>
          <w:lang w:val="es-ES"/>
        </w:rPr>
        <w:t>, Departamento de Colón, a orillas del mar caribe</w:t>
      </w:r>
      <w:r w:rsidRPr="00A1219A">
        <w:rPr>
          <w:rStyle w:val="Refdenotaalpie"/>
          <w:sz w:val="20"/>
          <w:lang w:val="es-ES"/>
        </w:rPr>
        <w:footnoteReference w:id="19"/>
      </w:r>
      <w:r w:rsidR="008C309A" w:rsidRPr="00A1219A">
        <w:rPr>
          <w:sz w:val="20"/>
          <w:lang w:val="es-ES"/>
        </w:rPr>
        <w:t xml:space="preserve"> y está compuesta por </w:t>
      </w:r>
      <w:r w:rsidR="004168A2" w:rsidRPr="00A1219A">
        <w:rPr>
          <w:sz w:val="20"/>
          <w:lang w:val="es-ES"/>
        </w:rPr>
        <w:t>aproximada</w:t>
      </w:r>
      <w:r w:rsidR="008C309A" w:rsidRPr="00A1219A">
        <w:rPr>
          <w:sz w:val="20"/>
          <w:lang w:val="es-ES"/>
        </w:rPr>
        <w:t>mente</w:t>
      </w:r>
      <w:r w:rsidR="004168A2" w:rsidRPr="00A1219A">
        <w:rPr>
          <w:sz w:val="20"/>
          <w:lang w:val="es-ES"/>
        </w:rPr>
        <w:t xml:space="preserve"> 1.500 personas</w:t>
      </w:r>
      <w:r w:rsidR="004168A2" w:rsidRPr="00A1219A">
        <w:rPr>
          <w:rStyle w:val="Refdenotaalpie"/>
          <w:sz w:val="20"/>
          <w:lang w:val="es-ES"/>
        </w:rPr>
        <w:footnoteReference w:id="20"/>
      </w:r>
      <w:r w:rsidR="004168A2" w:rsidRPr="00A1219A">
        <w:rPr>
          <w:sz w:val="20"/>
          <w:lang w:val="es-ES"/>
        </w:rPr>
        <w:t>.</w:t>
      </w:r>
      <w:r w:rsidR="008C309A" w:rsidRPr="00A1219A">
        <w:rPr>
          <w:sz w:val="20"/>
          <w:lang w:val="es-ES"/>
        </w:rPr>
        <w:t xml:space="preserve"> Las partes coinciden en que la Comunidad de Punta Piedra habita la zona desde tiempos inmemoriales.</w:t>
      </w:r>
    </w:p>
    <w:p w:rsidR="008C309A" w:rsidRPr="00A1219A" w:rsidRDefault="008C309A" w:rsidP="00693812">
      <w:pPr>
        <w:pStyle w:val="Ttulo2"/>
        <w:spacing w:before="0" w:after="0"/>
        <w:ind w:left="1440" w:hanging="720"/>
        <w:jc w:val="both"/>
        <w:rPr>
          <w:rFonts w:ascii="Univers" w:hAnsi="Univers"/>
          <w:i w:val="0"/>
          <w:iCs w:val="0"/>
          <w:sz w:val="20"/>
          <w:lang w:val="es-ES"/>
        </w:rPr>
      </w:pPr>
      <w:bookmarkStart w:id="17" w:name="_Toc336247999"/>
    </w:p>
    <w:p w:rsidR="006031A2" w:rsidRPr="00A1219A" w:rsidRDefault="00B829E7" w:rsidP="00693812">
      <w:pPr>
        <w:pStyle w:val="Ttulo2"/>
        <w:spacing w:before="0" w:after="0"/>
        <w:ind w:left="1440" w:hanging="720"/>
        <w:jc w:val="both"/>
        <w:rPr>
          <w:rFonts w:ascii="Univers" w:hAnsi="Univers"/>
          <w:i w:val="0"/>
          <w:iCs w:val="0"/>
          <w:sz w:val="20"/>
          <w:lang w:val="es-ES"/>
        </w:rPr>
      </w:pPr>
      <w:bookmarkStart w:id="18" w:name="_Toc350183579"/>
      <w:r w:rsidRPr="00A1219A">
        <w:rPr>
          <w:rFonts w:ascii="Univers" w:hAnsi="Univers"/>
          <w:i w:val="0"/>
          <w:iCs w:val="0"/>
          <w:sz w:val="20"/>
          <w:lang w:val="es-ES"/>
        </w:rPr>
        <w:t>C.</w:t>
      </w:r>
      <w:r w:rsidRPr="00A1219A">
        <w:rPr>
          <w:rFonts w:ascii="Univers" w:hAnsi="Univers"/>
          <w:i w:val="0"/>
          <w:iCs w:val="0"/>
          <w:sz w:val="20"/>
          <w:lang w:val="es-ES"/>
        </w:rPr>
        <w:tab/>
      </w:r>
      <w:r w:rsidR="006031A2" w:rsidRPr="00A1219A">
        <w:rPr>
          <w:rFonts w:ascii="Univers" w:hAnsi="Univers"/>
          <w:i w:val="0"/>
          <w:iCs w:val="0"/>
          <w:sz w:val="20"/>
          <w:lang w:val="es-ES"/>
        </w:rPr>
        <w:t>Proceso de reconocimiento y titulación del t</w:t>
      </w:r>
      <w:r w:rsidR="00AC41B8" w:rsidRPr="00A1219A">
        <w:rPr>
          <w:rFonts w:ascii="Univers" w:hAnsi="Univers"/>
          <w:i w:val="0"/>
          <w:iCs w:val="0"/>
          <w:sz w:val="20"/>
          <w:lang w:val="es-ES"/>
        </w:rPr>
        <w:t>erritorio de la Comunidad de Punta Piedra</w:t>
      </w:r>
      <w:r w:rsidR="006031A2" w:rsidRPr="00A1219A">
        <w:rPr>
          <w:rFonts w:ascii="Univers" w:hAnsi="Univers"/>
          <w:i w:val="0"/>
          <w:iCs w:val="0"/>
          <w:sz w:val="20"/>
          <w:lang w:val="es-ES"/>
        </w:rPr>
        <w:t xml:space="preserve"> y sus miembros</w:t>
      </w:r>
      <w:bookmarkEnd w:id="17"/>
      <w:r w:rsidR="00AD1FB1" w:rsidRPr="00A1219A">
        <w:rPr>
          <w:rFonts w:ascii="Univers" w:hAnsi="Univers"/>
          <w:i w:val="0"/>
          <w:iCs w:val="0"/>
          <w:sz w:val="20"/>
          <w:lang w:val="es-ES"/>
        </w:rPr>
        <w:t xml:space="preserve"> por parte del Estado</w:t>
      </w:r>
      <w:bookmarkEnd w:id="18"/>
    </w:p>
    <w:p w:rsidR="006031A2" w:rsidRPr="00A1219A" w:rsidRDefault="006031A2" w:rsidP="00693812">
      <w:pPr>
        <w:jc w:val="both"/>
        <w:rPr>
          <w:sz w:val="20"/>
          <w:lang w:val="es-ES"/>
        </w:rPr>
      </w:pPr>
    </w:p>
    <w:p w:rsidR="003B3DDE" w:rsidRPr="00A1219A" w:rsidRDefault="0099551A" w:rsidP="005C796B">
      <w:pPr>
        <w:numPr>
          <w:ilvl w:val="0"/>
          <w:numId w:val="1"/>
        </w:numPr>
        <w:tabs>
          <w:tab w:val="clear" w:pos="900"/>
        </w:tabs>
        <w:ind w:left="0" w:firstLine="720"/>
        <w:jc w:val="both"/>
        <w:rPr>
          <w:sz w:val="20"/>
          <w:lang w:val="es-ES"/>
        </w:rPr>
      </w:pPr>
      <w:r w:rsidRPr="00A1219A">
        <w:rPr>
          <w:sz w:val="20"/>
          <w:lang w:val="es-ES"/>
        </w:rPr>
        <w:t>L</w:t>
      </w:r>
      <w:r w:rsidR="00CC0260" w:rsidRPr="00A1219A">
        <w:rPr>
          <w:sz w:val="20"/>
          <w:lang w:val="es-ES"/>
        </w:rPr>
        <w:t xml:space="preserve">a Comunidad </w:t>
      </w:r>
      <w:r w:rsidRPr="00A1219A">
        <w:rPr>
          <w:sz w:val="20"/>
          <w:lang w:val="es-ES"/>
        </w:rPr>
        <w:t xml:space="preserve">Garífuna </w:t>
      </w:r>
      <w:r w:rsidR="00CC0260" w:rsidRPr="00A1219A">
        <w:rPr>
          <w:sz w:val="20"/>
          <w:lang w:val="es-ES"/>
        </w:rPr>
        <w:t xml:space="preserve">de Punta Piedra </w:t>
      </w:r>
      <w:r w:rsidRPr="00A1219A">
        <w:rPr>
          <w:sz w:val="20"/>
          <w:lang w:val="es-ES"/>
        </w:rPr>
        <w:t>ha realizado</w:t>
      </w:r>
      <w:r w:rsidR="00CC0260" w:rsidRPr="00A1219A">
        <w:rPr>
          <w:sz w:val="20"/>
          <w:lang w:val="es-ES"/>
        </w:rPr>
        <w:t xml:space="preserve"> una serie de acciones ante el Estado hondureño para lograr el recono</w:t>
      </w:r>
      <w:r w:rsidR="00234445" w:rsidRPr="00A1219A">
        <w:rPr>
          <w:sz w:val="20"/>
          <w:lang w:val="es-ES"/>
        </w:rPr>
        <w:t xml:space="preserve">cimiento y garantía efectiva del </w:t>
      </w:r>
      <w:r w:rsidRPr="00A1219A">
        <w:rPr>
          <w:sz w:val="20"/>
          <w:lang w:val="es-ES"/>
        </w:rPr>
        <w:t>territorio</w:t>
      </w:r>
      <w:r w:rsidR="00234445" w:rsidRPr="00A1219A">
        <w:rPr>
          <w:sz w:val="20"/>
          <w:lang w:val="es-ES"/>
        </w:rPr>
        <w:t xml:space="preserve"> ocupado históricamente</w:t>
      </w:r>
      <w:r w:rsidR="00CC0260" w:rsidRPr="00A1219A">
        <w:rPr>
          <w:sz w:val="20"/>
          <w:lang w:val="es-ES"/>
        </w:rPr>
        <w:t>, con base en la normativa disponible en el ordenamiento interno.</w:t>
      </w:r>
      <w:r w:rsidR="00791860" w:rsidRPr="00A1219A">
        <w:rPr>
          <w:sz w:val="20"/>
          <w:lang w:val="es-ES"/>
        </w:rPr>
        <w:t xml:space="preserve"> </w:t>
      </w:r>
      <w:r w:rsidR="00424CF3" w:rsidRPr="00A1219A">
        <w:rPr>
          <w:sz w:val="20"/>
          <w:lang w:val="es-ES"/>
        </w:rPr>
        <w:t>Por su parte, el Estado ha reconocido y titulado el territorio de la Comunidad mediante diversos actos jurídicos, los cuales, d</w:t>
      </w:r>
      <w:r w:rsidR="00CC0260" w:rsidRPr="00A1219A">
        <w:rPr>
          <w:sz w:val="20"/>
          <w:lang w:val="es-ES"/>
        </w:rPr>
        <w:t>e acuerdo a la prueba aportada por las partes</w:t>
      </w:r>
      <w:r w:rsidR="00DD320F" w:rsidRPr="00A1219A">
        <w:rPr>
          <w:sz w:val="20"/>
          <w:lang w:val="es-ES"/>
        </w:rPr>
        <w:t>, se detallan a continuación</w:t>
      </w:r>
      <w:r w:rsidR="000E6483" w:rsidRPr="00A1219A">
        <w:rPr>
          <w:sz w:val="20"/>
          <w:lang w:val="es-ES"/>
        </w:rPr>
        <w:t>:</w:t>
      </w:r>
    </w:p>
    <w:p w:rsidR="00CF4A25" w:rsidRPr="00A1219A" w:rsidRDefault="00CF4A25" w:rsidP="00DD320F">
      <w:pPr>
        <w:pStyle w:val="Ttulo3"/>
        <w:spacing w:before="0" w:after="0"/>
        <w:ind w:left="1440" w:hanging="720"/>
        <w:rPr>
          <w:rFonts w:ascii="Univers" w:hAnsi="Univers"/>
          <w:sz w:val="20"/>
          <w:szCs w:val="20"/>
          <w:lang w:val="es-ES"/>
        </w:rPr>
      </w:pPr>
    </w:p>
    <w:p w:rsidR="00DD320F" w:rsidRPr="00A1219A" w:rsidRDefault="00F3571A" w:rsidP="00DD320F">
      <w:pPr>
        <w:pStyle w:val="Ttulo3"/>
        <w:spacing w:before="0" w:after="0"/>
        <w:ind w:left="1440" w:hanging="720"/>
        <w:rPr>
          <w:rFonts w:ascii="Univers" w:hAnsi="Univers"/>
          <w:sz w:val="20"/>
          <w:szCs w:val="20"/>
          <w:lang w:val="es-ES"/>
        </w:rPr>
      </w:pPr>
      <w:bookmarkStart w:id="19" w:name="_Toc350183580"/>
      <w:r>
        <w:rPr>
          <w:rFonts w:ascii="Univers" w:hAnsi="Univers"/>
          <w:sz w:val="20"/>
          <w:szCs w:val="20"/>
          <w:lang w:val="es-ES"/>
        </w:rPr>
        <w:t>1.</w:t>
      </w:r>
      <w:r>
        <w:rPr>
          <w:rFonts w:ascii="Univers" w:hAnsi="Univers"/>
          <w:sz w:val="20"/>
          <w:szCs w:val="20"/>
          <w:lang w:val="es-ES"/>
        </w:rPr>
        <w:tab/>
        <w:t>Título Ejidal</w:t>
      </w:r>
      <w:bookmarkEnd w:id="19"/>
    </w:p>
    <w:p w:rsidR="00DD320F" w:rsidRPr="00A1219A" w:rsidRDefault="00DD320F" w:rsidP="00DD320F">
      <w:pPr>
        <w:jc w:val="both"/>
        <w:rPr>
          <w:sz w:val="20"/>
          <w:lang w:val="es-ES"/>
        </w:rPr>
      </w:pPr>
    </w:p>
    <w:p w:rsidR="00DD320F" w:rsidRPr="00A1219A" w:rsidRDefault="00F3571A" w:rsidP="005C796B">
      <w:pPr>
        <w:numPr>
          <w:ilvl w:val="0"/>
          <w:numId w:val="1"/>
        </w:numPr>
        <w:tabs>
          <w:tab w:val="clear" w:pos="900"/>
        </w:tabs>
        <w:ind w:left="0" w:firstLine="720"/>
        <w:jc w:val="both"/>
        <w:rPr>
          <w:sz w:val="20"/>
          <w:lang w:val="es-ES"/>
        </w:rPr>
      </w:pPr>
      <w:r>
        <w:rPr>
          <w:sz w:val="20"/>
          <w:lang w:val="es-ES"/>
        </w:rPr>
        <w:t>E</w:t>
      </w:r>
      <w:r w:rsidR="00DD320F" w:rsidRPr="00A1219A">
        <w:rPr>
          <w:sz w:val="20"/>
          <w:lang w:val="es-ES"/>
        </w:rPr>
        <w:t xml:space="preserve">l Estado de </w:t>
      </w:r>
      <w:smartTag w:uri="urn:schemas-microsoft-com:office:smarttags" w:element="PersonName">
        <w:r w:rsidR="00DD320F" w:rsidRPr="00A1219A">
          <w:rPr>
            <w:sz w:val="20"/>
            <w:lang w:val="es-ES"/>
          </w:rPr>
          <w:t>Honduras</w:t>
        </w:r>
      </w:smartTag>
      <w:r w:rsidR="00DD320F" w:rsidRPr="00A1219A">
        <w:rPr>
          <w:sz w:val="20"/>
          <w:lang w:val="es-ES"/>
        </w:rPr>
        <w:t xml:space="preserve"> en aplicación de la Ley Agraria vigente </w:t>
      </w:r>
      <w:r>
        <w:rPr>
          <w:sz w:val="20"/>
          <w:lang w:val="es-ES"/>
        </w:rPr>
        <w:t>en la década del 20</w:t>
      </w:r>
      <w:r w:rsidR="00DD320F" w:rsidRPr="00A1219A">
        <w:rPr>
          <w:sz w:val="20"/>
          <w:lang w:val="es-ES"/>
        </w:rPr>
        <w:t xml:space="preserve">, otorgó </w:t>
      </w:r>
      <w:r w:rsidR="002A2F98" w:rsidRPr="00A1219A">
        <w:rPr>
          <w:sz w:val="20"/>
          <w:lang w:val="es-ES"/>
        </w:rPr>
        <w:t xml:space="preserve">a través de un título ejidal </w:t>
      </w:r>
      <w:r w:rsidR="00B94F53" w:rsidRPr="00A1219A">
        <w:rPr>
          <w:sz w:val="20"/>
          <w:lang w:val="es-ES"/>
        </w:rPr>
        <w:t>el derecho de uso y goce sobre un terreno de 800 hectáreas y fracción</w:t>
      </w:r>
      <w:r w:rsidR="002A2F98" w:rsidRPr="00A1219A">
        <w:rPr>
          <w:sz w:val="20"/>
          <w:lang w:val="es-ES"/>
        </w:rPr>
        <w:t xml:space="preserve"> a la Comunidad de Punta Piedra</w:t>
      </w:r>
      <w:r w:rsidR="007B0208" w:rsidRPr="00A1219A">
        <w:rPr>
          <w:sz w:val="20"/>
          <w:lang w:val="es-ES"/>
        </w:rPr>
        <w:t xml:space="preserve">. </w:t>
      </w:r>
      <w:r>
        <w:rPr>
          <w:sz w:val="20"/>
          <w:lang w:val="es-ES"/>
        </w:rPr>
        <w:t xml:space="preserve">El Estado dice que el título ejidal es de fecha </w:t>
      </w:r>
      <w:r w:rsidRPr="00A1219A">
        <w:rPr>
          <w:sz w:val="20"/>
          <w:lang w:val="es-ES"/>
        </w:rPr>
        <w:t xml:space="preserve">26 de diciembre de 1922 </w:t>
      </w:r>
      <w:r>
        <w:rPr>
          <w:sz w:val="20"/>
          <w:lang w:val="es-ES"/>
        </w:rPr>
        <w:t xml:space="preserve">y </w:t>
      </w:r>
      <w:r w:rsidR="007B0208" w:rsidRPr="00A1219A">
        <w:rPr>
          <w:sz w:val="20"/>
          <w:lang w:val="es-ES"/>
        </w:rPr>
        <w:t xml:space="preserve">los peticionarios </w:t>
      </w:r>
      <w:r>
        <w:rPr>
          <w:sz w:val="20"/>
          <w:lang w:val="es-ES"/>
        </w:rPr>
        <w:t>del año 1921, sin embargo, ambos</w:t>
      </w:r>
      <w:r w:rsidR="007B0208" w:rsidRPr="00A1219A">
        <w:rPr>
          <w:sz w:val="20"/>
          <w:lang w:val="es-ES"/>
        </w:rPr>
        <w:t xml:space="preserve"> </w:t>
      </w:r>
      <w:r w:rsidR="00850A99">
        <w:rPr>
          <w:sz w:val="20"/>
          <w:lang w:val="es-ES"/>
        </w:rPr>
        <w:t>coinciden</w:t>
      </w:r>
      <w:r w:rsidR="007B0208" w:rsidRPr="00A1219A">
        <w:rPr>
          <w:sz w:val="20"/>
          <w:lang w:val="es-ES"/>
        </w:rPr>
        <w:t xml:space="preserve"> en la naturaleza ejidal del documento como también en el área sobre la cual recayó</w:t>
      </w:r>
      <w:r w:rsidR="007B0208" w:rsidRPr="00A1219A">
        <w:rPr>
          <w:rStyle w:val="Refdenotaalpie"/>
          <w:sz w:val="20"/>
          <w:lang w:val="es-ES"/>
        </w:rPr>
        <w:footnoteReference w:id="21"/>
      </w:r>
      <w:r w:rsidR="00B94F53" w:rsidRPr="00A1219A">
        <w:rPr>
          <w:sz w:val="20"/>
          <w:lang w:val="es-ES"/>
        </w:rPr>
        <w:t>.</w:t>
      </w:r>
    </w:p>
    <w:p w:rsidR="00AD1FB1" w:rsidRPr="00A1219A" w:rsidRDefault="00AD1FB1" w:rsidP="008C309A">
      <w:pPr>
        <w:pStyle w:val="Ttulo3"/>
        <w:spacing w:before="0" w:after="0"/>
        <w:ind w:left="720"/>
        <w:rPr>
          <w:rFonts w:ascii="Univers" w:hAnsi="Univers"/>
          <w:sz w:val="20"/>
          <w:szCs w:val="20"/>
          <w:lang w:val="es-ES"/>
        </w:rPr>
      </w:pPr>
    </w:p>
    <w:p w:rsidR="000C5A5F" w:rsidRPr="00A1219A" w:rsidRDefault="00424CF3" w:rsidP="00AD1FB1">
      <w:pPr>
        <w:pStyle w:val="Ttulo3"/>
        <w:spacing w:before="0" w:after="0"/>
        <w:ind w:left="1440" w:hanging="720"/>
        <w:rPr>
          <w:rFonts w:ascii="Univers" w:hAnsi="Univers"/>
          <w:sz w:val="20"/>
          <w:szCs w:val="20"/>
          <w:lang w:val="es-ES"/>
        </w:rPr>
      </w:pPr>
      <w:bookmarkStart w:id="20" w:name="_Toc350183581"/>
      <w:r w:rsidRPr="00A1219A">
        <w:rPr>
          <w:rFonts w:ascii="Univers" w:hAnsi="Univers"/>
          <w:sz w:val="20"/>
          <w:szCs w:val="20"/>
          <w:lang w:val="es-ES"/>
        </w:rPr>
        <w:t>2.</w:t>
      </w:r>
      <w:r w:rsidRPr="00A1219A">
        <w:rPr>
          <w:rFonts w:ascii="Univers" w:hAnsi="Univers"/>
          <w:sz w:val="20"/>
          <w:szCs w:val="20"/>
          <w:lang w:val="es-ES"/>
        </w:rPr>
        <w:tab/>
      </w:r>
      <w:r w:rsidR="00816186" w:rsidRPr="00A1219A">
        <w:rPr>
          <w:rFonts w:ascii="Univers" w:hAnsi="Univers"/>
          <w:sz w:val="20"/>
          <w:szCs w:val="20"/>
          <w:lang w:val="es-ES"/>
        </w:rPr>
        <w:t>T</w:t>
      </w:r>
      <w:r w:rsidR="00DA3CF0" w:rsidRPr="00A1219A">
        <w:rPr>
          <w:rFonts w:ascii="Univers" w:hAnsi="Univers"/>
          <w:sz w:val="20"/>
          <w:szCs w:val="20"/>
          <w:lang w:val="es-ES"/>
        </w:rPr>
        <w:t>ítulo definitivo de dominio pleno sobre 800 hectáreas 74 áreas y 8 centiáreas</w:t>
      </w:r>
      <w:r w:rsidR="00B94F53" w:rsidRPr="00A1219A">
        <w:rPr>
          <w:rFonts w:ascii="Univers" w:hAnsi="Univers"/>
          <w:sz w:val="20"/>
          <w:szCs w:val="20"/>
          <w:lang w:val="es-ES"/>
        </w:rPr>
        <w:t xml:space="preserve"> del año 1993</w:t>
      </w:r>
      <w:bookmarkEnd w:id="20"/>
    </w:p>
    <w:p w:rsidR="000C5A5F" w:rsidRPr="00A1219A" w:rsidRDefault="000C5A5F" w:rsidP="00AC0091">
      <w:pPr>
        <w:jc w:val="both"/>
        <w:rPr>
          <w:sz w:val="20"/>
          <w:lang w:val="es-ES"/>
        </w:rPr>
      </w:pPr>
    </w:p>
    <w:p w:rsidR="00584546" w:rsidRPr="00A1219A" w:rsidRDefault="00F942F3" w:rsidP="00844969">
      <w:pPr>
        <w:numPr>
          <w:ilvl w:val="0"/>
          <w:numId w:val="1"/>
        </w:numPr>
        <w:tabs>
          <w:tab w:val="clear" w:pos="900"/>
        </w:tabs>
        <w:ind w:left="0" w:firstLine="720"/>
        <w:jc w:val="both"/>
        <w:rPr>
          <w:sz w:val="20"/>
          <w:lang w:val="es-ES"/>
        </w:rPr>
      </w:pPr>
      <w:r w:rsidRPr="00A1219A">
        <w:rPr>
          <w:sz w:val="20"/>
          <w:lang w:val="es-ES"/>
        </w:rPr>
        <w:t xml:space="preserve">En virtud </w:t>
      </w:r>
      <w:r w:rsidR="008C309A" w:rsidRPr="00A1219A">
        <w:rPr>
          <w:sz w:val="20"/>
          <w:lang w:val="es-ES"/>
        </w:rPr>
        <w:t>de</w:t>
      </w:r>
      <w:r w:rsidRPr="00A1219A">
        <w:rPr>
          <w:sz w:val="20"/>
          <w:lang w:val="es-ES"/>
        </w:rPr>
        <w:t xml:space="preserve"> una s</w:t>
      </w:r>
      <w:r w:rsidR="001A0612" w:rsidRPr="00A1219A">
        <w:rPr>
          <w:sz w:val="20"/>
          <w:lang w:val="es-ES"/>
        </w:rPr>
        <w:t xml:space="preserve">olicitud </w:t>
      </w:r>
      <w:r w:rsidR="008C309A" w:rsidRPr="00A1219A">
        <w:rPr>
          <w:sz w:val="20"/>
          <w:lang w:val="es-ES"/>
        </w:rPr>
        <w:t>realizad</w:t>
      </w:r>
      <w:r w:rsidR="00791860" w:rsidRPr="00A1219A">
        <w:rPr>
          <w:sz w:val="20"/>
          <w:lang w:val="es-ES"/>
        </w:rPr>
        <w:t>a</w:t>
      </w:r>
      <w:r w:rsidRPr="00A1219A">
        <w:rPr>
          <w:sz w:val="20"/>
          <w:lang w:val="es-ES"/>
        </w:rPr>
        <w:t xml:space="preserve"> por la Comunidad el 13 de octubre de 1992</w:t>
      </w:r>
      <w:r w:rsidR="00B94F53" w:rsidRPr="00A1219A">
        <w:rPr>
          <w:rStyle w:val="Refdenotaalpie"/>
          <w:sz w:val="20"/>
          <w:lang w:val="es-ES"/>
        </w:rPr>
        <w:footnoteReference w:id="22"/>
      </w:r>
      <w:r w:rsidRPr="00A1219A">
        <w:rPr>
          <w:sz w:val="20"/>
          <w:lang w:val="es-ES"/>
        </w:rPr>
        <w:t>, e</w:t>
      </w:r>
      <w:r w:rsidR="001A0612" w:rsidRPr="00A1219A">
        <w:rPr>
          <w:sz w:val="20"/>
          <w:lang w:val="es-ES"/>
        </w:rPr>
        <w:t xml:space="preserve">l 16 de diciembre de 1993 el INA </w:t>
      </w:r>
      <w:r w:rsidR="007B0208" w:rsidRPr="00A1219A">
        <w:rPr>
          <w:sz w:val="20"/>
          <w:lang w:val="es-ES"/>
        </w:rPr>
        <w:t xml:space="preserve">adjudicó un </w:t>
      </w:r>
      <w:r w:rsidR="001A0612" w:rsidRPr="00A1219A">
        <w:rPr>
          <w:sz w:val="20"/>
          <w:lang w:val="es-ES"/>
        </w:rPr>
        <w:t xml:space="preserve">título definitivo de propiedad </w:t>
      </w:r>
      <w:r w:rsidRPr="00A1219A">
        <w:rPr>
          <w:sz w:val="20"/>
          <w:lang w:val="es-ES"/>
        </w:rPr>
        <w:t xml:space="preserve">a la Comunidad Garífuna </w:t>
      </w:r>
      <w:r w:rsidR="007B0208" w:rsidRPr="00A1219A">
        <w:rPr>
          <w:sz w:val="20"/>
          <w:lang w:val="es-ES"/>
        </w:rPr>
        <w:t xml:space="preserve">de </w:t>
      </w:r>
      <w:r w:rsidRPr="00A1219A">
        <w:rPr>
          <w:sz w:val="20"/>
          <w:lang w:val="es-ES"/>
        </w:rPr>
        <w:t xml:space="preserve">Punta Piedra </w:t>
      </w:r>
      <w:r w:rsidR="001A0612" w:rsidRPr="00A1219A">
        <w:rPr>
          <w:sz w:val="20"/>
          <w:lang w:val="es-ES"/>
        </w:rPr>
        <w:t xml:space="preserve">sobre </w:t>
      </w:r>
      <w:r w:rsidR="00B94F53" w:rsidRPr="00A1219A">
        <w:rPr>
          <w:sz w:val="20"/>
          <w:lang w:val="es-ES"/>
        </w:rPr>
        <w:t>el</w:t>
      </w:r>
      <w:r w:rsidR="001A0612" w:rsidRPr="00A1219A">
        <w:rPr>
          <w:sz w:val="20"/>
          <w:lang w:val="es-ES"/>
        </w:rPr>
        <w:t xml:space="preserve"> área </w:t>
      </w:r>
      <w:r w:rsidR="00B94F53" w:rsidRPr="00A1219A">
        <w:rPr>
          <w:sz w:val="20"/>
          <w:lang w:val="es-ES"/>
        </w:rPr>
        <w:t xml:space="preserve">correspondiente al título ejidal, esto es, sobre </w:t>
      </w:r>
      <w:r w:rsidR="001A0612" w:rsidRPr="00A1219A">
        <w:rPr>
          <w:sz w:val="20"/>
          <w:lang w:val="es-ES"/>
        </w:rPr>
        <w:t xml:space="preserve">800 hectáreas 74 áreas y 8 </w:t>
      </w:r>
      <w:r w:rsidR="001A0612" w:rsidRPr="00A1219A">
        <w:rPr>
          <w:sz w:val="20"/>
          <w:lang w:val="es-ES"/>
        </w:rPr>
        <w:lastRenderedPageBreak/>
        <w:t>centiáreas</w:t>
      </w:r>
      <w:r w:rsidR="00B94F53" w:rsidRPr="00A1219A">
        <w:rPr>
          <w:sz w:val="20"/>
          <w:lang w:val="es-ES"/>
        </w:rPr>
        <w:t xml:space="preserve">. El título definitivo de dominio pleno </w:t>
      </w:r>
      <w:r w:rsidR="000C10E2" w:rsidRPr="00A1219A">
        <w:rPr>
          <w:sz w:val="20"/>
          <w:lang w:val="es-ES"/>
        </w:rPr>
        <w:t>fue</w:t>
      </w:r>
      <w:r w:rsidR="00590F22" w:rsidRPr="00A1219A">
        <w:rPr>
          <w:sz w:val="20"/>
          <w:lang w:val="es-ES"/>
        </w:rPr>
        <w:t xml:space="preserve"> inscrito</w:t>
      </w:r>
      <w:r w:rsidR="000C10E2" w:rsidRPr="00A1219A">
        <w:rPr>
          <w:sz w:val="20"/>
          <w:lang w:val="es-ES"/>
        </w:rPr>
        <w:t xml:space="preserve"> en el Registro de la Propiedad, Hipotecas y Anotaciones Preventivas el 21 de enero de 1994</w:t>
      </w:r>
      <w:r w:rsidR="000C10E2" w:rsidRPr="00A1219A">
        <w:rPr>
          <w:rStyle w:val="Refdenotaalpie"/>
          <w:sz w:val="20"/>
          <w:lang w:val="es-ES"/>
        </w:rPr>
        <w:footnoteReference w:id="23"/>
      </w:r>
      <w:r w:rsidR="000C10E2" w:rsidRPr="00A1219A">
        <w:rPr>
          <w:sz w:val="20"/>
          <w:lang w:val="es-ES"/>
        </w:rPr>
        <w:t>.</w:t>
      </w:r>
      <w:r w:rsidR="0099551A" w:rsidRPr="00A1219A">
        <w:rPr>
          <w:sz w:val="20"/>
          <w:lang w:val="es-ES"/>
        </w:rPr>
        <w:t xml:space="preserve"> </w:t>
      </w:r>
    </w:p>
    <w:p w:rsidR="00584546" w:rsidRPr="00A1219A" w:rsidRDefault="00584546" w:rsidP="00584546">
      <w:pPr>
        <w:ind w:left="720"/>
        <w:jc w:val="both"/>
        <w:rPr>
          <w:sz w:val="20"/>
          <w:lang w:val="es-ES"/>
        </w:rPr>
      </w:pPr>
    </w:p>
    <w:p w:rsidR="003F213C" w:rsidRPr="00A1219A" w:rsidRDefault="00485358" w:rsidP="00CF2EC5">
      <w:pPr>
        <w:numPr>
          <w:ilvl w:val="0"/>
          <w:numId w:val="1"/>
        </w:numPr>
        <w:tabs>
          <w:tab w:val="clear" w:pos="900"/>
        </w:tabs>
        <w:ind w:left="0" w:firstLine="720"/>
        <w:jc w:val="both"/>
        <w:rPr>
          <w:sz w:val="20"/>
          <w:lang w:val="es-ES"/>
        </w:rPr>
      </w:pPr>
      <w:r w:rsidRPr="00A1219A">
        <w:rPr>
          <w:sz w:val="20"/>
          <w:lang w:val="es-ES"/>
        </w:rPr>
        <w:t>L</w:t>
      </w:r>
      <w:r w:rsidR="001A0612" w:rsidRPr="00A1219A">
        <w:rPr>
          <w:sz w:val="20"/>
          <w:lang w:val="es-ES"/>
        </w:rPr>
        <w:t xml:space="preserve">as </w:t>
      </w:r>
      <w:r w:rsidR="00687024" w:rsidRPr="00A1219A">
        <w:rPr>
          <w:sz w:val="20"/>
          <w:lang w:val="es-ES"/>
        </w:rPr>
        <w:t>colindancias</w:t>
      </w:r>
      <w:r w:rsidR="000C10E2" w:rsidRPr="00A1219A">
        <w:rPr>
          <w:sz w:val="20"/>
          <w:lang w:val="es-ES"/>
        </w:rPr>
        <w:t xml:space="preserve"> del título otorgado </w:t>
      </w:r>
      <w:r w:rsidR="00576A15" w:rsidRPr="00A1219A">
        <w:rPr>
          <w:sz w:val="20"/>
          <w:lang w:val="es-ES"/>
        </w:rPr>
        <w:t>fueron</w:t>
      </w:r>
      <w:r w:rsidR="000C10E2" w:rsidRPr="00A1219A">
        <w:rPr>
          <w:sz w:val="20"/>
          <w:lang w:val="es-ES"/>
        </w:rPr>
        <w:t xml:space="preserve"> las siguientes</w:t>
      </w:r>
      <w:r w:rsidR="00687024" w:rsidRPr="00A1219A">
        <w:rPr>
          <w:sz w:val="20"/>
          <w:lang w:val="es-ES"/>
        </w:rPr>
        <w:t>: Norte: Mar Caribe;</w:t>
      </w:r>
      <w:r w:rsidR="001A0612" w:rsidRPr="00A1219A">
        <w:rPr>
          <w:sz w:val="20"/>
          <w:lang w:val="es-ES"/>
        </w:rPr>
        <w:t xml:space="preserve"> </w:t>
      </w:r>
      <w:r w:rsidR="00687024" w:rsidRPr="00A1219A">
        <w:rPr>
          <w:sz w:val="20"/>
          <w:lang w:val="es-ES"/>
        </w:rPr>
        <w:t xml:space="preserve">sur: terreno nacional; este: Ejidos de </w:t>
      </w:r>
      <w:proofErr w:type="spellStart"/>
      <w:r w:rsidR="00687024" w:rsidRPr="00A1219A">
        <w:rPr>
          <w:sz w:val="20"/>
          <w:lang w:val="es-ES"/>
        </w:rPr>
        <w:t>Cusuna</w:t>
      </w:r>
      <w:proofErr w:type="spellEnd"/>
      <w:r w:rsidR="00687024" w:rsidRPr="00A1219A">
        <w:rPr>
          <w:sz w:val="20"/>
          <w:lang w:val="es-ES"/>
        </w:rPr>
        <w:t>;</w:t>
      </w:r>
      <w:r w:rsidR="001A0612" w:rsidRPr="00A1219A">
        <w:rPr>
          <w:sz w:val="20"/>
          <w:lang w:val="es-ES"/>
        </w:rPr>
        <w:t xml:space="preserve"> y oeste: terrenos nacionales y viejo cauce del Río </w:t>
      </w:r>
      <w:proofErr w:type="spellStart"/>
      <w:r w:rsidR="001A0612" w:rsidRPr="00A1219A">
        <w:rPr>
          <w:sz w:val="20"/>
          <w:lang w:val="es-ES"/>
        </w:rPr>
        <w:t>Miel</w:t>
      </w:r>
      <w:r w:rsidR="00F942F3" w:rsidRPr="00A1219A">
        <w:rPr>
          <w:sz w:val="20"/>
          <w:lang w:val="es-ES"/>
        </w:rPr>
        <w:t>.</w:t>
      </w:r>
      <w:r w:rsidR="003F213C" w:rsidRPr="00A1219A">
        <w:rPr>
          <w:sz w:val="20"/>
          <w:lang w:val="es-ES"/>
        </w:rPr>
        <w:t>La</w:t>
      </w:r>
      <w:proofErr w:type="spellEnd"/>
      <w:r w:rsidR="003F213C" w:rsidRPr="00A1219A">
        <w:rPr>
          <w:sz w:val="20"/>
          <w:lang w:val="es-ES"/>
        </w:rPr>
        <w:t xml:space="preserve"> adjudicación se realizó a título gratuito y se transfiri</w:t>
      </w:r>
      <w:r w:rsidR="002A2F98" w:rsidRPr="00A1219A">
        <w:rPr>
          <w:sz w:val="20"/>
          <w:lang w:val="es-ES"/>
        </w:rPr>
        <w:t xml:space="preserve">ó </w:t>
      </w:r>
      <w:r w:rsidR="003F213C" w:rsidRPr="00A1219A">
        <w:rPr>
          <w:sz w:val="20"/>
          <w:lang w:val="es-ES"/>
        </w:rPr>
        <w:t xml:space="preserve">“el dominio, posesión, servidumbre, anexidades, usos y demás derechos reales inherentes al inmueble”. </w:t>
      </w:r>
      <w:r w:rsidR="002A2F98" w:rsidRPr="00A1219A">
        <w:rPr>
          <w:sz w:val="20"/>
          <w:lang w:val="es-ES"/>
        </w:rPr>
        <w:t>En</w:t>
      </w:r>
      <w:r w:rsidR="003F213C" w:rsidRPr="00A1219A">
        <w:rPr>
          <w:sz w:val="20"/>
          <w:lang w:val="es-ES"/>
        </w:rPr>
        <w:t xml:space="preserve"> el título se estableció lo siguiente: </w:t>
      </w:r>
    </w:p>
    <w:p w:rsidR="003F213C" w:rsidRPr="00A1219A" w:rsidRDefault="003F213C" w:rsidP="003F213C">
      <w:pPr>
        <w:ind w:left="720" w:right="720"/>
        <w:jc w:val="both"/>
        <w:rPr>
          <w:sz w:val="18"/>
          <w:szCs w:val="18"/>
          <w:lang w:val="es-ES"/>
        </w:rPr>
      </w:pPr>
    </w:p>
    <w:p w:rsidR="001A0612" w:rsidRPr="00A1219A" w:rsidRDefault="003F213C" w:rsidP="003F213C">
      <w:pPr>
        <w:ind w:left="720" w:right="720"/>
        <w:jc w:val="both"/>
        <w:rPr>
          <w:sz w:val="20"/>
          <w:lang w:val="es-ES"/>
        </w:rPr>
      </w:pPr>
      <w:r w:rsidRPr="00A1219A">
        <w:rPr>
          <w:sz w:val="18"/>
          <w:szCs w:val="18"/>
          <w:lang w:val="es-ES"/>
        </w:rPr>
        <w:t>No obstante lo definitivo de este traspaso, el presente título queda sujeto a las condiciones siguientes: A) Que en caso de permitirse la venta o donación de lotes del terreno adjudicado, únicamente se autorice para proyectos turísticos debidamente aprobados por el Instituto Hondureño de Turismo y a descendientes de la Comunidad Étnica beneficiada. B) Que se respete la integridad de los bosques para asegurar la existencia de las fuentes de agua, la calidad de las playas, así como la estabilidad de las laderas de pendientes fuentes y el hábitat de fauna local, preservándose así las condiciones naturales del lugar</w:t>
      </w:r>
      <w:r w:rsidRPr="00A1219A">
        <w:rPr>
          <w:rStyle w:val="Refdenotaalpie"/>
          <w:sz w:val="20"/>
          <w:lang w:val="es-ES"/>
        </w:rPr>
        <w:footnoteReference w:id="24"/>
      </w:r>
      <w:r w:rsidRPr="00A1219A">
        <w:rPr>
          <w:sz w:val="18"/>
          <w:szCs w:val="18"/>
          <w:lang w:val="es-ES"/>
        </w:rPr>
        <w:t>.</w:t>
      </w:r>
    </w:p>
    <w:p w:rsidR="001A0612" w:rsidRPr="00A1219A" w:rsidRDefault="001A0612" w:rsidP="001A0612">
      <w:pPr>
        <w:jc w:val="both"/>
        <w:rPr>
          <w:sz w:val="20"/>
          <w:lang w:val="es-ES"/>
        </w:rPr>
      </w:pPr>
    </w:p>
    <w:p w:rsidR="00844E76" w:rsidRPr="00A1219A" w:rsidRDefault="002A2F98" w:rsidP="00844E76">
      <w:pPr>
        <w:numPr>
          <w:ilvl w:val="0"/>
          <w:numId w:val="1"/>
        </w:numPr>
        <w:tabs>
          <w:tab w:val="clear" w:pos="900"/>
        </w:tabs>
        <w:ind w:left="0" w:firstLine="720"/>
        <w:jc w:val="both"/>
        <w:rPr>
          <w:sz w:val="20"/>
          <w:lang w:val="es-ES"/>
        </w:rPr>
      </w:pPr>
      <w:r w:rsidRPr="00A1219A">
        <w:rPr>
          <w:sz w:val="20"/>
          <w:lang w:val="es-ES"/>
        </w:rPr>
        <w:t>El</w:t>
      </w:r>
      <w:r w:rsidR="00844E76" w:rsidRPr="00A1219A">
        <w:rPr>
          <w:sz w:val="20"/>
          <w:lang w:val="es-ES"/>
        </w:rPr>
        <w:t xml:space="preserve"> título fue otorgado con base en la Ley de Reforma Agraria, adoptada mediante Decreto Ley Nº 170-74 del 30 diciembre 1974, en vigor desde el 14 de enero de 1975, la cual fue modificada </w:t>
      </w:r>
      <w:r w:rsidRPr="00A1219A">
        <w:rPr>
          <w:sz w:val="20"/>
          <w:lang w:val="es-ES"/>
        </w:rPr>
        <w:t>por</w:t>
      </w:r>
      <w:r w:rsidR="00844E76" w:rsidRPr="00A1219A">
        <w:rPr>
          <w:sz w:val="20"/>
          <w:lang w:val="es-ES"/>
        </w:rPr>
        <w:t xml:space="preserve"> la Ley para la Modernización y el Desarrollo del Sector Agrícola, adoptada por Decreto Nº 31-92 del 5 de marzo de 1992, en vigor desde el 6 de abril de 1992</w:t>
      </w:r>
      <w:r w:rsidR="00844E76" w:rsidRPr="00A1219A">
        <w:rPr>
          <w:rStyle w:val="Refdenotaalpie"/>
          <w:sz w:val="20"/>
          <w:lang w:val="es-ES"/>
        </w:rPr>
        <w:footnoteReference w:id="25"/>
      </w:r>
      <w:r w:rsidR="00844E76" w:rsidRPr="00A1219A">
        <w:rPr>
          <w:sz w:val="20"/>
          <w:lang w:val="es-ES"/>
        </w:rPr>
        <w:t xml:space="preserve">. En lo pertinente a las comunidades </w:t>
      </w:r>
      <w:r w:rsidRPr="00A1219A">
        <w:rPr>
          <w:sz w:val="20"/>
          <w:lang w:val="es-ES"/>
        </w:rPr>
        <w:t>G</w:t>
      </w:r>
      <w:r w:rsidR="00844E76" w:rsidRPr="00A1219A">
        <w:rPr>
          <w:sz w:val="20"/>
          <w:lang w:val="es-ES"/>
        </w:rPr>
        <w:t xml:space="preserve">arífuna, el artículo 92 modificado establece que:  </w:t>
      </w:r>
    </w:p>
    <w:p w:rsidR="00844E76" w:rsidRPr="00A1219A" w:rsidRDefault="00844E76" w:rsidP="00844E76">
      <w:pPr>
        <w:jc w:val="both"/>
        <w:rPr>
          <w:sz w:val="20"/>
          <w:lang w:val="es-ES"/>
        </w:rPr>
      </w:pPr>
    </w:p>
    <w:p w:rsidR="00844E76" w:rsidRPr="00A1219A" w:rsidRDefault="00844E76" w:rsidP="00844E76">
      <w:pPr>
        <w:ind w:left="720" w:right="720"/>
        <w:jc w:val="both"/>
        <w:rPr>
          <w:sz w:val="18"/>
          <w:szCs w:val="18"/>
          <w:lang w:val="es-ES"/>
        </w:rPr>
      </w:pPr>
      <w:r w:rsidRPr="00A1219A">
        <w:rPr>
          <w:sz w:val="18"/>
          <w:szCs w:val="18"/>
          <w:lang w:val="es-ES"/>
        </w:rPr>
        <w:t xml:space="preserve">Artículo 92. </w:t>
      </w:r>
      <w:r w:rsidRPr="00A1219A">
        <w:rPr>
          <w:sz w:val="18"/>
          <w:szCs w:val="18"/>
          <w:lang w:val="es-ES"/>
        </w:rPr>
        <w:sym w:font="Symbol" w:char="F05B"/>
      </w:r>
      <w:r w:rsidRPr="00A1219A">
        <w:rPr>
          <w:sz w:val="18"/>
          <w:szCs w:val="18"/>
          <w:lang w:val="es-ES"/>
        </w:rPr>
        <w:t>…</w:t>
      </w:r>
      <w:r w:rsidRPr="00A1219A">
        <w:rPr>
          <w:sz w:val="18"/>
          <w:szCs w:val="18"/>
          <w:lang w:val="es-ES"/>
        </w:rPr>
        <w:sym w:font="Symbol" w:char="F05D"/>
      </w:r>
      <w:r w:rsidRPr="00A1219A">
        <w:rPr>
          <w:sz w:val="18"/>
          <w:szCs w:val="18"/>
          <w:lang w:val="es-ES"/>
        </w:rPr>
        <w:t xml:space="preserve"> Las comunidades étnicas que acrediten la ocupación de las tierras donde estén asentadas, por el término no menor de tres años indicado en el Artículo 15 reformado de esta Ley, recibirán los títulos de propiedad en </w:t>
      </w:r>
      <w:proofErr w:type="gramStart"/>
      <w:r w:rsidRPr="00A1219A">
        <w:rPr>
          <w:sz w:val="18"/>
          <w:szCs w:val="18"/>
          <w:lang w:val="es-ES"/>
        </w:rPr>
        <w:t>dominio pleno completamente gratis, extendidos</w:t>
      </w:r>
      <w:proofErr w:type="gramEnd"/>
      <w:r w:rsidRPr="00A1219A">
        <w:rPr>
          <w:sz w:val="18"/>
          <w:szCs w:val="18"/>
          <w:lang w:val="es-ES"/>
        </w:rPr>
        <w:t xml:space="preserve"> por el Instituto Nacional Agrario en el plazo estipulado en el Artículo 15 referido</w:t>
      </w:r>
      <w:r w:rsidRPr="00A1219A">
        <w:rPr>
          <w:rStyle w:val="Refdenotaalpie"/>
          <w:sz w:val="18"/>
          <w:szCs w:val="18"/>
          <w:lang w:val="es-ES"/>
        </w:rPr>
        <w:footnoteReference w:id="26"/>
      </w:r>
      <w:r w:rsidRPr="00A1219A">
        <w:rPr>
          <w:sz w:val="18"/>
          <w:szCs w:val="18"/>
          <w:lang w:val="es-ES"/>
        </w:rPr>
        <w:t>.</w:t>
      </w:r>
    </w:p>
    <w:p w:rsidR="00CF2EC5" w:rsidRPr="00A1219A" w:rsidRDefault="00CF2EC5" w:rsidP="003F213C">
      <w:pPr>
        <w:jc w:val="both"/>
        <w:rPr>
          <w:sz w:val="20"/>
          <w:lang w:val="es-ES"/>
        </w:rPr>
      </w:pPr>
    </w:p>
    <w:p w:rsidR="00CA006B" w:rsidRPr="00A1219A" w:rsidRDefault="00B71713" w:rsidP="00B71713">
      <w:pPr>
        <w:pStyle w:val="Ttulo3"/>
        <w:spacing w:before="0" w:after="0"/>
        <w:ind w:left="1440" w:hanging="720"/>
        <w:jc w:val="both"/>
        <w:rPr>
          <w:rFonts w:ascii="Univers" w:hAnsi="Univers"/>
          <w:sz w:val="20"/>
          <w:szCs w:val="20"/>
          <w:lang w:val="es-ES"/>
        </w:rPr>
      </w:pPr>
      <w:bookmarkStart w:id="21" w:name="_Toc350183582"/>
      <w:r w:rsidRPr="00A1219A">
        <w:rPr>
          <w:rFonts w:ascii="Univers" w:hAnsi="Univers"/>
          <w:sz w:val="20"/>
          <w:szCs w:val="20"/>
          <w:lang w:val="es-ES"/>
        </w:rPr>
        <w:t>3.</w:t>
      </w:r>
      <w:r w:rsidRPr="00A1219A">
        <w:rPr>
          <w:rFonts w:ascii="Univers" w:hAnsi="Univers"/>
          <w:sz w:val="20"/>
          <w:szCs w:val="20"/>
          <w:lang w:val="es-ES"/>
        </w:rPr>
        <w:tab/>
      </w:r>
      <w:r w:rsidR="00816186" w:rsidRPr="00A1219A">
        <w:rPr>
          <w:rFonts w:ascii="Univers" w:hAnsi="Univers"/>
          <w:sz w:val="20"/>
          <w:szCs w:val="20"/>
          <w:lang w:val="es-ES"/>
        </w:rPr>
        <w:t>T</w:t>
      </w:r>
      <w:r w:rsidR="00CA006B" w:rsidRPr="00A1219A">
        <w:rPr>
          <w:rFonts w:ascii="Univers" w:hAnsi="Univers"/>
          <w:sz w:val="20"/>
          <w:szCs w:val="20"/>
          <w:lang w:val="es-ES"/>
        </w:rPr>
        <w:t>ítulo definitivo de dominio pleno sobre</w:t>
      </w:r>
      <w:r w:rsidR="00FF532B" w:rsidRPr="00A1219A">
        <w:rPr>
          <w:rFonts w:ascii="Univers" w:hAnsi="Univers"/>
          <w:sz w:val="20"/>
          <w:szCs w:val="20"/>
          <w:lang w:val="es-ES"/>
        </w:rPr>
        <w:t xml:space="preserve"> </w:t>
      </w:r>
      <w:r w:rsidR="00CA006B" w:rsidRPr="00A1219A">
        <w:rPr>
          <w:rFonts w:ascii="Univers" w:hAnsi="Univers"/>
          <w:sz w:val="20"/>
          <w:szCs w:val="20"/>
          <w:lang w:val="es-ES"/>
        </w:rPr>
        <w:t>1</w:t>
      </w:r>
      <w:r w:rsidR="00FF532B" w:rsidRPr="00A1219A">
        <w:rPr>
          <w:rFonts w:ascii="Univers" w:hAnsi="Univers"/>
          <w:sz w:val="20"/>
          <w:szCs w:val="20"/>
          <w:lang w:val="es-ES"/>
        </w:rPr>
        <w:t>.</w:t>
      </w:r>
      <w:r w:rsidR="009A077A" w:rsidRPr="00A1219A">
        <w:rPr>
          <w:rFonts w:ascii="Univers" w:hAnsi="Univers"/>
          <w:sz w:val="20"/>
          <w:szCs w:val="20"/>
          <w:lang w:val="es-ES"/>
        </w:rPr>
        <w:t>513</w:t>
      </w:r>
      <w:r w:rsidR="00CA006B" w:rsidRPr="00A1219A">
        <w:rPr>
          <w:rFonts w:ascii="Univers" w:hAnsi="Univers"/>
          <w:sz w:val="20"/>
          <w:szCs w:val="20"/>
          <w:lang w:val="es-ES"/>
        </w:rPr>
        <w:t xml:space="preserve"> hectáreas 54 áreas y 45.03 centiáreas</w:t>
      </w:r>
      <w:r w:rsidR="00FC6F63" w:rsidRPr="00A1219A">
        <w:rPr>
          <w:rFonts w:ascii="Univers" w:hAnsi="Univers"/>
          <w:sz w:val="20"/>
          <w:szCs w:val="20"/>
          <w:lang w:val="es-ES"/>
        </w:rPr>
        <w:t xml:space="preserve"> del año 1999</w:t>
      </w:r>
      <w:bookmarkEnd w:id="21"/>
    </w:p>
    <w:p w:rsidR="00DA3CF0" w:rsidRPr="00A1219A" w:rsidRDefault="00DA3CF0" w:rsidP="003F213C">
      <w:pPr>
        <w:jc w:val="both"/>
        <w:rPr>
          <w:sz w:val="20"/>
          <w:lang w:val="es-ES"/>
        </w:rPr>
      </w:pPr>
    </w:p>
    <w:p w:rsidR="00576A15" w:rsidRPr="00A1219A" w:rsidRDefault="00576A15" w:rsidP="007E0CF4">
      <w:pPr>
        <w:numPr>
          <w:ilvl w:val="0"/>
          <w:numId w:val="1"/>
        </w:numPr>
        <w:tabs>
          <w:tab w:val="clear" w:pos="900"/>
        </w:tabs>
        <w:ind w:left="0" w:firstLine="720"/>
        <w:jc w:val="both"/>
        <w:rPr>
          <w:sz w:val="20"/>
          <w:lang w:val="es-ES"/>
        </w:rPr>
      </w:pPr>
      <w:r w:rsidRPr="00A1219A">
        <w:rPr>
          <w:sz w:val="20"/>
          <w:lang w:val="es-ES"/>
        </w:rPr>
        <w:t>La Comunidad Punta Piedra solicitó al INA la ampliación del área adjudicada</w:t>
      </w:r>
      <w:r w:rsidR="00F3571A">
        <w:rPr>
          <w:rStyle w:val="Refdenotaalpie"/>
          <w:sz w:val="20"/>
          <w:lang w:val="es-ES"/>
        </w:rPr>
        <w:footnoteReference w:id="27"/>
      </w:r>
      <w:r w:rsidRPr="00A1219A">
        <w:rPr>
          <w:sz w:val="20"/>
          <w:lang w:val="es-ES"/>
        </w:rPr>
        <w:t xml:space="preserve"> y </w:t>
      </w:r>
      <w:r w:rsidR="00FC6F63" w:rsidRPr="00A1219A">
        <w:rPr>
          <w:sz w:val="20"/>
          <w:lang w:val="es-ES"/>
        </w:rPr>
        <w:t>e</w:t>
      </w:r>
      <w:r w:rsidR="00596BA3" w:rsidRPr="00A1219A">
        <w:rPr>
          <w:sz w:val="20"/>
          <w:lang w:val="es-ES"/>
        </w:rPr>
        <w:t xml:space="preserve">l 6 de diciembre de 1999 </w:t>
      </w:r>
      <w:r w:rsidRPr="00A1219A">
        <w:rPr>
          <w:sz w:val="20"/>
          <w:lang w:val="es-ES"/>
        </w:rPr>
        <w:t xml:space="preserve">dicha institución le </w:t>
      </w:r>
      <w:r w:rsidR="00DA3CF0" w:rsidRPr="00A1219A">
        <w:rPr>
          <w:sz w:val="20"/>
          <w:lang w:val="es-ES"/>
        </w:rPr>
        <w:t>otorgó</w:t>
      </w:r>
      <w:r w:rsidR="00FC6F63" w:rsidRPr="00A1219A">
        <w:rPr>
          <w:sz w:val="20"/>
          <w:lang w:val="es-ES"/>
        </w:rPr>
        <w:t xml:space="preserve"> </w:t>
      </w:r>
      <w:r w:rsidRPr="00A1219A">
        <w:rPr>
          <w:sz w:val="20"/>
          <w:lang w:val="es-ES"/>
        </w:rPr>
        <w:t>un</w:t>
      </w:r>
      <w:r w:rsidR="00DA3CF0" w:rsidRPr="00A1219A">
        <w:rPr>
          <w:sz w:val="20"/>
          <w:lang w:val="es-ES"/>
        </w:rPr>
        <w:t xml:space="preserve"> título definitivo de propiedad en dominio pleno </w:t>
      </w:r>
      <w:r w:rsidR="00596BA3" w:rsidRPr="00A1219A">
        <w:rPr>
          <w:sz w:val="20"/>
          <w:lang w:val="es-ES"/>
        </w:rPr>
        <w:t>sobre</w:t>
      </w:r>
      <w:r w:rsidR="00DA3CF0" w:rsidRPr="00A1219A">
        <w:rPr>
          <w:sz w:val="20"/>
          <w:lang w:val="es-ES"/>
        </w:rPr>
        <w:t xml:space="preserve"> un predio rural de naturaleza jurídica nacional </w:t>
      </w:r>
      <w:r w:rsidRPr="00A1219A">
        <w:rPr>
          <w:sz w:val="20"/>
          <w:lang w:val="es-ES"/>
        </w:rPr>
        <w:t>de</w:t>
      </w:r>
      <w:r w:rsidR="00DA3CF0" w:rsidRPr="00A1219A">
        <w:rPr>
          <w:sz w:val="20"/>
          <w:lang w:val="es-ES"/>
        </w:rPr>
        <w:t xml:space="preserve"> una superficie de</w:t>
      </w:r>
      <w:r w:rsidR="00FF532B" w:rsidRPr="00A1219A">
        <w:rPr>
          <w:sz w:val="20"/>
          <w:lang w:val="es-ES"/>
        </w:rPr>
        <w:t xml:space="preserve"> 1.</w:t>
      </w:r>
      <w:r w:rsidR="00596BA3" w:rsidRPr="00A1219A">
        <w:rPr>
          <w:sz w:val="20"/>
          <w:lang w:val="es-ES"/>
        </w:rPr>
        <w:t>513 hect</w:t>
      </w:r>
      <w:r w:rsidR="00BF18DC" w:rsidRPr="00A1219A">
        <w:rPr>
          <w:sz w:val="20"/>
          <w:lang w:val="es-ES"/>
        </w:rPr>
        <w:t>ár</w:t>
      </w:r>
      <w:r w:rsidR="00596BA3" w:rsidRPr="00A1219A">
        <w:rPr>
          <w:sz w:val="20"/>
          <w:lang w:val="es-ES"/>
        </w:rPr>
        <w:t xml:space="preserve">eas </w:t>
      </w:r>
      <w:r w:rsidR="00DA3CF0" w:rsidRPr="00A1219A">
        <w:rPr>
          <w:sz w:val="20"/>
          <w:lang w:val="es-ES"/>
        </w:rPr>
        <w:t xml:space="preserve">54 áreas y 45.03 centiáreas, </w:t>
      </w:r>
      <w:r w:rsidR="00157B11" w:rsidRPr="00A1219A">
        <w:rPr>
          <w:sz w:val="20"/>
          <w:lang w:val="es-ES"/>
        </w:rPr>
        <w:t>el cual fue inscrito en el Registro de la Propiedad, Hipotecas y Anotaciones Preventivas el 3 de enero de 2000. L</w:t>
      </w:r>
      <w:r w:rsidR="00DA3CF0" w:rsidRPr="00A1219A">
        <w:rPr>
          <w:sz w:val="20"/>
          <w:lang w:val="es-ES"/>
        </w:rPr>
        <w:t>as colindancias</w:t>
      </w:r>
      <w:r w:rsidR="00157B11" w:rsidRPr="00A1219A">
        <w:rPr>
          <w:sz w:val="20"/>
          <w:lang w:val="es-ES"/>
        </w:rPr>
        <w:t xml:space="preserve"> de</w:t>
      </w:r>
      <w:r w:rsidRPr="00A1219A">
        <w:rPr>
          <w:sz w:val="20"/>
          <w:lang w:val="es-ES"/>
        </w:rPr>
        <w:t xml:space="preserve"> </w:t>
      </w:r>
      <w:r w:rsidR="00157B11" w:rsidRPr="00A1219A">
        <w:rPr>
          <w:sz w:val="20"/>
          <w:lang w:val="es-ES"/>
        </w:rPr>
        <w:t>l</w:t>
      </w:r>
      <w:r w:rsidRPr="00A1219A">
        <w:rPr>
          <w:sz w:val="20"/>
          <w:lang w:val="es-ES"/>
        </w:rPr>
        <w:t>a</w:t>
      </w:r>
      <w:r w:rsidR="00157B11" w:rsidRPr="00A1219A">
        <w:rPr>
          <w:sz w:val="20"/>
          <w:lang w:val="es-ES"/>
        </w:rPr>
        <w:t xml:space="preserve"> </w:t>
      </w:r>
      <w:r w:rsidRPr="00A1219A">
        <w:rPr>
          <w:sz w:val="20"/>
          <w:lang w:val="es-ES"/>
        </w:rPr>
        <w:t xml:space="preserve">nueva </w:t>
      </w:r>
      <w:r w:rsidR="00157B11" w:rsidRPr="00A1219A">
        <w:rPr>
          <w:sz w:val="20"/>
          <w:lang w:val="es-ES"/>
        </w:rPr>
        <w:t xml:space="preserve">área adjudicada </w:t>
      </w:r>
      <w:r w:rsidRPr="00A1219A">
        <w:rPr>
          <w:sz w:val="20"/>
          <w:lang w:val="es-ES"/>
        </w:rPr>
        <w:t>fueron</w:t>
      </w:r>
      <w:r w:rsidR="00157B11" w:rsidRPr="00A1219A">
        <w:rPr>
          <w:sz w:val="20"/>
          <w:lang w:val="es-ES"/>
        </w:rPr>
        <w:t xml:space="preserve"> las siguientes</w:t>
      </w:r>
      <w:r w:rsidR="00DA3CF0" w:rsidRPr="00A1219A">
        <w:rPr>
          <w:sz w:val="20"/>
          <w:lang w:val="es-ES"/>
        </w:rPr>
        <w:t xml:space="preserve">: Norte: tierras privadas de la Comunidad de Punta Piedra; sur: tierras nacionales o zona de reserva; este: tierras de la </w:t>
      </w:r>
      <w:r w:rsidR="00DA3CF0" w:rsidRPr="00A1219A">
        <w:rPr>
          <w:sz w:val="20"/>
          <w:lang w:val="es-ES"/>
        </w:rPr>
        <w:lastRenderedPageBreak/>
        <w:t xml:space="preserve">Comunidad de </w:t>
      </w:r>
      <w:proofErr w:type="spellStart"/>
      <w:r w:rsidR="00DA3CF0" w:rsidRPr="00A1219A">
        <w:rPr>
          <w:sz w:val="20"/>
          <w:lang w:val="es-ES"/>
        </w:rPr>
        <w:t>Cusuna</w:t>
      </w:r>
      <w:proofErr w:type="spellEnd"/>
      <w:r w:rsidR="00DA3CF0" w:rsidRPr="00A1219A">
        <w:rPr>
          <w:sz w:val="20"/>
          <w:lang w:val="es-ES"/>
        </w:rPr>
        <w:t>; y oeste: tierras nacionales</w:t>
      </w:r>
      <w:r w:rsidR="00DA3CF0" w:rsidRPr="00A1219A">
        <w:rPr>
          <w:rStyle w:val="Refdenotaalpie"/>
          <w:sz w:val="20"/>
          <w:lang w:val="es-ES"/>
        </w:rPr>
        <w:footnoteReference w:id="28"/>
      </w:r>
      <w:r w:rsidR="00596BA3" w:rsidRPr="00A1219A">
        <w:rPr>
          <w:sz w:val="20"/>
          <w:lang w:val="es-ES"/>
        </w:rPr>
        <w:t xml:space="preserve">. </w:t>
      </w:r>
      <w:r w:rsidR="007E0CF4" w:rsidRPr="00A1219A">
        <w:rPr>
          <w:sz w:val="20"/>
          <w:lang w:val="es-ES"/>
        </w:rPr>
        <w:t xml:space="preserve">De acuerdo al título, </w:t>
      </w:r>
      <w:r w:rsidRPr="00A1219A">
        <w:rPr>
          <w:sz w:val="20"/>
          <w:lang w:val="es-ES"/>
        </w:rPr>
        <w:t xml:space="preserve">se transfirió a la Comunidad el </w:t>
      </w:r>
      <w:r w:rsidR="007E0CF4" w:rsidRPr="00A1219A">
        <w:rPr>
          <w:sz w:val="20"/>
          <w:lang w:val="es-ES"/>
        </w:rPr>
        <w:t>“</w:t>
      </w:r>
      <w:r w:rsidRPr="00A1219A">
        <w:rPr>
          <w:sz w:val="20"/>
          <w:lang w:val="es-ES"/>
        </w:rPr>
        <w:t>dominio, posesi</w:t>
      </w:r>
      <w:r w:rsidR="007E0CF4" w:rsidRPr="00A1219A">
        <w:rPr>
          <w:sz w:val="20"/>
          <w:lang w:val="es-ES"/>
        </w:rPr>
        <w:t>ón, servidumb</w:t>
      </w:r>
      <w:r w:rsidRPr="00A1219A">
        <w:rPr>
          <w:sz w:val="20"/>
          <w:lang w:val="es-ES"/>
        </w:rPr>
        <w:t xml:space="preserve">re, anexidades, usos y demás derechos reales inherentes al </w:t>
      </w:r>
      <w:r w:rsidR="007E0CF4" w:rsidRPr="00A1219A">
        <w:rPr>
          <w:sz w:val="20"/>
          <w:lang w:val="es-ES"/>
        </w:rPr>
        <w:t>i</w:t>
      </w:r>
      <w:r w:rsidRPr="00A1219A">
        <w:rPr>
          <w:sz w:val="20"/>
          <w:lang w:val="es-ES"/>
        </w:rPr>
        <w:t>nmueble</w:t>
      </w:r>
      <w:r w:rsidR="007E0CF4" w:rsidRPr="00A1219A">
        <w:rPr>
          <w:sz w:val="20"/>
          <w:lang w:val="es-ES"/>
        </w:rPr>
        <w:t>”.</w:t>
      </w:r>
    </w:p>
    <w:p w:rsidR="00576A15" w:rsidRPr="00A1219A" w:rsidRDefault="00576A15" w:rsidP="00576A15">
      <w:pPr>
        <w:jc w:val="both"/>
        <w:rPr>
          <w:sz w:val="20"/>
          <w:lang w:val="es-ES"/>
        </w:rPr>
      </w:pPr>
    </w:p>
    <w:p w:rsidR="00576A15" w:rsidRPr="00A1219A" w:rsidRDefault="00576A15" w:rsidP="00771641">
      <w:pPr>
        <w:numPr>
          <w:ilvl w:val="0"/>
          <w:numId w:val="1"/>
        </w:numPr>
        <w:tabs>
          <w:tab w:val="clear" w:pos="900"/>
        </w:tabs>
        <w:ind w:left="0" w:firstLine="720"/>
        <w:jc w:val="both"/>
        <w:rPr>
          <w:sz w:val="20"/>
          <w:lang w:val="es-ES"/>
        </w:rPr>
      </w:pPr>
      <w:r w:rsidRPr="00A1219A">
        <w:rPr>
          <w:sz w:val="20"/>
          <w:lang w:val="es-ES"/>
        </w:rPr>
        <w:t xml:space="preserve">El título </w:t>
      </w:r>
      <w:r w:rsidR="007E0CF4" w:rsidRPr="00A1219A">
        <w:rPr>
          <w:sz w:val="20"/>
          <w:lang w:val="es-ES"/>
        </w:rPr>
        <w:t xml:space="preserve">de 1999 </w:t>
      </w:r>
      <w:r w:rsidRPr="00A1219A">
        <w:rPr>
          <w:sz w:val="20"/>
          <w:lang w:val="es-ES"/>
        </w:rPr>
        <w:t xml:space="preserve">fue otorgado con base </w:t>
      </w:r>
      <w:r w:rsidR="007E0CF4" w:rsidRPr="00A1219A">
        <w:rPr>
          <w:sz w:val="20"/>
          <w:lang w:val="es-ES"/>
        </w:rPr>
        <w:t xml:space="preserve">al artículo 346 de la Constitución de </w:t>
      </w:r>
      <w:smartTag w:uri="urn:schemas-microsoft-com:office:smarttags" w:element="PersonName">
        <w:r w:rsidR="007E0CF4" w:rsidRPr="007E1967">
          <w:rPr>
            <w:sz w:val="20"/>
            <w:lang w:val="es-ES"/>
          </w:rPr>
          <w:t>Honduras</w:t>
        </w:r>
      </w:smartTag>
      <w:r w:rsidR="007E0CF4" w:rsidRPr="007E1967">
        <w:rPr>
          <w:sz w:val="20"/>
          <w:lang w:val="es-ES"/>
        </w:rPr>
        <w:t xml:space="preserve">, el artículo </w:t>
      </w:r>
      <w:r w:rsidR="00332A2C" w:rsidRPr="007E1967">
        <w:rPr>
          <w:sz w:val="20"/>
          <w:lang w:val="es-ES"/>
        </w:rPr>
        <w:t>92</w:t>
      </w:r>
      <w:r w:rsidR="007E0CF4" w:rsidRPr="007E1967">
        <w:rPr>
          <w:sz w:val="20"/>
          <w:lang w:val="es-ES"/>
        </w:rPr>
        <w:t xml:space="preserve"> </w:t>
      </w:r>
      <w:r w:rsidR="00332A2C" w:rsidRPr="007E1967">
        <w:rPr>
          <w:sz w:val="20"/>
          <w:lang w:val="es-ES"/>
        </w:rPr>
        <w:t xml:space="preserve">y otros </w:t>
      </w:r>
      <w:r w:rsidR="007E0CF4" w:rsidRPr="007E1967">
        <w:rPr>
          <w:sz w:val="20"/>
          <w:lang w:val="es-ES"/>
        </w:rPr>
        <w:t>de</w:t>
      </w:r>
      <w:r w:rsidR="007E0CF4" w:rsidRPr="00A1219A">
        <w:rPr>
          <w:sz w:val="20"/>
          <w:lang w:val="es-ES"/>
        </w:rPr>
        <w:t xml:space="preserve"> </w:t>
      </w:r>
      <w:r w:rsidRPr="00A1219A">
        <w:rPr>
          <w:sz w:val="20"/>
          <w:lang w:val="es-ES"/>
        </w:rPr>
        <w:t>la Ley de Reforma</w:t>
      </w:r>
      <w:r w:rsidR="007E0CF4" w:rsidRPr="00A1219A">
        <w:rPr>
          <w:sz w:val="20"/>
          <w:lang w:val="es-ES"/>
        </w:rPr>
        <w:t xml:space="preserve"> Agraria y el artículo 14 del Convenio 169 de la OIT sobre Pueblos Indígenas y Tribales en países Independientes</w:t>
      </w:r>
      <w:r w:rsidR="007E0CF4" w:rsidRPr="00A1219A">
        <w:rPr>
          <w:rStyle w:val="Refdenotaalpie"/>
          <w:sz w:val="20"/>
          <w:lang w:val="es-ES"/>
        </w:rPr>
        <w:footnoteReference w:id="29"/>
      </w:r>
      <w:r w:rsidR="007E0CF4" w:rsidRPr="00A1219A">
        <w:rPr>
          <w:sz w:val="20"/>
          <w:lang w:val="es-ES"/>
        </w:rPr>
        <w:t xml:space="preserve">. </w:t>
      </w:r>
    </w:p>
    <w:p w:rsidR="00576A15" w:rsidRPr="00A1219A" w:rsidRDefault="00576A15" w:rsidP="00576A15">
      <w:pPr>
        <w:jc w:val="both"/>
        <w:rPr>
          <w:sz w:val="20"/>
          <w:lang w:val="es-ES"/>
        </w:rPr>
      </w:pPr>
    </w:p>
    <w:p w:rsidR="00157B11" w:rsidRPr="00A1219A" w:rsidRDefault="00B71713" w:rsidP="00771641">
      <w:pPr>
        <w:numPr>
          <w:ilvl w:val="0"/>
          <w:numId w:val="1"/>
        </w:numPr>
        <w:tabs>
          <w:tab w:val="clear" w:pos="900"/>
        </w:tabs>
        <w:ind w:left="0" w:firstLine="720"/>
        <w:jc w:val="both"/>
        <w:rPr>
          <w:sz w:val="20"/>
          <w:lang w:val="es-ES"/>
        </w:rPr>
      </w:pPr>
      <w:r w:rsidRPr="00A1219A">
        <w:rPr>
          <w:sz w:val="20"/>
          <w:lang w:val="es-ES"/>
        </w:rPr>
        <w:t xml:space="preserve">En el título </w:t>
      </w:r>
      <w:r w:rsidR="002A3519" w:rsidRPr="00A1219A">
        <w:rPr>
          <w:sz w:val="20"/>
          <w:lang w:val="es-ES"/>
        </w:rPr>
        <w:t xml:space="preserve">se </w:t>
      </w:r>
      <w:r w:rsidR="00157B11" w:rsidRPr="00A1219A">
        <w:rPr>
          <w:sz w:val="20"/>
          <w:lang w:val="es-ES"/>
        </w:rPr>
        <w:t xml:space="preserve">dispuso la </w:t>
      </w:r>
      <w:r w:rsidR="003A269B" w:rsidRPr="00A1219A">
        <w:rPr>
          <w:sz w:val="20"/>
          <w:lang w:val="es-ES"/>
        </w:rPr>
        <w:t>exclusión</w:t>
      </w:r>
      <w:r w:rsidR="00157B11" w:rsidRPr="00A1219A">
        <w:rPr>
          <w:sz w:val="20"/>
          <w:lang w:val="es-ES"/>
        </w:rPr>
        <w:t xml:space="preserve"> de</w:t>
      </w:r>
      <w:r w:rsidR="00C403F1" w:rsidRPr="00A1219A">
        <w:rPr>
          <w:sz w:val="20"/>
          <w:lang w:val="es-ES"/>
        </w:rPr>
        <w:t xml:space="preserve"> 46 </w:t>
      </w:r>
      <w:r w:rsidR="00015ABF" w:rsidRPr="00A1219A">
        <w:rPr>
          <w:sz w:val="20"/>
          <w:lang w:val="es-ES"/>
        </w:rPr>
        <w:t xml:space="preserve">hectáreas </w:t>
      </w:r>
      <w:r w:rsidR="00C403F1" w:rsidRPr="00A1219A">
        <w:rPr>
          <w:sz w:val="20"/>
          <w:lang w:val="es-ES"/>
        </w:rPr>
        <w:t>12</w:t>
      </w:r>
      <w:r w:rsidR="00015ABF" w:rsidRPr="00A1219A">
        <w:rPr>
          <w:sz w:val="20"/>
          <w:lang w:val="es-ES"/>
        </w:rPr>
        <w:t xml:space="preserve"> áreas</w:t>
      </w:r>
      <w:r w:rsidR="00C403F1" w:rsidRPr="00A1219A">
        <w:rPr>
          <w:sz w:val="20"/>
          <w:lang w:val="es-ES"/>
        </w:rPr>
        <w:t xml:space="preserve"> 96.66 </w:t>
      </w:r>
      <w:r w:rsidR="00015ABF" w:rsidRPr="00A1219A">
        <w:rPr>
          <w:sz w:val="20"/>
          <w:lang w:val="es-ES"/>
        </w:rPr>
        <w:t>centiáreas</w:t>
      </w:r>
      <w:r w:rsidR="00C403F1" w:rsidRPr="00A1219A">
        <w:rPr>
          <w:sz w:val="20"/>
          <w:lang w:val="es-ES"/>
        </w:rPr>
        <w:t xml:space="preserve"> </w:t>
      </w:r>
      <w:r w:rsidRPr="00A1219A">
        <w:rPr>
          <w:sz w:val="20"/>
          <w:lang w:val="es-ES"/>
        </w:rPr>
        <w:t xml:space="preserve">que estaban tituladas en dominio pleno a favor de </w:t>
      </w:r>
      <w:r w:rsidR="00C403F1" w:rsidRPr="00A1219A">
        <w:rPr>
          <w:sz w:val="20"/>
          <w:lang w:val="es-ES"/>
        </w:rPr>
        <w:t>dos particulares</w:t>
      </w:r>
      <w:r w:rsidR="00C403F1" w:rsidRPr="00A1219A">
        <w:rPr>
          <w:rStyle w:val="Refdenotaalpie"/>
          <w:sz w:val="20"/>
          <w:lang w:val="es-ES"/>
        </w:rPr>
        <w:footnoteReference w:id="30"/>
      </w:r>
      <w:r w:rsidR="002A3519" w:rsidRPr="00A1219A">
        <w:rPr>
          <w:sz w:val="20"/>
          <w:lang w:val="es-ES"/>
        </w:rPr>
        <w:t xml:space="preserve"> e</w:t>
      </w:r>
      <w:r w:rsidR="00C403F1" w:rsidRPr="00A1219A">
        <w:rPr>
          <w:sz w:val="20"/>
          <w:lang w:val="es-ES"/>
        </w:rPr>
        <w:t xml:space="preserve"> </w:t>
      </w:r>
      <w:r w:rsidR="00771641" w:rsidRPr="00A1219A">
        <w:rPr>
          <w:sz w:val="20"/>
          <w:lang w:val="es-ES"/>
        </w:rPr>
        <w:t>incluyó la siguiente cláusula</w:t>
      </w:r>
      <w:r w:rsidR="00157B11" w:rsidRPr="00A1219A">
        <w:rPr>
          <w:sz w:val="20"/>
          <w:lang w:val="es-ES"/>
        </w:rPr>
        <w:t>:</w:t>
      </w:r>
    </w:p>
    <w:p w:rsidR="00157B11" w:rsidRPr="00A1219A" w:rsidRDefault="00157B11" w:rsidP="000535E3">
      <w:pPr>
        <w:ind w:left="720" w:right="720"/>
        <w:jc w:val="both"/>
        <w:rPr>
          <w:sz w:val="18"/>
          <w:szCs w:val="18"/>
          <w:lang w:val="es-ES"/>
        </w:rPr>
      </w:pPr>
    </w:p>
    <w:p w:rsidR="000535E3" w:rsidRPr="00A1219A" w:rsidRDefault="000535E3" w:rsidP="000535E3">
      <w:pPr>
        <w:ind w:left="720" w:right="720"/>
        <w:jc w:val="both"/>
        <w:rPr>
          <w:sz w:val="18"/>
          <w:szCs w:val="18"/>
          <w:lang w:val="es-ES"/>
        </w:rPr>
      </w:pPr>
      <w:r w:rsidRPr="00A1219A">
        <w:rPr>
          <w:sz w:val="18"/>
          <w:szCs w:val="18"/>
          <w:lang w:val="es-ES"/>
        </w:rPr>
        <w:sym w:font="Symbol" w:char="F05B"/>
      </w:r>
      <w:r w:rsidRPr="00A1219A">
        <w:rPr>
          <w:sz w:val="18"/>
          <w:szCs w:val="18"/>
          <w:lang w:val="es-ES"/>
        </w:rPr>
        <w:t>…</w:t>
      </w:r>
      <w:r w:rsidRPr="00A1219A">
        <w:rPr>
          <w:sz w:val="18"/>
          <w:szCs w:val="18"/>
          <w:lang w:val="es-ES"/>
        </w:rPr>
        <w:sym w:font="Symbol" w:char="F05D"/>
      </w:r>
      <w:r w:rsidRPr="00A1219A">
        <w:rPr>
          <w:sz w:val="18"/>
          <w:szCs w:val="18"/>
          <w:lang w:val="es-ES"/>
        </w:rPr>
        <w:t xml:space="preserve"> se excluyen de la adjudicación las superficies ocupadas y explotadas por personas ajenas a la Comunidad, reservándose el Estado el derecho de disponer de las mismas para adjudicarlas a favor de los ocupantes que reúnan los requisitos de Ley</w:t>
      </w:r>
      <w:r w:rsidR="009A077A" w:rsidRPr="00A1219A">
        <w:rPr>
          <w:rStyle w:val="Refdenotaalpie"/>
          <w:sz w:val="18"/>
          <w:szCs w:val="18"/>
          <w:lang w:val="es-ES"/>
        </w:rPr>
        <w:footnoteReference w:id="31"/>
      </w:r>
      <w:r w:rsidRPr="00A1219A">
        <w:rPr>
          <w:sz w:val="18"/>
          <w:szCs w:val="18"/>
          <w:lang w:val="es-ES"/>
        </w:rPr>
        <w:t>.</w:t>
      </w:r>
    </w:p>
    <w:p w:rsidR="000535E3" w:rsidRPr="00A1219A" w:rsidRDefault="000535E3" w:rsidP="000535E3">
      <w:pPr>
        <w:ind w:left="720"/>
        <w:jc w:val="both"/>
        <w:rPr>
          <w:sz w:val="18"/>
          <w:szCs w:val="18"/>
          <w:lang w:val="es-ES"/>
        </w:rPr>
      </w:pPr>
    </w:p>
    <w:p w:rsidR="00D13C48" w:rsidRDefault="00157B11" w:rsidP="002A770C">
      <w:pPr>
        <w:numPr>
          <w:ilvl w:val="0"/>
          <w:numId w:val="1"/>
        </w:numPr>
        <w:tabs>
          <w:tab w:val="clear" w:pos="900"/>
        </w:tabs>
        <w:ind w:left="0" w:firstLine="720"/>
        <w:jc w:val="both"/>
        <w:rPr>
          <w:sz w:val="20"/>
          <w:lang w:val="es-ES"/>
        </w:rPr>
      </w:pPr>
      <w:r w:rsidRPr="00A1219A">
        <w:rPr>
          <w:sz w:val="20"/>
          <w:lang w:val="es-ES"/>
        </w:rPr>
        <w:t>El 11 de enero de 2000</w:t>
      </w:r>
      <w:r w:rsidR="00AC7DBD" w:rsidRPr="00A1219A">
        <w:rPr>
          <w:sz w:val="20"/>
          <w:lang w:val="es-ES"/>
        </w:rPr>
        <w:t xml:space="preserve"> </w:t>
      </w:r>
      <w:r w:rsidR="00B71713" w:rsidRPr="00A1219A">
        <w:rPr>
          <w:sz w:val="20"/>
          <w:lang w:val="es-ES"/>
        </w:rPr>
        <w:t>el INA</w:t>
      </w:r>
      <w:r w:rsidR="00BD5899">
        <w:rPr>
          <w:sz w:val="20"/>
          <w:lang w:val="es-ES"/>
        </w:rPr>
        <w:t>, a través de su Director Ejecutivo y</w:t>
      </w:r>
      <w:r w:rsidR="00AC7DBD" w:rsidRPr="00A1219A">
        <w:rPr>
          <w:sz w:val="20"/>
          <w:lang w:val="es-ES"/>
        </w:rPr>
        <w:t xml:space="preserve"> </w:t>
      </w:r>
      <w:r w:rsidR="009261FE" w:rsidRPr="00A1219A">
        <w:rPr>
          <w:sz w:val="20"/>
          <w:lang w:val="es-ES"/>
        </w:rPr>
        <w:t xml:space="preserve">mediante escritura pública </w:t>
      </w:r>
      <w:r w:rsidR="00D13C48">
        <w:rPr>
          <w:sz w:val="20"/>
          <w:lang w:val="es-ES"/>
        </w:rPr>
        <w:t>eliminó</w:t>
      </w:r>
      <w:r w:rsidR="00D13C48" w:rsidRPr="00A1219A">
        <w:rPr>
          <w:sz w:val="20"/>
          <w:lang w:val="es-ES"/>
        </w:rPr>
        <w:t xml:space="preserve"> </w:t>
      </w:r>
      <w:r w:rsidR="00D13C48">
        <w:rPr>
          <w:sz w:val="20"/>
          <w:lang w:val="es-ES"/>
        </w:rPr>
        <w:t xml:space="preserve">la </w:t>
      </w:r>
      <w:r w:rsidR="00D13C48" w:rsidRPr="00A1219A">
        <w:rPr>
          <w:sz w:val="20"/>
          <w:lang w:val="es-ES"/>
        </w:rPr>
        <w:t xml:space="preserve">cláusula </w:t>
      </w:r>
      <w:r w:rsidR="00D13C48">
        <w:rPr>
          <w:sz w:val="20"/>
          <w:lang w:val="es-ES"/>
        </w:rPr>
        <w:t xml:space="preserve">que excluía del </w:t>
      </w:r>
      <w:r w:rsidR="00AC7DBD" w:rsidRPr="00A1219A">
        <w:rPr>
          <w:sz w:val="20"/>
          <w:lang w:val="es-ES"/>
        </w:rPr>
        <w:t xml:space="preserve">título </w:t>
      </w:r>
      <w:r w:rsidR="00BD5899">
        <w:rPr>
          <w:sz w:val="20"/>
          <w:lang w:val="es-ES"/>
        </w:rPr>
        <w:t xml:space="preserve">de dominio pleno de 1999 </w:t>
      </w:r>
      <w:r w:rsidR="00D13C48">
        <w:rPr>
          <w:sz w:val="20"/>
          <w:lang w:val="es-ES"/>
        </w:rPr>
        <w:t>las superficies ocupadas o explotadas por personas ajenas a la Comunidad</w:t>
      </w:r>
      <w:r w:rsidR="004B1F63">
        <w:rPr>
          <w:sz w:val="20"/>
          <w:lang w:val="es-ES"/>
        </w:rPr>
        <w:t xml:space="preserve"> de Punta Piedra</w:t>
      </w:r>
      <w:r w:rsidR="00D13C48">
        <w:rPr>
          <w:sz w:val="20"/>
          <w:lang w:val="es-ES"/>
        </w:rPr>
        <w:t xml:space="preserve">. En la escritura de rectificación se </w:t>
      </w:r>
      <w:r w:rsidR="004B1F63">
        <w:rPr>
          <w:sz w:val="20"/>
          <w:lang w:val="es-ES"/>
        </w:rPr>
        <w:t>dejó constancia que la inclusión de dicha cláusula había sido producto de un error involuntario y por tanto se eliminaba y quedaba sin valor ni efecto.</w:t>
      </w:r>
    </w:p>
    <w:p w:rsidR="00D13C48" w:rsidRDefault="00D13C48" w:rsidP="00D13C48">
      <w:pPr>
        <w:jc w:val="both"/>
        <w:rPr>
          <w:sz w:val="20"/>
          <w:lang w:val="es-ES"/>
        </w:rPr>
      </w:pPr>
    </w:p>
    <w:p w:rsidR="00B71713" w:rsidRDefault="004B1F63" w:rsidP="004B1F63">
      <w:pPr>
        <w:ind w:left="720" w:right="720"/>
        <w:jc w:val="both"/>
        <w:rPr>
          <w:sz w:val="16"/>
          <w:szCs w:val="16"/>
          <w:lang w:val="es-ES"/>
        </w:rPr>
      </w:pPr>
      <w:r w:rsidRPr="004B1F63">
        <w:rPr>
          <w:sz w:val="16"/>
          <w:szCs w:val="16"/>
          <w:lang w:val="es-CL"/>
        </w:rPr>
        <w:t>[…</w:t>
      </w:r>
      <w:proofErr w:type="gramStart"/>
      <w:r w:rsidRPr="004B1F63">
        <w:rPr>
          <w:sz w:val="16"/>
          <w:szCs w:val="16"/>
          <w:lang w:val="es-CL"/>
        </w:rPr>
        <w:t>]</w:t>
      </w:r>
      <w:r w:rsidR="00D13C48" w:rsidRPr="004B1F63">
        <w:rPr>
          <w:sz w:val="16"/>
          <w:szCs w:val="16"/>
          <w:lang w:val="es-ES"/>
        </w:rPr>
        <w:t>en</w:t>
      </w:r>
      <w:proofErr w:type="gramEnd"/>
      <w:r w:rsidR="00D13C48" w:rsidRPr="004B1F63">
        <w:rPr>
          <w:sz w:val="16"/>
          <w:szCs w:val="16"/>
          <w:lang w:val="es-ES"/>
        </w:rPr>
        <w:t xml:space="preserve"> el Título Definitivo de Propiedad en Dominio Pleno mencionado en la Cláusula anterior, hubo un error involuntario al establecer en las condiciones del Título el p</w:t>
      </w:r>
      <w:r w:rsidRPr="004B1F63">
        <w:rPr>
          <w:sz w:val="16"/>
          <w:szCs w:val="16"/>
          <w:lang w:val="es-ES"/>
        </w:rPr>
        <w:t>árrafo siguiente “</w:t>
      </w:r>
      <w:r w:rsidR="00D13C48" w:rsidRPr="004B1F63">
        <w:rPr>
          <w:sz w:val="16"/>
          <w:szCs w:val="16"/>
          <w:lang w:val="es-ES"/>
        </w:rPr>
        <w:t>Se excluyen de la Adjudicación las superficies ocupadas y explotadas por personas ajenas a la comunidad, reservándose el Estado el derecho de disponer de las mismas para adjudicarlas a favor de los ocupantes que reúnan los requisitos de ley”, el cual por este acto se elimina y queda sin ningún</w:t>
      </w:r>
      <w:r w:rsidRPr="004B1F63">
        <w:rPr>
          <w:sz w:val="16"/>
          <w:szCs w:val="16"/>
          <w:lang w:val="es-ES"/>
        </w:rPr>
        <w:t xml:space="preserve"> valor ni efecto</w:t>
      </w:r>
      <w:r>
        <w:rPr>
          <w:rStyle w:val="Refdenotaalpie"/>
          <w:sz w:val="16"/>
          <w:szCs w:val="16"/>
          <w:lang w:val="es-ES"/>
        </w:rPr>
        <w:footnoteReference w:id="32"/>
      </w:r>
      <w:r w:rsidR="00D13C48" w:rsidRPr="004B1F63">
        <w:rPr>
          <w:sz w:val="16"/>
          <w:szCs w:val="16"/>
          <w:lang w:val="es-ES"/>
        </w:rPr>
        <w:t>.</w:t>
      </w:r>
    </w:p>
    <w:p w:rsidR="004B1F63" w:rsidRPr="004B1F63" w:rsidRDefault="004B1F63" w:rsidP="004B1F63">
      <w:pPr>
        <w:ind w:left="720" w:right="720"/>
        <w:jc w:val="both"/>
        <w:rPr>
          <w:sz w:val="16"/>
          <w:szCs w:val="16"/>
          <w:lang w:val="es-ES"/>
        </w:rPr>
      </w:pPr>
    </w:p>
    <w:p w:rsidR="004B1F63" w:rsidRDefault="004B1F63" w:rsidP="002A770C">
      <w:pPr>
        <w:numPr>
          <w:ilvl w:val="0"/>
          <w:numId w:val="1"/>
        </w:numPr>
        <w:tabs>
          <w:tab w:val="clear" w:pos="900"/>
        </w:tabs>
        <w:ind w:left="0" w:firstLine="720"/>
        <w:jc w:val="both"/>
        <w:rPr>
          <w:sz w:val="20"/>
          <w:lang w:val="es-ES"/>
        </w:rPr>
      </w:pPr>
      <w:r>
        <w:rPr>
          <w:sz w:val="20"/>
          <w:lang w:val="es-ES"/>
        </w:rPr>
        <w:t>En virtud de la rectificación, el título de dominio pleno otorgado por el Estado a la Comunidad de Punta Piedra en 1999 comprendió, sin excepción, la totalidad de la superficie entregada.</w:t>
      </w:r>
    </w:p>
    <w:p w:rsidR="004B1F63" w:rsidRDefault="004B1F63" w:rsidP="004B1F63">
      <w:pPr>
        <w:jc w:val="both"/>
        <w:rPr>
          <w:sz w:val="20"/>
          <w:lang w:val="es-ES"/>
        </w:rPr>
      </w:pPr>
    </w:p>
    <w:p w:rsidR="002A770C" w:rsidRPr="00A1219A" w:rsidRDefault="00B71713" w:rsidP="002A770C">
      <w:pPr>
        <w:numPr>
          <w:ilvl w:val="0"/>
          <w:numId w:val="1"/>
        </w:numPr>
        <w:tabs>
          <w:tab w:val="clear" w:pos="900"/>
        </w:tabs>
        <w:ind w:left="0" w:firstLine="720"/>
        <w:jc w:val="both"/>
        <w:rPr>
          <w:sz w:val="20"/>
          <w:lang w:val="es-ES"/>
        </w:rPr>
      </w:pPr>
      <w:r w:rsidRPr="00A1219A">
        <w:rPr>
          <w:sz w:val="20"/>
          <w:lang w:val="es-ES"/>
        </w:rPr>
        <w:t xml:space="preserve">En consecuencia, </w:t>
      </w:r>
      <w:r w:rsidR="004678FB" w:rsidRPr="00A1219A">
        <w:rPr>
          <w:sz w:val="20"/>
          <w:lang w:val="es-ES"/>
        </w:rPr>
        <w:t xml:space="preserve">las partes han acreditado mediante instrumentos públicos que </w:t>
      </w:r>
      <w:r w:rsidRPr="00A1219A">
        <w:rPr>
          <w:sz w:val="20"/>
          <w:lang w:val="es-ES"/>
        </w:rPr>
        <w:t xml:space="preserve">el Estado otorgó a la Comunidad Garífuna </w:t>
      </w:r>
      <w:r w:rsidR="00F352B8" w:rsidRPr="00A1219A">
        <w:rPr>
          <w:sz w:val="20"/>
          <w:lang w:val="es-ES"/>
        </w:rPr>
        <w:t xml:space="preserve">de </w:t>
      </w:r>
      <w:r w:rsidRPr="00A1219A">
        <w:rPr>
          <w:sz w:val="20"/>
          <w:lang w:val="es-ES"/>
        </w:rPr>
        <w:t xml:space="preserve">Punta Piedra dos títulos de dominio pleno, </w:t>
      </w:r>
      <w:r w:rsidR="004678FB" w:rsidRPr="00A1219A">
        <w:rPr>
          <w:sz w:val="20"/>
          <w:lang w:val="es-ES"/>
        </w:rPr>
        <w:t xml:space="preserve">ambos </w:t>
      </w:r>
      <w:r w:rsidRPr="00A1219A">
        <w:rPr>
          <w:sz w:val="20"/>
          <w:lang w:val="es-ES"/>
        </w:rPr>
        <w:t>vigentes a la fecha</w:t>
      </w:r>
      <w:r w:rsidR="004678FB" w:rsidRPr="00A1219A">
        <w:rPr>
          <w:sz w:val="20"/>
          <w:lang w:val="es-ES"/>
        </w:rPr>
        <w:t xml:space="preserve">. El primero en 1993 por una superficie de 800 hectáreas y fracción y el segundo en 1999 por una superficie de 1.513 hectáreas y fracción, sumando un </w:t>
      </w:r>
      <w:r w:rsidR="004678FB" w:rsidRPr="007E1967">
        <w:rPr>
          <w:sz w:val="20"/>
          <w:lang w:val="es-ES"/>
        </w:rPr>
        <w:t>total de 2.</w:t>
      </w:r>
      <w:r w:rsidR="00405494" w:rsidRPr="007E1967">
        <w:rPr>
          <w:sz w:val="20"/>
          <w:lang w:val="es-ES"/>
        </w:rPr>
        <w:t>314</w:t>
      </w:r>
      <w:r w:rsidR="004678FB" w:rsidRPr="007E1967">
        <w:rPr>
          <w:sz w:val="20"/>
          <w:lang w:val="es-ES"/>
        </w:rPr>
        <w:t xml:space="preserve"> hectáreas</w:t>
      </w:r>
      <w:r w:rsidR="004678FB" w:rsidRPr="00A1219A">
        <w:rPr>
          <w:sz w:val="20"/>
          <w:lang w:val="es-ES"/>
        </w:rPr>
        <w:t xml:space="preserve"> y fracción. </w:t>
      </w:r>
      <w:r w:rsidRPr="00A1219A">
        <w:rPr>
          <w:sz w:val="20"/>
          <w:lang w:val="es-ES"/>
        </w:rPr>
        <w:t xml:space="preserve"> </w:t>
      </w:r>
    </w:p>
    <w:p w:rsidR="002A770C" w:rsidRPr="00A1219A" w:rsidRDefault="002A770C" w:rsidP="002A770C">
      <w:pPr>
        <w:jc w:val="both"/>
        <w:rPr>
          <w:sz w:val="20"/>
          <w:lang w:val="es-ES"/>
        </w:rPr>
      </w:pPr>
    </w:p>
    <w:p w:rsidR="006031A2" w:rsidRPr="00A1219A" w:rsidRDefault="00B71713" w:rsidP="002A231C">
      <w:pPr>
        <w:pStyle w:val="Ttulo2"/>
        <w:spacing w:before="0" w:after="0"/>
        <w:ind w:firstLine="720"/>
        <w:jc w:val="both"/>
        <w:rPr>
          <w:rFonts w:ascii="Univers" w:hAnsi="Univers"/>
          <w:i w:val="0"/>
          <w:iCs w:val="0"/>
          <w:sz w:val="20"/>
          <w:lang w:val="es-ES"/>
        </w:rPr>
      </w:pPr>
      <w:bookmarkStart w:id="22" w:name="_Toc336248005"/>
      <w:bookmarkStart w:id="23" w:name="_Toc350183583"/>
      <w:r w:rsidRPr="00A1219A">
        <w:rPr>
          <w:rFonts w:ascii="Univers" w:hAnsi="Univers"/>
          <w:i w:val="0"/>
          <w:iCs w:val="0"/>
          <w:sz w:val="20"/>
          <w:lang w:val="es-ES"/>
        </w:rPr>
        <w:t>D</w:t>
      </w:r>
      <w:r w:rsidR="006031A2" w:rsidRPr="00A1219A">
        <w:rPr>
          <w:rFonts w:ascii="Univers" w:hAnsi="Univers"/>
          <w:i w:val="0"/>
          <w:iCs w:val="0"/>
          <w:sz w:val="20"/>
          <w:lang w:val="es-ES"/>
        </w:rPr>
        <w:t>.</w:t>
      </w:r>
      <w:r w:rsidR="006031A2" w:rsidRPr="00A1219A">
        <w:rPr>
          <w:rFonts w:ascii="Univers" w:hAnsi="Univers"/>
          <w:i w:val="0"/>
          <w:iCs w:val="0"/>
          <w:sz w:val="20"/>
          <w:lang w:val="es-ES"/>
        </w:rPr>
        <w:tab/>
      </w:r>
      <w:r w:rsidR="004678FB" w:rsidRPr="00A1219A">
        <w:rPr>
          <w:rFonts w:ascii="Univers" w:hAnsi="Univers"/>
          <w:i w:val="0"/>
          <w:iCs w:val="0"/>
          <w:sz w:val="20"/>
          <w:lang w:val="es-ES"/>
        </w:rPr>
        <w:t xml:space="preserve">Ocupación del </w:t>
      </w:r>
      <w:r w:rsidR="006031A2" w:rsidRPr="00A1219A">
        <w:rPr>
          <w:rFonts w:ascii="Univers" w:hAnsi="Univers"/>
          <w:i w:val="0"/>
          <w:iCs w:val="0"/>
          <w:sz w:val="20"/>
          <w:lang w:val="es-ES"/>
        </w:rPr>
        <w:t xml:space="preserve">territorio de la Comunidad de </w:t>
      </w:r>
      <w:r w:rsidR="00AC41B8" w:rsidRPr="00A1219A">
        <w:rPr>
          <w:rFonts w:ascii="Univers" w:hAnsi="Univers"/>
          <w:i w:val="0"/>
          <w:iCs w:val="0"/>
          <w:sz w:val="20"/>
          <w:lang w:val="es-ES"/>
        </w:rPr>
        <w:t>Punta Piedra</w:t>
      </w:r>
      <w:r w:rsidR="00C86C61" w:rsidRPr="00A1219A">
        <w:rPr>
          <w:rFonts w:ascii="Univers" w:hAnsi="Univers"/>
          <w:i w:val="0"/>
          <w:iCs w:val="0"/>
          <w:sz w:val="20"/>
          <w:lang w:val="es-ES"/>
        </w:rPr>
        <w:t xml:space="preserve"> </w:t>
      </w:r>
      <w:r w:rsidR="004678FB" w:rsidRPr="00A1219A">
        <w:rPr>
          <w:rFonts w:ascii="Univers" w:hAnsi="Univers"/>
          <w:i w:val="0"/>
          <w:iCs w:val="0"/>
          <w:sz w:val="20"/>
          <w:lang w:val="es-ES"/>
        </w:rPr>
        <w:t>por tercero</w:t>
      </w:r>
      <w:bookmarkEnd w:id="22"/>
      <w:r w:rsidR="004678FB" w:rsidRPr="00A1219A">
        <w:rPr>
          <w:rFonts w:ascii="Univers" w:hAnsi="Univers"/>
          <w:i w:val="0"/>
          <w:iCs w:val="0"/>
          <w:sz w:val="20"/>
          <w:lang w:val="es-ES"/>
        </w:rPr>
        <w:t>s</w:t>
      </w:r>
      <w:bookmarkEnd w:id="23"/>
    </w:p>
    <w:p w:rsidR="006031A2" w:rsidRPr="00A1219A" w:rsidRDefault="006031A2" w:rsidP="00693812">
      <w:pPr>
        <w:jc w:val="both"/>
        <w:rPr>
          <w:sz w:val="20"/>
          <w:lang w:val="es-ES"/>
        </w:rPr>
      </w:pPr>
    </w:p>
    <w:p w:rsidR="00CF4A25" w:rsidRPr="00A1219A" w:rsidRDefault="00CF4A25" w:rsidP="00E94F7B">
      <w:pPr>
        <w:numPr>
          <w:ilvl w:val="0"/>
          <w:numId w:val="1"/>
        </w:numPr>
        <w:tabs>
          <w:tab w:val="clear" w:pos="900"/>
        </w:tabs>
        <w:ind w:left="0" w:firstLine="720"/>
        <w:jc w:val="both"/>
        <w:rPr>
          <w:sz w:val="20"/>
          <w:lang w:val="es-ES"/>
        </w:rPr>
      </w:pPr>
      <w:r w:rsidRPr="00A1219A">
        <w:rPr>
          <w:sz w:val="20"/>
          <w:lang w:val="es-ES"/>
        </w:rPr>
        <w:t>De acuerdo a la información aportada por las partes, a</w:t>
      </w:r>
      <w:r w:rsidR="009A3352" w:rsidRPr="00A1219A">
        <w:rPr>
          <w:sz w:val="20"/>
          <w:lang w:val="es-ES"/>
        </w:rPr>
        <w:t xml:space="preserve"> principios de los años 90</w:t>
      </w:r>
      <w:r w:rsidR="00DC3E9D" w:rsidRPr="00A1219A">
        <w:rPr>
          <w:sz w:val="20"/>
          <w:lang w:val="es-ES"/>
        </w:rPr>
        <w:t>,</w:t>
      </w:r>
      <w:r w:rsidRPr="00A1219A">
        <w:rPr>
          <w:sz w:val="20"/>
          <w:lang w:val="es-ES"/>
        </w:rPr>
        <w:t xml:space="preserve"> la zona de Río Miel ubicada dentro del territorio reivindicado como ancestral por la Comunidad Garífuna </w:t>
      </w:r>
      <w:r w:rsidR="00DC3E9D" w:rsidRPr="00A1219A">
        <w:rPr>
          <w:sz w:val="20"/>
          <w:lang w:val="es-ES"/>
        </w:rPr>
        <w:t xml:space="preserve"> </w:t>
      </w:r>
      <w:r w:rsidRPr="00A1219A">
        <w:rPr>
          <w:sz w:val="20"/>
          <w:lang w:val="es-ES"/>
        </w:rPr>
        <w:t xml:space="preserve">Punta Piedra, fue invadida por </w:t>
      </w:r>
      <w:r w:rsidR="00DC3E9D" w:rsidRPr="00A1219A">
        <w:rPr>
          <w:sz w:val="20"/>
          <w:lang w:val="es-ES"/>
        </w:rPr>
        <w:t xml:space="preserve">campesinos o </w:t>
      </w:r>
      <w:r w:rsidRPr="00A1219A">
        <w:rPr>
          <w:sz w:val="20"/>
          <w:lang w:val="es-ES"/>
        </w:rPr>
        <w:t xml:space="preserve">también llamados </w:t>
      </w:r>
      <w:r w:rsidR="00DC3E9D" w:rsidRPr="00A1219A">
        <w:rPr>
          <w:sz w:val="20"/>
          <w:lang w:val="es-ES"/>
        </w:rPr>
        <w:t>“ladinos”</w:t>
      </w:r>
      <w:r w:rsidR="007A439D" w:rsidRPr="00A1219A">
        <w:rPr>
          <w:rStyle w:val="Refdenotaalpie"/>
          <w:sz w:val="20"/>
          <w:lang w:val="es-ES"/>
        </w:rPr>
        <w:footnoteReference w:id="33"/>
      </w:r>
      <w:r w:rsidR="00E94F7B" w:rsidRPr="00A1219A">
        <w:rPr>
          <w:sz w:val="20"/>
          <w:lang w:val="es-ES"/>
        </w:rPr>
        <w:t>.</w:t>
      </w:r>
      <w:r w:rsidRPr="00A1219A">
        <w:rPr>
          <w:sz w:val="20"/>
          <w:lang w:val="es-ES"/>
        </w:rPr>
        <w:t xml:space="preserve"> El Estado en su primera respuesta a la CIDH señaló:</w:t>
      </w:r>
    </w:p>
    <w:p w:rsidR="00CF4A25" w:rsidRPr="00A1219A" w:rsidRDefault="00CF4A25" w:rsidP="00CF4A25">
      <w:pPr>
        <w:jc w:val="both"/>
        <w:rPr>
          <w:sz w:val="20"/>
          <w:lang w:val="es-ES"/>
        </w:rPr>
      </w:pPr>
    </w:p>
    <w:p w:rsidR="00CF4A25" w:rsidRPr="00A1219A" w:rsidRDefault="00CF4A25" w:rsidP="00CF4A25">
      <w:pPr>
        <w:ind w:left="720" w:right="720"/>
        <w:jc w:val="both"/>
        <w:rPr>
          <w:rFonts w:cs="Arial"/>
          <w:noProof/>
          <w:sz w:val="16"/>
          <w:szCs w:val="16"/>
          <w:lang w:val="es-ES"/>
        </w:rPr>
      </w:pPr>
      <w:r w:rsidRPr="00A1219A">
        <w:rPr>
          <w:rFonts w:cs="Arial"/>
          <w:noProof/>
          <w:sz w:val="16"/>
          <w:szCs w:val="16"/>
          <w:lang w:val="es-ES"/>
        </w:rPr>
        <w:t xml:space="preserve">El problema de la tenencia de la tierra de la Comunidad Garífuna Punta Piedra tiene su origen con la llegada de los primeros pobladores de la comunidad que se conoce como Río Miel, a quienes los pobladores de Punta </w:t>
      </w:r>
      <w:r w:rsidR="00A00829">
        <w:rPr>
          <w:rFonts w:cs="Arial"/>
          <w:noProof/>
          <w:sz w:val="16"/>
          <w:szCs w:val="16"/>
          <w:lang w:val="es-ES"/>
        </w:rPr>
        <w:t>Piedra los conocen como ladinos</w:t>
      </w:r>
      <w:r w:rsidRPr="00A1219A">
        <w:rPr>
          <w:rStyle w:val="Refdenotaalpie"/>
          <w:rFonts w:cs="Arial"/>
          <w:noProof/>
          <w:sz w:val="16"/>
          <w:szCs w:val="16"/>
          <w:lang w:val="es-ES"/>
        </w:rPr>
        <w:footnoteReference w:id="34"/>
      </w:r>
      <w:r w:rsidRPr="00A1219A">
        <w:rPr>
          <w:rFonts w:cs="Arial"/>
          <w:noProof/>
          <w:sz w:val="16"/>
          <w:szCs w:val="16"/>
          <w:lang w:val="es-ES"/>
        </w:rPr>
        <w:t>.</w:t>
      </w:r>
    </w:p>
    <w:p w:rsidR="00CF4A25" w:rsidRPr="00A1219A" w:rsidRDefault="00CF4A25" w:rsidP="00CF4A25">
      <w:pPr>
        <w:ind w:left="720" w:right="720"/>
        <w:jc w:val="both"/>
        <w:rPr>
          <w:sz w:val="20"/>
          <w:lang w:val="es-ES"/>
        </w:rPr>
      </w:pPr>
    </w:p>
    <w:p w:rsidR="00E94F7B" w:rsidRPr="00A1219A" w:rsidRDefault="00CA1E22" w:rsidP="00E94F7B">
      <w:pPr>
        <w:numPr>
          <w:ilvl w:val="0"/>
          <w:numId w:val="1"/>
        </w:numPr>
        <w:tabs>
          <w:tab w:val="clear" w:pos="900"/>
        </w:tabs>
        <w:ind w:left="0" w:firstLine="720"/>
        <w:jc w:val="both"/>
        <w:rPr>
          <w:sz w:val="20"/>
          <w:lang w:val="es-ES"/>
        </w:rPr>
      </w:pPr>
      <w:r w:rsidRPr="00A1219A">
        <w:rPr>
          <w:sz w:val="20"/>
          <w:lang w:val="es-ES"/>
        </w:rPr>
        <w:t xml:space="preserve">Sobre la presencia de campesinos en la zona de Río Miel, </w:t>
      </w:r>
      <w:r w:rsidR="00E94F7B" w:rsidRPr="00A1219A">
        <w:rPr>
          <w:rFonts w:cs="Arial"/>
          <w:bCs/>
          <w:sz w:val="20"/>
          <w:lang w:val="es-ES"/>
        </w:rPr>
        <w:t xml:space="preserve">Doroteo Tomas, miembro de </w:t>
      </w:r>
      <w:r w:rsidRPr="00A1219A">
        <w:rPr>
          <w:rFonts w:cs="Arial"/>
          <w:bCs/>
          <w:sz w:val="20"/>
          <w:lang w:val="es-ES"/>
        </w:rPr>
        <w:t xml:space="preserve">la Comunidad </w:t>
      </w:r>
      <w:r w:rsidR="00DC3E9D" w:rsidRPr="00A1219A">
        <w:rPr>
          <w:rFonts w:cs="Arial"/>
          <w:bCs/>
          <w:sz w:val="20"/>
          <w:lang w:val="es-ES"/>
        </w:rPr>
        <w:t>Punta Piedra</w:t>
      </w:r>
      <w:r w:rsidR="00E94F7B" w:rsidRPr="00A1219A">
        <w:rPr>
          <w:rFonts w:cs="Arial"/>
          <w:bCs/>
          <w:sz w:val="20"/>
          <w:lang w:val="es-ES"/>
        </w:rPr>
        <w:t xml:space="preserve">, describió </w:t>
      </w:r>
      <w:r w:rsidR="00622F01" w:rsidRPr="00A1219A">
        <w:rPr>
          <w:rFonts w:cs="Arial"/>
          <w:bCs/>
          <w:sz w:val="20"/>
          <w:lang w:val="es-ES"/>
        </w:rPr>
        <w:t>l</w:t>
      </w:r>
      <w:r w:rsidRPr="00A1219A">
        <w:rPr>
          <w:rFonts w:cs="Arial"/>
          <w:bCs/>
          <w:sz w:val="20"/>
          <w:lang w:val="es-ES"/>
        </w:rPr>
        <w:t xml:space="preserve">o siguiente </w:t>
      </w:r>
      <w:r w:rsidR="00E94F7B" w:rsidRPr="00A1219A">
        <w:rPr>
          <w:rFonts w:cs="Arial"/>
          <w:bCs/>
          <w:sz w:val="20"/>
          <w:lang w:val="es-ES"/>
        </w:rPr>
        <w:t xml:space="preserve">en audiencia pública ante la CIDH: </w:t>
      </w:r>
    </w:p>
    <w:p w:rsidR="00E94F7B" w:rsidRPr="00A1219A" w:rsidRDefault="00E94F7B" w:rsidP="00E94F7B">
      <w:pPr>
        <w:jc w:val="both"/>
        <w:rPr>
          <w:rFonts w:cs="Arial"/>
          <w:bCs/>
          <w:sz w:val="20"/>
          <w:lang w:val="es-ES"/>
        </w:rPr>
      </w:pPr>
    </w:p>
    <w:p w:rsidR="001D44A4" w:rsidRPr="00A1219A" w:rsidRDefault="00E94F7B" w:rsidP="00E94F7B">
      <w:pPr>
        <w:ind w:left="720" w:right="720"/>
        <w:jc w:val="both"/>
        <w:rPr>
          <w:sz w:val="18"/>
          <w:szCs w:val="18"/>
          <w:lang w:val="es-ES"/>
        </w:rPr>
      </w:pPr>
      <w:r w:rsidRPr="00A1219A">
        <w:rPr>
          <w:rFonts w:cs="Arial"/>
          <w:bCs/>
          <w:sz w:val="18"/>
          <w:szCs w:val="18"/>
          <w:lang w:val="es-ES"/>
        </w:rPr>
        <w:t xml:space="preserve">Estamos aquí hoy día por un problema que ha llegado a nuestra comunidad en el año 1993. El problema que ha llegado a nuestra tierra, </w:t>
      </w:r>
      <w:r w:rsidR="00BC0578" w:rsidRPr="00A1219A">
        <w:rPr>
          <w:rFonts w:cs="Arial"/>
          <w:bCs/>
          <w:sz w:val="18"/>
          <w:szCs w:val="18"/>
          <w:lang w:val="es-ES"/>
        </w:rPr>
        <w:t xml:space="preserve">[es que] </w:t>
      </w:r>
      <w:r w:rsidRPr="00A1219A">
        <w:rPr>
          <w:rFonts w:cs="Arial"/>
          <w:bCs/>
          <w:sz w:val="18"/>
          <w:szCs w:val="18"/>
          <w:lang w:val="es-ES"/>
        </w:rPr>
        <w:t>vinieron los hijos de nuestra comunidad con la información que los invasores se estaban apoderando de la tierra, que es herencia de nuestros ancestros. […] Cuando recibimos la noticia que allí estaban los invasores, nosotros de la comunidad fuimos a conversar con ellos de buena manera, ell</w:t>
      </w:r>
      <w:r w:rsidR="00BC0578" w:rsidRPr="00A1219A">
        <w:rPr>
          <w:rFonts w:cs="Arial"/>
          <w:bCs/>
          <w:sz w:val="18"/>
          <w:szCs w:val="18"/>
          <w:lang w:val="es-ES"/>
        </w:rPr>
        <w:t>o dijeron que nos iban a matar [</w:t>
      </w:r>
      <w:r w:rsidRPr="00A1219A">
        <w:rPr>
          <w:rFonts w:cs="Arial"/>
          <w:bCs/>
          <w:sz w:val="18"/>
          <w:szCs w:val="18"/>
          <w:lang w:val="es-ES"/>
        </w:rPr>
        <w:t>…]</w:t>
      </w:r>
      <w:r w:rsidR="00082EBA" w:rsidRPr="00A1219A">
        <w:rPr>
          <w:rStyle w:val="Refdenotaalpie"/>
          <w:sz w:val="18"/>
          <w:szCs w:val="18"/>
          <w:lang w:val="es-ES"/>
        </w:rPr>
        <w:footnoteReference w:id="35"/>
      </w:r>
      <w:r w:rsidR="00782B98" w:rsidRPr="00A1219A">
        <w:rPr>
          <w:sz w:val="18"/>
          <w:szCs w:val="18"/>
          <w:lang w:val="es-ES"/>
        </w:rPr>
        <w:t>.</w:t>
      </w:r>
    </w:p>
    <w:p w:rsidR="001D44A4" w:rsidRPr="00A1219A" w:rsidRDefault="001D44A4" w:rsidP="001D44A4">
      <w:pPr>
        <w:jc w:val="both"/>
        <w:rPr>
          <w:sz w:val="20"/>
          <w:lang w:val="es-ES"/>
        </w:rPr>
      </w:pPr>
    </w:p>
    <w:p w:rsidR="00CA1E22" w:rsidRPr="00A1219A" w:rsidRDefault="00CA1E22" w:rsidP="00584546">
      <w:pPr>
        <w:numPr>
          <w:ilvl w:val="0"/>
          <w:numId w:val="1"/>
        </w:numPr>
        <w:tabs>
          <w:tab w:val="clear" w:pos="900"/>
        </w:tabs>
        <w:ind w:left="0" w:firstLine="720"/>
        <w:jc w:val="both"/>
        <w:rPr>
          <w:sz w:val="20"/>
          <w:lang w:val="es-ES"/>
        </w:rPr>
      </w:pPr>
      <w:r w:rsidRPr="00A1219A">
        <w:rPr>
          <w:sz w:val="20"/>
          <w:lang w:val="es-ES"/>
        </w:rPr>
        <w:t>El Estado explicó durante el trámite del presente caso que en el título de dominio pleno otorgado por el INA a la C</w:t>
      </w:r>
      <w:r w:rsidR="002B3EFC" w:rsidRPr="00A1219A">
        <w:rPr>
          <w:sz w:val="20"/>
          <w:lang w:val="es-ES"/>
        </w:rPr>
        <w:t>omunidad de Punta Piedra en 1999</w:t>
      </w:r>
      <w:r w:rsidRPr="00A1219A">
        <w:rPr>
          <w:sz w:val="20"/>
          <w:lang w:val="es-ES"/>
        </w:rPr>
        <w:t xml:space="preserve"> sobre una superficie de 1.513 hectáreas “quedó comprendida un área de aproximadamente 670 hectáreas cuya posesión ejercían, en aquel tiempo y ejercen a la fecha, los vecinos de la Comunidad de RIO MIEL.- En el título referido a la ampliación se estipuló que estas 670 hectáreas quedaban excluidas del área </w:t>
      </w:r>
      <w:r w:rsidR="00EA14E6" w:rsidRPr="00A1219A">
        <w:rPr>
          <w:sz w:val="20"/>
          <w:lang w:val="es-ES"/>
        </w:rPr>
        <w:t>adjudicada</w:t>
      </w:r>
      <w:r w:rsidRPr="00A1219A">
        <w:rPr>
          <w:sz w:val="20"/>
          <w:lang w:val="es-ES"/>
        </w:rPr>
        <w:t xml:space="preserve"> y que el Estado podía disponer de la misma con el fin de legalizar su tenencia a favor de aquellas personas que acreditaran los requisitos de ley. Sin embargo, posteriormente el Instituto Nacional Agrario</w:t>
      </w:r>
      <w:r w:rsidR="00201D4C" w:rsidRPr="00A1219A">
        <w:rPr>
          <w:sz w:val="20"/>
          <w:lang w:val="es-ES"/>
        </w:rPr>
        <w:t xml:space="preserve"> otorgó un Instrumento Público de rectificación de título […] acción que dejó sin ningún valor lo </w:t>
      </w:r>
      <w:r w:rsidR="00EA14E6" w:rsidRPr="00A1219A">
        <w:rPr>
          <w:sz w:val="20"/>
          <w:lang w:val="es-ES"/>
        </w:rPr>
        <w:t>referente</w:t>
      </w:r>
      <w:r w:rsidR="00201D4C" w:rsidRPr="00A1219A">
        <w:rPr>
          <w:sz w:val="20"/>
          <w:lang w:val="es-ES"/>
        </w:rPr>
        <w:t xml:space="preserve"> a la exclusión de esas 670 hectáreas ocupadas y </w:t>
      </w:r>
      <w:r w:rsidR="00EA14E6" w:rsidRPr="00A1219A">
        <w:rPr>
          <w:sz w:val="20"/>
          <w:lang w:val="es-ES"/>
        </w:rPr>
        <w:t>explotadas</w:t>
      </w:r>
      <w:r w:rsidR="00201D4C" w:rsidRPr="00A1219A">
        <w:rPr>
          <w:sz w:val="20"/>
          <w:lang w:val="es-ES"/>
        </w:rPr>
        <w:t xml:space="preserve"> por </w:t>
      </w:r>
      <w:r w:rsidR="00EA14E6" w:rsidRPr="00A1219A">
        <w:rPr>
          <w:sz w:val="20"/>
          <w:lang w:val="es-ES"/>
        </w:rPr>
        <w:t>la comunidad de</w:t>
      </w:r>
      <w:r w:rsidR="00201D4C" w:rsidRPr="00A1219A">
        <w:rPr>
          <w:sz w:val="20"/>
          <w:lang w:val="es-ES"/>
        </w:rPr>
        <w:t xml:space="preserve"> “RIO MIEL”, y quedan consecuentemente en dominio pleno a favor de la Comunidad de Punta Piedra, dentro del título de 1513 </w:t>
      </w:r>
      <w:r w:rsidR="00EA14E6" w:rsidRPr="00A1219A">
        <w:rPr>
          <w:sz w:val="20"/>
          <w:lang w:val="es-ES"/>
        </w:rPr>
        <w:t>hectáreas</w:t>
      </w:r>
      <w:r w:rsidR="00201D4C" w:rsidRPr="00A1219A">
        <w:rPr>
          <w:sz w:val="20"/>
          <w:lang w:val="es-ES"/>
        </w:rPr>
        <w:t xml:space="preserve">”. </w:t>
      </w:r>
    </w:p>
    <w:p w:rsidR="00EA14E6" w:rsidRPr="00A1219A" w:rsidRDefault="00EA14E6" w:rsidP="00EA14E6">
      <w:pPr>
        <w:jc w:val="both"/>
        <w:rPr>
          <w:sz w:val="20"/>
          <w:lang w:val="es-ES"/>
        </w:rPr>
      </w:pPr>
    </w:p>
    <w:p w:rsidR="00624B7D" w:rsidRPr="00A1219A" w:rsidRDefault="00EA14E6" w:rsidP="00DE1C3B">
      <w:pPr>
        <w:numPr>
          <w:ilvl w:val="0"/>
          <w:numId w:val="1"/>
        </w:numPr>
        <w:tabs>
          <w:tab w:val="clear" w:pos="900"/>
        </w:tabs>
        <w:ind w:left="0" w:firstLine="720"/>
        <w:jc w:val="both"/>
        <w:rPr>
          <w:sz w:val="20"/>
          <w:lang w:val="es-ES"/>
        </w:rPr>
      </w:pPr>
      <w:r w:rsidRPr="00A1219A">
        <w:rPr>
          <w:sz w:val="20"/>
          <w:lang w:val="es-ES"/>
        </w:rPr>
        <w:t>En consecuencia, la Comisión observa que las p</w:t>
      </w:r>
      <w:r w:rsidR="00850A99">
        <w:rPr>
          <w:sz w:val="20"/>
          <w:lang w:val="es-ES"/>
        </w:rPr>
        <w:t xml:space="preserve">artes en el presente caso coinciden </w:t>
      </w:r>
      <w:r w:rsidRPr="00A1219A">
        <w:rPr>
          <w:sz w:val="20"/>
          <w:lang w:val="es-ES"/>
        </w:rPr>
        <w:t>en que parte del territorio reconocido y titulado por el Estado a favor de la Comunidad Garífuna de Punta Piedra, desde comienzos de los noventa está ocupado por campesinos que invadieron la zona.</w:t>
      </w:r>
      <w:r w:rsidR="008C3187" w:rsidRPr="00A1219A">
        <w:rPr>
          <w:sz w:val="20"/>
          <w:lang w:val="es-ES"/>
        </w:rPr>
        <w:t xml:space="preserve"> Asimismo, que dentro del territorio de la Comunidad de Punta de Piedra existe al menos un terreno titulado </w:t>
      </w:r>
      <w:r w:rsidR="00624B7D" w:rsidRPr="00A1219A">
        <w:rPr>
          <w:sz w:val="20"/>
          <w:lang w:val="es-ES"/>
        </w:rPr>
        <w:t xml:space="preserve">por el INA </w:t>
      </w:r>
      <w:r w:rsidR="008C3187" w:rsidRPr="00A1219A">
        <w:rPr>
          <w:sz w:val="20"/>
          <w:lang w:val="es-ES"/>
        </w:rPr>
        <w:t>a favor de un tercero mediante dominio pleno</w:t>
      </w:r>
      <w:r w:rsidR="00624B7D" w:rsidRPr="00A1219A">
        <w:rPr>
          <w:sz w:val="20"/>
          <w:lang w:val="es-ES"/>
        </w:rPr>
        <w:t>.</w:t>
      </w:r>
    </w:p>
    <w:p w:rsidR="00624B7D" w:rsidRPr="00A1219A" w:rsidRDefault="00624B7D" w:rsidP="00624B7D">
      <w:pPr>
        <w:jc w:val="both"/>
        <w:rPr>
          <w:sz w:val="20"/>
          <w:lang w:val="es-ES"/>
        </w:rPr>
      </w:pPr>
    </w:p>
    <w:p w:rsidR="002A0542" w:rsidRPr="00A1219A" w:rsidRDefault="00624B7D" w:rsidP="00DE1C3B">
      <w:pPr>
        <w:numPr>
          <w:ilvl w:val="0"/>
          <w:numId w:val="1"/>
        </w:numPr>
        <w:tabs>
          <w:tab w:val="clear" w:pos="900"/>
        </w:tabs>
        <w:ind w:left="0" w:firstLine="720"/>
        <w:jc w:val="both"/>
        <w:rPr>
          <w:sz w:val="20"/>
          <w:lang w:val="es-ES"/>
        </w:rPr>
      </w:pPr>
      <w:r w:rsidRPr="00A1219A">
        <w:rPr>
          <w:sz w:val="20"/>
          <w:lang w:val="es-ES"/>
        </w:rPr>
        <w:t xml:space="preserve">Asimismo, consta </w:t>
      </w:r>
      <w:r w:rsidR="008C3187" w:rsidRPr="00A1219A">
        <w:rPr>
          <w:sz w:val="20"/>
          <w:lang w:val="es-ES"/>
        </w:rPr>
        <w:t xml:space="preserve">que </w:t>
      </w:r>
      <w:r w:rsidRPr="00A1219A">
        <w:rPr>
          <w:sz w:val="20"/>
          <w:lang w:val="es-ES"/>
        </w:rPr>
        <w:t xml:space="preserve">el territorio Garífuna </w:t>
      </w:r>
      <w:r w:rsidR="002A0542" w:rsidRPr="00A1219A">
        <w:rPr>
          <w:sz w:val="20"/>
          <w:lang w:val="es-ES"/>
        </w:rPr>
        <w:t xml:space="preserve">de </w:t>
      </w:r>
      <w:r w:rsidRPr="00A1219A">
        <w:rPr>
          <w:sz w:val="20"/>
          <w:lang w:val="es-ES"/>
        </w:rPr>
        <w:t xml:space="preserve">Punta Piedra abarca parte del área </w:t>
      </w:r>
      <w:r w:rsidR="009B5E02" w:rsidRPr="00A1219A">
        <w:rPr>
          <w:sz w:val="20"/>
          <w:lang w:val="es-ES"/>
        </w:rPr>
        <w:t>llamada Reserva Forestal</w:t>
      </w:r>
      <w:r w:rsidR="00FA7B55" w:rsidRPr="00A1219A">
        <w:rPr>
          <w:sz w:val="20"/>
          <w:lang w:val="es-ES"/>
        </w:rPr>
        <w:t xml:space="preserve"> “Sierra Río Tinto”</w:t>
      </w:r>
      <w:r w:rsidR="009B5E02" w:rsidRPr="00A1219A">
        <w:rPr>
          <w:sz w:val="20"/>
          <w:lang w:val="es-ES"/>
        </w:rPr>
        <w:t xml:space="preserve">. Sin embargo, no consta de la información aportada por las partes la declaración o creación de dicha Reserva Forestal como categoría de área protegida. Asimismo, de acuerdo a información de público conocimiento, el Instituto Nacional de Conservación y Desarrollo Forestal, Áreas Protegidas y Vida Silvestre emitió el Acuerdo 007-2011, publicado en la Gaceta Oficial el </w:t>
      </w:r>
      <w:r w:rsidR="009B5E02" w:rsidRPr="00A1219A">
        <w:rPr>
          <w:sz w:val="20"/>
          <w:lang w:val="es-ES"/>
        </w:rPr>
        <w:lastRenderedPageBreak/>
        <w:t>5 de julio de 2011 con el objeto de declarar como área protegida el “</w:t>
      </w:r>
      <w:r w:rsidRPr="00A1219A">
        <w:rPr>
          <w:sz w:val="20"/>
          <w:lang w:val="es-ES"/>
        </w:rPr>
        <w:t>Parque Nacional Sierra Tinto</w:t>
      </w:r>
      <w:r w:rsidR="009B5E02" w:rsidRPr="00A1219A">
        <w:rPr>
          <w:sz w:val="20"/>
          <w:lang w:val="es-ES"/>
        </w:rPr>
        <w:t>”</w:t>
      </w:r>
      <w:r w:rsidR="00FA7B55" w:rsidRPr="00A1219A">
        <w:rPr>
          <w:rStyle w:val="Refdenotaalpie"/>
          <w:sz w:val="20"/>
          <w:lang w:val="es-ES"/>
        </w:rPr>
        <w:footnoteReference w:id="36"/>
      </w:r>
      <w:r w:rsidR="009B5E02" w:rsidRPr="00A1219A">
        <w:rPr>
          <w:sz w:val="20"/>
          <w:lang w:val="es-ES"/>
        </w:rPr>
        <w:t>, que abarcaría parte del territorio de la Comunidad de Punta Piedra</w:t>
      </w:r>
      <w:r w:rsidR="008C3187" w:rsidRPr="00A1219A">
        <w:rPr>
          <w:sz w:val="20"/>
          <w:lang w:val="es-ES"/>
        </w:rPr>
        <w:t>.</w:t>
      </w:r>
      <w:r w:rsidR="009B5E02" w:rsidRPr="00A1219A">
        <w:rPr>
          <w:sz w:val="20"/>
          <w:lang w:val="es-ES"/>
        </w:rPr>
        <w:t xml:space="preserve"> Dicho acuerdo estaría pendiente de aprobación ante el Congreso Nacional y no consta que haya sido consultado co</w:t>
      </w:r>
      <w:r w:rsidR="002B62D4" w:rsidRPr="00A1219A">
        <w:rPr>
          <w:sz w:val="20"/>
          <w:lang w:val="es-ES"/>
        </w:rPr>
        <w:t>n la o las comunidades involucradas</w:t>
      </w:r>
      <w:r w:rsidR="002B62D4" w:rsidRPr="00A1219A">
        <w:rPr>
          <w:rStyle w:val="Refdenotaalpie"/>
          <w:sz w:val="20"/>
          <w:lang w:val="es-ES"/>
        </w:rPr>
        <w:footnoteReference w:id="37"/>
      </w:r>
      <w:r w:rsidR="009B5E02" w:rsidRPr="00A1219A">
        <w:rPr>
          <w:sz w:val="20"/>
          <w:lang w:val="es-ES"/>
        </w:rPr>
        <w:t>.</w:t>
      </w:r>
    </w:p>
    <w:p w:rsidR="002A0542" w:rsidRPr="00A1219A" w:rsidRDefault="002A0542" w:rsidP="002A0542">
      <w:pPr>
        <w:jc w:val="both"/>
        <w:rPr>
          <w:sz w:val="20"/>
          <w:lang w:val="es-ES"/>
        </w:rPr>
      </w:pPr>
    </w:p>
    <w:p w:rsidR="00DE1C3B" w:rsidRPr="00A1219A" w:rsidRDefault="009B5E02" w:rsidP="00DE1C3B">
      <w:pPr>
        <w:numPr>
          <w:ilvl w:val="0"/>
          <w:numId w:val="1"/>
        </w:numPr>
        <w:tabs>
          <w:tab w:val="clear" w:pos="900"/>
        </w:tabs>
        <w:ind w:left="0" w:firstLine="720"/>
        <w:jc w:val="both"/>
        <w:rPr>
          <w:sz w:val="20"/>
          <w:lang w:val="es-ES"/>
        </w:rPr>
      </w:pPr>
      <w:r w:rsidRPr="00A1219A">
        <w:rPr>
          <w:sz w:val="20"/>
          <w:lang w:val="es-ES"/>
        </w:rPr>
        <w:t>Sin perjuicio de lo anterior, l</w:t>
      </w:r>
      <w:r w:rsidR="002A0542" w:rsidRPr="00A1219A">
        <w:rPr>
          <w:sz w:val="20"/>
          <w:lang w:val="es-ES"/>
        </w:rPr>
        <w:t>a Comisión observa que la peticionaria centra sus argumentos y pruebas en la ocupación por terceros del territorio de la Comunidad Garífuna de Punta Piedra.</w:t>
      </w:r>
    </w:p>
    <w:p w:rsidR="00DE1C3B" w:rsidRPr="00A1219A" w:rsidRDefault="00DE1C3B" w:rsidP="00DE1C3B">
      <w:pPr>
        <w:jc w:val="both"/>
        <w:rPr>
          <w:sz w:val="20"/>
          <w:lang w:val="es-ES"/>
        </w:rPr>
      </w:pPr>
    </w:p>
    <w:p w:rsidR="00DE1C3B" w:rsidRPr="00A1219A" w:rsidRDefault="002A0542" w:rsidP="00DE1C3B">
      <w:pPr>
        <w:numPr>
          <w:ilvl w:val="0"/>
          <w:numId w:val="1"/>
        </w:numPr>
        <w:tabs>
          <w:tab w:val="clear" w:pos="900"/>
        </w:tabs>
        <w:ind w:left="0" w:firstLine="720"/>
        <w:jc w:val="both"/>
        <w:rPr>
          <w:sz w:val="20"/>
          <w:lang w:val="es-ES"/>
        </w:rPr>
      </w:pPr>
      <w:r w:rsidRPr="00A1219A">
        <w:rPr>
          <w:sz w:val="20"/>
          <w:lang w:val="es-ES"/>
        </w:rPr>
        <w:t xml:space="preserve">Efectivamente, de la </w:t>
      </w:r>
      <w:r w:rsidR="00963E67" w:rsidRPr="00A1219A">
        <w:rPr>
          <w:sz w:val="20"/>
          <w:lang w:val="es-ES"/>
        </w:rPr>
        <w:t xml:space="preserve">información aportada por las partes </w:t>
      </w:r>
      <w:r w:rsidRPr="00A1219A">
        <w:rPr>
          <w:sz w:val="20"/>
          <w:lang w:val="es-ES"/>
        </w:rPr>
        <w:t xml:space="preserve">consta </w:t>
      </w:r>
      <w:r w:rsidR="00963E67" w:rsidRPr="00A1219A">
        <w:rPr>
          <w:sz w:val="20"/>
          <w:lang w:val="es-ES"/>
        </w:rPr>
        <w:t xml:space="preserve">que la extensión ocupada por </w:t>
      </w:r>
      <w:r w:rsidR="00777790" w:rsidRPr="00A1219A">
        <w:rPr>
          <w:sz w:val="20"/>
          <w:lang w:val="es-ES"/>
        </w:rPr>
        <w:t>campesinos en Río Miel alcanzaba</w:t>
      </w:r>
      <w:r w:rsidR="002B3EFC" w:rsidRPr="00A1219A">
        <w:rPr>
          <w:sz w:val="20"/>
          <w:lang w:val="es-ES"/>
        </w:rPr>
        <w:t xml:space="preserve"> en </w:t>
      </w:r>
      <w:r w:rsidR="00EA7F47" w:rsidRPr="00A1219A">
        <w:rPr>
          <w:rFonts w:cs="Arial"/>
          <w:sz w:val="20"/>
          <w:lang w:val="es-ES"/>
        </w:rPr>
        <w:t>diciembre de 2001</w:t>
      </w:r>
      <w:r w:rsidR="00354B03" w:rsidRPr="00A1219A">
        <w:rPr>
          <w:rFonts w:cs="Arial"/>
          <w:sz w:val="20"/>
          <w:lang w:val="es-ES"/>
        </w:rPr>
        <w:t xml:space="preserve"> </w:t>
      </w:r>
      <w:r w:rsidR="00EA7F47" w:rsidRPr="00A1219A">
        <w:rPr>
          <w:sz w:val="20"/>
          <w:lang w:val="es-ES"/>
        </w:rPr>
        <w:t>605 hectáreas</w:t>
      </w:r>
      <w:r w:rsidR="00EA7F47" w:rsidRPr="00A1219A">
        <w:rPr>
          <w:rStyle w:val="Refdenotaalpie"/>
          <w:sz w:val="20"/>
          <w:lang w:val="es-ES"/>
        </w:rPr>
        <w:footnoteReference w:id="38"/>
      </w:r>
      <w:r w:rsidR="00DE1C3B" w:rsidRPr="00A1219A">
        <w:rPr>
          <w:sz w:val="20"/>
          <w:lang w:val="es-ES"/>
        </w:rPr>
        <w:t xml:space="preserve">. </w:t>
      </w:r>
      <w:r w:rsidR="00CD4BF1" w:rsidRPr="00A1219A">
        <w:rPr>
          <w:sz w:val="20"/>
          <w:lang w:val="es-ES"/>
        </w:rPr>
        <w:t xml:space="preserve">El 12 de julio de 2007 el </w:t>
      </w:r>
      <w:r w:rsidR="00DE1C3B" w:rsidRPr="00A1219A">
        <w:rPr>
          <w:sz w:val="20"/>
          <w:lang w:val="es-ES"/>
        </w:rPr>
        <w:t xml:space="preserve">INA </w:t>
      </w:r>
      <w:r w:rsidR="00CD4BF1" w:rsidRPr="00A1219A">
        <w:rPr>
          <w:sz w:val="20"/>
          <w:lang w:val="es-ES"/>
        </w:rPr>
        <w:t xml:space="preserve">informó que </w:t>
      </w:r>
      <w:r w:rsidR="00DE1C3B" w:rsidRPr="00A1219A">
        <w:rPr>
          <w:sz w:val="20"/>
          <w:lang w:val="es-ES"/>
        </w:rPr>
        <w:t xml:space="preserve">dentro del área comprendida en el título definitivo de dominio pleno entregado a la Comunidad de Punta Piedra </w:t>
      </w:r>
      <w:r w:rsidR="004606FC" w:rsidRPr="00A1219A">
        <w:rPr>
          <w:sz w:val="20"/>
          <w:lang w:val="es-ES"/>
        </w:rPr>
        <w:t xml:space="preserve">por </w:t>
      </w:r>
      <w:r w:rsidR="00DE1C3B" w:rsidRPr="00A1219A">
        <w:rPr>
          <w:sz w:val="20"/>
          <w:lang w:val="es-ES"/>
        </w:rPr>
        <w:t>1.513 hectáreas 54 áreas y 45.03 centiáreas del año 1999, la tierra estaba distribuida de la siguiente forma:</w:t>
      </w:r>
    </w:p>
    <w:p w:rsidR="004606FC" w:rsidRPr="00A1219A" w:rsidRDefault="004606FC" w:rsidP="004606FC">
      <w:pPr>
        <w:jc w:val="both"/>
        <w:rPr>
          <w:sz w:val="20"/>
          <w:lang w:val="es-ES"/>
        </w:rPr>
      </w:pPr>
    </w:p>
    <w:p w:rsidR="004606FC" w:rsidRPr="00A1219A" w:rsidRDefault="004606FC" w:rsidP="00B541E3">
      <w:pPr>
        <w:ind w:left="720" w:right="720"/>
        <w:jc w:val="both"/>
        <w:rPr>
          <w:sz w:val="18"/>
          <w:szCs w:val="18"/>
          <w:lang w:val="es-ES"/>
        </w:rPr>
      </w:pPr>
      <w:r w:rsidRPr="00A1219A">
        <w:rPr>
          <w:sz w:val="18"/>
          <w:szCs w:val="18"/>
          <w:lang w:val="es-ES"/>
        </w:rPr>
        <w:t xml:space="preserve">A </w:t>
      </w:r>
      <w:r w:rsidRPr="00A1219A">
        <w:rPr>
          <w:rFonts w:cs="Arial"/>
          <w:sz w:val="18"/>
          <w:szCs w:val="18"/>
          <w:lang w:val="es-ES"/>
        </w:rPr>
        <w:t xml:space="preserve">continuación </w:t>
      </w:r>
      <w:r w:rsidRPr="00A1219A">
        <w:rPr>
          <w:sz w:val="18"/>
          <w:szCs w:val="18"/>
          <w:lang w:val="es-ES"/>
        </w:rPr>
        <w:t xml:space="preserve">se detalla un cuadro de resumen del cómo esta conformada </w:t>
      </w:r>
      <w:r w:rsidRPr="00A1219A">
        <w:rPr>
          <w:rFonts w:cs="Arial"/>
          <w:sz w:val="18"/>
          <w:szCs w:val="18"/>
          <w:lang w:val="es-ES"/>
        </w:rPr>
        <w:t xml:space="preserve">y </w:t>
      </w:r>
      <w:r w:rsidRPr="00A1219A">
        <w:rPr>
          <w:sz w:val="18"/>
          <w:szCs w:val="18"/>
          <w:lang w:val="es-ES"/>
        </w:rPr>
        <w:t>distribuida la tierra, en lo</w:t>
      </w:r>
      <w:r w:rsidRPr="00A1219A">
        <w:rPr>
          <w:rFonts w:cs="Arial"/>
          <w:sz w:val="18"/>
          <w:szCs w:val="18"/>
          <w:lang w:val="es-ES"/>
        </w:rPr>
        <w:t xml:space="preserve"> </w:t>
      </w:r>
      <w:r w:rsidRPr="00A1219A">
        <w:rPr>
          <w:sz w:val="18"/>
          <w:szCs w:val="18"/>
          <w:lang w:val="es-ES"/>
        </w:rPr>
        <w:t>que respecta al área de ampliación de Punta Piedra:</w:t>
      </w:r>
    </w:p>
    <w:p w:rsidR="002B62D4" w:rsidRPr="00A1219A" w:rsidRDefault="002B62D4" w:rsidP="004606FC">
      <w:pPr>
        <w:ind w:left="720" w:right="720"/>
        <w:rPr>
          <w:sz w:val="18"/>
          <w:szCs w:val="18"/>
          <w:lang w:val="es-ES"/>
        </w:rPr>
      </w:pPr>
    </w:p>
    <w:p w:rsidR="004606FC" w:rsidRPr="00A1219A" w:rsidRDefault="004606FC" w:rsidP="004606FC">
      <w:pPr>
        <w:ind w:left="720" w:right="720"/>
        <w:rPr>
          <w:sz w:val="18"/>
          <w:szCs w:val="18"/>
          <w:lang w:val="es-ES"/>
        </w:rPr>
      </w:pPr>
      <w:r w:rsidRPr="00A1219A">
        <w:rPr>
          <w:sz w:val="18"/>
          <w:szCs w:val="18"/>
          <w:lang w:val="es-ES"/>
        </w:rPr>
        <w:t xml:space="preserve">AREA OCUPADA POR LADINOS DENTRO DE LA AMPLIACION </w:t>
      </w:r>
      <w:r w:rsidRPr="00A1219A">
        <w:rPr>
          <w:sz w:val="18"/>
          <w:szCs w:val="18"/>
          <w:lang w:val="es-ES"/>
        </w:rPr>
        <w:tab/>
        <w:t xml:space="preserve">612.13 HAS. </w:t>
      </w:r>
    </w:p>
    <w:p w:rsidR="004606FC" w:rsidRPr="00A1219A" w:rsidRDefault="004606FC" w:rsidP="004606FC">
      <w:pPr>
        <w:ind w:left="720" w:right="720"/>
        <w:rPr>
          <w:sz w:val="18"/>
          <w:szCs w:val="18"/>
          <w:lang w:val="es-ES"/>
        </w:rPr>
      </w:pPr>
      <w:r w:rsidRPr="00A1219A">
        <w:rPr>
          <w:sz w:val="18"/>
          <w:szCs w:val="18"/>
          <w:lang w:val="es-ES"/>
        </w:rPr>
        <w:t>TIERRAS GARIFUNAS DENTRO DEL AREA DE LA AMPLIACION</w:t>
      </w:r>
      <w:r w:rsidRPr="00A1219A">
        <w:rPr>
          <w:sz w:val="18"/>
          <w:szCs w:val="18"/>
          <w:lang w:val="es-ES"/>
        </w:rPr>
        <w:tab/>
        <w:t xml:space="preserve">653.24 HAS. </w:t>
      </w:r>
    </w:p>
    <w:p w:rsidR="004606FC" w:rsidRPr="00A1219A" w:rsidRDefault="004606FC" w:rsidP="004606FC">
      <w:pPr>
        <w:ind w:left="720" w:right="720"/>
        <w:rPr>
          <w:sz w:val="18"/>
          <w:szCs w:val="18"/>
          <w:lang w:val="es-ES"/>
        </w:rPr>
      </w:pPr>
      <w:r w:rsidRPr="00A1219A">
        <w:rPr>
          <w:sz w:val="18"/>
          <w:szCs w:val="18"/>
          <w:lang w:val="es-ES"/>
        </w:rPr>
        <w:t>AREA DE BOSQUE DENTRO DEL AREA DE LA AMPLIACION</w:t>
      </w:r>
      <w:r w:rsidRPr="00A1219A">
        <w:rPr>
          <w:sz w:val="18"/>
          <w:szCs w:val="18"/>
          <w:lang w:val="es-ES"/>
        </w:rPr>
        <w:tab/>
        <w:t xml:space="preserve">177.98 HAS. </w:t>
      </w:r>
    </w:p>
    <w:p w:rsidR="004606FC" w:rsidRPr="00A1219A" w:rsidRDefault="004606FC" w:rsidP="004606FC">
      <w:pPr>
        <w:ind w:left="720" w:right="720"/>
        <w:rPr>
          <w:sz w:val="18"/>
          <w:szCs w:val="18"/>
          <w:lang w:val="es-ES"/>
        </w:rPr>
      </w:pPr>
      <w:r w:rsidRPr="00A1219A">
        <w:rPr>
          <w:sz w:val="18"/>
          <w:szCs w:val="18"/>
          <w:lang w:val="es-ES"/>
        </w:rPr>
        <w:t>TERRENO DE AMBROCIO TOMAS CON DOMINIO PLENO</w:t>
      </w:r>
      <w:r w:rsidRPr="00A1219A">
        <w:rPr>
          <w:sz w:val="18"/>
          <w:szCs w:val="18"/>
          <w:lang w:val="es-ES"/>
        </w:rPr>
        <w:tab/>
      </w:r>
      <w:r w:rsidRPr="00A1219A">
        <w:rPr>
          <w:sz w:val="18"/>
          <w:szCs w:val="18"/>
          <w:lang w:val="es-ES"/>
        </w:rPr>
        <w:tab/>
        <w:t xml:space="preserve">  68.06 HAS </w:t>
      </w:r>
    </w:p>
    <w:p w:rsidR="004606FC" w:rsidRPr="00A1219A" w:rsidRDefault="004606FC" w:rsidP="004606FC">
      <w:pPr>
        <w:ind w:left="720" w:right="720"/>
        <w:rPr>
          <w:sz w:val="18"/>
          <w:szCs w:val="18"/>
          <w:lang w:val="es-ES"/>
        </w:rPr>
      </w:pPr>
      <w:r w:rsidRPr="00A1219A">
        <w:rPr>
          <w:sz w:val="18"/>
          <w:szCs w:val="18"/>
          <w:lang w:val="es-ES"/>
        </w:rPr>
        <w:t>AREA COMPRENDIDA ENTRE CARRETERA Y CARRILES</w:t>
      </w:r>
      <w:r w:rsidRPr="00A1219A">
        <w:rPr>
          <w:sz w:val="18"/>
          <w:szCs w:val="18"/>
          <w:lang w:val="es-ES"/>
        </w:rPr>
        <w:tab/>
      </w:r>
      <w:r w:rsidRPr="00A1219A">
        <w:rPr>
          <w:sz w:val="18"/>
          <w:szCs w:val="18"/>
          <w:lang w:val="es-ES"/>
        </w:rPr>
        <w:tab/>
        <w:t xml:space="preserve">    2.13 HAS. </w:t>
      </w:r>
    </w:p>
    <w:p w:rsidR="004606FC" w:rsidRPr="00A1219A" w:rsidRDefault="004606FC" w:rsidP="004606FC">
      <w:pPr>
        <w:ind w:left="4320" w:right="720" w:firstLine="720"/>
        <w:rPr>
          <w:b/>
          <w:sz w:val="18"/>
          <w:szCs w:val="18"/>
          <w:lang w:val="es-ES"/>
        </w:rPr>
      </w:pPr>
      <w:r w:rsidRPr="00A1219A">
        <w:rPr>
          <w:b/>
          <w:sz w:val="18"/>
          <w:szCs w:val="18"/>
          <w:lang w:val="es-ES"/>
        </w:rPr>
        <w:t>TOTAL</w:t>
      </w:r>
      <w:r w:rsidRPr="00A1219A">
        <w:rPr>
          <w:b/>
          <w:sz w:val="18"/>
          <w:szCs w:val="18"/>
          <w:lang w:val="es-ES"/>
        </w:rPr>
        <w:tab/>
        <w:t xml:space="preserve">          1,513.54 HAS.</w:t>
      </w:r>
    </w:p>
    <w:p w:rsidR="004606FC" w:rsidRPr="00A1219A" w:rsidRDefault="004606FC" w:rsidP="004606FC">
      <w:pPr>
        <w:ind w:left="720" w:right="720"/>
        <w:rPr>
          <w:sz w:val="18"/>
          <w:szCs w:val="18"/>
          <w:lang w:val="es-ES"/>
        </w:rPr>
      </w:pPr>
    </w:p>
    <w:p w:rsidR="004606FC" w:rsidRPr="00A1219A" w:rsidRDefault="004606FC" w:rsidP="004606FC">
      <w:pPr>
        <w:ind w:left="720" w:right="720"/>
        <w:jc w:val="both"/>
        <w:rPr>
          <w:sz w:val="18"/>
          <w:szCs w:val="18"/>
          <w:lang w:val="es-ES"/>
        </w:rPr>
      </w:pPr>
      <w:r w:rsidRPr="00A1219A">
        <w:rPr>
          <w:sz w:val="18"/>
          <w:szCs w:val="18"/>
          <w:lang w:val="es-ES"/>
        </w:rPr>
        <w:t xml:space="preserve">Cabe mencionar que el área de bosque o montaña (177.98 has.) están actualmente en posesión por los miembros de la Comunidad de Río Miel.- Siendo las colindancias del Área Titula de Ampliación de Punta Piedra las siguientes: </w:t>
      </w:r>
    </w:p>
    <w:p w:rsidR="004606FC" w:rsidRPr="00A1219A" w:rsidRDefault="004606FC" w:rsidP="004606FC">
      <w:pPr>
        <w:ind w:left="720" w:right="720"/>
        <w:rPr>
          <w:sz w:val="18"/>
          <w:szCs w:val="18"/>
          <w:lang w:val="es-ES"/>
        </w:rPr>
      </w:pPr>
    </w:p>
    <w:p w:rsidR="004606FC" w:rsidRPr="00A1219A" w:rsidRDefault="004606FC" w:rsidP="004606FC">
      <w:pPr>
        <w:ind w:left="720" w:right="720"/>
        <w:rPr>
          <w:sz w:val="18"/>
          <w:szCs w:val="18"/>
          <w:lang w:val="es-ES"/>
        </w:rPr>
      </w:pPr>
      <w:r w:rsidRPr="00A1219A">
        <w:rPr>
          <w:sz w:val="18"/>
          <w:szCs w:val="18"/>
          <w:lang w:val="es-ES"/>
        </w:rPr>
        <w:t>Norte:</w:t>
      </w:r>
      <w:r w:rsidRPr="00A1219A">
        <w:rPr>
          <w:sz w:val="18"/>
          <w:szCs w:val="18"/>
          <w:lang w:val="es-ES"/>
        </w:rPr>
        <w:tab/>
      </w:r>
      <w:r w:rsidRPr="00A1219A">
        <w:rPr>
          <w:sz w:val="18"/>
          <w:szCs w:val="18"/>
          <w:lang w:val="es-ES"/>
        </w:rPr>
        <w:tab/>
        <w:t>Tierras Privadas de la Comunidad Garífuna de Punta Piedra.</w:t>
      </w:r>
    </w:p>
    <w:p w:rsidR="004606FC" w:rsidRPr="00A1219A" w:rsidRDefault="004606FC" w:rsidP="004606FC">
      <w:pPr>
        <w:ind w:left="720" w:right="720"/>
        <w:rPr>
          <w:sz w:val="18"/>
          <w:szCs w:val="18"/>
          <w:lang w:val="es-ES"/>
        </w:rPr>
      </w:pPr>
      <w:r w:rsidRPr="00A1219A">
        <w:rPr>
          <w:sz w:val="18"/>
          <w:szCs w:val="18"/>
          <w:lang w:val="es-ES"/>
        </w:rPr>
        <w:t>Sur:</w:t>
      </w:r>
      <w:r w:rsidRPr="00A1219A">
        <w:rPr>
          <w:sz w:val="18"/>
          <w:szCs w:val="18"/>
          <w:lang w:val="es-ES"/>
        </w:rPr>
        <w:tab/>
      </w:r>
      <w:r w:rsidRPr="00A1219A">
        <w:rPr>
          <w:sz w:val="18"/>
          <w:szCs w:val="18"/>
          <w:lang w:val="es-ES"/>
        </w:rPr>
        <w:tab/>
        <w:t>Zona de Reserva.</w:t>
      </w:r>
    </w:p>
    <w:p w:rsidR="004606FC" w:rsidRPr="00A1219A" w:rsidRDefault="004606FC" w:rsidP="004606FC">
      <w:pPr>
        <w:ind w:left="720" w:right="720"/>
        <w:rPr>
          <w:sz w:val="18"/>
          <w:szCs w:val="18"/>
          <w:lang w:val="es-ES"/>
        </w:rPr>
      </w:pPr>
      <w:r w:rsidRPr="00A1219A">
        <w:rPr>
          <w:sz w:val="18"/>
          <w:szCs w:val="18"/>
          <w:lang w:val="es-ES"/>
        </w:rPr>
        <w:t>Este:</w:t>
      </w:r>
      <w:r w:rsidRPr="00A1219A">
        <w:rPr>
          <w:sz w:val="18"/>
          <w:szCs w:val="18"/>
          <w:lang w:val="es-ES"/>
        </w:rPr>
        <w:tab/>
      </w:r>
      <w:r w:rsidRPr="00A1219A">
        <w:rPr>
          <w:sz w:val="18"/>
          <w:szCs w:val="18"/>
          <w:lang w:val="es-ES"/>
        </w:rPr>
        <w:tab/>
        <w:t xml:space="preserve">Comunidad Garífuna de </w:t>
      </w:r>
      <w:proofErr w:type="spellStart"/>
      <w:r w:rsidRPr="00A1219A">
        <w:rPr>
          <w:sz w:val="18"/>
          <w:szCs w:val="18"/>
          <w:lang w:val="es-ES"/>
        </w:rPr>
        <w:t>Cusuna</w:t>
      </w:r>
      <w:proofErr w:type="spellEnd"/>
      <w:r w:rsidRPr="00A1219A">
        <w:rPr>
          <w:sz w:val="18"/>
          <w:szCs w:val="18"/>
          <w:lang w:val="es-ES"/>
        </w:rPr>
        <w:t xml:space="preserve"> y </w:t>
      </w:r>
      <w:proofErr w:type="spellStart"/>
      <w:r w:rsidRPr="00A1219A">
        <w:rPr>
          <w:sz w:val="18"/>
          <w:szCs w:val="18"/>
          <w:lang w:val="es-ES"/>
        </w:rPr>
        <w:t>Ciriboya</w:t>
      </w:r>
      <w:proofErr w:type="spellEnd"/>
      <w:r w:rsidRPr="00A1219A">
        <w:rPr>
          <w:sz w:val="18"/>
          <w:szCs w:val="18"/>
          <w:lang w:val="es-ES"/>
        </w:rPr>
        <w:t>.</w:t>
      </w:r>
    </w:p>
    <w:p w:rsidR="004606FC" w:rsidRPr="00A1219A" w:rsidRDefault="004606FC" w:rsidP="004606FC">
      <w:pPr>
        <w:ind w:left="720" w:right="720"/>
        <w:rPr>
          <w:sz w:val="18"/>
          <w:szCs w:val="18"/>
          <w:lang w:val="es-ES"/>
        </w:rPr>
      </w:pPr>
      <w:r w:rsidRPr="00A1219A">
        <w:rPr>
          <w:sz w:val="18"/>
          <w:szCs w:val="18"/>
          <w:lang w:val="es-ES"/>
        </w:rPr>
        <w:t>Oeste:</w:t>
      </w:r>
      <w:r w:rsidRPr="00A1219A">
        <w:rPr>
          <w:sz w:val="18"/>
          <w:szCs w:val="18"/>
          <w:lang w:val="es-ES"/>
        </w:rPr>
        <w:tab/>
      </w:r>
      <w:r w:rsidRPr="00A1219A">
        <w:rPr>
          <w:sz w:val="18"/>
          <w:szCs w:val="18"/>
          <w:lang w:val="es-ES"/>
        </w:rPr>
        <w:tab/>
        <w:t xml:space="preserve">Municipios de Limón e </w:t>
      </w:r>
      <w:proofErr w:type="spellStart"/>
      <w:r w:rsidRPr="00A1219A">
        <w:rPr>
          <w:sz w:val="18"/>
          <w:szCs w:val="18"/>
          <w:lang w:val="es-ES"/>
        </w:rPr>
        <w:t>Iriona</w:t>
      </w:r>
      <w:proofErr w:type="spellEnd"/>
      <w:r w:rsidRPr="00A1219A">
        <w:rPr>
          <w:sz w:val="18"/>
          <w:szCs w:val="18"/>
          <w:lang w:val="es-ES"/>
        </w:rPr>
        <w:t>.</w:t>
      </w:r>
      <w:r w:rsidRPr="00A1219A">
        <w:rPr>
          <w:rStyle w:val="Refdenotaalpie"/>
          <w:sz w:val="18"/>
          <w:szCs w:val="18"/>
          <w:lang w:val="es-ES"/>
        </w:rPr>
        <w:footnoteReference w:id="39"/>
      </w:r>
    </w:p>
    <w:p w:rsidR="004606FC" w:rsidRPr="00A1219A" w:rsidRDefault="004606FC" w:rsidP="004606FC">
      <w:pPr>
        <w:jc w:val="both"/>
        <w:rPr>
          <w:sz w:val="20"/>
          <w:lang w:val="es-ES"/>
        </w:rPr>
      </w:pPr>
    </w:p>
    <w:p w:rsidR="004606FC" w:rsidRPr="00A1219A" w:rsidRDefault="004606FC" w:rsidP="00DE1C3B">
      <w:pPr>
        <w:numPr>
          <w:ilvl w:val="0"/>
          <w:numId w:val="1"/>
        </w:numPr>
        <w:tabs>
          <w:tab w:val="clear" w:pos="900"/>
        </w:tabs>
        <w:ind w:left="0" w:firstLine="720"/>
        <w:jc w:val="both"/>
        <w:rPr>
          <w:sz w:val="20"/>
          <w:lang w:val="es-ES"/>
        </w:rPr>
      </w:pPr>
      <w:r w:rsidRPr="00A1219A">
        <w:rPr>
          <w:sz w:val="20"/>
          <w:lang w:val="es-ES"/>
        </w:rPr>
        <w:t>En el mismo informe, el INA adjuntó un listado de los “OCUPANTES DE LA ALDEA DE RIO MIEL DENTRO DEL TITULO DE AMPLIACION DE PUNTA PIEDRA”, que sumaban aproximadamente 33 personas</w:t>
      </w:r>
      <w:r w:rsidRPr="00A1219A">
        <w:rPr>
          <w:rStyle w:val="Refdenotaalpie"/>
          <w:sz w:val="18"/>
          <w:szCs w:val="18"/>
          <w:lang w:val="es-ES"/>
        </w:rPr>
        <w:footnoteReference w:id="40"/>
      </w:r>
      <w:r w:rsidRPr="00A1219A">
        <w:rPr>
          <w:sz w:val="20"/>
          <w:lang w:val="es-ES"/>
        </w:rPr>
        <w:t>.</w:t>
      </w:r>
    </w:p>
    <w:p w:rsidR="00F65BBF" w:rsidRPr="00A1219A" w:rsidRDefault="00F65BBF" w:rsidP="00F65BBF">
      <w:pPr>
        <w:jc w:val="both"/>
        <w:rPr>
          <w:sz w:val="20"/>
          <w:lang w:val="es-ES"/>
        </w:rPr>
      </w:pPr>
    </w:p>
    <w:p w:rsidR="008C3187" w:rsidRPr="00A1219A" w:rsidRDefault="008C3187" w:rsidP="00DE1C3B">
      <w:pPr>
        <w:numPr>
          <w:ilvl w:val="0"/>
          <w:numId w:val="1"/>
        </w:numPr>
        <w:tabs>
          <w:tab w:val="clear" w:pos="900"/>
        </w:tabs>
        <w:ind w:left="0" w:firstLine="720"/>
        <w:jc w:val="both"/>
        <w:rPr>
          <w:sz w:val="20"/>
          <w:lang w:val="es-ES"/>
        </w:rPr>
      </w:pPr>
      <w:r w:rsidRPr="00A1219A">
        <w:rPr>
          <w:sz w:val="20"/>
          <w:lang w:val="es-ES"/>
        </w:rPr>
        <w:lastRenderedPageBreak/>
        <w:t xml:space="preserve">Gráficamente, la situación se </w:t>
      </w:r>
      <w:r w:rsidR="00F65BBF" w:rsidRPr="00A1219A">
        <w:rPr>
          <w:sz w:val="20"/>
          <w:lang w:val="es-ES"/>
        </w:rPr>
        <w:t xml:space="preserve">describe por el INA en el </w:t>
      </w:r>
      <w:r w:rsidR="00F65BBF" w:rsidRPr="00A1219A">
        <w:rPr>
          <w:rFonts w:cs="Arial"/>
          <w:noProof/>
          <w:sz w:val="20"/>
          <w:lang w:val="es-ES"/>
        </w:rPr>
        <w:t xml:space="preserve">Mapa sobre “ubicación geográfica del terreno de la Comunidad Garífuna de Punta Piedra” </w:t>
      </w:r>
      <w:r w:rsidR="002A0542" w:rsidRPr="00A1219A">
        <w:rPr>
          <w:rFonts w:cs="Arial"/>
          <w:noProof/>
          <w:sz w:val="20"/>
          <w:lang w:val="es-ES"/>
        </w:rPr>
        <w:t>elaborado p</w:t>
      </w:r>
      <w:r w:rsidR="00F65BBF" w:rsidRPr="00A1219A">
        <w:rPr>
          <w:rFonts w:cs="Arial"/>
          <w:noProof/>
          <w:sz w:val="20"/>
          <w:lang w:val="es-ES"/>
        </w:rPr>
        <w:t xml:space="preserve">or dicha institución </w:t>
      </w:r>
      <w:r w:rsidR="002A0542" w:rsidRPr="00A1219A">
        <w:rPr>
          <w:rFonts w:cs="Arial"/>
          <w:noProof/>
          <w:sz w:val="20"/>
          <w:lang w:val="es-ES"/>
        </w:rPr>
        <w:t>y de fecha</w:t>
      </w:r>
      <w:r w:rsidR="00F65BBF" w:rsidRPr="00A1219A">
        <w:rPr>
          <w:rFonts w:cs="Arial"/>
          <w:noProof/>
          <w:sz w:val="20"/>
          <w:lang w:val="es-ES"/>
        </w:rPr>
        <w:t xml:space="preserve"> 12 de julio de 2007</w:t>
      </w:r>
      <w:r w:rsidR="00F65BBF" w:rsidRPr="00A1219A">
        <w:rPr>
          <w:rStyle w:val="Refdenotaalpie"/>
          <w:rFonts w:cs="Arial"/>
          <w:noProof/>
          <w:sz w:val="20"/>
          <w:lang w:val="es-ES"/>
        </w:rPr>
        <w:footnoteReference w:id="41"/>
      </w:r>
      <w:r w:rsidR="00F65BBF" w:rsidRPr="00A1219A">
        <w:rPr>
          <w:rFonts w:cs="Arial"/>
          <w:noProof/>
          <w:sz w:val="20"/>
          <w:lang w:val="es-ES"/>
        </w:rPr>
        <w:t xml:space="preserve">. </w:t>
      </w:r>
    </w:p>
    <w:p w:rsidR="0001114E" w:rsidRPr="00A1219A" w:rsidRDefault="0001114E" w:rsidP="0001114E">
      <w:pPr>
        <w:jc w:val="both"/>
        <w:rPr>
          <w:sz w:val="20"/>
          <w:lang w:val="es-ES"/>
        </w:rPr>
      </w:pPr>
    </w:p>
    <w:p w:rsidR="00D1258D" w:rsidRPr="00A1219A" w:rsidRDefault="002A0542" w:rsidP="00590352">
      <w:pPr>
        <w:numPr>
          <w:ilvl w:val="0"/>
          <w:numId w:val="1"/>
        </w:numPr>
        <w:tabs>
          <w:tab w:val="clear" w:pos="900"/>
        </w:tabs>
        <w:ind w:left="0" w:firstLine="720"/>
        <w:jc w:val="both"/>
        <w:rPr>
          <w:sz w:val="20"/>
          <w:lang w:val="es-ES"/>
        </w:rPr>
      </w:pPr>
      <w:r w:rsidRPr="00A1219A">
        <w:rPr>
          <w:sz w:val="20"/>
          <w:lang w:val="es-ES"/>
        </w:rPr>
        <w:t>En consecuencia, e</w:t>
      </w:r>
      <w:r w:rsidR="004606FC" w:rsidRPr="00A1219A">
        <w:rPr>
          <w:sz w:val="20"/>
          <w:lang w:val="es-ES"/>
        </w:rPr>
        <w:t xml:space="preserve">n virtud de documentos emanados del Estado, consta que la Comunidad Garífuna </w:t>
      </w:r>
      <w:r w:rsidR="00F352B8" w:rsidRPr="00A1219A">
        <w:rPr>
          <w:sz w:val="20"/>
          <w:lang w:val="es-ES"/>
        </w:rPr>
        <w:t xml:space="preserve">de </w:t>
      </w:r>
      <w:r w:rsidR="004606FC" w:rsidRPr="00A1219A">
        <w:rPr>
          <w:sz w:val="20"/>
          <w:lang w:val="es-ES"/>
        </w:rPr>
        <w:t>Punta Piedra posee 653.24 has. de las 1,513.54 entregadas por el Estado en dominio pleno</w:t>
      </w:r>
      <w:r w:rsidR="00B541E3" w:rsidRPr="00A1219A">
        <w:rPr>
          <w:sz w:val="20"/>
          <w:lang w:val="es-ES"/>
        </w:rPr>
        <w:t xml:space="preserve"> en el año 1999</w:t>
      </w:r>
      <w:r w:rsidR="004606FC" w:rsidRPr="00A1219A">
        <w:rPr>
          <w:sz w:val="20"/>
          <w:lang w:val="es-ES"/>
        </w:rPr>
        <w:t xml:space="preserve">, estando el resto ocupadas por terceros, sea producto de invasión, sea en </w:t>
      </w:r>
      <w:r w:rsidR="00D1258D" w:rsidRPr="00A1219A">
        <w:rPr>
          <w:sz w:val="20"/>
          <w:lang w:val="es-ES"/>
        </w:rPr>
        <w:t>virtud de un título de dominio</w:t>
      </w:r>
      <w:r w:rsidR="00F65BBF" w:rsidRPr="00A1219A">
        <w:rPr>
          <w:sz w:val="20"/>
          <w:lang w:val="es-ES"/>
        </w:rPr>
        <w:t xml:space="preserve"> entregado por el propio Estado a terceros</w:t>
      </w:r>
      <w:r w:rsidR="00D1258D" w:rsidRPr="00A1219A">
        <w:rPr>
          <w:sz w:val="20"/>
          <w:lang w:val="es-ES"/>
        </w:rPr>
        <w:t>.</w:t>
      </w:r>
      <w:r w:rsidR="00453D5E" w:rsidRPr="00A1219A">
        <w:rPr>
          <w:sz w:val="20"/>
          <w:lang w:val="es-ES"/>
        </w:rPr>
        <w:t xml:space="preserve"> </w:t>
      </w:r>
      <w:r w:rsidR="0001114E" w:rsidRPr="00A1219A">
        <w:rPr>
          <w:sz w:val="20"/>
          <w:lang w:val="es-ES"/>
        </w:rPr>
        <w:t xml:space="preserve">La CIDH observa que el Estado afirma en nota de fecha 22 de agosto de 2011 que “únicamente Doscientos Setenta y Ocho punto Cuarenta Has (278.40 Has) ocupa la Aldea de Río Miel”. Sin embargo, esta cifra no coincide con </w:t>
      </w:r>
      <w:r w:rsidR="00453D5E" w:rsidRPr="00A1219A">
        <w:rPr>
          <w:sz w:val="20"/>
          <w:lang w:val="es-ES"/>
        </w:rPr>
        <w:t xml:space="preserve">una serie de documentos </w:t>
      </w:r>
      <w:r w:rsidR="0001114E" w:rsidRPr="00A1219A">
        <w:rPr>
          <w:sz w:val="20"/>
          <w:lang w:val="es-ES"/>
        </w:rPr>
        <w:t>entregad</w:t>
      </w:r>
      <w:r w:rsidR="00453D5E" w:rsidRPr="00A1219A">
        <w:rPr>
          <w:sz w:val="20"/>
          <w:lang w:val="es-ES"/>
        </w:rPr>
        <w:t>os</w:t>
      </w:r>
      <w:r w:rsidR="0001114E" w:rsidRPr="00A1219A">
        <w:rPr>
          <w:sz w:val="20"/>
          <w:lang w:val="es-ES"/>
        </w:rPr>
        <w:t xml:space="preserve"> por el mismo Estado </w:t>
      </w:r>
      <w:r w:rsidR="00453D5E" w:rsidRPr="00A1219A">
        <w:rPr>
          <w:sz w:val="20"/>
          <w:lang w:val="es-ES"/>
        </w:rPr>
        <w:t>y elaborados por e</w:t>
      </w:r>
      <w:r w:rsidR="0001114E" w:rsidRPr="00A1219A">
        <w:rPr>
          <w:sz w:val="20"/>
          <w:lang w:val="es-ES"/>
        </w:rPr>
        <w:t>l INA, ente especializado y a cargo de las gestiones de saneamiento.</w:t>
      </w:r>
    </w:p>
    <w:p w:rsidR="00453D5E" w:rsidRPr="00A1219A" w:rsidRDefault="00453D5E" w:rsidP="00453D5E">
      <w:pPr>
        <w:jc w:val="both"/>
        <w:rPr>
          <w:sz w:val="20"/>
          <w:lang w:val="es-ES"/>
        </w:rPr>
      </w:pPr>
    </w:p>
    <w:p w:rsidR="00453D5E" w:rsidRPr="00A1219A" w:rsidRDefault="00453D5E" w:rsidP="00453D5E">
      <w:pPr>
        <w:numPr>
          <w:ilvl w:val="0"/>
          <w:numId w:val="1"/>
        </w:numPr>
        <w:tabs>
          <w:tab w:val="clear" w:pos="900"/>
        </w:tabs>
        <w:ind w:left="0" w:firstLine="720"/>
        <w:jc w:val="both"/>
        <w:rPr>
          <w:sz w:val="20"/>
          <w:lang w:val="es-ES"/>
        </w:rPr>
      </w:pPr>
      <w:r w:rsidRPr="00A1219A">
        <w:rPr>
          <w:bCs/>
          <w:sz w:val="20"/>
          <w:lang w:val="es-ES"/>
        </w:rPr>
        <w:t>Por lo anterior, la CIDH entiende que lo que está en discusión en el presente asunto no es el derecho de propiedad de la Comunidad de Punta Piedra sobre el territorio que ocupa, ni la entrega de un título jurídico que reconozca tal derecho, sino más bien la obligación de garantizar su posesión pacífica a través del saneamiento y su</w:t>
      </w:r>
      <w:r w:rsidRPr="00A1219A">
        <w:rPr>
          <w:sz w:val="20"/>
          <w:lang w:val="es-ES"/>
        </w:rPr>
        <w:t xml:space="preserve"> protección efectiva frente a terceros.</w:t>
      </w:r>
    </w:p>
    <w:p w:rsidR="00584546" w:rsidRPr="00A1219A" w:rsidRDefault="00584546" w:rsidP="00584546">
      <w:pPr>
        <w:ind w:left="720"/>
        <w:jc w:val="both"/>
        <w:rPr>
          <w:sz w:val="20"/>
          <w:lang w:val="es-ES"/>
        </w:rPr>
      </w:pPr>
    </w:p>
    <w:p w:rsidR="00EA14E6" w:rsidRPr="00A1219A" w:rsidRDefault="00EA14E6" w:rsidP="00BF7518">
      <w:pPr>
        <w:ind w:left="1440" w:hanging="720"/>
        <w:jc w:val="both"/>
        <w:outlineLvl w:val="1"/>
        <w:rPr>
          <w:sz w:val="20"/>
          <w:lang w:val="es-ES"/>
        </w:rPr>
      </w:pPr>
      <w:bookmarkStart w:id="24" w:name="_Toc350183584"/>
      <w:r w:rsidRPr="00A1219A">
        <w:rPr>
          <w:b/>
          <w:sz w:val="20"/>
          <w:lang w:val="es-ES"/>
        </w:rPr>
        <w:t>E.</w:t>
      </w:r>
      <w:r w:rsidRPr="00A1219A">
        <w:rPr>
          <w:b/>
          <w:sz w:val="20"/>
          <w:lang w:val="es-ES"/>
        </w:rPr>
        <w:tab/>
        <w:t xml:space="preserve">Gestiones realizadas </w:t>
      </w:r>
      <w:r w:rsidR="00533A49" w:rsidRPr="00A1219A">
        <w:rPr>
          <w:b/>
          <w:sz w:val="20"/>
          <w:lang w:val="es-ES"/>
        </w:rPr>
        <w:t xml:space="preserve">por la Comunidad Garífuna </w:t>
      </w:r>
      <w:r w:rsidR="00F352B8" w:rsidRPr="00A1219A">
        <w:rPr>
          <w:b/>
          <w:sz w:val="20"/>
          <w:lang w:val="es-ES"/>
        </w:rPr>
        <w:t xml:space="preserve">de </w:t>
      </w:r>
      <w:r w:rsidR="00533A49" w:rsidRPr="00A1219A">
        <w:rPr>
          <w:b/>
          <w:sz w:val="20"/>
          <w:lang w:val="es-ES"/>
        </w:rPr>
        <w:t>Punta Piedra</w:t>
      </w:r>
      <w:r w:rsidR="00533A49" w:rsidRPr="00A1219A">
        <w:rPr>
          <w:sz w:val="20"/>
          <w:lang w:val="es-ES"/>
        </w:rPr>
        <w:t xml:space="preserve"> </w:t>
      </w:r>
      <w:r w:rsidRPr="00A1219A">
        <w:rPr>
          <w:b/>
          <w:sz w:val="20"/>
          <w:lang w:val="es-ES"/>
        </w:rPr>
        <w:t>para el saneamiento de</w:t>
      </w:r>
      <w:r w:rsidR="002A0542" w:rsidRPr="00A1219A">
        <w:rPr>
          <w:b/>
          <w:sz w:val="20"/>
          <w:lang w:val="es-ES"/>
        </w:rPr>
        <w:t xml:space="preserve"> su </w:t>
      </w:r>
      <w:r w:rsidR="002B62D4" w:rsidRPr="00A1219A">
        <w:rPr>
          <w:b/>
          <w:sz w:val="20"/>
          <w:lang w:val="es-ES"/>
        </w:rPr>
        <w:t>t</w:t>
      </w:r>
      <w:r w:rsidRPr="00A1219A">
        <w:rPr>
          <w:b/>
          <w:sz w:val="20"/>
          <w:lang w:val="es-ES"/>
        </w:rPr>
        <w:t>erritorio</w:t>
      </w:r>
      <w:bookmarkEnd w:id="24"/>
      <w:r w:rsidRPr="00A1219A">
        <w:rPr>
          <w:b/>
          <w:sz w:val="20"/>
          <w:lang w:val="es-ES"/>
        </w:rPr>
        <w:t xml:space="preserve"> </w:t>
      </w:r>
    </w:p>
    <w:p w:rsidR="00EA14E6" w:rsidRPr="00A1219A" w:rsidRDefault="00EA14E6" w:rsidP="00EA14E6">
      <w:pPr>
        <w:jc w:val="both"/>
        <w:rPr>
          <w:sz w:val="20"/>
          <w:lang w:val="es-ES"/>
        </w:rPr>
      </w:pPr>
    </w:p>
    <w:p w:rsidR="00723B8C" w:rsidRPr="00A1219A" w:rsidRDefault="00723B8C" w:rsidP="00584546">
      <w:pPr>
        <w:numPr>
          <w:ilvl w:val="0"/>
          <w:numId w:val="1"/>
        </w:numPr>
        <w:tabs>
          <w:tab w:val="clear" w:pos="900"/>
        </w:tabs>
        <w:ind w:left="0" w:firstLine="720"/>
        <w:jc w:val="both"/>
        <w:rPr>
          <w:sz w:val="20"/>
          <w:lang w:val="es-ES"/>
        </w:rPr>
      </w:pPr>
      <w:r w:rsidRPr="00A1219A">
        <w:rPr>
          <w:sz w:val="20"/>
          <w:lang w:val="es-ES"/>
        </w:rPr>
        <w:t>L</w:t>
      </w:r>
      <w:r w:rsidR="00BA59FB" w:rsidRPr="00A1219A">
        <w:rPr>
          <w:sz w:val="20"/>
          <w:lang w:val="es-ES"/>
        </w:rPr>
        <w:t>a Comunidad de Punta Piedra realiz</w:t>
      </w:r>
      <w:r w:rsidR="0009202B" w:rsidRPr="00A1219A">
        <w:rPr>
          <w:sz w:val="20"/>
          <w:lang w:val="es-ES"/>
        </w:rPr>
        <w:t xml:space="preserve">ó </w:t>
      </w:r>
      <w:r w:rsidR="00BA59FB" w:rsidRPr="00A1219A">
        <w:rPr>
          <w:sz w:val="20"/>
          <w:lang w:val="es-ES"/>
        </w:rPr>
        <w:t xml:space="preserve">una serie de gestiones ante autoridades estatales </w:t>
      </w:r>
      <w:r w:rsidRPr="00A1219A">
        <w:rPr>
          <w:sz w:val="20"/>
          <w:lang w:val="es-ES"/>
        </w:rPr>
        <w:t xml:space="preserve">para el saneamiento de su territorio </w:t>
      </w:r>
      <w:r w:rsidR="0001114E" w:rsidRPr="00A1219A">
        <w:rPr>
          <w:sz w:val="20"/>
          <w:lang w:val="es-ES"/>
        </w:rPr>
        <w:t xml:space="preserve">para </w:t>
      </w:r>
      <w:r w:rsidRPr="00A1219A">
        <w:rPr>
          <w:sz w:val="20"/>
          <w:lang w:val="es-ES"/>
        </w:rPr>
        <w:t xml:space="preserve">poder </w:t>
      </w:r>
      <w:r w:rsidR="00454493" w:rsidRPr="00A1219A">
        <w:rPr>
          <w:sz w:val="20"/>
          <w:lang w:val="es-ES"/>
        </w:rPr>
        <w:t xml:space="preserve">usar y </w:t>
      </w:r>
      <w:r w:rsidR="00BA59FB" w:rsidRPr="00A1219A">
        <w:rPr>
          <w:sz w:val="20"/>
          <w:lang w:val="es-ES"/>
        </w:rPr>
        <w:t>gozar de modo pacíf</w:t>
      </w:r>
      <w:r w:rsidR="008B5630" w:rsidRPr="00A1219A">
        <w:rPr>
          <w:sz w:val="20"/>
          <w:lang w:val="es-ES"/>
        </w:rPr>
        <w:t>ico su territorio ancestral</w:t>
      </w:r>
      <w:r w:rsidR="00622F01" w:rsidRPr="00A1219A">
        <w:rPr>
          <w:sz w:val="20"/>
          <w:lang w:val="es-ES"/>
        </w:rPr>
        <w:t>.</w:t>
      </w:r>
      <w:r w:rsidRPr="00A1219A">
        <w:rPr>
          <w:sz w:val="20"/>
          <w:lang w:val="es-ES"/>
        </w:rPr>
        <w:t xml:space="preserve"> </w:t>
      </w:r>
      <w:r w:rsidR="0001114E" w:rsidRPr="00A1219A">
        <w:rPr>
          <w:sz w:val="20"/>
          <w:lang w:val="es-ES"/>
        </w:rPr>
        <w:t>Efectivamente, al respecto</w:t>
      </w:r>
      <w:r w:rsidRPr="00A1219A">
        <w:rPr>
          <w:sz w:val="20"/>
          <w:lang w:val="es-ES"/>
        </w:rPr>
        <w:t xml:space="preserve"> el Estado informó que:</w:t>
      </w:r>
    </w:p>
    <w:p w:rsidR="0009202B" w:rsidRPr="00A1219A" w:rsidRDefault="0009202B" w:rsidP="0009202B">
      <w:pPr>
        <w:ind w:left="720" w:right="720"/>
        <w:jc w:val="both"/>
        <w:rPr>
          <w:sz w:val="18"/>
          <w:szCs w:val="18"/>
          <w:lang w:val="es-ES"/>
        </w:rPr>
      </w:pPr>
    </w:p>
    <w:p w:rsidR="0009202B" w:rsidRPr="00A1219A" w:rsidRDefault="0009202B" w:rsidP="0009202B">
      <w:pPr>
        <w:ind w:left="720" w:right="720"/>
        <w:jc w:val="both"/>
        <w:rPr>
          <w:sz w:val="18"/>
          <w:szCs w:val="18"/>
          <w:lang w:val="es-ES"/>
        </w:rPr>
      </w:pPr>
      <w:r w:rsidRPr="00A1219A">
        <w:rPr>
          <w:sz w:val="18"/>
          <w:szCs w:val="18"/>
          <w:lang w:val="es-ES"/>
        </w:rPr>
        <w:t xml:space="preserve">Como consecuencia de los derechos concedidos y a efecto de reivindicarlos la Comunidad Garífuna de “PUNTA PIEDRA” formuló ante el Estado de </w:t>
      </w:r>
      <w:smartTag w:uri="urn:schemas-microsoft-com:office:smarttags" w:element="PersonName">
        <w:r w:rsidRPr="00A1219A">
          <w:rPr>
            <w:sz w:val="18"/>
            <w:szCs w:val="18"/>
            <w:lang w:val="es-ES"/>
          </w:rPr>
          <w:t>Honduras</w:t>
        </w:r>
      </w:smartTag>
      <w:r w:rsidRPr="00A1219A">
        <w:rPr>
          <w:sz w:val="18"/>
          <w:szCs w:val="18"/>
          <w:lang w:val="es-ES"/>
        </w:rPr>
        <w:t xml:space="preserve"> </w:t>
      </w:r>
      <w:r w:rsidR="002A3519" w:rsidRPr="00A1219A">
        <w:rPr>
          <w:sz w:val="18"/>
          <w:szCs w:val="18"/>
          <w:lang w:val="es-ES"/>
        </w:rPr>
        <w:t>por medio del Instituto Naciona</w:t>
      </w:r>
      <w:r w:rsidRPr="00A1219A">
        <w:rPr>
          <w:sz w:val="18"/>
          <w:szCs w:val="18"/>
          <w:lang w:val="es-ES"/>
        </w:rPr>
        <w:t>l Agrario, la petición de saneamiento de la referida área</w:t>
      </w:r>
      <w:r w:rsidRPr="00A1219A">
        <w:rPr>
          <w:rStyle w:val="Refdenotaalpie"/>
          <w:sz w:val="18"/>
          <w:szCs w:val="18"/>
          <w:lang w:val="es-ES"/>
        </w:rPr>
        <w:footnoteReference w:id="42"/>
      </w:r>
      <w:r w:rsidRPr="00A1219A">
        <w:rPr>
          <w:sz w:val="18"/>
          <w:szCs w:val="18"/>
          <w:lang w:val="es-ES"/>
        </w:rPr>
        <w:t xml:space="preserve">. </w:t>
      </w:r>
    </w:p>
    <w:p w:rsidR="0009202B" w:rsidRPr="00A1219A" w:rsidRDefault="0009202B" w:rsidP="0009202B">
      <w:pPr>
        <w:jc w:val="both"/>
        <w:rPr>
          <w:sz w:val="20"/>
          <w:lang w:val="es-ES"/>
        </w:rPr>
      </w:pPr>
    </w:p>
    <w:p w:rsidR="007F1AAD" w:rsidRPr="00A1219A" w:rsidRDefault="0009202B" w:rsidP="002B62D4">
      <w:pPr>
        <w:numPr>
          <w:ilvl w:val="0"/>
          <w:numId w:val="1"/>
        </w:numPr>
        <w:tabs>
          <w:tab w:val="clear" w:pos="900"/>
        </w:tabs>
        <w:ind w:left="0" w:firstLine="720"/>
        <w:jc w:val="both"/>
        <w:rPr>
          <w:sz w:val="20"/>
          <w:lang w:val="es-ES"/>
        </w:rPr>
      </w:pPr>
      <w:r w:rsidRPr="00A1219A">
        <w:rPr>
          <w:sz w:val="20"/>
          <w:lang w:val="es-ES"/>
        </w:rPr>
        <w:t xml:space="preserve">En virtud de </w:t>
      </w:r>
      <w:r w:rsidR="000068BC" w:rsidRPr="00A1219A">
        <w:rPr>
          <w:sz w:val="20"/>
          <w:lang w:val="es-ES"/>
        </w:rPr>
        <w:t xml:space="preserve">las gestiones realizadas por la Comunidad, el INA </w:t>
      </w:r>
      <w:r w:rsidR="00205A7B" w:rsidRPr="00A1219A">
        <w:rPr>
          <w:sz w:val="20"/>
          <w:lang w:val="es-ES"/>
        </w:rPr>
        <w:t xml:space="preserve">y el Congreso Nacional realizaron diferentes </w:t>
      </w:r>
      <w:r w:rsidR="00ED2E10" w:rsidRPr="00A1219A">
        <w:rPr>
          <w:sz w:val="20"/>
          <w:lang w:val="es-ES"/>
        </w:rPr>
        <w:t xml:space="preserve">acciones </w:t>
      </w:r>
      <w:r w:rsidR="000068BC" w:rsidRPr="00A1219A">
        <w:rPr>
          <w:sz w:val="20"/>
          <w:lang w:val="es-ES"/>
        </w:rPr>
        <w:t xml:space="preserve">encaminadas al saneamiento de la propiedad </w:t>
      </w:r>
      <w:r w:rsidR="00205A7B" w:rsidRPr="00A1219A">
        <w:rPr>
          <w:sz w:val="20"/>
          <w:lang w:val="es-ES"/>
        </w:rPr>
        <w:t xml:space="preserve">titulada a favor de </w:t>
      </w:r>
      <w:r w:rsidR="000068BC" w:rsidRPr="00A1219A">
        <w:rPr>
          <w:sz w:val="20"/>
          <w:lang w:val="es-ES"/>
        </w:rPr>
        <w:t xml:space="preserve">Comunidad </w:t>
      </w:r>
      <w:r w:rsidR="00205A7B" w:rsidRPr="00A1219A">
        <w:rPr>
          <w:sz w:val="20"/>
          <w:lang w:val="es-ES"/>
        </w:rPr>
        <w:t xml:space="preserve">de </w:t>
      </w:r>
      <w:r w:rsidR="000068BC" w:rsidRPr="00A1219A">
        <w:rPr>
          <w:sz w:val="20"/>
          <w:lang w:val="es-ES"/>
        </w:rPr>
        <w:t>Punta Piedra</w:t>
      </w:r>
      <w:r w:rsidR="004261F0" w:rsidRPr="00A1219A">
        <w:rPr>
          <w:sz w:val="20"/>
          <w:lang w:val="es-ES"/>
        </w:rPr>
        <w:t>. Al respecto la peticionaria indicó</w:t>
      </w:r>
      <w:r w:rsidR="000068BC" w:rsidRPr="00A1219A">
        <w:rPr>
          <w:sz w:val="20"/>
          <w:lang w:val="es-ES"/>
        </w:rPr>
        <w:t>:</w:t>
      </w:r>
    </w:p>
    <w:p w:rsidR="002B62D4" w:rsidRPr="00A1219A" w:rsidRDefault="002B62D4" w:rsidP="00205A7B">
      <w:pPr>
        <w:rPr>
          <w:sz w:val="18"/>
          <w:szCs w:val="18"/>
          <w:lang w:val="es-ES"/>
        </w:rPr>
      </w:pPr>
    </w:p>
    <w:p w:rsidR="002B62D4" w:rsidRPr="00A1219A" w:rsidRDefault="002B62D4" w:rsidP="00A00829">
      <w:pPr>
        <w:ind w:left="720" w:right="720"/>
        <w:jc w:val="both"/>
        <w:rPr>
          <w:sz w:val="18"/>
          <w:szCs w:val="18"/>
          <w:lang w:val="es-ES"/>
        </w:rPr>
      </w:pPr>
      <w:r w:rsidRPr="00A1219A">
        <w:rPr>
          <w:sz w:val="18"/>
          <w:szCs w:val="18"/>
          <w:lang w:val="es-ES"/>
        </w:rPr>
        <w:t>“La problemática de tierras de Punta Piedra se ha convertido en un eterno peregrinaje por parte de la comunidad al Congreso Nacional, demandando la restitución de las tierras invadidas”</w:t>
      </w:r>
      <w:r w:rsidR="00205A7B" w:rsidRPr="00A1219A">
        <w:rPr>
          <w:rStyle w:val="Refdenotaalpie"/>
          <w:sz w:val="18"/>
          <w:szCs w:val="18"/>
          <w:lang w:val="es-ES"/>
        </w:rPr>
        <w:footnoteReference w:id="43"/>
      </w:r>
      <w:r w:rsidRPr="00A1219A">
        <w:rPr>
          <w:sz w:val="18"/>
          <w:szCs w:val="18"/>
          <w:lang w:val="es-ES"/>
        </w:rPr>
        <w:t xml:space="preserve">.  </w:t>
      </w:r>
    </w:p>
    <w:p w:rsidR="002B62D4" w:rsidRPr="00A1219A" w:rsidRDefault="002B62D4" w:rsidP="00205A7B">
      <w:pPr>
        <w:rPr>
          <w:sz w:val="18"/>
          <w:szCs w:val="18"/>
          <w:lang w:val="es-ES"/>
        </w:rPr>
      </w:pPr>
    </w:p>
    <w:p w:rsidR="00856F0D" w:rsidRPr="00A1219A" w:rsidRDefault="00205A7B" w:rsidP="00BF7518">
      <w:pPr>
        <w:ind w:left="1440" w:hanging="720"/>
        <w:outlineLvl w:val="2"/>
        <w:rPr>
          <w:b/>
          <w:sz w:val="20"/>
          <w:lang w:val="es-ES"/>
        </w:rPr>
      </w:pPr>
      <w:bookmarkStart w:id="25" w:name="_Toc350183585"/>
      <w:r w:rsidRPr="00A1219A">
        <w:rPr>
          <w:b/>
          <w:sz w:val="20"/>
          <w:lang w:val="es-ES"/>
        </w:rPr>
        <w:t>1.</w:t>
      </w:r>
      <w:r w:rsidRPr="00A1219A">
        <w:rPr>
          <w:b/>
          <w:sz w:val="20"/>
          <w:lang w:val="es-ES"/>
        </w:rPr>
        <w:tab/>
      </w:r>
      <w:r w:rsidR="006920E1" w:rsidRPr="00A1219A">
        <w:rPr>
          <w:b/>
          <w:sz w:val="20"/>
          <w:lang w:val="es-ES"/>
        </w:rPr>
        <w:t>Comisión Interinstitucional ad-hoc y a</w:t>
      </w:r>
      <w:r w:rsidR="00856F0D" w:rsidRPr="00A1219A">
        <w:rPr>
          <w:b/>
          <w:sz w:val="20"/>
          <w:lang w:val="es-ES"/>
        </w:rPr>
        <w:t>cta de compromiso del 13 de diciembre de 2001</w:t>
      </w:r>
      <w:bookmarkEnd w:id="25"/>
      <w:r w:rsidR="00856F0D" w:rsidRPr="00A1219A">
        <w:rPr>
          <w:b/>
          <w:sz w:val="20"/>
          <w:lang w:val="es-ES"/>
        </w:rPr>
        <w:t xml:space="preserve"> </w:t>
      </w:r>
    </w:p>
    <w:p w:rsidR="00856F0D" w:rsidRPr="00A1219A" w:rsidRDefault="00856F0D" w:rsidP="001D44A4">
      <w:pPr>
        <w:jc w:val="both"/>
        <w:rPr>
          <w:sz w:val="20"/>
          <w:lang w:val="es-ES"/>
        </w:rPr>
      </w:pPr>
    </w:p>
    <w:p w:rsidR="00E926BC" w:rsidRPr="00A1219A" w:rsidRDefault="00E926BC" w:rsidP="00885059">
      <w:pPr>
        <w:numPr>
          <w:ilvl w:val="0"/>
          <w:numId w:val="1"/>
        </w:numPr>
        <w:tabs>
          <w:tab w:val="clear" w:pos="900"/>
        </w:tabs>
        <w:ind w:left="0" w:firstLine="720"/>
        <w:jc w:val="both"/>
        <w:rPr>
          <w:sz w:val="20"/>
          <w:lang w:val="es-ES"/>
        </w:rPr>
      </w:pPr>
      <w:r w:rsidRPr="00A1219A">
        <w:rPr>
          <w:sz w:val="20"/>
          <w:lang w:val="es-ES"/>
        </w:rPr>
        <w:t>El 7 de abril de 2001 s</w:t>
      </w:r>
      <w:r w:rsidR="004D4F39" w:rsidRPr="00A1219A">
        <w:rPr>
          <w:sz w:val="20"/>
          <w:lang w:val="es-ES"/>
        </w:rPr>
        <w:t xml:space="preserve">e estableció una Comisión Interinstitucional </w:t>
      </w:r>
      <w:r w:rsidR="00057FC9" w:rsidRPr="00A1219A">
        <w:rPr>
          <w:i/>
          <w:sz w:val="20"/>
          <w:lang w:val="es-ES"/>
        </w:rPr>
        <w:t xml:space="preserve">ad-hoc </w:t>
      </w:r>
      <w:r w:rsidR="006039AA" w:rsidRPr="00A1219A">
        <w:rPr>
          <w:sz w:val="20"/>
          <w:lang w:val="es-ES"/>
        </w:rPr>
        <w:t>integrada</w:t>
      </w:r>
      <w:r w:rsidR="004D4F39" w:rsidRPr="00A1219A">
        <w:rPr>
          <w:sz w:val="20"/>
          <w:lang w:val="es-ES"/>
        </w:rPr>
        <w:t xml:space="preserve"> por </w:t>
      </w:r>
      <w:r w:rsidR="006039AA" w:rsidRPr="00A1219A">
        <w:rPr>
          <w:sz w:val="20"/>
          <w:lang w:val="es-ES"/>
        </w:rPr>
        <w:t>representantes d</w:t>
      </w:r>
      <w:r w:rsidRPr="00A1219A">
        <w:rPr>
          <w:sz w:val="20"/>
          <w:lang w:val="es-ES"/>
        </w:rPr>
        <w:t xml:space="preserve">el </w:t>
      </w:r>
      <w:r w:rsidR="004D4F39" w:rsidRPr="00A1219A">
        <w:rPr>
          <w:sz w:val="20"/>
          <w:lang w:val="es-ES"/>
        </w:rPr>
        <w:t xml:space="preserve">INA, </w:t>
      </w:r>
      <w:r w:rsidRPr="00A1219A">
        <w:rPr>
          <w:sz w:val="20"/>
          <w:lang w:val="es-ES"/>
        </w:rPr>
        <w:t xml:space="preserve">el Comisionado Nacional de Derechos Humanos y </w:t>
      </w:r>
      <w:r w:rsidR="004D4F39" w:rsidRPr="00A1219A">
        <w:rPr>
          <w:sz w:val="20"/>
          <w:lang w:val="es-ES"/>
        </w:rPr>
        <w:t>la Pastoral Social de la Diócesis de Trujillo</w:t>
      </w:r>
      <w:r w:rsidRPr="00A1219A">
        <w:rPr>
          <w:sz w:val="20"/>
          <w:lang w:val="es-ES"/>
        </w:rPr>
        <w:t>, “como organismo de conciliación y concertación en la búsqueda de una solución pacífica al conflicto”</w:t>
      </w:r>
      <w:r w:rsidRPr="00A1219A">
        <w:rPr>
          <w:rStyle w:val="Refdenotaalpie"/>
          <w:sz w:val="20"/>
          <w:lang w:val="es-ES"/>
        </w:rPr>
        <w:footnoteReference w:id="44"/>
      </w:r>
      <w:r w:rsidRPr="00A1219A">
        <w:rPr>
          <w:sz w:val="20"/>
          <w:lang w:val="es-ES"/>
        </w:rPr>
        <w:t>. De acuerdo a la información presentada:</w:t>
      </w:r>
    </w:p>
    <w:p w:rsidR="00E926BC" w:rsidRPr="00A1219A" w:rsidRDefault="00E926BC" w:rsidP="00E926BC">
      <w:pPr>
        <w:jc w:val="both"/>
        <w:rPr>
          <w:sz w:val="20"/>
          <w:lang w:val="es-ES"/>
        </w:rPr>
      </w:pPr>
    </w:p>
    <w:p w:rsidR="00E926BC" w:rsidRPr="00A1219A" w:rsidRDefault="00E926BC" w:rsidP="00E926BC">
      <w:pPr>
        <w:tabs>
          <w:tab w:val="left" w:pos="720"/>
        </w:tabs>
        <w:ind w:left="720" w:right="720"/>
        <w:jc w:val="both"/>
        <w:rPr>
          <w:sz w:val="18"/>
          <w:szCs w:val="18"/>
          <w:lang w:val="es-ES"/>
        </w:rPr>
      </w:pPr>
      <w:r w:rsidRPr="00A1219A">
        <w:rPr>
          <w:sz w:val="18"/>
          <w:szCs w:val="18"/>
          <w:lang w:val="es-ES"/>
        </w:rPr>
        <w:t xml:space="preserve">Esta Comisión tuvo a la vista los documentos jurídicos que constituyen títulos, escrituras públicas, documentos de compra venta, algunos carentes de la formalidad normalmente exigidos en materia </w:t>
      </w:r>
      <w:r w:rsidRPr="00A1219A">
        <w:rPr>
          <w:sz w:val="18"/>
          <w:szCs w:val="18"/>
          <w:lang w:val="es-ES"/>
        </w:rPr>
        <w:lastRenderedPageBreak/>
        <w:t>jurídica y elaboró dictámenes que constituyen la interpretación de los derechos que le asisten a los habitantes de las comunidades</w:t>
      </w:r>
      <w:r w:rsidRPr="00A1219A">
        <w:rPr>
          <w:rStyle w:val="Refdenotaalpie"/>
          <w:sz w:val="18"/>
          <w:szCs w:val="18"/>
          <w:lang w:val="es-ES"/>
        </w:rPr>
        <w:footnoteReference w:id="45"/>
      </w:r>
      <w:r w:rsidRPr="00A1219A">
        <w:rPr>
          <w:sz w:val="18"/>
          <w:szCs w:val="18"/>
          <w:lang w:val="es-ES"/>
        </w:rPr>
        <w:t>.</w:t>
      </w:r>
    </w:p>
    <w:p w:rsidR="00E926BC" w:rsidRPr="00A1219A" w:rsidRDefault="00E926BC" w:rsidP="00E926BC">
      <w:pPr>
        <w:jc w:val="both"/>
        <w:rPr>
          <w:sz w:val="20"/>
          <w:lang w:val="es-ES"/>
        </w:rPr>
      </w:pPr>
    </w:p>
    <w:p w:rsidR="00AC41B8" w:rsidRPr="00A1219A" w:rsidRDefault="00780087" w:rsidP="00AC41B8">
      <w:pPr>
        <w:numPr>
          <w:ilvl w:val="0"/>
          <w:numId w:val="1"/>
        </w:numPr>
        <w:tabs>
          <w:tab w:val="clear" w:pos="900"/>
        </w:tabs>
        <w:ind w:left="0" w:firstLine="720"/>
        <w:jc w:val="both"/>
        <w:rPr>
          <w:sz w:val="20"/>
          <w:lang w:val="es-ES"/>
        </w:rPr>
      </w:pPr>
      <w:r w:rsidRPr="00A1219A">
        <w:rPr>
          <w:sz w:val="20"/>
          <w:lang w:val="es-ES"/>
        </w:rPr>
        <w:t>E</w:t>
      </w:r>
      <w:r w:rsidR="006039AA" w:rsidRPr="00A1219A">
        <w:rPr>
          <w:sz w:val="20"/>
          <w:lang w:val="es-ES"/>
        </w:rPr>
        <w:t xml:space="preserve">l 26 de noviembre de 2001 la Comisión </w:t>
      </w:r>
      <w:r w:rsidR="00A43B2B" w:rsidRPr="00A1219A">
        <w:rPr>
          <w:sz w:val="20"/>
          <w:lang w:val="es-ES"/>
        </w:rPr>
        <w:t xml:space="preserve">interinstitucional </w:t>
      </w:r>
      <w:r w:rsidR="006039AA" w:rsidRPr="00A1219A">
        <w:rPr>
          <w:sz w:val="20"/>
          <w:lang w:val="es-ES"/>
        </w:rPr>
        <w:t xml:space="preserve">se reunió “con los vecinos de ambas comunidades para concertar las posibles alternativas que avaladas por ambas comunidades puedan poner fin al conflicto”. </w:t>
      </w:r>
      <w:r w:rsidR="00234E19" w:rsidRPr="00A1219A">
        <w:rPr>
          <w:sz w:val="20"/>
          <w:lang w:val="es-ES"/>
        </w:rPr>
        <w:t xml:space="preserve">El 13 de diciembre de 2001 </w:t>
      </w:r>
      <w:r w:rsidR="00AC41B8" w:rsidRPr="00A1219A">
        <w:rPr>
          <w:sz w:val="20"/>
          <w:lang w:val="es-ES"/>
        </w:rPr>
        <w:t xml:space="preserve">representantes de la Comunidad de Punta Piedra y </w:t>
      </w:r>
      <w:r w:rsidR="004D4F39" w:rsidRPr="00A1219A">
        <w:rPr>
          <w:sz w:val="20"/>
          <w:lang w:val="es-ES"/>
        </w:rPr>
        <w:t xml:space="preserve">de </w:t>
      </w:r>
      <w:r w:rsidR="00AC41B8" w:rsidRPr="00A1219A">
        <w:rPr>
          <w:sz w:val="20"/>
          <w:lang w:val="es-ES"/>
        </w:rPr>
        <w:t>los campesinos asentados en</w:t>
      </w:r>
      <w:r w:rsidR="004D4F39" w:rsidRPr="00A1219A">
        <w:rPr>
          <w:sz w:val="20"/>
          <w:lang w:val="es-ES"/>
        </w:rPr>
        <w:t xml:space="preserve"> Río Miel </w:t>
      </w:r>
      <w:r w:rsidR="00234E19" w:rsidRPr="00A1219A">
        <w:rPr>
          <w:sz w:val="20"/>
          <w:lang w:val="es-ES"/>
        </w:rPr>
        <w:t>firmaron</w:t>
      </w:r>
      <w:r w:rsidR="004D4F39" w:rsidRPr="00A1219A">
        <w:rPr>
          <w:sz w:val="20"/>
          <w:lang w:val="es-ES"/>
        </w:rPr>
        <w:t xml:space="preserve"> un “Acta de compromiso”, junto con los miembros de dich</w:t>
      </w:r>
      <w:r w:rsidR="008F5D45" w:rsidRPr="00A1219A">
        <w:rPr>
          <w:sz w:val="20"/>
          <w:lang w:val="es-ES"/>
        </w:rPr>
        <w:t>a Comisión</w:t>
      </w:r>
      <w:r w:rsidR="00E926BC" w:rsidRPr="00A1219A">
        <w:rPr>
          <w:sz w:val="20"/>
          <w:lang w:val="es-ES"/>
        </w:rPr>
        <w:t xml:space="preserve"> y las organizaciones garífunas OFRANEH y ODECO</w:t>
      </w:r>
      <w:r w:rsidR="00AC41B8" w:rsidRPr="00A1219A">
        <w:rPr>
          <w:rStyle w:val="Refdenotaalpie"/>
          <w:sz w:val="20"/>
          <w:lang w:val="es-ES"/>
        </w:rPr>
        <w:footnoteReference w:id="46"/>
      </w:r>
      <w:r w:rsidR="00234E19" w:rsidRPr="00A1219A">
        <w:rPr>
          <w:sz w:val="20"/>
          <w:lang w:val="es-ES"/>
        </w:rPr>
        <w:t>.</w:t>
      </w:r>
      <w:r w:rsidR="004D4F39" w:rsidRPr="00A1219A">
        <w:rPr>
          <w:sz w:val="20"/>
          <w:lang w:val="es-ES"/>
        </w:rPr>
        <w:t xml:space="preserve"> </w:t>
      </w:r>
      <w:r w:rsidR="00DF073D" w:rsidRPr="00A1219A">
        <w:rPr>
          <w:sz w:val="20"/>
          <w:lang w:val="es-ES"/>
        </w:rPr>
        <w:t>El</w:t>
      </w:r>
      <w:r w:rsidR="00D30DD4" w:rsidRPr="00A1219A">
        <w:rPr>
          <w:sz w:val="20"/>
          <w:lang w:val="es-ES"/>
        </w:rPr>
        <w:t xml:space="preserve"> referido documento establece</w:t>
      </w:r>
      <w:r w:rsidR="001C4325" w:rsidRPr="00A1219A">
        <w:rPr>
          <w:sz w:val="20"/>
          <w:lang w:val="es-ES"/>
        </w:rPr>
        <w:t>, entre otros puntos,</w:t>
      </w:r>
      <w:r w:rsidR="00DF073D" w:rsidRPr="00A1219A">
        <w:rPr>
          <w:sz w:val="20"/>
          <w:lang w:val="es-ES"/>
        </w:rPr>
        <w:t xml:space="preserve"> lo siguiente</w:t>
      </w:r>
      <w:r w:rsidR="00D30DD4" w:rsidRPr="00A1219A">
        <w:rPr>
          <w:sz w:val="20"/>
          <w:lang w:val="es-ES"/>
        </w:rPr>
        <w:t>:</w:t>
      </w:r>
    </w:p>
    <w:p w:rsidR="00D30DD4" w:rsidRPr="00A1219A" w:rsidRDefault="00D30DD4" w:rsidP="00D30DD4">
      <w:pPr>
        <w:jc w:val="both"/>
        <w:rPr>
          <w:sz w:val="20"/>
          <w:lang w:val="es-ES"/>
        </w:rPr>
      </w:pPr>
    </w:p>
    <w:p w:rsidR="00D30DD4" w:rsidRPr="00A1219A" w:rsidRDefault="009B33BD" w:rsidP="00DF073D">
      <w:pPr>
        <w:ind w:left="720" w:right="720"/>
        <w:jc w:val="both"/>
        <w:rPr>
          <w:sz w:val="18"/>
          <w:szCs w:val="18"/>
          <w:lang w:val="es-ES"/>
        </w:rPr>
      </w:pPr>
      <w:r w:rsidRPr="00A1219A">
        <w:rPr>
          <w:sz w:val="18"/>
          <w:szCs w:val="18"/>
          <w:lang w:val="es-ES"/>
        </w:rPr>
        <w:t xml:space="preserve">b. </w:t>
      </w:r>
      <w:r w:rsidR="00D30DD4" w:rsidRPr="00A1219A">
        <w:rPr>
          <w:sz w:val="18"/>
          <w:szCs w:val="18"/>
          <w:lang w:val="es-ES"/>
        </w:rPr>
        <w:t>Las representaciones de las organizaciones y las instituciones antes indicadas reconocemos que el Estado está obligado a realizar el proceso de saneamiento a favor de la comunidad de Punta Piedra pagando las mejoras a los habitantes de Río Miel para que la comunidad garífuna pueda hacer uso del derecho pleno de propiedad que le da la documentación ancestral y la otorgada por el Instituto Nacional Agrario.</w:t>
      </w:r>
    </w:p>
    <w:p w:rsidR="000068BC" w:rsidRPr="00A1219A" w:rsidRDefault="000068BC" w:rsidP="00D30DD4">
      <w:pPr>
        <w:ind w:left="720" w:right="720"/>
        <w:jc w:val="both"/>
        <w:rPr>
          <w:sz w:val="18"/>
          <w:szCs w:val="18"/>
          <w:lang w:val="es-ES"/>
        </w:rPr>
      </w:pPr>
    </w:p>
    <w:p w:rsidR="009B33BD" w:rsidRPr="00A1219A" w:rsidRDefault="009B33BD" w:rsidP="00D30DD4">
      <w:pPr>
        <w:ind w:left="720" w:right="720"/>
        <w:jc w:val="both"/>
        <w:rPr>
          <w:sz w:val="18"/>
          <w:szCs w:val="18"/>
          <w:lang w:val="es-ES"/>
        </w:rPr>
      </w:pPr>
      <w:r w:rsidRPr="00A1219A">
        <w:rPr>
          <w:sz w:val="18"/>
          <w:szCs w:val="18"/>
          <w:lang w:val="es-ES"/>
        </w:rPr>
        <w:t xml:space="preserve">c. El Estado a través del Instituto Nacional Agrario debe de buscar de la manera más diligente un predio donde se puedan reubicar las familias indemnizadas, además, a través de las Instituciones competentes se deben de realizar todas las acciones para apoyar el derecho de vivienda, de salud, de educación, de agua y de otros beneficios que garanticen las condiciones apropiadas a la población reubicada y que de una </w:t>
      </w:r>
      <w:r w:rsidR="00B15C0B" w:rsidRPr="00A1219A">
        <w:rPr>
          <w:sz w:val="18"/>
          <w:szCs w:val="18"/>
          <w:lang w:val="es-ES"/>
        </w:rPr>
        <w:t>vez por todas la comunidad de Punta Piedra pueda ejercer el dominio en las tierras reivindicadas</w:t>
      </w:r>
      <w:r w:rsidR="00326807" w:rsidRPr="00A1219A">
        <w:rPr>
          <w:rStyle w:val="Refdenotaalpie"/>
          <w:sz w:val="20"/>
          <w:lang w:val="es-ES"/>
        </w:rPr>
        <w:footnoteReference w:id="47"/>
      </w:r>
      <w:r w:rsidR="00B15C0B" w:rsidRPr="00A1219A">
        <w:rPr>
          <w:sz w:val="18"/>
          <w:szCs w:val="18"/>
          <w:lang w:val="es-ES"/>
        </w:rPr>
        <w:t>.</w:t>
      </w:r>
    </w:p>
    <w:p w:rsidR="00DF073D" w:rsidRPr="00A1219A" w:rsidRDefault="00DF073D" w:rsidP="00DF073D">
      <w:pPr>
        <w:ind w:right="720"/>
        <w:jc w:val="both"/>
        <w:rPr>
          <w:sz w:val="18"/>
          <w:szCs w:val="18"/>
          <w:lang w:val="es-ES"/>
        </w:rPr>
      </w:pPr>
    </w:p>
    <w:p w:rsidR="000068BC" w:rsidRPr="00A1219A" w:rsidRDefault="00175E8F" w:rsidP="00175E8F">
      <w:pPr>
        <w:numPr>
          <w:ilvl w:val="0"/>
          <w:numId w:val="1"/>
        </w:numPr>
        <w:tabs>
          <w:tab w:val="clear" w:pos="900"/>
        </w:tabs>
        <w:ind w:left="0" w:firstLine="720"/>
        <w:jc w:val="both"/>
        <w:rPr>
          <w:sz w:val="20"/>
          <w:lang w:val="es-ES"/>
        </w:rPr>
      </w:pPr>
      <w:r w:rsidRPr="00A1219A">
        <w:rPr>
          <w:sz w:val="20"/>
          <w:lang w:val="es-ES"/>
        </w:rPr>
        <w:t>En seguimiento al acuerdo, e</w:t>
      </w:r>
      <w:r w:rsidR="00893EEB" w:rsidRPr="00A1219A">
        <w:rPr>
          <w:sz w:val="20"/>
          <w:lang w:val="es-ES"/>
        </w:rPr>
        <w:t>l 21 de febrero de 200</w:t>
      </w:r>
      <w:r w:rsidR="00BF0B85" w:rsidRPr="00A1219A">
        <w:rPr>
          <w:sz w:val="20"/>
          <w:lang w:val="es-ES"/>
        </w:rPr>
        <w:t>2</w:t>
      </w:r>
      <w:r w:rsidR="00893EEB" w:rsidRPr="00A1219A">
        <w:rPr>
          <w:sz w:val="20"/>
          <w:lang w:val="es-ES"/>
        </w:rPr>
        <w:t xml:space="preserve"> la OFRANEH solicitó al Ministro Director del INA el avalúo de mejoras de la localidad de Río Miel, “a fin de establecer los mecanismos para lograr la aprobación de la partida presupuestaria del respectivo saneamiento”</w:t>
      </w:r>
      <w:r w:rsidR="00893EEB" w:rsidRPr="00A1219A">
        <w:rPr>
          <w:rStyle w:val="Refdenotaalpie"/>
          <w:sz w:val="20"/>
          <w:lang w:val="es-ES"/>
        </w:rPr>
        <w:footnoteReference w:id="48"/>
      </w:r>
      <w:r w:rsidR="000A162A" w:rsidRPr="00A1219A">
        <w:rPr>
          <w:sz w:val="20"/>
          <w:lang w:val="es-ES"/>
        </w:rPr>
        <w:t>.</w:t>
      </w:r>
    </w:p>
    <w:p w:rsidR="00ED2E10" w:rsidRPr="00A1219A" w:rsidRDefault="000A162A" w:rsidP="00ED2E10">
      <w:pPr>
        <w:jc w:val="both"/>
        <w:rPr>
          <w:sz w:val="20"/>
          <w:lang w:val="es-ES"/>
        </w:rPr>
      </w:pPr>
      <w:r w:rsidRPr="00A1219A">
        <w:rPr>
          <w:lang w:val="es-ES"/>
        </w:rPr>
        <w:t xml:space="preserve"> </w:t>
      </w:r>
      <w:r w:rsidR="00ED2E10" w:rsidRPr="00A1219A">
        <w:rPr>
          <w:highlight w:val="yellow"/>
          <w:lang w:val="es-ES"/>
        </w:rPr>
        <w:t xml:space="preserve"> </w:t>
      </w:r>
    </w:p>
    <w:p w:rsidR="000068BC" w:rsidRPr="00A1219A" w:rsidRDefault="00ED2E10" w:rsidP="00ED2E10">
      <w:pPr>
        <w:numPr>
          <w:ilvl w:val="0"/>
          <w:numId w:val="1"/>
        </w:numPr>
        <w:tabs>
          <w:tab w:val="clear" w:pos="900"/>
        </w:tabs>
        <w:ind w:left="0" w:firstLine="720"/>
        <w:jc w:val="both"/>
        <w:rPr>
          <w:sz w:val="20"/>
          <w:lang w:val="es-ES"/>
        </w:rPr>
      </w:pPr>
      <w:r w:rsidRPr="00A1219A">
        <w:rPr>
          <w:sz w:val="20"/>
          <w:lang w:val="es-ES"/>
        </w:rPr>
        <w:t>De acuerdo al Estado, el “INA, con el propósito de solucionar la problemática suscitada entre la comunidad de Punta Piedra y la Aldea de Río Miel, realizó un avalúo de las mejoras introducidas por los ocupantes ladinos, resultando un monto de Trece Millones ciento Sesenta y Ocho Mil, Novecientos Ochenta y Dos Lempiras con Ochenta y Cuatro Centavos (Lps.13,168,982.84)”</w:t>
      </w:r>
      <w:r w:rsidRPr="00A1219A">
        <w:rPr>
          <w:rStyle w:val="Refdenotaalpie"/>
          <w:sz w:val="20"/>
          <w:lang w:val="es-ES"/>
        </w:rPr>
        <w:footnoteReference w:id="49"/>
      </w:r>
      <w:r w:rsidR="0029560E">
        <w:rPr>
          <w:sz w:val="20"/>
          <w:lang w:val="es-ES"/>
        </w:rPr>
        <w:t>.</w:t>
      </w:r>
    </w:p>
    <w:p w:rsidR="000068BC" w:rsidRPr="00A1219A" w:rsidRDefault="000068BC" w:rsidP="000068BC">
      <w:pPr>
        <w:jc w:val="both"/>
        <w:rPr>
          <w:sz w:val="20"/>
          <w:lang w:val="es-ES"/>
        </w:rPr>
      </w:pPr>
    </w:p>
    <w:p w:rsidR="004261F0" w:rsidRPr="00A1219A" w:rsidRDefault="004261F0" w:rsidP="00175E8F">
      <w:pPr>
        <w:numPr>
          <w:ilvl w:val="0"/>
          <w:numId w:val="1"/>
        </w:numPr>
        <w:tabs>
          <w:tab w:val="clear" w:pos="900"/>
        </w:tabs>
        <w:ind w:left="0" w:firstLine="720"/>
        <w:jc w:val="both"/>
        <w:rPr>
          <w:sz w:val="20"/>
          <w:lang w:val="es-ES"/>
        </w:rPr>
      </w:pPr>
      <w:r w:rsidRPr="00A1219A">
        <w:rPr>
          <w:sz w:val="20"/>
          <w:lang w:val="es-ES"/>
        </w:rPr>
        <w:t>Por ello, l</w:t>
      </w:r>
      <w:r w:rsidR="000A162A" w:rsidRPr="00A1219A">
        <w:rPr>
          <w:sz w:val="20"/>
          <w:lang w:val="es-ES"/>
        </w:rPr>
        <w:t xml:space="preserve">a Comunidad </w:t>
      </w:r>
      <w:r w:rsidR="000068BC" w:rsidRPr="00A1219A">
        <w:rPr>
          <w:sz w:val="20"/>
          <w:lang w:val="es-ES"/>
        </w:rPr>
        <w:t xml:space="preserve">Punta Piedra </w:t>
      </w:r>
      <w:r w:rsidR="000A162A" w:rsidRPr="00A1219A">
        <w:rPr>
          <w:sz w:val="20"/>
          <w:lang w:val="es-ES"/>
        </w:rPr>
        <w:t>realizó gestiones ante el Congreso de la Repúbl</w:t>
      </w:r>
      <w:r w:rsidR="00584546" w:rsidRPr="00A1219A">
        <w:rPr>
          <w:sz w:val="20"/>
          <w:lang w:val="es-ES"/>
        </w:rPr>
        <w:t>ica a fin de que se adoptara la</w:t>
      </w:r>
      <w:r w:rsidR="000A162A" w:rsidRPr="00A1219A">
        <w:rPr>
          <w:sz w:val="20"/>
          <w:lang w:val="es-ES"/>
        </w:rPr>
        <w:t xml:space="preserve"> partida presupuestal necesaria para el INA</w:t>
      </w:r>
      <w:r w:rsidRPr="00A1219A">
        <w:rPr>
          <w:sz w:val="20"/>
          <w:lang w:val="es-ES"/>
        </w:rPr>
        <w:t xml:space="preserve">. </w:t>
      </w:r>
      <w:r w:rsidRPr="00A1219A">
        <w:rPr>
          <w:rFonts w:cs="Arial"/>
          <w:bCs/>
          <w:noProof/>
          <w:sz w:val="20"/>
          <w:lang w:val="es-ES"/>
        </w:rPr>
        <w:t>Edito Suazo Ávila, Presidente del Patronato de la Comunidad de Punta Piedra afirmó en audiencia pública ante la CIDH:</w:t>
      </w:r>
    </w:p>
    <w:p w:rsidR="004261F0" w:rsidRPr="00A1219A" w:rsidRDefault="004261F0" w:rsidP="004261F0">
      <w:pPr>
        <w:jc w:val="both"/>
        <w:rPr>
          <w:rFonts w:cs="Arial"/>
          <w:bCs/>
          <w:noProof/>
          <w:sz w:val="16"/>
          <w:szCs w:val="16"/>
          <w:lang w:val="es-ES"/>
        </w:rPr>
      </w:pPr>
    </w:p>
    <w:p w:rsidR="004261F0" w:rsidRPr="00A1219A" w:rsidRDefault="004261F0" w:rsidP="004261F0">
      <w:pPr>
        <w:ind w:left="720" w:right="720"/>
        <w:jc w:val="both"/>
        <w:rPr>
          <w:sz w:val="18"/>
          <w:szCs w:val="18"/>
          <w:lang w:val="es-ES"/>
        </w:rPr>
      </w:pPr>
      <w:r w:rsidRPr="00A1219A">
        <w:rPr>
          <w:rFonts w:cs="Arial"/>
          <w:bCs/>
          <w:noProof/>
          <w:sz w:val="18"/>
          <w:szCs w:val="18"/>
          <w:lang w:val="es-ES"/>
        </w:rPr>
        <w:t>[…] después de todo lo que había pasado fuimos a la oficina del INA donde ellos nos dijeron no tener dinero para resolver el problema. Nos reunimos con el pueblo y decidimos hacer una marcha a la capital para pedirle al Presidente que pague todos los errores que había cometido. Le pedimos al gobierno dinero para sanear el problema, el Congreso aceptó entregar al dinero</w:t>
      </w:r>
      <w:r w:rsidRPr="00A1219A">
        <w:rPr>
          <w:rFonts w:cs="Arial"/>
          <w:bCs/>
          <w:noProof/>
          <w:sz w:val="18"/>
          <w:szCs w:val="18"/>
          <w:lang w:val="es-ES"/>
        </w:rPr>
        <w:sym w:font="Symbol" w:char="F05B"/>
      </w:r>
      <w:r w:rsidRPr="00A1219A">
        <w:rPr>
          <w:rFonts w:cs="Arial"/>
          <w:bCs/>
          <w:noProof/>
          <w:sz w:val="18"/>
          <w:szCs w:val="18"/>
          <w:lang w:val="es-ES"/>
        </w:rPr>
        <w:t>…</w:t>
      </w:r>
      <w:r w:rsidRPr="00A1219A">
        <w:rPr>
          <w:rFonts w:cs="Arial"/>
          <w:bCs/>
          <w:noProof/>
          <w:sz w:val="18"/>
          <w:szCs w:val="18"/>
          <w:lang w:val="es-ES"/>
        </w:rPr>
        <w:sym w:font="Symbol" w:char="F05D"/>
      </w:r>
      <w:r w:rsidR="000A162A" w:rsidRPr="00A1219A">
        <w:rPr>
          <w:rStyle w:val="Refdenotaalpie"/>
          <w:sz w:val="18"/>
          <w:szCs w:val="18"/>
          <w:lang w:val="es-ES"/>
        </w:rPr>
        <w:footnoteReference w:id="50"/>
      </w:r>
      <w:r w:rsidR="000A162A" w:rsidRPr="00A1219A">
        <w:rPr>
          <w:sz w:val="18"/>
          <w:szCs w:val="18"/>
          <w:lang w:val="es-ES"/>
        </w:rPr>
        <w:t xml:space="preserve">. </w:t>
      </w:r>
    </w:p>
    <w:p w:rsidR="004261F0" w:rsidRPr="00A1219A" w:rsidRDefault="004261F0" w:rsidP="004261F0">
      <w:pPr>
        <w:jc w:val="both"/>
        <w:rPr>
          <w:sz w:val="20"/>
          <w:lang w:val="es-ES"/>
        </w:rPr>
      </w:pPr>
    </w:p>
    <w:p w:rsidR="00D30DD4" w:rsidRPr="00A1219A" w:rsidRDefault="00FA73C0" w:rsidP="00175E8F">
      <w:pPr>
        <w:numPr>
          <w:ilvl w:val="0"/>
          <w:numId w:val="1"/>
        </w:numPr>
        <w:tabs>
          <w:tab w:val="clear" w:pos="900"/>
        </w:tabs>
        <w:ind w:left="0" w:firstLine="720"/>
        <w:jc w:val="both"/>
        <w:rPr>
          <w:sz w:val="20"/>
          <w:lang w:val="es-ES"/>
        </w:rPr>
      </w:pPr>
      <w:r w:rsidRPr="00A1219A">
        <w:rPr>
          <w:sz w:val="20"/>
          <w:lang w:val="es-ES"/>
        </w:rPr>
        <w:t xml:space="preserve">El 18 de abril de 2002 </w:t>
      </w:r>
      <w:r w:rsidR="000A162A" w:rsidRPr="00A1219A">
        <w:rPr>
          <w:sz w:val="20"/>
          <w:lang w:val="es-ES"/>
        </w:rPr>
        <w:t xml:space="preserve">un grupo de </w:t>
      </w:r>
      <w:r w:rsidRPr="00A1219A">
        <w:rPr>
          <w:sz w:val="20"/>
          <w:lang w:val="es-ES"/>
        </w:rPr>
        <w:t>d</w:t>
      </w:r>
      <w:r w:rsidR="000820A0" w:rsidRPr="00A1219A">
        <w:rPr>
          <w:sz w:val="20"/>
          <w:lang w:val="es-ES"/>
        </w:rPr>
        <w:t xml:space="preserve">iputados </w:t>
      </w:r>
      <w:r w:rsidR="000A162A" w:rsidRPr="00A1219A">
        <w:rPr>
          <w:sz w:val="20"/>
          <w:lang w:val="es-ES"/>
        </w:rPr>
        <w:t>presentó</w:t>
      </w:r>
      <w:r w:rsidRPr="00A1219A">
        <w:rPr>
          <w:sz w:val="20"/>
          <w:lang w:val="es-ES"/>
        </w:rPr>
        <w:t xml:space="preserve"> una moción al Congreso Nacional para la aprobación de la partida en el </w:t>
      </w:r>
      <w:r w:rsidR="000820A0" w:rsidRPr="00A1219A">
        <w:rPr>
          <w:sz w:val="20"/>
          <w:lang w:val="es-ES"/>
        </w:rPr>
        <w:t>“</w:t>
      </w:r>
      <w:r w:rsidRPr="00A1219A">
        <w:rPr>
          <w:sz w:val="20"/>
          <w:lang w:val="es-ES"/>
        </w:rPr>
        <w:t xml:space="preserve">Presupuesto General de Ingresos y Egresos de la República </w:t>
      </w:r>
      <w:r w:rsidRPr="00A1219A">
        <w:rPr>
          <w:sz w:val="20"/>
          <w:lang w:val="es-ES"/>
        </w:rPr>
        <w:lastRenderedPageBreak/>
        <w:t>2002</w:t>
      </w:r>
      <w:r w:rsidR="000820A0" w:rsidRPr="00A1219A">
        <w:rPr>
          <w:sz w:val="20"/>
          <w:lang w:val="es-ES"/>
        </w:rPr>
        <w:t>”</w:t>
      </w:r>
      <w:r w:rsidRPr="00A1219A">
        <w:rPr>
          <w:sz w:val="20"/>
          <w:lang w:val="es-ES"/>
        </w:rPr>
        <w:t xml:space="preserve"> </w:t>
      </w:r>
      <w:r w:rsidR="006F2E6C" w:rsidRPr="00A1219A">
        <w:rPr>
          <w:sz w:val="20"/>
          <w:lang w:val="es-ES"/>
        </w:rPr>
        <w:t>para que</w:t>
      </w:r>
      <w:r w:rsidRPr="00A1219A">
        <w:rPr>
          <w:sz w:val="20"/>
          <w:lang w:val="es-ES"/>
        </w:rPr>
        <w:t xml:space="preserve"> </w:t>
      </w:r>
      <w:r w:rsidR="00014F59" w:rsidRPr="00A1219A">
        <w:rPr>
          <w:sz w:val="20"/>
          <w:lang w:val="es-ES"/>
        </w:rPr>
        <w:t>el INA proced</w:t>
      </w:r>
      <w:r w:rsidR="006F2E6C" w:rsidRPr="00A1219A">
        <w:rPr>
          <w:sz w:val="20"/>
          <w:lang w:val="es-ES"/>
        </w:rPr>
        <w:t xml:space="preserve">a </w:t>
      </w:r>
      <w:r w:rsidRPr="00A1219A">
        <w:rPr>
          <w:sz w:val="20"/>
          <w:lang w:val="es-ES"/>
        </w:rPr>
        <w:t>al saneamiento de las tierras reivindicadas por la Comunidad de Punta Piedra</w:t>
      </w:r>
      <w:r w:rsidRPr="00A1219A">
        <w:rPr>
          <w:rStyle w:val="Refdenotaalpie"/>
          <w:sz w:val="20"/>
          <w:lang w:val="es-ES"/>
        </w:rPr>
        <w:footnoteReference w:id="51"/>
      </w:r>
      <w:r w:rsidRPr="00A1219A">
        <w:rPr>
          <w:sz w:val="20"/>
          <w:lang w:val="es-ES"/>
        </w:rPr>
        <w:t>.</w:t>
      </w:r>
      <w:r w:rsidR="004566DE" w:rsidRPr="00A1219A">
        <w:rPr>
          <w:sz w:val="20"/>
          <w:lang w:val="es-ES"/>
        </w:rPr>
        <w:t xml:space="preserve"> En la moción se estableció lo siguiente: </w:t>
      </w:r>
    </w:p>
    <w:p w:rsidR="00FA73C0" w:rsidRPr="00A1219A" w:rsidRDefault="00FA73C0" w:rsidP="00FA73C0">
      <w:pPr>
        <w:jc w:val="both"/>
        <w:rPr>
          <w:sz w:val="20"/>
          <w:lang w:val="es-ES"/>
        </w:rPr>
      </w:pPr>
    </w:p>
    <w:p w:rsidR="00B0346A" w:rsidRPr="00A1219A" w:rsidRDefault="00B0346A" w:rsidP="00B0346A">
      <w:pPr>
        <w:ind w:left="720" w:right="720"/>
        <w:jc w:val="both"/>
        <w:rPr>
          <w:rFonts w:cs="Arial"/>
          <w:sz w:val="18"/>
          <w:szCs w:val="18"/>
          <w:lang w:val="es-ES"/>
        </w:rPr>
      </w:pPr>
      <w:r w:rsidRPr="00A1219A">
        <w:rPr>
          <w:rFonts w:cs="Arial"/>
          <w:sz w:val="18"/>
          <w:szCs w:val="18"/>
          <w:lang w:val="es-ES"/>
        </w:rPr>
        <w:t>[…]</w:t>
      </w:r>
    </w:p>
    <w:p w:rsidR="00B0346A" w:rsidRPr="00A1219A" w:rsidRDefault="00B0346A" w:rsidP="00B0346A">
      <w:pPr>
        <w:ind w:left="720" w:right="720"/>
        <w:jc w:val="both"/>
        <w:rPr>
          <w:rFonts w:cs="Arial"/>
          <w:sz w:val="18"/>
          <w:szCs w:val="18"/>
          <w:lang w:val="es-ES"/>
        </w:rPr>
      </w:pPr>
      <w:r w:rsidRPr="00A1219A">
        <w:rPr>
          <w:b/>
          <w:i/>
          <w:iCs/>
          <w:sz w:val="18"/>
          <w:szCs w:val="18"/>
          <w:lang w:val="es-ES"/>
        </w:rPr>
        <w:t>Considerando</w:t>
      </w:r>
      <w:r w:rsidRPr="00A1219A">
        <w:rPr>
          <w:i/>
          <w:iCs/>
          <w:sz w:val="18"/>
          <w:szCs w:val="18"/>
          <w:lang w:val="es-ES"/>
        </w:rPr>
        <w:t xml:space="preserve">,  </w:t>
      </w:r>
      <w:r w:rsidRPr="00A1219A">
        <w:rPr>
          <w:rFonts w:cs="Arial"/>
          <w:sz w:val="18"/>
          <w:szCs w:val="18"/>
          <w:lang w:val="es-ES"/>
        </w:rPr>
        <w:t xml:space="preserve">que para los pueblos indígenas, </w:t>
      </w:r>
      <w:r w:rsidRPr="00A1219A">
        <w:rPr>
          <w:sz w:val="18"/>
          <w:szCs w:val="18"/>
          <w:lang w:val="es-ES"/>
        </w:rPr>
        <w:t xml:space="preserve">el </w:t>
      </w:r>
      <w:r w:rsidRPr="00A1219A">
        <w:rPr>
          <w:rFonts w:cs="Arial"/>
          <w:sz w:val="18"/>
          <w:szCs w:val="18"/>
          <w:lang w:val="es-ES"/>
        </w:rPr>
        <w:t xml:space="preserve">concepto de conservación </w:t>
      </w:r>
      <w:r w:rsidRPr="00A1219A">
        <w:rPr>
          <w:sz w:val="18"/>
          <w:szCs w:val="18"/>
          <w:lang w:val="es-ES"/>
        </w:rPr>
        <w:t xml:space="preserve">y </w:t>
      </w:r>
      <w:r w:rsidRPr="00A1219A">
        <w:rPr>
          <w:rFonts w:cs="Arial"/>
          <w:sz w:val="18"/>
          <w:szCs w:val="18"/>
          <w:lang w:val="es-ES"/>
        </w:rPr>
        <w:t>uso sostenible de la biodiversidad no es otro concepto vacío</w:t>
      </w:r>
      <w:r w:rsidRPr="00A1219A">
        <w:rPr>
          <w:sz w:val="18"/>
          <w:szCs w:val="18"/>
          <w:lang w:val="es-ES"/>
        </w:rPr>
        <w:t xml:space="preserve">, </w:t>
      </w:r>
      <w:r w:rsidRPr="00A1219A">
        <w:rPr>
          <w:rFonts w:cs="Arial"/>
          <w:sz w:val="18"/>
          <w:szCs w:val="18"/>
          <w:lang w:val="es-ES"/>
        </w:rPr>
        <w:t xml:space="preserve">mucho menos comercial. Estos conceptos, para los pueblos indígenas, están íntimamente relacionados con la espiritualidad </w:t>
      </w:r>
      <w:r w:rsidRPr="00A1219A">
        <w:rPr>
          <w:sz w:val="18"/>
          <w:szCs w:val="18"/>
          <w:lang w:val="es-ES"/>
        </w:rPr>
        <w:t xml:space="preserve">y el </w:t>
      </w:r>
      <w:r w:rsidRPr="00A1219A">
        <w:rPr>
          <w:rFonts w:cs="Arial"/>
          <w:sz w:val="18"/>
          <w:szCs w:val="18"/>
          <w:lang w:val="es-ES"/>
        </w:rPr>
        <w:t xml:space="preserve">respeto a la madre tierra. La vida, los territorios, los conocimientos y </w:t>
      </w:r>
      <w:r w:rsidRPr="00A1219A">
        <w:rPr>
          <w:sz w:val="18"/>
          <w:szCs w:val="18"/>
          <w:lang w:val="es-ES"/>
        </w:rPr>
        <w:t xml:space="preserve">los </w:t>
      </w:r>
      <w:r w:rsidRPr="00A1219A">
        <w:rPr>
          <w:rFonts w:cs="Arial"/>
          <w:sz w:val="18"/>
          <w:szCs w:val="18"/>
          <w:lang w:val="es-ES"/>
        </w:rPr>
        <w:t xml:space="preserve">derechos colectivos son inseparables. EI articulo 8 del Convenio de Biodiversidad (C.D.B) reconoce este principio fundamental. </w:t>
      </w:r>
    </w:p>
    <w:p w:rsidR="00B0346A" w:rsidRPr="00A1219A" w:rsidRDefault="00B0346A" w:rsidP="00B0346A">
      <w:pPr>
        <w:ind w:left="720" w:right="720"/>
        <w:jc w:val="both"/>
        <w:rPr>
          <w:rFonts w:cs="Arial"/>
          <w:sz w:val="18"/>
          <w:szCs w:val="18"/>
          <w:lang w:val="es-ES"/>
        </w:rPr>
      </w:pPr>
    </w:p>
    <w:p w:rsidR="00B0346A" w:rsidRPr="00A1219A" w:rsidRDefault="00B0346A" w:rsidP="00B0346A">
      <w:pPr>
        <w:ind w:left="720" w:right="720"/>
        <w:jc w:val="both"/>
        <w:rPr>
          <w:rFonts w:cs="Arial"/>
          <w:sz w:val="18"/>
          <w:szCs w:val="18"/>
          <w:lang w:val="es-ES"/>
        </w:rPr>
      </w:pPr>
      <w:r w:rsidRPr="00A1219A">
        <w:rPr>
          <w:rFonts w:cs="Arial"/>
          <w:b/>
          <w:i/>
          <w:iCs/>
          <w:sz w:val="18"/>
          <w:szCs w:val="18"/>
          <w:lang w:val="es-ES"/>
        </w:rPr>
        <w:t>Considerando,</w:t>
      </w:r>
      <w:r w:rsidRPr="00A1219A">
        <w:rPr>
          <w:rFonts w:cs="Arial"/>
          <w:i/>
          <w:iCs/>
          <w:sz w:val="18"/>
          <w:szCs w:val="18"/>
          <w:lang w:val="es-ES"/>
        </w:rPr>
        <w:t xml:space="preserve"> </w:t>
      </w:r>
      <w:r w:rsidRPr="00A1219A">
        <w:rPr>
          <w:rFonts w:cs="Arial"/>
          <w:sz w:val="18"/>
          <w:szCs w:val="18"/>
          <w:lang w:val="es-ES"/>
        </w:rPr>
        <w:t xml:space="preserve">que </w:t>
      </w:r>
      <w:r w:rsidRPr="00A1219A">
        <w:rPr>
          <w:rFonts w:cs="HiddenHorzOCl"/>
          <w:sz w:val="18"/>
          <w:szCs w:val="18"/>
          <w:lang w:val="es-ES"/>
        </w:rPr>
        <w:t xml:space="preserve">el </w:t>
      </w:r>
      <w:r w:rsidRPr="00A1219A">
        <w:rPr>
          <w:rFonts w:cs="Arial"/>
          <w:sz w:val="18"/>
          <w:szCs w:val="18"/>
          <w:lang w:val="es-ES"/>
        </w:rPr>
        <w:t xml:space="preserve">Estado hondureño en mayo de 1994 ratifico el Convenio 169 de la Organización Internacional del Trabajo (O.I.T), instrumento jurídico internacional que reconoce los derechos colectivos de los pueblos indígenas y tribales del mundo </w:t>
      </w:r>
    </w:p>
    <w:p w:rsidR="00B0346A" w:rsidRPr="00A1219A" w:rsidRDefault="00B0346A" w:rsidP="00B0346A">
      <w:pPr>
        <w:ind w:left="720" w:right="720"/>
        <w:jc w:val="both"/>
        <w:rPr>
          <w:rFonts w:cs="HiddenHorzOCl"/>
          <w:sz w:val="18"/>
          <w:szCs w:val="18"/>
          <w:lang w:val="es-ES"/>
        </w:rPr>
      </w:pPr>
    </w:p>
    <w:p w:rsidR="00B0346A" w:rsidRPr="00A1219A" w:rsidRDefault="00B0346A" w:rsidP="00B0346A">
      <w:pPr>
        <w:ind w:left="720" w:right="720"/>
        <w:jc w:val="both"/>
        <w:rPr>
          <w:rFonts w:cs="Arial"/>
          <w:sz w:val="18"/>
          <w:szCs w:val="18"/>
          <w:lang w:val="es-ES"/>
        </w:rPr>
      </w:pPr>
      <w:r w:rsidRPr="00A1219A">
        <w:rPr>
          <w:rFonts w:cs="Arial"/>
          <w:b/>
          <w:i/>
          <w:iCs/>
          <w:sz w:val="18"/>
          <w:szCs w:val="18"/>
          <w:lang w:val="es-ES"/>
        </w:rPr>
        <w:t>Considerando,</w:t>
      </w:r>
      <w:r w:rsidRPr="00A1219A">
        <w:rPr>
          <w:rFonts w:cs="Arial"/>
          <w:i/>
          <w:iCs/>
          <w:sz w:val="18"/>
          <w:szCs w:val="18"/>
          <w:lang w:val="es-ES"/>
        </w:rPr>
        <w:t xml:space="preserve"> </w:t>
      </w:r>
      <w:r w:rsidRPr="00A1219A">
        <w:rPr>
          <w:rFonts w:cs="Arial"/>
          <w:sz w:val="18"/>
          <w:szCs w:val="18"/>
          <w:lang w:val="es-ES"/>
        </w:rPr>
        <w:t xml:space="preserve">que la comunidad de Punta Piedra desde hace </w:t>
      </w:r>
      <w:r w:rsidRPr="00A1219A">
        <w:rPr>
          <w:rFonts w:cs="HiddenHorzOCl"/>
          <w:sz w:val="18"/>
          <w:szCs w:val="18"/>
          <w:lang w:val="es-ES"/>
        </w:rPr>
        <w:t>mas de 10 años</w:t>
      </w:r>
      <w:r w:rsidRPr="00A1219A">
        <w:rPr>
          <w:rFonts w:cs="Arial"/>
          <w:sz w:val="18"/>
          <w:szCs w:val="18"/>
          <w:lang w:val="es-ES"/>
        </w:rPr>
        <w:t xml:space="preserve"> han venido enfrentando un conflicto de tenencia de tierra que se origina a raíz de que un grupo de personas extrañas a</w:t>
      </w:r>
      <w:r w:rsidRPr="00A1219A">
        <w:rPr>
          <w:sz w:val="18"/>
          <w:szCs w:val="18"/>
          <w:lang w:val="es-ES"/>
        </w:rPr>
        <w:t xml:space="preserve"> </w:t>
      </w:r>
      <w:r w:rsidRPr="00A1219A">
        <w:rPr>
          <w:rFonts w:cs="Arial"/>
          <w:sz w:val="18"/>
          <w:szCs w:val="18"/>
          <w:lang w:val="es-ES"/>
        </w:rPr>
        <w:t>la comunidad, tomaron posesión de las tierras de producción de dicha comunidad. Y que dicho conflicto ha mantenido en zozobra a la comunidad garifunas.</w:t>
      </w:r>
    </w:p>
    <w:p w:rsidR="00B0346A" w:rsidRPr="00A1219A" w:rsidRDefault="00B0346A" w:rsidP="00B0346A">
      <w:pPr>
        <w:ind w:left="720" w:right="720"/>
        <w:jc w:val="both"/>
        <w:rPr>
          <w:rFonts w:cs="Arial"/>
          <w:sz w:val="18"/>
          <w:szCs w:val="18"/>
          <w:lang w:val="es-ES"/>
        </w:rPr>
      </w:pPr>
    </w:p>
    <w:p w:rsidR="00B0346A" w:rsidRPr="00A1219A" w:rsidRDefault="00B0346A" w:rsidP="00B0346A">
      <w:pPr>
        <w:ind w:left="720" w:right="720"/>
        <w:jc w:val="both"/>
        <w:rPr>
          <w:rFonts w:cs="Arial"/>
          <w:sz w:val="18"/>
          <w:szCs w:val="18"/>
          <w:lang w:val="es-ES"/>
        </w:rPr>
      </w:pPr>
      <w:r w:rsidRPr="00A1219A">
        <w:rPr>
          <w:b/>
          <w:i/>
          <w:iCs/>
          <w:sz w:val="18"/>
          <w:szCs w:val="18"/>
          <w:lang w:val="es-ES"/>
        </w:rPr>
        <w:t>Considerando,</w:t>
      </w:r>
      <w:r w:rsidRPr="00A1219A">
        <w:rPr>
          <w:i/>
          <w:iCs/>
          <w:sz w:val="18"/>
          <w:szCs w:val="18"/>
          <w:lang w:val="es-ES"/>
        </w:rPr>
        <w:t xml:space="preserve"> </w:t>
      </w:r>
      <w:r w:rsidRPr="00A1219A">
        <w:rPr>
          <w:rFonts w:cs="Arial"/>
          <w:sz w:val="18"/>
          <w:szCs w:val="18"/>
          <w:lang w:val="es-ES"/>
        </w:rPr>
        <w:t>que el 13 de diciembre del año 2,001</w:t>
      </w:r>
      <w:r w:rsidRPr="00A1219A">
        <w:rPr>
          <w:i/>
          <w:iCs/>
          <w:sz w:val="18"/>
          <w:szCs w:val="18"/>
          <w:lang w:val="es-ES"/>
        </w:rPr>
        <w:t xml:space="preserve"> </w:t>
      </w:r>
      <w:r w:rsidRPr="00A1219A">
        <w:rPr>
          <w:rFonts w:cs="Arial"/>
          <w:sz w:val="18"/>
          <w:szCs w:val="18"/>
          <w:lang w:val="es-ES"/>
        </w:rPr>
        <w:t xml:space="preserve">se desarrollo una reunión entre los representantes de la comunidad de Punta de Piedra </w:t>
      </w:r>
      <w:r w:rsidRPr="00A1219A">
        <w:rPr>
          <w:sz w:val="18"/>
          <w:szCs w:val="18"/>
          <w:lang w:val="es-ES"/>
        </w:rPr>
        <w:t xml:space="preserve">y </w:t>
      </w:r>
      <w:r w:rsidRPr="00A1219A">
        <w:rPr>
          <w:rFonts w:cs="Arial"/>
          <w:sz w:val="18"/>
          <w:szCs w:val="18"/>
          <w:lang w:val="es-ES"/>
        </w:rPr>
        <w:t>los ladinos de Río Miel, junto a los representantes del INA de Sinaloa. Ambas partes tomaron acuerdos importantes para la solución del problema. En dicha reunión se acordó que el Estado debe proceder al saneamiento de las tierras a fin de resolver definitivamente el conflicto.</w:t>
      </w:r>
    </w:p>
    <w:p w:rsidR="00B0346A" w:rsidRPr="00A1219A" w:rsidRDefault="00B0346A" w:rsidP="00B0346A">
      <w:pPr>
        <w:ind w:left="720" w:right="720"/>
        <w:jc w:val="both"/>
        <w:rPr>
          <w:rFonts w:cs="Arial"/>
          <w:sz w:val="18"/>
          <w:szCs w:val="18"/>
          <w:lang w:val="es-ES"/>
        </w:rPr>
      </w:pPr>
      <w:r w:rsidRPr="00A1219A">
        <w:rPr>
          <w:rFonts w:cs="Arial"/>
          <w:sz w:val="18"/>
          <w:szCs w:val="18"/>
          <w:lang w:val="es-ES"/>
        </w:rPr>
        <w:t xml:space="preserve"> </w:t>
      </w:r>
    </w:p>
    <w:p w:rsidR="00B0346A" w:rsidRPr="00A1219A" w:rsidRDefault="00B0346A" w:rsidP="00B0346A">
      <w:pPr>
        <w:ind w:left="720" w:right="720"/>
        <w:jc w:val="both"/>
        <w:rPr>
          <w:rFonts w:cs="Arial"/>
          <w:sz w:val="18"/>
          <w:szCs w:val="18"/>
          <w:lang w:val="es-ES"/>
        </w:rPr>
      </w:pPr>
      <w:r w:rsidRPr="00A1219A">
        <w:rPr>
          <w:rFonts w:cs="Arial"/>
          <w:b/>
          <w:bCs/>
          <w:i/>
          <w:sz w:val="18"/>
          <w:szCs w:val="18"/>
          <w:lang w:val="es-ES"/>
        </w:rPr>
        <w:t>Considerando,</w:t>
      </w:r>
      <w:r w:rsidRPr="00A1219A">
        <w:rPr>
          <w:rFonts w:cs="Arial"/>
          <w:bCs/>
          <w:sz w:val="18"/>
          <w:szCs w:val="18"/>
          <w:lang w:val="es-ES"/>
        </w:rPr>
        <w:t xml:space="preserve"> </w:t>
      </w:r>
      <w:r w:rsidRPr="00A1219A">
        <w:rPr>
          <w:rFonts w:cs="Arial"/>
          <w:sz w:val="18"/>
          <w:szCs w:val="18"/>
          <w:lang w:val="es-ES"/>
        </w:rPr>
        <w:t xml:space="preserve">que en la reunión sostenida </w:t>
      </w:r>
      <w:r w:rsidRPr="00A1219A">
        <w:rPr>
          <w:sz w:val="18"/>
          <w:szCs w:val="18"/>
          <w:lang w:val="es-ES"/>
        </w:rPr>
        <w:t>con el Ministro-director del</w:t>
      </w:r>
      <w:r w:rsidRPr="00A1219A">
        <w:rPr>
          <w:rFonts w:cs="Arial"/>
          <w:sz w:val="18"/>
          <w:szCs w:val="18"/>
          <w:lang w:val="es-ES"/>
        </w:rPr>
        <w:t xml:space="preserve"> Instituto Nacional Agrario </w:t>
      </w:r>
      <w:r w:rsidRPr="00A1219A">
        <w:rPr>
          <w:sz w:val="18"/>
          <w:szCs w:val="18"/>
          <w:lang w:val="es-ES"/>
        </w:rPr>
        <w:t>(</w:t>
      </w:r>
      <w:r w:rsidRPr="00A1219A">
        <w:rPr>
          <w:rFonts w:cs="HiddenHorzOCl"/>
          <w:sz w:val="18"/>
          <w:szCs w:val="18"/>
          <w:lang w:val="es-ES"/>
        </w:rPr>
        <w:t xml:space="preserve">I.N.A), </w:t>
      </w:r>
      <w:r w:rsidRPr="00A1219A">
        <w:rPr>
          <w:rFonts w:cs="Arial"/>
          <w:sz w:val="18"/>
          <w:szCs w:val="18"/>
          <w:lang w:val="es-ES"/>
        </w:rPr>
        <w:t>representantes de las comunidades Garifunas, de la OFRANEH, de CONPAH y del Congreso Nacional, para analizar la petición presentada por los representantes Garifunas ante el congreso nacional, se acordó que en base al avalúo existente sobre la comunidad de Punta Piedra, la presentación de dicha moción</w:t>
      </w:r>
    </w:p>
    <w:p w:rsidR="00B0346A" w:rsidRPr="00A1219A" w:rsidRDefault="00B0346A" w:rsidP="00B0346A">
      <w:pPr>
        <w:ind w:left="720" w:right="720"/>
        <w:jc w:val="both"/>
        <w:rPr>
          <w:rFonts w:cs="Arial"/>
          <w:sz w:val="18"/>
          <w:szCs w:val="18"/>
          <w:lang w:val="es-ES"/>
        </w:rPr>
      </w:pPr>
      <w:r w:rsidRPr="00A1219A">
        <w:rPr>
          <w:rFonts w:cs="Arial"/>
          <w:sz w:val="18"/>
          <w:szCs w:val="18"/>
          <w:lang w:val="es-ES"/>
        </w:rPr>
        <w:t>[…]</w:t>
      </w:r>
    </w:p>
    <w:p w:rsidR="00B0346A" w:rsidRPr="00A1219A" w:rsidRDefault="00B0346A" w:rsidP="00B0346A">
      <w:pPr>
        <w:ind w:left="720" w:right="720"/>
        <w:jc w:val="both"/>
        <w:rPr>
          <w:rFonts w:cs="Arial"/>
          <w:sz w:val="18"/>
          <w:szCs w:val="18"/>
          <w:lang w:val="es-ES"/>
        </w:rPr>
      </w:pPr>
      <w:r w:rsidRPr="00A1219A">
        <w:rPr>
          <w:rFonts w:cs="Arial"/>
          <w:sz w:val="18"/>
          <w:szCs w:val="18"/>
          <w:lang w:val="es-ES"/>
        </w:rPr>
        <w:t xml:space="preserve">POR TANTO PRESENTAMOS LA SIGUIENTE MOCION, AL SOBERANO CONGRESO NACIONAL </w:t>
      </w:r>
    </w:p>
    <w:p w:rsidR="00B0346A" w:rsidRPr="00A1219A" w:rsidRDefault="00B0346A" w:rsidP="00B0346A">
      <w:pPr>
        <w:ind w:left="720" w:right="720"/>
        <w:jc w:val="both"/>
        <w:rPr>
          <w:rFonts w:cs="Arial"/>
          <w:sz w:val="18"/>
          <w:szCs w:val="18"/>
          <w:lang w:val="es-ES"/>
        </w:rPr>
      </w:pPr>
    </w:p>
    <w:p w:rsidR="00B0346A" w:rsidRPr="00A1219A" w:rsidRDefault="00B0346A" w:rsidP="00B0346A">
      <w:pPr>
        <w:ind w:left="720" w:right="720"/>
        <w:jc w:val="both"/>
        <w:rPr>
          <w:rFonts w:cs="Arial"/>
          <w:sz w:val="18"/>
          <w:szCs w:val="18"/>
          <w:lang w:val="es-ES"/>
        </w:rPr>
      </w:pPr>
      <w:r w:rsidRPr="00A1219A">
        <w:rPr>
          <w:rFonts w:cs="Arial"/>
          <w:sz w:val="18"/>
          <w:szCs w:val="18"/>
          <w:lang w:val="es-ES"/>
        </w:rPr>
        <w:t xml:space="preserve">La aprobación de una partida presupuestaria de Lps.13,168,982.84 en el presupuesto General </w:t>
      </w:r>
      <w:r w:rsidRPr="00A1219A">
        <w:rPr>
          <w:sz w:val="18"/>
          <w:szCs w:val="18"/>
          <w:lang w:val="es-ES"/>
        </w:rPr>
        <w:t xml:space="preserve">de Ingresos y </w:t>
      </w:r>
      <w:r w:rsidRPr="00A1219A">
        <w:rPr>
          <w:rFonts w:cs="Arial"/>
          <w:sz w:val="18"/>
          <w:szCs w:val="18"/>
          <w:lang w:val="es-ES"/>
        </w:rPr>
        <w:t xml:space="preserve">Egresos de la Republica </w:t>
      </w:r>
      <w:r w:rsidRPr="00A1219A">
        <w:rPr>
          <w:rFonts w:cs="Arial"/>
          <w:iCs/>
          <w:sz w:val="18"/>
          <w:szCs w:val="18"/>
          <w:lang w:val="es-ES"/>
        </w:rPr>
        <w:t>2002</w:t>
      </w:r>
      <w:r w:rsidRPr="00A1219A">
        <w:rPr>
          <w:rFonts w:cs="Arial"/>
          <w:i/>
          <w:iCs/>
          <w:sz w:val="18"/>
          <w:szCs w:val="18"/>
          <w:lang w:val="es-ES"/>
        </w:rPr>
        <w:t xml:space="preserve">, </w:t>
      </w:r>
      <w:r w:rsidRPr="00A1219A">
        <w:rPr>
          <w:rFonts w:cs="Arial"/>
          <w:sz w:val="18"/>
          <w:szCs w:val="18"/>
          <w:lang w:val="es-ES"/>
        </w:rPr>
        <w:t xml:space="preserve">a ser aprobado por esta Asamblea Legislativa próximamente, para proceder al saneamiento de </w:t>
      </w:r>
      <w:r w:rsidRPr="00A1219A">
        <w:rPr>
          <w:sz w:val="18"/>
          <w:szCs w:val="18"/>
          <w:lang w:val="es-ES"/>
        </w:rPr>
        <w:t xml:space="preserve">la </w:t>
      </w:r>
      <w:r w:rsidRPr="00A1219A">
        <w:rPr>
          <w:rFonts w:cs="Arial"/>
          <w:sz w:val="18"/>
          <w:szCs w:val="18"/>
          <w:lang w:val="es-ES"/>
        </w:rPr>
        <w:t xml:space="preserve">comunidad Garifuna de Punta Piedra en base </w:t>
      </w:r>
      <w:r w:rsidRPr="00A1219A">
        <w:rPr>
          <w:sz w:val="18"/>
          <w:szCs w:val="18"/>
          <w:lang w:val="es-ES"/>
        </w:rPr>
        <w:t xml:space="preserve">al avalúo </w:t>
      </w:r>
      <w:r w:rsidRPr="00A1219A">
        <w:rPr>
          <w:rFonts w:cs="Arial"/>
          <w:sz w:val="18"/>
          <w:szCs w:val="18"/>
          <w:lang w:val="es-ES"/>
        </w:rPr>
        <w:t xml:space="preserve">ya existente elaborado por el I.N.A., </w:t>
      </w:r>
      <w:r w:rsidRPr="00A1219A">
        <w:rPr>
          <w:sz w:val="18"/>
          <w:szCs w:val="18"/>
          <w:lang w:val="es-ES"/>
        </w:rPr>
        <w:t xml:space="preserve">el </w:t>
      </w:r>
      <w:r w:rsidRPr="00A1219A">
        <w:rPr>
          <w:rFonts w:cs="Arial"/>
          <w:sz w:val="18"/>
          <w:szCs w:val="18"/>
          <w:lang w:val="es-ES"/>
        </w:rPr>
        <w:t xml:space="preserve">cual será distribuido de la siguiente manera: </w:t>
      </w:r>
    </w:p>
    <w:p w:rsidR="00B0346A" w:rsidRPr="00A1219A" w:rsidRDefault="00B0346A" w:rsidP="00B0346A">
      <w:pPr>
        <w:ind w:left="720" w:right="720"/>
        <w:jc w:val="both"/>
        <w:rPr>
          <w:rFonts w:cs="Arial"/>
          <w:sz w:val="18"/>
          <w:szCs w:val="18"/>
          <w:lang w:val="es-ES"/>
        </w:rPr>
      </w:pPr>
    </w:p>
    <w:p w:rsidR="00B0346A" w:rsidRPr="00A1219A" w:rsidRDefault="00B0346A" w:rsidP="00B0346A">
      <w:pPr>
        <w:ind w:left="720" w:right="720"/>
        <w:jc w:val="both"/>
        <w:rPr>
          <w:rFonts w:cs="Arial"/>
          <w:sz w:val="18"/>
          <w:szCs w:val="18"/>
          <w:lang w:val="es-ES"/>
        </w:rPr>
      </w:pPr>
      <w:r w:rsidRPr="00A1219A">
        <w:rPr>
          <w:rFonts w:cs="Arial"/>
          <w:sz w:val="18"/>
          <w:szCs w:val="18"/>
          <w:lang w:val="es-ES"/>
        </w:rPr>
        <w:t xml:space="preserve">                         </w:t>
      </w:r>
      <w:proofErr w:type="spellStart"/>
      <w:r w:rsidRPr="00A1219A">
        <w:rPr>
          <w:rFonts w:cs="Arial"/>
          <w:sz w:val="18"/>
          <w:szCs w:val="18"/>
          <w:lang w:val="es-ES"/>
        </w:rPr>
        <w:t>Lps</w:t>
      </w:r>
      <w:proofErr w:type="spellEnd"/>
      <w:r w:rsidRPr="00A1219A">
        <w:rPr>
          <w:rFonts w:cs="Arial"/>
          <w:sz w:val="18"/>
          <w:szCs w:val="18"/>
          <w:lang w:val="es-ES"/>
        </w:rPr>
        <w:t>, 8</w:t>
      </w:r>
      <w:proofErr w:type="gramStart"/>
      <w:r w:rsidRPr="00A1219A">
        <w:rPr>
          <w:rFonts w:cs="Arial"/>
          <w:sz w:val="18"/>
          <w:szCs w:val="18"/>
          <w:lang w:val="es-ES"/>
        </w:rPr>
        <w:t>,887,662.84</w:t>
      </w:r>
      <w:proofErr w:type="gramEnd"/>
      <w:r w:rsidRPr="00A1219A">
        <w:rPr>
          <w:rFonts w:cs="Arial"/>
          <w:sz w:val="18"/>
          <w:szCs w:val="18"/>
          <w:lang w:val="es-ES"/>
        </w:rPr>
        <w:t xml:space="preserve"> para el saneamiento propio</w:t>
      </w:r>
    </w:p>
    <w:p w:rsidR="00B0346A" w:rsidRPr="00A1219A" w:rsidRDefault="00B0346A" w:rsidP="002B62D4">
      <w:pPr>
        <w:ind w:left="720" w:right="720"/>
        <w:jc w:val="both"/>
        <w:rPr>
          <w:rFonts w:cs="Arial"/>
          <w:sz w:val="18"/>
          <w:szCs w:val="18"/>
          <w:lang w:val="es-ES"/>
        </w:rPr>
      </w:pPr>
      <w:r w:rsidRPr="00A1219A">
        <w:rPr>
          <w:rFonts w:cs="Arial"/>
          <w:sz w:val="18"/>
          <w:szCs w:val="18"/>
          <w:lang w:val="es-ES"/>
        </w:rPr>
        <w:t xml:space="preserve">                         </w:t>
      </w:r>
      <w:proofErr w:type="spellStart"/>
      <w:r w:rsidRPr="00A1219A">
        <w:rPr>
          <w:rFonts w:cs="Arial"/>
          <w:sz w:val="18"/>
          <w:szCs w:val="18"/>
          <w:lang w:val="es-ES"/>
        </w:rPr>
        <w:t>Lps</w:t>
      </w:r>
      <w:proofErr w:type="spellEnd"/>
      <w:r w:rsidRPr="00A1219A">
        <w:rPr>
          <w:rFonts w:cs="Arial"/>
          <w:sz w:val="18"/>
          <w:szCs w:val="18"/>
          <w:lang w:val="es-ES"/>
        </w:rPr>
        <w:t>, 4</w:t>
      </w:r>
      <w:proofErr w:type="gramStart"/>
      <w:r w:rsidRPr="00A1219A">
        <w:rPr>
          <w:rFonts w:cs="Arial"/>
          <w:sz w:val="18"/>
          <w:szCs w:val="18"/>
          <w:lang w:val="es-ES"/>
        </w:rPr>
        <w:t>,271,330.00</w:t>
      </w:r>
      <w:proofErr w:type="gramEnd"/>
      <w:r w:rsidRPr="00A1219A">
        <w:rPr>
          <w:rFonts w:cs="Arial"/>
          <w:sz w:val="18"/>
          <w:szCs w:val="18"/>
          <w:lang w:val="es-ES"/>
        </w:rPr>
        <w:t xml:space="preserve"> gastos de operación para el saneamiento.</w:t>
      </w:r>
      <w:r w:rsidR="002B62D4" w:rsidRPr="00A1219A">
        <w:rPr>
          <w:rFonts w:cs="Arial"/>
          <w:sz w:val="18"/>
          <w:szCs w:val="18"/>
          <w:lang w:val="es-ES"/>
        </w:rPr>
        <w:t xml:space="preserve"> </w:t>
      </w:r>
      <w:r w:rsidRPr="00A1219A">
        <w:rPr>
          <w:rFonts w:cs="Arial"/>
          <w:sz w:val="18"/>
          <w:szCs w:val="18"/>
          <w:lang w:val="es-ES"/>
        </w:rPr>
        <w:t>[…]</w:t>
      </w:r>
      <w:r w:rsidR="00711E11">
        <w:rPr>
          <w:rFonts w:cs="Arial"/>
          <w:sz w:val="18"/>
          <w:szCs w:val="18"/>
          <w:lang w:val="es-ES"/>
        </w:rPr>
        <w:t>[</w:t>
      </w:r>
      <w:proofErr w:type="gramStart"/>
      <w:r w:rsidR="00711E11">
        <w:rPr>
          <w:rFonts w:cs="Arial"/>
          <w:sz w:val="18"/>
          <w:szCs w:val="18"/>
          <w:lang w:val="es-ES"/>
        </w:rPr>
        <w:t>sic</w:t>
      </w:r>
      <w:proofErr w:type="gramEnd"/>
      <w:r w:rsidR="00711E11">
        <w:rPr>
          <w:rFonts w:cs="Arial"/>
          <w:sz w:val="18"/>
          <w:szCs w:val="18"/>
          <w:lang w:val="es-ES"/>
        </w:rPr>
        <w:t>]</w:t>
      </w:r>
      <w:r w:rsidRPr="00A1219A">
        <w:rPr>
          <w:rStyle w:val="Refdenotaalpie"/>
          <w:sz w:val="18"/>
          <w:szCs w:val="18"/>
          <w:lang w:val="es-ES"/>
        </w:rPr>
        <w:footnoteReference w:id="52"/>
      </w:r>
      <w:r w:rsidR="00711E11">
        <w:rPr>
          <w:rFonts w:cs="Arial"/>
          <w:sz w:val="18"/>
          <w:szCs w:val="18"/>
          <w:lang w:val="es-ES"/>
        </w:rPr>
        <w:t>.</w:t>
      </w:r>
    </w:p>
    <w:p w:rsidR="004566DE" w:rsidRPr="00A1219A" w:rsidRDefault="004566DE" w:rsidP="00FA73C0">
      <w:pPr>
        <w:jc w:val="both"/>
        <w:rPr>
          <w:sz w:val="20"/>
          <w:lang w:val="es-ES"/>
        </w:rPr>
      </w:pPr>
    </w:p>
    <w:p w:rsidR="0088704D" w:rsidRPr="00A1219A" w:rsidRDefault="002F2BEC" w:rsidP="0088704D">
      <w:pPr>
        <w:numPr>
          <w:ilvl w:val="0"/>
          <w:numId w:val="1"/>
        </w:numPr>
        <w:tabs>
          <w:tab w:val="clear" w:pos="900"/>
        </w:tabs>
        <w:ind w:left="0" w:firstLine="720"/>
        <w:jc w:val="both"/>
        <w:rPr>
          <w:sz w:val="20"/>
          <w:lang w:val="es-ES"/>
        </w:rPr>
      </w:pPr>
      <w:r w:rsidRPr="00A1219A">
        <w:rPr>
          <w:sz w:val="20"/>
          <w:lang w:val="es-ES"/>
        </w:rPr>
        <w:t>Según la prueba aportada, e</w:t>
      </w:r>
      <w:r w:rsidR="00553372" w:rsidRPr="00A1219A">
        <w:rPr>
          <w:sz w:val="20"/>
          <w:lang w:val="es-ES"/>
        </w:rPr>
        <w:t>l 26 de agosto de 2002</w:t>
      </w:r>
      <w:r w:rsidR="00383D69" w:rsidRPr="00A1219A">
        <w:rPr>
          <w:sz w:val="20"/>
          <w:lang w:val="es-ES"/>
        </w:rPr>
        <w:t xml:space="preserve"> el Presidente de</w:t>
      </w:r>
      <w:r w:rsidR="00553372" w:rsidRPr="00A1219A">
        <w:rPr>
          <w:sz w:val="20"/>
          <w:lang w:val="es-ES"/>
        </w:rPr>
        <w:t xml:space="preserve"> l</w:t>
      </w:r>
      <w:r w:rsidR="00CD463B" w:rsidRPr="00A1219A">
        <w:rPr>
          <w:sz w:val="20"/>
          <w:lang w:val="es-ES"/>
        </w:rPr>
        <w:t>a Comisión de Presupuesto del Congreso Nacional envió al INA el Proyecto de Decreto “Desarrollo</w:t>
      </w:r>
      <w:r w:rsidR="00553372" w:rsidRPr="00A1219A">
        <w:rPr>
          <w:sz w:val="20"/>
          <w:lang w:val="es-ES"/>
        </w:rPr>
        <w:t xml:space="preserve"> del Pueblo</w:t>
      </w:r>
      <w:r w:rsidR="00CD463B" w:rsidRPr="00A1219A">
        <w:rPr>
          <w:sz w:val="20"/>
          <w:lang w:val="es-ES"/>
        </w:rPr>
        <w:t xml:space="preserve"> Garífuna” con el fin de que emitiera su opinión al respecto</w:t>
      </w:r>
      <w:r w:rsidR="00CD463B" w:rsidRPr="00A1219A">
        <w:rPr>
          <w:rStyle w:val="Refdenotaalpie"/>
          <w:sz w:val="20"/>
          <w:lang w:val="es-ES"/>
        </w:rPr>
        <w:footnoteReference w:id="53"/>
      </w:r>
      <w:r w:rsidR="00553372" w:rsidRPr="00A1219A">
        <w:rPr>
          <w:sz w:val="20"/>
          <w:lang w:val="es-ES"/>
        </w:rPr>
        <w:t xml:space="preserve">, </w:t>
      </w:r>
      <w:r w:rsidR="00E559FF" w:rsidRPr="00A1219A">
        <w:rPr>
          <w:sz w:val="20"/>
          <w:lang w:val="es-ES"/>
        </w:rPr>
        <w:t xml:space="preserve">la cual fue remitida en sentido </w:t>
      </w:r>
      <w:r w:rsidR="00553372" w:rsidRPr="00A1219A">
        <w:rPr>
          <w:sz w:val="20"/>
          <w:lang w:val="es-ES"/>
        </w:rPr>
        <w:t>favorable el 4 de septiembre de 2002</w:t>
      </w:r>
      <w:r w:rsidR="00553372" w:rsidRPr="00A1219A">
        <w:rPr>
          <w:rStyle w:val="Refdenotaalpie"/>
          <w:sz w:val="20"/>
          <w:lang w:val="es-ES"/>
        </w:rPr>
        <w:footnoteReference w:id="54"/>
      </w:r>
      <w:r w:rsidR="00553372" w:rsidRPr="00A1219A">
        <w:rPr>
          <w:sz w:val="20"/>
          <w:lang w:val="es-ES"/>
        </w:rPr>
        <w:t>.</w:t>
      </w:r>
      <w:r w:rsidR="006B3A59" w:rsidRPr="00A1219A">
        <w:rPr>
          <w:sz w:val="20"/>
          <w:lang w:val="es-ES"/>
        </w:rPr>
        <w:t xml:space="preserve"> </w:t>
      </w:r>
      <w:r w:rsidR="002D5350" w:rsidRPr="00A1219A">
        <w:rPr>
          <w:sz w:val="20"/>
          <w:lang w:val="es-ES"/>
        </w:rPr>
        <w:t>E</w:t>
      </w:r>
      <w:r w:rsidR="006B3A59" w:rsidRPr="00A1219A">
        <w:rPr>
          <w:sz w:val="20"/>
          <w:lang w:val="es-ES"/>
        </w:rPr>
        <w:t xml:space="preserve">l 2 de octubre de 2002 </w:t>
      </w:r>
      <w:r w:rsidR="0088704D" w:rsidRPr="00A1219A">
        <w:rPr>
          <w:sz w:val="20"/>
          <w:lang w:val="es-ES"/>
        </w:rPr>
        <w:t xml:space="preserve">el Ministro Director del INA expresó nuevamente su </w:t>
      </w:r>
      <w:r w:rsidR="0088704D" w:rsidRPr="00A1219A">
        <w:rPr>
          <w:sz w:val="20"/>
          <w:lang w:val="es-ES"/>
        </w:rPr>
        <w:lastRenderedPageBreak/>
        <w:t>apoyo a la moción presentada para la aprobación de la partida presupuestaria que permita el saneamiento de las tierras colectivas de la Comunidad de Punta Piedra</w:t>
      </w:r>
      <w:r w:rsidR="0088704D" w:rsidRPr="00A1219A">
        <w:rPr>
          <w:rStyle w:val="Refdenotaalpie"/>
          <w:sz w:val="20"/>
          <w:lang w:val="es-ES"/>
        </w:rPr>
        <w:footnoteReference w:id="55"/>
      </w:r>
      <w:r w:rsidR="0088704D" w:rsidRPr="00A1219A">
        <w:rPr>
          <w:sz w:val="20"/>
          <w:lang w:val="es-ES"/>
        </w:rPr>
        <w:t xml:space="preserve">. </w:t>
      </w:r>
    </w:p>
    <w:p w:rsidR="0088704D" w:rsidRPr="00A1219A" w:rsidRDefault="0088704D" w:rsidP="0088704D">
      <w:pPr>
        <w:jc w:val="both"/>
        <w:rPr>
          <w:sz w:val="20"/>
          <w:lang w:val="es-ES"/>
        </w:rPr>
      </w:pPr>
    </w:p>
    <w:p w:rsidR="007F1AAD" w:rsidRPr="00A1219A" w:rsidRDefault="00BE7A14" w:rsidP="00554176">
      <w:pPr>
        <w:numPr>
          <w:ilvl w:val="0"/>
          <w:numId w:val="1"/>
        </w:numPr>
        <w:tabs>
          <w:tab w:val="clear" w:pos="900"/>
        </w:tabs>
        <w:ind w:left="0" w:firstLine="720"/>
        <w:jc w:val="both"/>
        <w:rPr>
          <w:sz w:val="20"/>
          <w:lang w:val="es-ES"/>
        </w:rPr>
      </w:pPr>
      <w:r w:rsidRPr="00A1219A">
        <w:rPr>
          <w:sz w:val="20"/>
          <w:lang w:val="es-ES"/>
        </w:rPr>
        <w:t>Paralelamen</w:t>
      </w:r>
      <w:r w:rsidR="00E5567D" w:rsidRPr="00A1219A">
        <w:rPr>
          <w:sz w:val="20"/>
          <w:lang w:val="es-ES"/>
        </w:rPr>
        <w:t>te, tanto la Comunidad Garífuna</w:t>
      </w:r>
      <w:r w:rsidRPr="00A1219A">
        <w:rPr>
          <w:sz w:val="20"/>
          <w:lang w:val="es-ES"/>
        </w:rPr>
        <w:t xml:space="preserve"> como la </w:t>
      </w:r>
      <w:r w:rsidR="00E5567D" w:rsidRPr="00A1219A">
        <w:rPr>
          <w:sz w:val="20"/>
          <w:lang w:val="es-ES"/>
        </w:rPr>
        <w:t xml:space="preserve">organización </w:t>
      </w:r>
      <w:r w:rsidRPr="00A1219A">
        <w:rPr>
          <w:sz w:val="20"/>
          <w:lang w:val="es-ES"/>
        </w:rPr>
        <w:t>peticionaria, dirigieron una serie de comunicaciones a autoridades estatales</w:t>
      </w:r>
      <w:r w:rsidR="008930D1" w:rsidRPr="00A1219A">
        <w:rPr>
          <w:sz w:val="20"/>
          <w:lang w:val="es-ES"/>
        </w:rPr>
        <w:t xml:space="preserve"> que da</w:t>
      </w:r>
      <w:r w:rsidR="000068BC" w:rsidRPr="00A1219A">
        <w:rPr>
          <w:sz w:val="20"/>
          <w:lang w:val="es-ES"/>
        </w:rPr>
        <w:t>ban</w:t>
      </w:r>
      <w:r w:rsidR="008930D1" w:rsidRPr="00A1219A">
        <w:rPr>
          <w:sz w:val="20"/>
          <w:lang w:val="es-ES"/>
        </w:rPr>
        <w:t xml:space="preserve"> cuenta del agravamiento de la invasión por parte de los ladinos de Río Miel</w:t>
      </w:r>
      <w:r w:rsidRPr="00A1219A">
        <w:rPr>
          <w:sz w:val="20"/>
          <w:lang w:val="es-ES"/>
        </w:rPr>
        <w:t xml:space="preserve">. </w:t>
      </w:r>
      <w:r w:rsidR="007F1AAD" w:rsidRPr="00A1219A">
        <w:rPr>
          <w:sz w:val="20"/>
          <w:lang w:val="es-ES"/>
        </w:rPr>
        <w:t>En efecto,</w:t>
      </w:r>
      <w:r w:rsidR="002F2BEC" w:rsidRPr="00A1219A">
        <w:rPr>
          <w:sz w:val="20"/>
          <w:lang w:val="es-ES"/>
        </w:rPr>
        <w:t xml:space="preserve"> e</w:t>
      </w:r>
      <w:r w:rsidR="008E265C" w:rsidRPr="00A1219A">
        <w:rPr>
          <w:sz w:val="20"/>
          <w:lang w:val="es-ES"/>
        </w:rPr>
        <w:t>l 24 de agosto de 2002</w:t>
      </w:r>
      <w:r w:rsidR="002F2BEC" w:rsidRPr="00A1219A">
        <w:rPr>
          <w:sz w:val="20"/>
          <w:lang w:val="es-ES"/>
        </w:rPr>
        <w:t xml:space="preserve"> </w:t>
      </w:r>
      <w:r w:rsidR="008E265C" w:rsidRPr="00A1219A">
        <w:rPr>
          <w:sz w:val="20"/>
          <w:lang w:val="es-ES"/>
        </w:rPr>
        <w:t xml:space="preserve">el Patronato Pro-Mejoramiento de la Comunidad de Punta Piedra solicitó al Ministro Director del INA “la reiniciación de la mesa negociadora para la solución del conflicto de Río Miel </w:t>
      </w:r>
      <w:r w:rsidR="007F1AAD" w:rsidRPr="00A1219A">
        <w:rPr>
          <w:sz w:val="20"/>
          <w:lang w:val="es-ES"/>
        </w:rPr>
        <w:t>[…]</w:t>
      </w:r>
      <w:r w:rsidR="008E265C" w:rsidRPr="00A1219A">
        <w:rPr>
          <w:sz w:val="20"/>
          <w:lang w:val="es-ES"/>
        </w:rPr>
        <w:t xml:space="preserve"> que ha permanecido </w:t>
      </w:r>
      <w:proofErr w:type="spellStart"/>
      <w:r w:rsidR="008E265C" w:rsidRPr="00A1219A">
        <w:rPr>
          <w:sz w:val="20"/>
          <w:lang w:val="es-ES"/>
        </w:rPr>
        <w:t>inactiv</w:t>
      </w:r>
      <w:proofErr w:type="spellEnd"/>
      <w:r w:rsidR="007F1AAD" w:rsidRPr="00A1219A">
        <w:rPr>
          <w:sz w:val="20"/>
          <w:lang w:val="es-ES"/>
        </w:rPr>
        <w:sym w:font="Symbol" w:char="F05B"/>
      </w:r>
      <w:r w:rsidR="007F1AAD" w:rsidRPr="00A1219A">
        <w:rPr>
          <w:sz w:val="20"/>
          <w:lang w:val="es-ES"/>
        </w:rPr>
        <w:t>a</w:t>
      </w:r>
      <w:r w:rsidR="007F1AAD" w:rsidRPr="00A1219A">
        <w:rPr>
          <w:sz w:val="20"/>
          <w:lang w:val="es-ES"/>
        </w:rPr>
        <w:sym w:font="Symbol" w:char="F05D"/>
      </w:r>
      <w:r w:rsidR="008E265C" w:rsidRPr="00A1219A">
        <w:rPr>
          <w:sz w:val="20"/>
          <w:lang w:val="es-ES"/>
        </w:rPr>
        <w:t xml:space="preserve"> en los últimos meses. </w:t>
      </w:r>
      <w:r w:rsidR="008E265C" w:rsidRPr="00A1219A">
        <w:rPr>
          <w:sz w:val="20"/>
          <w:lang w:val="es-ES"/>
        </w:rPr>
        <w:sym w:font="Symbol" w:char="F05B"/>
      </w:r>
      <w:r w:rsidR="008E265C" w:rsidRPr="00A1219A">
        <w:rPr>
          <w:sz w:val="20"/>
          <w:lang w:val="es-ES"/>
        </w:rPr>
        <w:t>H</w:t>
      </w:r>
      <w:r w:rsidR="008E265C" w:rsidRPr="00A1219A">
        <w:rPr>
          <w:sz w:val="20"/>
          <w:lang w:val="es-ES"/>
        </w:rPr>
        <w:sym w:font="Symbol" w:char="F05D"/>
      </w:r>
      <w:proofErr w:type="spellStart"/>
      <w:r w:rsidR="008E265C" w:rsidRPr="00A1219A">
        <w:rPr>
          <w:sz w:val="20"/>
          <w:lang w:val="es-ES"/>
        </w:rPr>
        <w:t>emos</w:t>
      </w:r>
      <w:proofErr w:type="spellEnd"/>
      <w:r w:rsidR="008E265C" w:rsidRPr="00A1219A">
        <w:rPr>
          <w:sz w:val="20"/>
          <w:lang w:val="es-ES"/>
        </w:rPr>
        <w:t xml:space="preserve"> notado la llegada de m</w:t>
      </w:r>
      <w:r w:rsidR="008E265C" w:rsidRPr="00A1219A">
        <w:rPr>
          <w:sz w:val="20"/>
          <w:lang w:val="es-ES"/>
        </w:rPr>
        <w:sym w:font="Symbol" w:char="F05B"/>
      </w:r>
      <w:r w:rsidR="008E265C" w:rsidRPr="00A1219A">
        <w:rPr>
          <w:sz w:val="20"/>
          <w:lang w:val="es-ES"/>
        </w:rPr>
        <w:t>á</w:t>
      </w:r>
      <w:r w:rsidR="008E265C" w:rsidRPr="00A1219A">
        <w:rPr>
          <w:sz w:val="20"/>
          <w:lang w:val="es-ES"/>
        </w:rPr>
        <w:sym w:font="Symbol" w:char="F05D"/>
      </w:r>
      <w:r w:rsidR="008E265C" w:rsidRPr="00A1219A">
        <w:rPr>
          <w:sz w:val="20"/>
          <w:lang w:val="es-ES"/>
        </w:rPr>
        <w:t>s foráneos a Río Miel aumentando el riesgo de conflicto”</w:t>
      </w:r>
      <w:r w:rsidR="008E265C" w:rsidRPr="00A1219A">
        <w:rPr>
          <w:rStyle w:val="Refdenotaalpie"/>
          <w:sz w:val="20"/>
          <w:lang w:val="es-ES"/>
        </w:rPr>
        <w:footnoteReference w:id="56"/>
      </w:r>
      <w:r w:rsidR="008E265C" w:rsidRPr="00A1219A">
        <w:rPr>
          <w:sz w:val="20"/>
          <w:lang w:val="es-ES"/>
        </w:rPr>
        <w:t xml:space="preserve">. </w:t>
      </w:r>
      <w:r w:rsidR="007F1AAD" w:rsidRPr="00A1219A">
        <w:rPr>
          <w:sz w:val="20"/>
          <w:lang w:val="es-ES"/>
        </w:rPr>
        <w:t>Igualmente, e</w:t>
      </w:r>
      <w:r w:rsidR="0088704D" w:rsidRPr="00A1219A">
        <w:rPr>
          <w:sz w:val="20"/>
          <w:lang w:val="es-ES"/>
        </w:rPr>
        <w:t>n nota del 1 de octubre de 2002 la OFRANEH solicitó al Congreso la aprobación presupuestal necesaria</w:t>
      </w:r>
      <w:r w:rsidR="0088704D" w:rsidRPr="00A1219A">
        <w:rPr>
          <w:rStyle w:val="Refdenotaalpie"/>
          <w:sz w:val="20"/>
          <w:lang w:val="es-ES"/>
        </w:rPr>
        <w:footnoteReference w:id="57"/>
      </w:r>
      <w:r w:rsidR="007F1AAD" w:rsidRPr="00A1219A">
        <w:rPr>
          <w:sz w:val="20"/>
          <w:lang w:val="es-ES"/>
        </w:rPr>
        <w:t xml:space="preserve"> y e</w:t>
      </w:r>
      <w:r w:rsidR="00553372" w:rsidRPr="00A1219A">
        <w:rPr>
          <w:sz w:val="20"/>
          <w:lang w:val="es-ES"/>
        </w:rPr>
        <w:t xml:space="preserve">l 14 de mayo de 2003 </w:t>
      </w:r>
      <w:r w:rsidR="007F1AAD" w:rsidRPr="00A1219A">
        <w:rPr>
          <w:sz w:val="20"/>
          <w:lang w:val="es-ES"/>
        </w:rPr>
        <w:t>requirió</w:t>
      </w:r>
      <w:r w:rsidR="00783EE4" w:rsidRPr="00A1219A">
        <w:rPr>
          <w:sz w:val="20"/>
          <w:lang w:val="es-ES"/>
        </w:rPr>
        <w:t xml:space="preserve"> información</w:t>
      </w:r>
      <w:r w:rsidR="00553372" w:rsidRPr="00A1219A">
        <w:rPr>
          <w:sz w:val="20"/>
          <w:lang w:val="es-ES"/>
        </w:rPr>
        <w:t xml:space="preserve"> a</w:t>
      </w:r>
      <w:r w:rsidR="00783EE4" w:rsidRPr="00A1219A">
        <w:rPr>
          <w:sz w:val="20"/>
          <w:lang w:val="es-ES"/>
        </w:rPr>
        <w:t>l Ministro Director del INA, la cual fue contestada el 26 de mayo de 2003 indicando que no se había incorporado el presupuesto</w:t>
      </w:r>
      <w:r w:rsidR="00783EE4" w:rsidRPr="00A1219A">
        <w:rPr>
          <w:rStyle w:val="Refdenotaalpie"/>
          <w:sz w:val="20"/>
          <w:lang w:val="es-ES"/>
        </w:rPr>
        <w:footnoteReference w:id="58"/>
      </w:r>
      <w:r w:rsidR="00783EE4" w:rsidRPr="00A1219A">
        <w:rPr>
          <w:sz w:val="20"/>
          <w:lang w:val="es-ES"/>
        </w:rPr>
        <w:t>.</w:t>
      </w:r>
      <w:r w:rsidR="008930D1" w:rsidRPr="00A1219A">
        <w:rPr>
          <w:sz w:val="20"/>
          <w:lang w:val="es-ES"/>
        </w:rPr>
        <w:t xml:space="preserve"> </w:t>
      </w:r>
      <w:r w:rsidR="007F1AAD" w:rsidRPr="00A1219A">
        <w:rPr>
          <w:sz w:val="20"/>
          <w:lang w:val="es-ES"/>
        </w:rPr>
        <w:t>Asimismo, e</w:t>
      </w:r>
      <w:r w:rsidR="00783EE4" w:rsidRPr="00A1219A">
        <w:rPr>
          <w:sz w:val="20"/>
          <w:lang w:val="es-ES"/>
        </w:rPr>
        <w:t>l 3 de septiembre de 2003 el Patronato Pro-Mejoramiento de la Comunidad comunicó al INA que, a pesar de los acuerdos alcanzados con los ocupantes de la zona de Río Miel y el INA, ladinos continúan talando los bosques y vendiendo tierras garífuna a terceros,</w:t>
      </w:r>
      <w:r w:rsidR="007F1AAD" w:rsidRPr="00A1219A">
        <w:rPr>
          <w:sz w:val="20"/>
          <w:lang w:val="es-ES"/>
        </w:rPr>
        <w:t xml:space="preserve"> por lo que</w:t>
      </w:r>
      <w:r w:rsidR="00783EE4" w:rsidRPr="00A1219A">
        <w:rPr>
          <w:sz w:val="20"/>
          <w:lang w:val="es-ES"/>
        </w:rPr>
        <w:t xml:space="preserve"> solicitó la realización de una inspección de campo para verificar los nuevos problemas surgidos</w:t>
      </w:r>
      <w:r w:rsidR="00783EE4" w:rsidRPr="00A1219A">
        <w:rPr>
          <w:rStyle w:val="Refdenotaalpie"/>
          <w:sz w:val="20"/>
          <w:lang w:val="es-ES"/>
        </w:rPr>
        <w:footnoteReference w:id="59"/>
      </w:r>
      <w:r w:rsidR="003535C9" w:rsidRPr="00A1219A">
        <w:rPr>
          <w:sz w:val="20"/>
          <w:lang w:val="es-ES"/>
        </w:rPr>
        <w:t xml:space="preserve">. </w:t>
      </w:r>
    </w:p>
    <w:p w:rsidR="007F1AAD" w:rsidRPr="00A1219A" w:rsidRDefault="007F1AAD" w:rsidP="007F1AAD">
      <w:pPr>
        <w:jc w:val="both"/>
        <w:rPr>
          <w:sz w:val="20"/>
          <w:lang w:val="es-ES"/>
        </w:rPr>
      </w:pPr>
    </w:p>
    <w:p w:rsidR="000A162A" w:rsidRPr="00A1219A" w:rsidRDefault="00646425" w:rsidP="00646425">
      <w:pPr>
        <w:numPr>
          <w:ilvl w:val="0"/>
          <w:numId w:val="1"/>
        </w:numPr>
        <w:tabs>
          <w:tab w:val="clear" w:pos="900"/>
        </w:tabs>
        <w:ind w:left="0" w:firstLine="720"/>
        <w:jc w:val="both"/>
        <w:rPr>
          <w:sz w:val="20"/>
          <w:lang w:val="es-ES"/>
        </w:rPr>
      </w:pPr>
      <w:r w:rsidRPr="00A1219A">
        <w:rPr>
          <w:sz w:val="20"/>
          <w:lang w:val="es-ES"/>
        </w:rPr>
        <w:t>No obstante, l</w:t>
      </w:r>
      <w:r w:rsidR="008D509C" w:rsidRPr="00A1219A">
        <w:rPr>
          <w:sz w:val="20"/>
          <w:lang w:val="es-ES"/>
        </w:rPr>
        <w:t>a prueba aportada y lo afirmado de modo coincidente por l</w:t>
      </w:r>
      <w:r w:rsidR="004A6EA3" w:rsidRPr="00A1219A">
        <w:rPr>
          <w:sz w:val="20"/>
          <w:lang w:val="es-ES"/>
        </w:rPr>
        <w:t xml:space="preserve">as partes </w:t>
      </w:r>
      <w:r w:rsidR="008D509C" w:rsidRPr="00A1219A">
        <w:rPr>
          <w:sz w:val="20"/>
          <w:lang w:val="es-ES"/>
        </w:rPr>
        <w:t>indica que, a pesar de las múltiples gestiones, e</w:t>
      </w:r>
      <w:r w:rsidR="004A6EA3" w:rsidRPr="00A1219A">
        <w:rPr>
          <w:sz w:val="20"/>
          <w:lang w:val="es-ES"/>
        </w:rPr>
        <w:t>l saneamiento</w:t>
      </w:r>
      <w:r w:rsidR="008D509C" w:rsidRPr="00A1219A">
        <w:rPr>
          <w:sz w:val="20"/>
          <w:lang w:val="es-ES"/>
        </w:rPr>
        <w:t xml:space="preserve"> no fue efectuado por el INA</w:t>
      </w:r>
      <w:r w:rsidRPr="00A1219A">
        <w:rPr>
          <w:rStyle w:val="Refdenotaalpie"/>
          <w:sz w:val="20"/>
          <w:lang w:val="es-ES"/>
        </w:rPr>
        <w:footnoteReference w:id="60"/>
      </w:r>
      <w:r w:rsidR="000A162A" w:rsidRPr="00A1219A">
        <w:rPr>
          <w:sz w:val="20"/>
          <w:lang w:val="es-ES"/>
        </w:rPr>
        <w:t>.</w:t>
      </w:r>
      <w:r w:rsidR="008D509C" w:rsidRPr="00A1219A">
        <w:rPr>
          <w:sz w:val="20"/>
          <w:lang w:val="es-ES"/>
        </w:rPr>
        <w:t xml:space="preserve"> </w:t>
      </w:r>
      <w:r w:rsidR="004566DE" w:rsidRPr="00A1219A">
        <w:rPr>
          <w:sz w:val="20"/>
          <w:lang w:val="es-ES"/>
        </w:rPr>
        <w:t>Al respecto el Estado informó que “nunca fue incorporada la partida en el presupuesto de la Institución [INA] para el saneamiento de Punta Piedra, razón por la cual dicho saneamiento no se efectuó</w:t>
      </w:r>
      <w:r w:rsidR="004566DE" w:rsidRPr="00A1219A">
        <w:rPr>
          <w:rStyle w:val="Refdenotaalpie"/>
          <w:sz w:val="20"/>
          <w:lang w:val="es-ES"/>
        </w:rPr>
        <w:footnoteReference w:id="61"/>
      </w:r>
      <w:r w:rsidR="004566DE" w:rsidRPr="00A1219A">
        <w:rPr>
          <w:sz w:val="20"/>
          <w:lang w:val="es-ES"/>
        </w:rPr>
        <w:t>”.</w:t>
      </w:r>
    </w:p>
    <w:p w:rsidR="001264F4" w:rsidRPr="00A1219A" w:rsidRDefault="001264F4" w:rsidP="009420A0">
      <w:pPr>
        <w:ind w:left="720" w:right="720"/>
        <w:jc w:val="both"/>
        <w:rPr>
          <w:sz w:val="18"/>
          <w:szCs w:val="18"/>
          <w:lang w:val="es-ES"/>
        </w:rPr>
      </w:pPr>
    </w:p>
    <w:p w:rsidR="00854C3A" w:rsidRPr="00A1219A" w:rsidRDefault="000068BC" w:rsidP="008F6D16">
      <w:pPr>
        <w:numPr>
          <w:ilvl w:val="0"/>
          <w:numId w:val="1"/>
        </w:numPr>
        <w:tabs>
          <w:tab w:val="clear" w:pos="900"/>
        </w:tabs>
        <w:ind w:left="0" w:firstLine="720"/>
        <w:jc w:val="both"/>
        <w:rPr>
          <w:sz w:val="20"/>
          <w:lang w:val="es-ES"/>
        </w:rPr>
      </w:pPr>
      <w:r w:rsidRPr="00A1219A">
        <w:rPr>
          <w:sz w:val="20"/>
          <w:lang w:val="es-ES"/>
        </w:rPr>
        <w:t>Posteriormente, c</w:t>
      </w:r>
      <w:r w:rsidR="00D82281" w:rsidRPr="00A1219A">
        <w:rPr>
          <w:sz w:val="20"/>
          <w:lang w:val="es-ES"/>
        </w:rPr>
        <w:t xml:space="preserve">onsta de la información aportada por las partes </w:t>
      </w:r>
      <w:r w:rsidR="008F6D16" w:rsidRPr="00A1219A">
        <w:rPr>
          <w:sz w:val="20"/>
          <w:lang w:val="es-ES"/>
        </w:rPr>
        <w:t xml:space="preserve">que funcionarios estatales </w:t>
      </w:r>
      <w:r w:rsidR="00D82281" w:rsidRPr="00A1219A">
        <w:rPr>
          <w:sz w:val="20"/>
          <w:lang w:val="es-ES"/>
        </w:rPr>
        <w:t xml:space="preserve">realizaron </w:t>
      </w:r>
      <w:r w:rsidRPr="00A1219A">
        <w:rPr>
          <w:sz w:val="20"/>
          <w:lang w:val="es-ES"/>
        </w:rPr>
        <w:t xml:space="preserve">nuevas </w:t>
      </w:r>
      <w:r w:rsidR="00D82281" w:rsidRPr="00A1219A">
        <w:rPr>
          <w:sz w:val="20"/>
          <w:lang w:val="es-ES"/>
        </w:rPr>
        <w:t xml:space="preserve">gestiones </w:t>
      </w:r>
      <w:r w:rsidR="008F6D16" w:rsidRPr="00A1219A">
        <w:rPr>
          <w:sz w:val="20"/>
          <w:lang w:val="es-ES"/>
        </w:rPr>
        <w:t xml:space="preserve">con los pobladores de Río Miel a fin de </w:t>
      </w:r>
      <w:r w:rsidR="00D82281" w:rsidRPr="00A1219A">
        <w:rPr>
          <w:sz w:val="20"/>
          <w:lang w:val="es-ES"/>
        </w:rPr>
        <w:t xml:space="preserve">actualizar </w:t>
      </w:r>
      <w:r w:rsidR="00854C3A" w:rsidRPr="00A1219A">
        <w:rPr>
          <w:sz w:val="20"/>
          <w:lang w:val="es-ES"/>
        </w:rPr>
        <w:t xml:space="preserve">el avalúo. En efecto, </w:t>
      </w:r>
      <w:r w:rsidR="008846BD" w:rsidRPr="00A1219A">
        <w:rPr>
          <w:sz w:val="20"/>
          <w:lang w:val="es-ES"/>
        </w:rPr>
        <w:t xml:space="preserve">entre el 30 de noviembre y el 3 de diciembre de 2006, funcionarios del INA y la Procuraduría General de la República se dirigieron a la comunidad campesina de Río Miel para </w:t>
      </w:r>
      <w:r w:rsidR="00F12BD9" w:rsidRPr="00A1219A">
        <w:rPr>
          <w:sz w:val="20"/>
          <w:lang w:val="es-ES"/>
        </w:rPr>
        <w:t xml:space="preserve">hacer una </w:t>
      </w:r>
      <w:r w:rsidR="00F12BD9" w:rsidRPr="00A1219A">
        <w:rPr>
          <w:sz w:val="20"/>
          <w:lang w:val="es-ES"/>
        </w:rPr>
        <w:lastRenderedPageBreak/>
        <w:t xml:space="preserve">reevaluación </w:t>
      </w:r>
      <w:r w:rsidR="008846BD" w:rsidRPr="00A1219A">
        <w:rPr>
          <w:sz w:val="20"/>
          <w:lang w:val="es-ES"/>
        </w:rPr>
        <w:t xml:space="preserve">de las mejoras introducidas, </w:t>
      </w:r>
      <w:r w:rsidR="00854C3A" w:rsidRPr="00A1219A">
        <w:rPr>
          <w:sz w:val="20"/>
          <w:lang w:val="es-ES"/>
        </w:rPr>
        <w:t>a lo que</w:t>
      </w:r>
      <w:r w:rsidR="008846BD" w:rsidRPr="00A1219A">
        <w:rPr>
          <w:sz w:val="20"/>
          <w:lang w:val="es-ES"/>
        </w:rPr>
        <w:t xml:space="preserve"> éstos se opusieron</w:t>
      </w:r>
      <w:r w:rsidR="001264F4" w:rsidRPr="00A1219A">
        <w:rPr>
          <w:rStyle w:val="Refdenotaalpie"/>
          <w:sz w:val="20"/>
          <w:lang w:val="es-ES"/>
        </w:rPr>
        <w:footnoteReference w:id="62"/>
      </w:r>
      <w:r w:rsidR="008846BD" w:rsidRPr="00A1219A">
        <w:rPr>
          <w:sz w:val="20"/>
          <w:lang w:val="es-ES"/>
        </w:rPr>
        <w:t>.</w:t>
      </w:r>
      <w:r w:rsidR="00A63FA0" w:rsidRPr="00A1219A">
        <w:rPr>
          <w:sz w:val="20"/>
          <w:lang w:val="es-ES"/>
        </w:rPr>
        <w:t xml:space="preserve"> </w:t>
      </w:r>
      <w:r w:rsidR="00854C3A" w:rsidRPr="00A1219A">
        <w:rPr>
          <w:sz w:val="20"/>
          <w:lang w:val="es-ES"/>
        </w:rPr>
        <w:t xml:space="preserve"> Igualmente, el 14 de marzo de 200</w:t>
      </w:r>
      <w:r w:rsidR="008F6D16" w:rsidRPr="00A1219A">
        <w:rPr>
          <w:sz w:val="20"/>
          <w:lang w:val="es-ES"/>
        </w:rPr>
        <w:t>7 se realizó una reunión entre un</w:t>
      </w:r>
      <w:r w:rsidR="00854C3A" w:rsidRPr="00A1219A">
        <w:rPr>
          <w:sz w:val="20"/>
          <w:lang w:val="es-ES"/>
        </w:rPr>
        <w:t>a Comisión Interinstitucional</w:t>
      </w:r>
      <w:r w:rsidR="008F6D16" w:rsidRPr="00A1219A">
        <w:rPr>
          <w:rStyle w:val="Refdenotaalpie"/>
          <w:sz w:val="20"/>
          <w:lang w:val="es-ES"/>
        </w:rPr>
        <w:footnoteReference w:id="63"/>
      </w:r>
      <w:r w:rsidR="00854C3A" w:rsidRPr="00A1219A">
        <w:rPr>
          <w:sz w:val="20"/>
          <w:lang w:val="es-ES"/>
        </w:rPr>
        <w:t xml:space="preserve">, el Alcalde Municipal de </w:t>
      </w:r>
      <w:proofErr w:type="spellStart"/>
      <w:r w:rsidR="00854C3A" w:rsidRPr="00A1219A">
        <w:rPr>
          <w:sz w:val="20"/>
          <w:lang w:val="es-ES"/>
        </w:rPr>
        <w:t>Iriona</w:t>
      </w:r>
      <w:proofErr w:type="spellEnd"/>
      <w:r w:rsidR="00854C3A" w:rsidRPr="00A1219A">
        <w:rPr>
          <w:sz w:val="20"/>
          <w:lang w:val="es-ES"/>
        </w:rPr>
        <w:t xml:space="preserve"> Puerto y representantes de la comunidad campesina de Río Miel, en la que estos últimos manifestaron su </w:t>
      </w:r>
      <w:r w:rsidR="00646425" w:rsidRPr="00A1219A">
        <w:rPr>
          <w:sz w:val="20"/>
          <w:lang w:val="es-ES"/>
        </w:rPr>
        <w:t xml:space="preserve">oposición a la actualización del </w:t>
      </w:r>
      <w:r w:rsidR="00854C3A" w:rsidRPr="00A1219A">
        <w:rPr>
          <w:sz w:val="20"/>
          <w:lang w:val="es-ES"/>
        </w:rPr>
        <w:t>avalúo hecho en el 2001. En la oportunidad se acordó “[continuar] con el esfuerzo y las gestiones necesarias con el fin de lograr un nuevo acercamiento con los vecinos de ambas comunidades que permita consensuar opciones de solución del problema en forma conciliada”</w:t>
      </w:r>
      <w:r w:rsidR="00854C3A" w:rsidRPr="00A1219A">
        <w:rPr>
          <w:rStyle w:val="Refdenotaalpie"/>
          <w:sz w:val="20"/>
          <w:lang w:val="es-ES"/>
        </w:rPr>
        <w:footnoteReference w:id="64"/>
      </w:r>
      <w:r w:rsidR="00854C3A" w:rsidRPr="00A1219A">
        <w:rPr>
          <w:sz w:val="20"/>
          <w:lang w:val="es-ES"/>
        </w:rPr>
        <w:t xml:space="preserve">. </w:t>
      </w:r>
    </w:p>
    <w:p w:rsidR="00854C3A" w:rsidRPr="00A1219A" w:rsidRDefault="00854C3A" w:rsidP="00854C3A">
      <w:pPr>
        <w:jc w:val="both"/>
        <w:rPr>
          <w:sz w:val="20"/>
          <w:lang w:val="es-ES"/>
        </w:rPr>
      </w:pPr>
    </w:p>
    <w:p w:rsidR="00334E59" w:rsidRPr="00A1219A" w:rsidRDefault="008F6D16" w:rsidP="00884466">
      <w:pPr>
        <w:numPr>
          <w:ilvl w:val="0"/>
          <w:numId w:val="1"/>
        </w:numPr>
        <w:tabs>
          <w:tab w:val="clear" w:pos="900"/>
        </w:tabs>
        <w:ind w:left="0" w:firstLine="720"/>
        <w:jc w:val="both"/>
        <w:rPr>
          <w:sz w:val="20"/>
          <w:lang w:val="es-ES"/>
        </w:rPr>
      </w:pPr>
      <w:r w:rsidRPr="00A1219A">
        <w:rPr>
          <w:sz w:val="20"/>
          <w:lang w:val="es-ES"/>
        </w:rPr>
        <w:t>Paralelamente, s</w:t>
      </w:r>
      <w:r w:rsidR="005D2F31" w:rsidRPr="00A1219A">
        <w:rPr>
          <w:sz w:val="20"/>
          <w:lang w:val="es-ES"/>
        </w:rPr>
        <w:t>egún la información aportada, e</w:t>
      </w:r>
      <w:r w:rsidR="00334E59" w:rsidRPr="00A1219A">
        <w:rPr>
          <w:sz w:val="20"/>
          <w:lang w:val="es-ES"/>
        </w:rPr>
        <w:t xml:space="preserve">l 22 de enero </w:t>
      </w:r>
      <w:r w:rsidR="005D2F31" w:rsidRPr="00A1219A">
        <w:rPr>
          <w:sz w:val="20"/>
          <w:lang w:val="es-ES"/>
        </w:rPr>
        <w:t>y e</w:t>
      </w:r>
      <w:r w:rsidR="00334E59" w:rsidRPr="00A1219A">
        <w:rPr>
          <w:sz w:val="20"/>
          <w:lang w:val="es-ES"/>
        </w:rPr>
        <w:t xml:space="preserve">l 8 de junio de 2007, </w:t>
      </w:r>
      <w:r w:rsidR="005D2F31" w:rsidRPr="00A1219A">
        <w:rPr>
          <w:sz w:val="20"/>
          <w:lang w:val="es-ES"/>
        </w:rPr>
        <w:t xml:space="preserve">se </w:t>
      </w:r>
      <w:r w:rsidR="00334E59" w:rsidRPr="00A1219A">
        <w:rPr>
          <w:sz w:val="20"/>
          <w:lang w:val="es-ES"/>
        </w:rPr>
        <w:t xml:space="preserve">realizaron </w:t>
      </w:r>
      <w:r w:rsidR="005D2F31" w:rsidRPr="00A1219A">
        <w:rPr>
          <w:sz w:val="20"/>
          <w:lang w:val="es-ES"/>
        </w:rPr>
        <w:t xml:space="preserve">reuniones con presencia de autoridades estatales y la </w:t>
      </w:r>
      <w:r w:rsidR="00334E59" w:rsidRPr="00A1219A">
        <w:rPr>
          <w:sz w:val="20"/>
          <w:lang w:val="es-ES"/>
        </w:rPr>
        <w:t>OFRANEH</w:t>
      </w:r>
      <w:r w:rsidR="005D2F31" w:rsidRPr="00A1219A">
        <w:rPr>
          <w:rStyle w:val="Refdenotaalpie"/>
          <w:sz w:val="18"/>
          <w:szCs w:val="18"/>
          <w:lang w:val="es-ES"/>
        </w:rPr>
        <w:footnoteReference w:id="65"/>
      </w:r>
      <w:r w:rsidR="00334E59" w:rsidRPr="00A1219A">
        <w:rPr>
          <w:sz w:val="20"/>
          <w:lang w:val="es-ES"/>
        </w:rPr>
        <w:t>.</w:t>
      </w:r>
      <w:r w:rsidR="005D2F31" w:rsidRPr="00A1219A">
        <w:rPr>
          <w:lang w:val="es-ES"/>
        </w:rPr>
        <w:t xml:space="preserve"> </w:t>
      </w:r>
      <w:r w:rsidR="00334E59" w:rsidRPr="00A1219A">
        <w:rPr>
          <w:sz w:val="20"/>
          <w:lang w:val="es-ES"/>
        </w:rPr>
        <w:t xml:space="preserve">En </w:t>
      </w:r>
      <w:r w:rsidR="005D2F31" w:rsidRPr="00A1219A">
        <w:rPr>
          <w:sz w:val="20"/>
          <w:lang w:val="es-ES"/>
        </w:rPr>
        <w:t xml:space="preserve">la reunión </w:t>
      </w:r>
      <w:r w:rsidR="00D031F1" w:rsidRPr="00A1219A">
        <w:rPr>
          <w:sz w:val="20"/>
          <w:lang w:val="es-ES"/>
        </w:rPr>
        <w:t xml:space="preserve">del 8 de junio </w:t>
      </w:r>
      <w:r w:rsidR="00884466" w:rsidRPr="00A1219A">
        <w:rPr>
          <w:sz w:val="20"/>
          <w:lang w:val="es-ES"/>
        </w:rPr>
        <w:t>se señaló que “</w:t>
      </w:r>
      <w:r w:rsidR="00334E59" w:rsidRPr="00A1219A">
        <w:rPr>
          <w:sz w:val="20"/>
          <w:lang w:val="es-ES"/>
        </w:rPr>
        <w:sym w:font="Symbol" w:char="F05B"/>
      </w:r>
      <w:r w:rsidR="00334E59" w:rsidRPr="00A1219A">
        <w:rPr>
          <w:sz w:val="20"/>
          <w:lang w:val="es-ES"/>
        </w:rPr>
        <w:t>…</w:t>
      </w:r>
      <w:r w:rsidR="00334E59" w:rsidRPr="00A1219A">
        <w:rPr>
          <w:sz w:val="20"/>
          <w:lang w:val="es-ES"/>
        </w:rPr>
        <w:sym w:font="Symbol" w:char="F05D"/>
      </w:r>
      <w:r w:rsidR="00334E59" w:rsidRPr="00A1219A">
        <w:rPr>
          <w:sz w:val="20"/>
          <w:lang w:val="es-ES"/>
        </w:rPr>
        <w:t>se están realizando el avalúo en la zona y se tiene planificado que para la próxima semana s</w:t>
      </w:r>
      <w:r w:rsidR="00884466" w:rsidRPr="00A1219A">
        <w:rPr>
          <w:sz w:val="20"/>
          <w:lang w:val="es-ES"/>
        </w:rPr>
        <w:t>e continuara con esta actividad […]</w:t>
      </w:r>
      <w:r w:rsidR="00334E59" w:rsidRPr="00A1219A">
        <w:rPr>
          <w:rStyle w:val="Refdenotaalpie"/>
          <w:sz w:val="20"/>
          <w:lang w:val="es-ES"/>
        </w:rPr>
        <w:footnoteReference w:id="66"/>
      </w:r>
      <w:r w:rsidR="00334E59" w:rsidRPr="00A1219A">
        <w:rPr>
          <w:sz w:val="20"/>
          <w:lang w:val="es-ES"/>
        </w:rPr>
        <w:t>.</w:t>
      </w:r>
    </w:p>
    <w:p w:rsidR="00334E59" w:rsidRPr="00A1219A" w:rsidRDefault="00334E59" w:rsidP="00334E59">
      <w:pPr>
        <w:jc w:val="both"/>
        <w:rPr>
          <w:sz w:val="20"/>
          <w:highlight w:val="yellow"/>
          <w:lang w:val="es-ES"/>
        </w:rPr>
      </w:pPr>
    </w:p>
    <w:p w:rsidR="00D54F8F" w:rsidRPr="00A1219A" w:rsidRDefault="00D54F8F" w:rsidP="00D54F8F">
      <w:pPr>
        <w:pStyle w:val="Ttulo3"/>
        <w:numPr>
          <w:ilvl w:val="0"/>
          <w:numId w:val="26"/>
        </w:numPr>
        <w:tabs>
          <w:tab w:val="clear" w:pos="1080"/>
          <w:tab w:val="num" w:pos="1440"/>
        </w:tabs>
        <w:spacing w:before="0" w:after="0"/>
        <w:ind w:left="1440" w:hanging="720"/>
        <w:jc w:val="both"/>
        <w:rPr>
          <w:rFonts w:ascii="Univers" w:hAnsi="Univers"/>
          <w:sz w:val="20"/>
          <w:lang w:val="es-ES"/>
        </w:rPr>
      </w:pPr>
      <w:bookmarkStart w:id="26" w:name="_Toc350183586"/>
      <w:r w:rsidRPr="00A1219A">
        <w:rPr>
          <w:rFonts w:ascii="Univers" w:hAnsi="Univers"/>
          <w:sz w:val="20"/>
          <w:lang w:val="es-ES"/>
        </w:rPr>
        <w:t xml:space="preserve">Acta especial </w:t>
      </w:r>
      <w:r w:rsidR="009A14C4" w:rsidRPr="00A1219A">
        <w:rPr>
          <w:rFonts w:ascii="Univers" w:hAnsi="Univers"/>
          <w:sz w:val="20"/>
          <w:lang w:val="es-ES"/>
        </w:rPr>
        <w:t xml:space="preserve">con la comunidad campesina de Río Miel </w:t>
      </w:r>
      <w:r w:rsidRPr="00A1219A">
        <w:rPr>
          <w:rFonts w:ascii="Univers" w:hAnsi="Univers"/>
          <w:sz w:val="20"/>
          <w:lang w:val="es-ES"/>
        </w:rPr>
        <w:t>del 20 de abril de 2007</w:t>
      </w:r>
      <w:r w:rsidR="00187FC3" w:rsidRPr="00A1219A">
        <w:rPr>
          <w:rFonts w:ascii="Univers" w:hAnsi="Univers"/>
          <w:sz w:val="20"/>
          <w:lang w:val="es-ES"/>
        </w:rPr>
        <w:t xml:space="preserve"> y actualización del avalúo</w:t>
      </w:r>
      <w:bookmarkEnd w:id="26"/>
    </w:p>
    <w:p w:rsidR="00D54F8F" w:rsidRPr="00A1219A" w:rsidRDefault="00D54F8F" w:rsidP="00F0363B">
      <w:pPr>
        <w:jc w:val="both"/>
        <w:rPr>
          <w:sz w:val="20"/>
          <w:highlight w:val="yellow"/>
          <w:lang w:val="es-ES"/>
        </w:rPr>
      </w:pPr>
    </w:p>
    <w:p w:rsidR="000E6595" w:rsidRPr="00A1219A" w:rsidRDefault="00EA7B08" w:rsidP="007F1AAD">
      <w:pPr>
        <w:numPr>
          <w:ilvl w:val="0"/>
          <w:numId w:val="1"/>
        </w:numPr>
        <w:tabs>
          <w:tab w:val="clear" w:pos="900"/>
        </w:tabs>
        <w:ind w:left="0" w:firstLine="720"/>
        <w:jc w:val="both"/>
        <w:rPr>
          <w:sz w:val="20"/>
          <w:lang w:val="es-ES"/>
        </w:rPr>
      </w:pPr>
      <w:r w:rsidRPr="00A1219A">
        <w:rPr>
          <w:sz w:val="20"/>
          <w:lang w:val="es-ES"/>
        </w:rPr>
        <w:t>El 20 de abril de 2007</w:t>
      </w:r>
      <w:r w:rsidR="000E6595" w:rsidRPr="00A1219A">
        <w:rPr>
          <w:sz w:val="20"/>
          <w:lang w:val="es-ES"/>
        </w:rPr>
        <w:t xml:space="preserve"> distintas autoridades estatales -entre ellas el Ministro Director del INA-</w:t>
      </w:r>
      <w:r w:rsidRPr="00A1219A">
        <w:rPr>
          <w:sz w:val="20"/>
          <w:lang w:val="es-ES"/>
        </w:rPr>
        <w:t xml:space="preserve"> </w:t>
      </w:r>
      <w:r w:rsidR="000E6595" w:rsidRPr="00A1219A">
        <w:rPr>
          <w:sz w:val="20"/>
          <w:lang w:val="es-ES"/>
        </w:rPr>
        <w:t xml:space="preserve">y </w:t>
      </w:r>
      <w:r w:rsidRPr="00A1219A">
        <w:rPr>
          <w:sz w:val="20"/>
          <w:lang w:val="es-ES"/>
        </w:rPr>
        <w:t>representantes de la comunidad campesina de Río Miel</w:t>
      </w:r>
      <w:r w:rsidR="000E6595" w:rsidRPr="00A1219A">
        <w:rPr>
          <w:sz w:val="20"/>
          <w:lang w:val="es-ES"/>
        </w:rPr>
        <w:t xml:space="preserve"> suscribieron un “acta especial” en la que se estableció, entre otros aspectos, lo siguiente:</w:t>
      </w:r>
    </w:p>
    <w:p w:rsidR="000E6595" w:rsidRPr="00A1219A" w:rsidRDefault="000E6595" w:rsidP="000E6595">
      <w:pPr>
        <w:jc w:val="both"/>
        <w:rPr>
          <w:sz w:val="20"/>
          <w:lang w:val="es-ES"/>
        </w:rPr>
      </w:pPr>
    </w:p>
    <w:p w:rsidR="00D77836" w:rsidRPr="00A1219A" w:rsidRDefault="000E6595" w:rsidP="000E6595">
      <w:pPr>
        <w:ind w:left="720" w:right="720"/>
        <w:jc w:val="both"/>
        <w:rPr>
          <w:sz w:val="18"/>
          <w:szCs w:val="18"/>
          <w:lang w:val="es-ES"/>
        </w:rPr>
      </w:pPr>
      <w:r w:rsidRPr="00A1219A">
        <w:rPr>
          <w:sz w:val="18"/>
          <w:szCs w:val="18"/>
          <w:lang w:val="es-ES"/>
        </w:rPr>
        <w:t>1. El Instituto Nacional Agrario pretende llegar a un arreglo amistoso para la solución del conflicto entre los pobladores de la comunidad Garífuna Punta Piedra y la aldea de Río Miel, con el propósito de evitar hechos que perturben la paz entre ambas comunidades, como se ha mantenido hasta la fecha.</w:t>
      </w:r>
    </w:p>
    <w:p w:rsidR="000068BC" w:rsidRPr="00A1219A" w:rsidRDefault="000068BC" w:rsidP="000E6595">
      <w:pPr>
        <w:ind w:left="720" w:right="720"/>
        <w:jc w:val="both"/>
        <w:rPr>
          <w:sz w:val="18"/>
          <w:szCs w:val="18"/>
          <w:lang w:val="es-ES"/>
        </w:rPr>
      </w:pPr>
    </w:p>
    <w:p w:rsidR="005162A1" w:rsidRPr="00A1219A" w:rsidRDefault="00D77836" w:rsidP="000E6595">
      <w:pPr>
        <w:ind w:left="720" w:right="720"/>
        <w:jc w:val="both"/>
        <w:rPr>
          <w:sz w:val="18"/>
          <w:szCs w:val="18"/>
          <w:lang w:val="es-ES"/>
        </w:rPr>
      </w:pPr>
      <w:r w:rsidRPr="00A1219A">
        <w:rPr>
          <w:sz w:val="18"/>
          <w:szCs w:val="18"/>
          <w:lang w:val="es-ES"/>
        </w:rPr>
        <w:t>2. Para tal fin se definirá el área de aldea, ocupantes, trabajaderos, origen de posesión, número de dependientes, el valor de mejoras en el área de terreno que ocupa cada miembro de la comunidad de Río Miel, los cuales se iniciaran a más tardar en el término de diez d</w:t>
      </w:r>
      <w:r w:rsidR="005162A1" w:rsidRPr="00A1219A">
        <w:rPr>
          <w:sz w:val="18"/>
          <w:szCs w:val="18"/>
          <w:lang w:val="es-ES"/>
        </w:rPr>
        <w:t>ías laborables.</w:t>
      </w:r>
    </w:p>
    <w:p w:rsidR="000068BC" w:rsidRPr="00A1219A" w:rsidRDefault="000068BC" w:rsidP="000E6595">
      <w:pPr>
        <w:ind w:left="720" w:right="720"/>
        <w:jc w:val="both"/>
        <w:rPr>
          <w:sz w:val="18"/>
          <w:szCs w:val="18"/>
          <w:lang w:val="es-ES"/>
        </w:rPr>
      </w:pPr>
    </w:p>
    <w:p w:rsidR="000E0362" w:rsidRPr="00A1219A" w:rsidRDefault="005162A1" w:rsidP="000E6595">
      <w:pPr>
        <w:ind w:left="720" w:right="720"/>
        <w:jc w:val="both"/>
        <w:rPr>
          <w:sz w:val="18"/>
          <w:szCs w:val="18"/>
          <w:lang w:val="es-ES"/>
        </w:rPr>
      </w:pPr>
      <w:r w:rsidRPr="00A1219A">
        <w:rPr>
          <w:sz w:val="18"/>
          <w:szCs w:val="18"/>
          <w:lang w:val="es-ES"/>
        </w:rPr>
        <w:t xml:space="preserve">3. El INA y la Municipalidad de </w:t>
      </w:r>
      <w:proofErr w:type="spellStart"/>
      <w:r w:rsidRPr="00A1219A">
        <w:rPr>
          <w:sz w:val="18"/>
          <w:szCs w:val="18"/>
          <w:lang w:val="es-ES"/>
        </w:rPr>
        <w:t>Iriona</w:t>
      </w:r>
      <w:proofErr w:type="spellEnd"/>
      <w:r w:rsidRPr="00A1219A">
        <w:rPr>
          <w:sz w:val="18"/>
          <w:szCs w:val="18"/>
          <w:lang w:val="es-ES"/>
        </w:rPr>
        <w:t xml:space="preserve"> Puerto, concertará una reunión con ambas comunidades (Río Miel y Punta Piedra), con el propósito de resolver amistosamente el problema</w:t>
      </w:r>
      <w:r w:rsidR="0093406F" w:rsidRPr="00A1219A">
        <w:rPr>
          <w:sz w:val="18"/>
          <w:szCs w:val="18"/>
          <w:lang w:val="es-ES"/>
        </w:rPr>
        <w:t>.</w:t>
      </w:r>
    </w:p>
    <w:p w:rsidR="000E0362" w:rsidRPr="00A1219A" w:rsidRDefault="000E0362" w:rsidP="000E6595">
      <w:pPr>
        <w:ind w:left="720" w:right="720"/>
        <w:jc w:val="both"/>
        <w:rPr>
          <w:sz w:val="18"/>
          <w:szCs w:val="18"/>
          <w:lang w:val="es-ES"/>
        </w:rPr>
      </w:pPr>
      <w:r w:rsidRPr="00A1219A">
        <w:rPr>
          <w:sz w:val="18"/>
          <w:szCs w:val="18"/>
          <w:lang w:val="es-ES"/>
        </w:rPr>
        <w:sym w:font="Symbol" w:char="F05B"/>
      </w:r>
      <w:r w:rsidRPr="00A1219A">
        <w:rPr>
          <w:sz w:val="18"/>
          <w:szCs w:val="18"/>
          <w:lang w:val="es-ES"/>
        </w:rPr>
        <w:t>…</w:t>
      </w:r>
      <w:r w:rsidRPr="00A1219A">
        <w:rPr>
          <w:sz w:val="18"/>
          <w:szCs w:val="18"/>
          <w:lang w:val="es-ES"/>
        </w:rPr>
        <w:sym w:font="Symbol" w:char="F05D"/>
      </w:r>
    </w:p>
    <w:p w:rsidR="001264F4" w:rsidRPr="00A1219A" w:rsidRDefault="00A834C9" w:rsidP="000E6595">
      <w:pPr>
        <w:ind w:left="720" w:right="720"/>
        <w:jc w:val="both"/>
        <w:rPr>
          <w:sz w:val="18"/>
          <w:szCs w:val="18"/>
          <w:lang w:val="es-ES"/>
        </w:rPr>
      </w:pPr>
      <w:r w:rsidRPr="00A1219A">
        <w:rPr>
          <w:sz w:val="18"/>
          <w:szCs w:val="18"/>
          <w:lang w:val="es-ES"/>
        </w:rPr>
        <w:t>5</w:t>
      </w:r>
      <w:r w:rsidR="000E0362" w:rsidRPr="00A1219A">
        <w:rPr>
          <w:sz w:val="18"/>
          <w:szCs w:val="18"/>
          <w:lang w:val="es-ES"/>
        </w:rPr>
        <w:t>. La comunidad de Río Miel deja constancia de su rechazo absoluto sobre cualquier pretensión de desalojo de sus pobladores y la representación Gubernamental por su parte reafirma que una actuación sobre esta referencia está estrictamente sujeta a una resolución o sentencia judicial, emitida por los Juzgados competentes que tenga el carácter de firme o cosa juzgada</w:t>
      </w:r>
      <w:r w:rsidR="00EA7B08" w:rsidRPr="00A1219A">
        <w:rPr>
          <w:rStyle w:val="Refdenotaalpie"/>
          <w:sz w:val="18"/>
          <w:szCs w:val="18"/>
          <w:lang w:val="es-ES"/>
        </w:rPr>
        <w:footnoteReference w:id="67"/>
      </w:r>
      <w:r w:rsidR="005162A1" w:rsidRPr="00A1219A">
        <w:rPr>
          <w:sz w:val="18"/>
          <w:szCs w:val="18"/>
          <w:lang w:val="es-ES"/>
        </w:rPr>
        <w:t>.</w:t>
      </w:r>
    </w:p>
    <w:p w:rsidR="00085EAC" w:rsidRPr="00A1219A" w:rsidRDefault="00085EAC" w:rsidP="00085EAC">
      <w:pPr>
        <w:jc w:val="both"/>
        <w:rPr>
          <w:sz w:val="20"/>
          <w:lang w:val="es-ES"/>
        </w:rPr>
      </w:pPr>
    </w:p>
    <w:p w:rsidR="001F045D" w:rsidRPr="00A1219A" w:rsidRDefault="00BD3DB0" w:rsidP="00BD3DB0">
      <w:pPr>
        <w:numPr>
          <w:ilvl w:val="0"/>
          <w:numId w:val="1"/>
        </w:numPr>
        <w:tabs>
          <w:tab w:val="clear" w:pos="900"/>
        </w:tabs>
        <w:ind w:left="0" w:firstLine="720"/>
        <w:jc w:val="both"/>
        <w:rPr>
          <w:sz w:val="20"/>
          <w:lang w:val="es-ES"/>
        </w:rPr>
      </w:pPr>
      <w:r w:rsidRPr="00A1219A">
        <w:rPr>
          <w:sz w:val="20"/>
          <w:lang w:val="es-ES"/>
        </w:rPr>
        <w:lastRenderedPageBreak/>
        <w:t>Según Oficio DE-099-2007 del 7 de junio de 2007, emitido por el Viceministro del INA, una comisión agraria del INA realizó diligencias en la aldea de Río Miel para actualizar el avalúo</w:t>
      </w:r>
      <w:r w:rsidRPr="00A1219A">
        <w:rPr>
          <w:rStyle w:val="Refdenotaalpie"/>
          <w:sz w:val="20"/>
          <w:lang w:val="es-ES"/>
        </w:rPr>
        <w:footnoteReference w:id="68"/>
      </w:r>
      <w:r w:rsidRPr="00A1219A">
        <w:rPr>
          <w:sz w:val="20"/>
          <w:lang w:val="es-ES"/>
        </w:rPr>
        <w:t>. Mediante memorándum del 12 de julio de 2007, se presentó el “Informe final del levantamiento catastral del área titulada en ampliación a favor de la Comunidad Garífuna de Punta Piedra”, elaborado por funcionarios del INA. Según dicho informe, para esa fecha “el área ocupada por ladinos dentro de la ampliación” era de 612.13 hectáreas, mientras que las “tierras garifunas dentro del área de ampliación” alcanzaban las 653.24 hectáreas</w:t>
      </w:r>
      <w:r w:rsidRPr="00A1219A">
        <w:rPr>
          <w:rStyle w:val="Refdenotaalpie"/>
          <w:sz w:val="20"/>
          <w:lang w:val="es-ES"/>
        </w:rPr>
        <w:footnoteReference w:id="69"/>
      </w:r>
      <w:r w:rsidRPr="00A1219A">
        <w:rPr>
          <w:sz w:val="20"/>
          <w:lang w:val="es-ES"/>
        </w:rPr>
        <w:t xml:space="preserve">. </w:t>
      </w:r>
      <w:r w:rsidR="001F045D" w:rsidRPr="00A1219A">
        <w:rPr>
          <w:sz w:val="20"/>
          <w:lang w:val="es-ES"/>
        </w:rPr>
        <w:t>En el mismo informe se estableció además que “el área de bosque o montaña (177.98 has.) están actualmente en posesión por los miembros de la Comunidad de Río Miel”</w:t>
      </w:r>
      <w:r w:rsidR="001F045D" w:rsidRPr="00A1219A">
        <w:rPr>
          <w:rStyle w:val="Refdenotaalpie"/>
          <w:sz w:val="18"/>
          <w:szCs w:val="18"/>
          <w:lang w:val="es-ES"/>
        </w:rPr>
        <w:footnoteReference w:id="70"/>
      </w:r>
      <w:r w:rsidR="001F045D" w:rsidRPr="00A1219A">
        <w:rPr>
          <w:sz w:val="20"/>
          <w:lang w:val="es-ES"/>
        </w:rPr>
        <w:t xml:space="preserve">. </w:t>
      </w:r>
    </w:p>
    <w:p w:rsidR="001F045D" w:rsidRPr="00A1219A" w:rsidRDefault="001F045D" w:rsidP="001F045D">
      <w:pPr>
        <w:jc w:val="both"/>
        <w:rPr>
          <w:sz w:val="20"/>
          <w:lang w:val="es-ES"/>
        </w:rPr>
      </w:pPr>
    </w:p>
    <w:p w:rsidR="00BD3DB0" w:rsidRPr="00A1219A" w:rsidRDefault="00BD3DB0" w:rsidP="00BD3DB0">
      <w:pPr>
        <w:numPr>
          <w:ilvl w:val="0"/>
          <w:numId w:val="1"/>
        </w:numPr>
        <w:tabs>
          <w:tab w:val="clear" w:pos="900"/>
        </w:tabs>
        <w:ind w:left="0" w:firstLine="720"/>
        <w:jc w:val="both"/>
        <w:rPr>
          <w:sz w:val="20"/>
          <w:lang w:val="es-ES"/>
        </w:rPr>
      </w:pPr>
      <w:r w:rsidRPr="00A1219A">
        <w:rPr>
          <w:sz w:val="20"/>
          <w:lang w:val="es-ES"/>
        </w:rPr>
        <w:t>Además, de acuerdo al “Informe de Avalúo”</w:t>
      </w:r>
      <w:r w:rsidR="001F045D" w:rsidRPr="00A1219A">
        <w:rPr>
          <w:sz w:val="20"/>
          <w:lang w:val="es-ES"/>
        </w:rPr>
        <w:t xml:space="preserve"> emitido por un agrónomo, funcionario del INA y dirigido al Director de dicha institución el 23 de julio de 2007, realizado “en atención al Auto de fecha 2 de mayo de 2007 para efectos de practicar Avalúo de mejoras en áreas ocupadas por los miembros de la Comunidad de Río Miel”</w:t>
      </w:r>
      <w:r w:rsidR="006532A8" w:rsidRPr="00A1219A">
        <w:rPr>
          <w:sz w:val="20"/>
          <w:lang w:val="es-ES"/>
        </w:rPr>
        <w:t xml:space="preserve">, estableció, en relación con la característica del terreno, </w:t>
      </w:r>
      <w:r w:rsidR="001F045D" w:rsidRPr="00A1219A">
        <w:rPr>
          <w:sz w:val="20"/>
          <w:lang w:val="es-ES"/>
        </w:rPr>
        <w:t xml:space="preserve">que </w:t>
      </w:r>
      <w:r w:rsidR="006532A8" w:rsidRPr="00A1219A">
        <w:rPr>
          <w:sz w:val="20"/>
          <w:lang w:val="es-ES"/>
        </w:rPr>
        <w:t>presenta “un alto grado de erosión, específicamente las partes altas y nuevas áreas descombradas para la explotaci</w:t>
      </w:r>
      <w:r w:rsidR="0029560E">
        <w:rPr>
          <w:sz w:val="20"/>
          <w:lang w:val="es-ES"/>
        </w:rPr>
        <w:t>ón ganadera (</w:t>
      </w:r>
      <w:r w:rsidR="006532A8" w:rsidRPr="00A1219A">
        <w:rPr>
          <w:sz w:val="20"/>
          <w:lang w:val="es-ES"/>
        </w:rPr>
        <w:t xml:space="preserve">cultivo de pastos)”, y agrega el mismo informe que </w:t>
      </w:r>
      <w:r w:rsidRPr="00A1219A">
        <w:rPr>
          <w:sz w:val="20"/>
          <w:lang w:val="es-ES"/>
        </w:rPr>
        <w:t>“durante la inspección se pudo ver el avance y la destrucción del bosque de manera muy tradicional (quema)”</w:t>
      </w:r>
      <w:r w:rsidRPr="00A1219A">
        <w:rPr>
          <w:rStyle w:val="Refdenotaalpie"/>
          <w:sz w:val="20"/>
          <w:lang w:val="es-ES"/>
        </w:rPr>
        <w:footnoteReference w:id="71"/>
      </w:r>
      <w:r w:rsidRPr="00A1219A">
        <w:rPr>
          <w:sz w:val="20"/>
          <w:lang w:val="es-ES"/>
        </w:rPr>
        <w:t>.</w:t>
      </w:r>
    </w:p>
    <w:p w:rsidR="00BD3DB0" w:rsidRPr="00A1219A" w:rsidRDefault="00BD3DB0" w:rsidP="00BD3DB0">
      <w:pPr>
        <w:jc w:val="both"/>
        <w:rPr>
          <w:sz w:val="20"/>
          <w:lang w:val="es-ES"/>
        </w:rPr>
      </w:pPr>
      <w:r w:rsidRPr="00A1219A">
        <w:rPr>
          <w:sz w:val="20"/>
          <w:lang w:val="es-ES"/>
        </w:rPr>
        <w:t xml:space="preserve"> </w:t>
      </w:r>
    </w:p>
    <w:p w:rsidR="00BD3DB0" w:rsidRPr="00A1219A" w:rsidRDefault="00BD3DB0" w:rsidP="00BD3DB0">
      <w:pPr>
        <w:numPr>
          <w:ilvl w:val="0"/>
          <w:numId w:val="1"/>
        </w:numPr>
        <w:tabs>
          <w:tab w:val="clear" w:pos="900"/>
        </w:tabs>
        <w:ind w:left="0" w:firstLine="720"/>
        <w:jc w:val="both"/>
        <w:rPr>
          <w:sz w:val="20"/>
          <w:lang w:val="es-ES"/>
        </w:rPr>
      </w:pPr>
      <w:r w:rsidRPr="00A1219A">
        <w:rPr>
          <w:sz w:val="20"/>
          <w:lang w:val="es-ES"/>
        </w:rPr>
        <w:t xml:space="preserve">El 19 de diciembre de 2007 el Ministro Director del INA solicitó a la Secretaría del Estado en el Despacho de Finanzas la asignación de una partida adicional al presupuesto de dicha institución de 17, 108,448.58 lempiras, según el nuevo avalúo realizado </w:t>
      </w:r>
      <w:r w:rsidR="006532A8" w:rsidRPr="00A1219A">
        <w:rPr>
          <w:sz w:val="20"/>
          <w:lang w:val="es-ES"/>
        </w:rPr>
        <w:t>para el saneamiento del territorio de la Comunidad de Punta piedra.</w:t>
      </w:r>
      <w:r w:rsidRPr="00A1219A">
        <w:rPr>
          <w:sz w:val="20"/>
          <w:lang w:val="es-ES"/>
        </w:rPr>
        <w:t xml:space="preserve"> </w:t>
      </w:r>
      <w:r w:rsidR="006532A8" w:rsidRPr="00A1219A">
        <w:rPr>
          <w:sz w:val="20"/>
          <w:lang w:val="es-ES"/>
        </w:rPr>
        <w:t>El Estado al respecto informó que el monto del avalúo “fue presentado ante la Secretaría de Finanzas en fecha 14 de diciembre de 2007, el cual a la fecha no ha sido aprobado”</w:t>
      </w:r>
      <w:r w:rsidRPr="00A1219A">
        <w:rPr>
          <w:rStyle w:val="Refdenotaalpie"/>
          <w:sz w:val="20"/>
          <w:lang w:val="es-ES"/>
        </w:rPr>
        <w:footnoteReference w:id="72"/>
      </w:r>
      <w:r w:rsidRPr="00A1219A">
        <w:rPr>
          <w:sz w:val="20"/>
          <w:lang w:val="es-ES"/>
        </w:rPr>
        <w:t xml:space="preserve">.  </w:t>
      </w:r>
    </w:p>
    <w:p w:rsidR="0048716C" w:rsidRPr="00A1219A" w:rsidRDefault="0048716C" w:rsidP="0048716C">
      <w:pPr>
        <w:ind w:left="720"/>
        <w:jc w:val="both"/>
        <w:rPr>
          <w:b/>
          <w:sz w:val="20"/>
          <w:lang w:val="es-ES"/>
        </w:rPr>
      </w:pPr>
    </w:p>
    <w:p w:rsidR="0048716C" w:rsidRPr="00A1219A" w:rsidRDefault="0048716C" w:rsidP="00BF7518">
      <w:pPr>
        <w:ind w:left="720"/>
        <w:jc w:val="both"/>
        <w:outlineLvl w:val="1"/>
        <w:rPr>
          <w:b/>
          <w:sz w:val="20"/>
          <w:lang w:val="es-ES"/>
        </w:rPr>
      </w:pPr>
      <w:bookmarkStart w:id="27" w:name="_Toc350183587"/>
      <w:r w:rsidRPr="00A1219A">
        <w:rPr>
          <w:b/>
          <w:sz w:val="20"/>
          <w:lang w:val="es-ES"/>
        </w:rPr>
        <w:t>G.</w:t>
      </w:r>
      <w:r w:rsidRPr="00A1219A">
        <w:rPr>
          <w:b/>
          <w:sz w:val="20"/>
          <w:lang w:val="es-ES"/>
        </w:rPr>
        <w:tab/>
        <w:t>Situación de conflicto</w:t>
      </w:r>
      <w:bookmarkEnd w:id="27"/>
    </w:p>
    <w:p w:rsidR="00262091" w:rsidRPr="00A1219A" w:rsidRDefault="00262091" w:rsidP="003E237D">
      <w:pPr>
        <w:jc w:val="both"/>
        <w:rPr>
          <w:sz w:val="20"/>
          <w:lang w:val="es-ES"/>
        </w:rPr>
      </w:pPr>
    </w:p>
    <w:p w:rsidR="005D6FE6" w:rsidRPr="00A1219A" w:rsidRDefault="00262091" w:rsidP="005D6FE6">
      <w:pPr>
        <w:numPr>
          <w:ilvl w:val="0"/>
          <w:numId w:val="1"/>
        </w:numPr>
        <w:tabs>
          <w:tab w:val="clear" w:pos="900"/>
        </w:tabs>
        <w:ind w:left="0" w:firstLine="720"/>
        <w:jc w:val="both"/>
        <w:rPr>
          <w:sz w:val="20"/>
          <w:lang w:val="es-ES"/>
        </w:rPr>
      </w:pPr>
      <w:r w:rsidRPr="00A1219A">
        <w:rPr>
          <w:sz w:val="20"/>
          <w:lang w:val="es-ES"/>
        </w:rPr>
        <w:t>Además de lo señalado, la información aportada por las partes indica que existe una situación de conflicto permanente provocada por terceros interesados en las tierras de la Comunidad, caracterizada por constantes amenazas, hostigamientos y acciones violentas</w:t>
      </w:r>
      <w:r w:rsidR="003E237D" w:rsidRPr="00A1219A">
        <w:rPr>
          <w:rStyle w:val="Refdenotaalpie"/>
          <w:sz w:val="20"/>
          <w:lang w:val="es-ES"/>
        </w:rPr>
        <w:footnoteReference w:id="73"/>
      </w:r>
      <w:r w:rsidRPr="00A1219A">
        <w:rPr>
          <w:sz w:val="20"/>
          <w:lang w:val="es-ES"/>
        </w:rPr>
        <w:t xml:space="preserve">. En efecto, de acuerdo </w:t>
      </w:r>
      <w:r w:rsidRPr="00A1219A">
        <w:rPr>
          <w:rFonts w:cs="Arial"/>
          <w:sz w:val="20"/>
          <w:lang w:val="es-ES"/>
        </w:rPr>
        <w:t>a</w:t>
      </w:r>
      <w:r w:rsidR="007A439D" w:rsidRPr="00A1219A">
        <w:rPr>
          <w:rFonts w:cs="Arial"/>
          <w:sz w:val="20"/>
          <w:lang w:val="es-ES"/>
        </w:rPr>
        <w:t>l Acta de compromiso del 13 de diciembre de 2001, suscrit</w:t>
      </w:r>
      <w:r w:rsidRPr="00A1219A">
        <w:rPr>
          <w:rFonts w:cs="Arial"/>
          <w:sz w:val="20"/>
          <w:lang w:val="es-ES"/>
        </w:rPr>
        <w:t xml:space="preserve">a por autoridades estatales, </w:t>
      </w:r>
      <w:r w:rsidR="007A439D" w:rsidRPr="00A1219A">
        <w:rPr>
          <w:rFonts w:cs="Arial"/>
          <w:sz w:val="20"/>
          <w:lang w:val="es-ES"/>
        </w:rPr>
        <w:t>“desde esa época [refiriéndose a la llegada de los primeros campesinos a Río Miel] hasta la fecha se han venido presentando problemas que no solamente significan la disputa por la tierra, sino que ponen en peligro la integridad física y algunos bienes de los habitantes de las comunidades”</w:t>
      </w:r>
      <w:r w:rsidR="007A439D" w:rsidRPr="00A1219A">
        <w:rPr>
          <w:rStyle w:val="Refdenotaalpie"/>
          <w:rFonts w:cs="Arial"/>
          <w:sz w:val="20"/>
          <w:lang w:val="es-ES"/>
        </w:rPr>
        <w:footnoteReference w:id="74"/>
      </w:r>
      <w:r w:rsidR="007A439D" w:rsidRPr="00A1219A">
        <w:rPr>
          <w:rFonts w:cs="Arial"/>
          <w:sz w:val="20"/>
          <w:lang w:val="es-ES"/>
        </w:rPr>
        <w:t xml:space="preserve">.  </w:t>
      </w:r>
      <w:r w:rsidR="005D6FE6" w:rsidRPr="00A1219A">
        <w:rPr>
          <w:sz w:val="20"/>
          <w:lang w:val="es-ES"/>
        </w:rPr>
        <w:t>Asimismo, respecto a la situación de inseguridad en la Comunidad, e</w:t>
      </w:r>
      <w:r w:rsidR="005D6FE6" w:rsidRPr="00A1219A">
        <w:rPr>
          <w:rFonts w:cs="Arial"/>
          <w:bCs/>
          <w:sz w:val="20"/>
          <w:lang w:val="es-ES"/>
        </w:rPr>
        <w:t xml:space="preserve">l testigo Benito </w:t>
      </w:r>
      <w:proofErr w:type="spellStart"/>
      <w:r w:rsidR="005D6FE6" w:rsidRPr="00A1219A">
        <w:rPr>
          <w:rFonts w:cs="Arial"/>
          <w:bCs/>
          <w:sz w:val="20"/>
          <w:lang w:val="es-ES"/>
        </w:rPr>
        <w:t>Bernández</w:t>
      </w:r>
      <w:proofErr w:type="spellEnd"/>
      <w:r w:rsidR="005D6FE6" w:rsidRPr="00A1219A">
        <w:rPr>
          <w:rFonts w:cs="Arial"/>
          <w:bCs/>
          <w:sz w:val="20"/>
          <w:lang w:val="es-ES"/>
        </w:rPr>
        <w:t xml:space="preserve"> afirmó en audiencia pública ante la CIDH que: </w:t>
      </w:r>
    </w:p>
    <w:p w:rsidR="005D6FE6" w:rsidRPr="00A1219A" w:rsidRDefault="005D6FE6" w:rsidP="005D6FE6">
      <w:pPr>
        <w:jc w:val="both"/>
        <w:rPr>
          <w:rFonts w:cs="Arial"/>
          <w:bCs/>
          <w:sz w:val="20"/>
          <w:lang w:val="es-ES"/>
        </w:rPr>
      </w:pPr>
    </w:p>
    <w:p w:rsidR="005D6FE6" w:rsidRPr="00A1219A" w:rsidRDefault="005D6FE6" w:rsidP="005D6FE6">
      <w:pPr>
        <w:ind w:left="720" w:right="720"/>
        <w:jc w:val="both"/>
        <w:rPr>
          <w:sz w:val="18"/>
          <w:szCs w:val="18"/>
          <w:lang w:val="es-ES"/>
        </w:rPr>
      </w:pPr>
      <w:r w:rsidRPr="00A1219A">
        <w:rPr>
          <w:rFonts w:cs="Arial"/>
          <w:bCs/>
          <w:sz w:val="18"/>
          <w:szCs w:val="18"/>
          <w:lang w:val="es-ES"/>
        </w:rPr>
        <w:t xml:space="preserve">Todos los días los hijos de la comunidad son perseguidos por los invasores, nunca terminan de construir casas y de cortar los árboles. Persiguieron a mi papá para matarlo con armas de alto calibre […]. Los invasores sueltan sus animales en las tierras de los garífunas. Yo estoy seguro que al llegar a </w:t>
      </w:r>
      <w:smartTag w:uri="urn:schemas-microsoft-com:office:smarttags" w:element="PersonName">
        <w:r w:rsidRPr="00A1219A">
          <w:rPr>
            <w:rFonts w:cs="Arial"/>
            <w:bCs/>
            <w:sz w:val="18"/>
            <w:szCs w:val="18"/>
            <w:lang w:val="es-ES"/>
          </w:rPr>
          <w:t>Honduras</w:t>
        </w:r>
      </w:smartTag>
      <w:r w:rsidRPr="00A1219A">
        <w:rPr>
          <w:rFonts w:cs="Arial"/>
          <w:bCs/>
          <w:sz w:val="18"/>
          <w:szCs w:val="18"/>
          <w:lang w:val="es-ES"/>
        </w:rPr>
        <w:t xml:space="preserve"> los invasores se van a dar cuenta</w:t>
      </w:r>
      <w:r w:rsidR="00F67CC0" w:rsidRPr="00A1219A">
        <w:rPr>
          <w:rFonts w:cs="Arial"/>
          <w:bCs/>
          <w:sz w:val="18"/>
          <w:szCs w:val="18"/>
          <w:lang w:val="es-ES"/>
        </w:rPr>
        <w:t xml:space="preserve"> [de su asistencia a la audiencia]</w:t>
      </w:r>
      <w:r w:rsidRPr="00A1219A">
        <w:rPr>
          <w:rFonts w:cs="Arial"/>
          <w:bCs/>
          <w:sz w:val="18"/>
          <w:szCs w:val="18"/>
          <w:lang w:val="es-ES"/>
        </w:rPr>
        <w:t xml:space="preserve"> y seremos amenazados y pedimos más seguridad para mí y para mi familia porque los invasores amenazan todos los días a los hijos de la comunidad</w:t>
      </w:r>
      <w:r w:rsidRPr="00A1219A">
        <w:rPr>
          <w:rStyle w:val="Refdenotaalpie"/>
          <w:rFonts w:cs="Arial"/>
          <w:bCs/>
          <w:sz w:val="18"/>
          <w:szCs w:val="18"/>
          <w:lang w:val="es-ES"/>
        </w:rPr>
        <w:footnoteReference w:id="75"/>
      </w:r>
      <w:r w:rsidRPr="00A1219A">
        <w:rPr>
          <w:rFonts w:cs="Arial"/>
          <w:bCs/>
          <w:sz w:val="18"/>
          <w:szCs w:val="18"/>
          <w:lang w:val="es-ES"/>
        </w:rPr>
        <w:t>.</w:t>
      </w:r>
    </w:p>
    <w:p w:rsidR="007A439D" w:rsidRPr="00A1219A" w:rsidRDefault="007A439D" w:rsidP="007A439D">
      <w:pPr>
        <w:jc w:val="both"/>
        <w:rPr>
          <w:sz w:val="20"/>
          <w:lang w:val="es-ES"/>
        </w:rPr>
      </w:pPr>
    </w:p>
    <w:p w:rsidR="004A3744" w:rsidRPr="00A1219A" w:rsidRDefault="006420C4" w:rsidP="001A5DBC">
      <w:pPr>
        <w:numPr>
          <w:ilvl w:val="0"/>
          <w:numId w:val="1"/>
        </w:numPr>
        <w:tabs>
          <w:tab w:val="clear" w:pos="900"/>
        </w:tabs>
        <w:ind w:left="0" w:firstLine="720"/>
        <w:jc w:val="both"/>
        <w:rPr>
          <w:sz w:val="20"/>
          <w:lang w:val="es-ES"/>
        </w:rPr>
      </w:pPr>
      <w:r w:rsidRPr="00A1219A">
        <w:rPr>
          <w:sz w:val="20"/>
          <w:lang w:val="es-ES"/>
        </w:rPr>
        <w:t xml:space="preserve">Dentro de este contexto de conflictividad, </w:t>
      </w:r>
      <w:r w:rsidR="005C39CD" w:rsidRPr="00A1219A">
        <w:rPr>
          <w:sz w:val="20"/>
          <w:lang w:val="es-ES"/>
        </w:rPr>
        <w:t xml:space="preserve">se denunció </w:t>
      </w:r>
      <w:r w:rsidRPr="00A1219A">
        <w:rPr>
          <w:sz w:val="20"/>
          <w:lang w:val="es-ES"/>
        </w:rPr>
        <w:t xml:space="preserve">el </w:t>
      </w:r>
      <w:r w:rsidR="00262091" w:rsidRPr="00A1219A">
        <w:rPr>
          <w:sz w:val="20"/>
          <w:lang w:val="es-ES"/>
        </w:rPr>
        <w:t>asesinato de</w:t>
      </w:r>
      <w:r w:rsidR="005C39CD" w:rsidRPr="00A1219A">
        <w:rPr>
          <w:sz w:val="20"/>
          <w:lang w:val="es-ES"/>
        </w:rPr>
        <w:t>l</w:t>
      </w:r>
      <w:r w:rsidR="00262091" w:rsidRPr="00A1219A">
        <w:rPr>
          <w:sz w:val="20"/>
          <w:lang w:val="es-ES"/>
        </w:rPr>
        <w:t xml:space="preserve"> </w:t>
      </w:r>
      <w:r w:rsidR="005C39CD" w:rsidRPr="00A1219A">
        <w:rPr>
          <w:sz w:val="20"/>
          <w:lang w:val="es-ES"/>
        </w:rPr>
        <w:t xml:space="preserve">miembro de la Comunidad Garífuna de Punta Piedra </w:t>
      </w:r>
      <w:r w:rsidRPr="00A1219A">
        <w:rPr>
          <w:sz w:val="20"/>
          <w:lang w:val="es-ES"/>
        </w:rPr>
        <w:t>Félix Ordóñez Suazo</w:t>
      </w:r>
      <w:r w:rsidR="005C39CD" w:rsidRPr="00A1219A">
        <w:rPr>
          <w:sz w:val="20"/>
          <w:lang w:val="es-ES"/>
        </w:rPr>
        <w:t>, en junio de 2007</w:t>
      </w:r>
      <w:r w:rsidR="00DB3B80" w:rsidRPr="00A1219A">
        <w:rPr>
          <w:rStyle w:val="Refdenotaalpie"/>
          <w:sz w:val="20"/>
          <w:lang w:val="es-ES"/>
        </w:rPr>
        <w:footnoteReference w:id="76"/>
      </w:r>
      <w:r w:rsidR="005C39CD" w:rsidRPr="00A1219A">
        <w:rPr>
          <w:sz w:val="20"/>
          <w:lang w:val="es-ES"/>
        </w:rPr>
        <w:t xml:space="preserve">, hecho que fue puesto en conocimiento de la autoridad, tanto ante </w:t>
      </w:r>
      <w:r w:rsidR="00FC0B76" w:rsidRPr="00A1219A">
        <w:rPr>
          <w:sz w:val="20"/>
          <w:lang w:val="es-ES"/>
        </w:rPr>
        <w:t xml:space="preserve">Dirección General de Investigación Criminal, </w:t>
      </w:r>
      <w:r w:rsidR="005C39CD" w:rsidRPr="00A1219A">
        <w:rPr>
          <w:sz w:val="20"/>
          <w:lang w:val="es-ES"/>
        </w:rPr>
        <w:t xml:space="preserve">como </w:t>
      </w:r>
      <w:r w:rsidR="00555041" w:rsidRPr="00A1219A">
        <w:rPr>
          <w:sz w:val="20"/>
          <w:lang w:val="es-ES"/>
        </w:rPr>
        <w:t>la Fiscalía Especial de Etnias y Patrimonio</w:t>
      </w:r>
      <w:r w:rsidR="0029560E">
        <w:rPr>
          <w:sz w:val="20"/>
          <w:lang w:val="es-ES"/>
        </w:rPr>
        <w:t>, entidades ante</w:t>
      </w:r>
      <w:r w:rsidR="005C39CD" w:rsidRPr="00A1219A">
        <w:rPr>
          <w:sz w:val="20"/>
          <w:lang w:val="es-ES"/>
        </w:rPr>
        <w:t xml:space="preserve"> las cuales estaría pendiente la investigación.</w:t>
      </w:r>
    </w:p>
    <w:p w:rsidR="004A3744" w:rsidRPr="00A1219A" w:rsidRDefault="004A3744" w:rsidP="004A3744">
      <w:pPr>
        <w:jc w:val="both"/>
        <w:rPr>
          <w:sz w:val="20"/>
          <w:lang w:val="es-ES"/>
        </w:rPr>
      </w:pPr>
    </w:p>
    <w:p w:rsidR="005B625B" w:rsidRPr="00A1219A" w:rsidRDefault="00F67CC0" w:rsidP="001A5DBC">
      <w:pPr>
        <w:numPr>
          <w:ilvl w:val="0"/>
          <w:numId w:val="1"/>
        </w:numPr>
        <w:tabs>
          <w:tab w:val="clear" w:pos="900"/>
        </w:tabs>
        <w:ind w:left="0" w:firstLine="720"/>
        <w:jc w:val="both"/>
        <w:rPr>
          <w:sz w:val="20"/>
          <w:lang w:val="es-ES"/>
        </w:rPr>
      </w:pPr>
      <w:r w:rsidRPr="00A1219A">
        <w:rPr>
          <w:sz w:val="20"/>
          <w:lang w:val="es-ES"/>
        </w:rPr>
        <w:t>Igualmente, la información obrante en el expediente</w:t>
      </w:r>
      <w:r w:rsidR="001A5DBC" w:rsidRPr="00A1219A">
        <w:rPr>
          <w:sz w:val="20"/>
          <w:lang w:val="es-ES"/>
        </w:rPr>
        <w:t xml:space="preserve"> ante la CIDH</w:t>
      </w:r>
      <w:r w:rsidRPr="00A1219A">
        <w:rPr>
          <w:sz w:val="20"/>
          <w:lang w:val="es-ES"/>
        </w:rPr>
        <w:t xml:space="preserve"> indica que e</w:t>
      </w:r>
      <w:r w:rsidR="00222E31" w:rsidRPr="00A1219A">
        <w:rPr>
          <w:sz w:val="20"/>
          <w:lang w:val="es-ES"/>
        </w:rPr>
        <w:t>l 13 de abril de 2010 dirigentes</w:t>
      </w:r>
      <w:r w:rsidR="00133F0C" w:rsidRPr="00A1219A">
        <w:rPr>
          <w:sz w:val="20"/>
          <w:lang w:val="es-ES"/>
        </w:rPr>
        <w:t xml:space="preserve"> de la Comunidad </w:t>
      </w:r>
      <w:r w:rsidR="00222E31" w:rsidRPr="00A1219A">
        <w:rPr>
          <w:sz w:val="20"/>
          <w:lang w:val="es-ES"/>
        </w:rPr>
        <w:t>presentaron</w:t>
      </w:r>
      <w:r w:rsidR="00133F0C" w:rsidRPr="00A1219A">
        <w:rPr>
          <w:sz w:val="20"/>
          <w:lang w:val="es-ES"/>
        </w:rPr>
        <w:t xml:space="preserve"> ante el Ministerio Público una denuncia por usurpación, identificada con el No. 0801-2010-12292, en contra de “ladinos o foráneos”</w:t>
      </w:r>
      <w:r w:rsidR="00133F0C" w:rsidRPr="00A1219A">
        <w:rPr>
          <w:rStyle w:val="Refdenotaalpie"/>
          <w:sz w:val="20"/>
          <w:lang w:val="es-ES"/>
        </w:rPr>
        <w:footnoteReference w:id="77"/>
      </w:r>
      <w:r w:rsidR="00133F0C" w:rsidRPr="00A1219A">
        <w:rPr>
          <w:sz w:val="20"/>
          <w:lang w:val="es-ES"/>
        </w:rPr>
        <w:t xml:space="preserve">. </w:t>
      </w:r>
      <w:r w:rsidR="00222E31" w:rsidRPr="00A1219A">
        <w:rPr>
          <w:sz w:val="20"/>
          <w:lang w:val="es-ES"/>
        </w:rPr>
        <w:t>Consta además que en la misma fecha denunciaron a</w:t>
      </w:r>
      <w:r w:rsidR="00831A34" w:rsidRPr="00A1219A">
        <w:rPr>
          <w:sz w:val="20"/>
          <w:lang w:val="es-ES"/>
        </w:rPr>
        <w:t xml:space="preserve"> la Fiscalía Especial de Etnias </w:t>
      </w:r>
      <w:r w:rsidR="00133F0C" w:rsidRPr="00A1219A">
        <w:rPr>
          <w:sz w:val="20"/>
          <w:lang w:val="es-ES"/>
        </w:rPr>
        <w:t>“</w:t>
      </w:r>
      <w:r w:rsidR="00831A34" w:rsidRPr="00A1219A">
        <w:rPr>
          <w:sz w:val="20"/>
          <w:lang w:val="es-ES"/>
        </w:rPr>
        <w:t xml:space="preserve">la </w:t>
      </w:r>
      <w:r w:rsidR="00133F0C" w:rsidRPr="00A1219A">
        <w:rPr>
          <w:sz w:val="20"/>
          <w:lang w:val="es-ES"/>
        </w:rPr>
        <w:t xml:space="preserve">construcción de </w:t>
      </w:r>
      <w:r w:rsidR="00831A34" w:rsidRPr="00A1219A">
        <w:rPr>
          <w:sz w:val="20"/>
          <w:lang w:val="es-ES"/>
        </w:rPr>
        <w:t xml:space="preserve">una brecha de carretera que pasa por tierra propiedad de la comunidad garifunas de Punta Piedra, actualmente conocida como </w:t>
      </w:r>
      <w:r w:rsidR="00D3058A" w:rsidRPr="00A1219A">
        <w:rPr>
          <w:sz w:val="20"/>
          <w:lang w:val="es-ES"/>
        </w:rPr>
        <w:t>Río</w:t>
      </w:r>
      <w:r w:rsidR="00831A34" w:rsidRPr="00A1219A">
        <w:rPr>
          <w:sz w:val="20"/>
          <w:lang w:val="es-ES"/>
        </w:rPr>
        <w:t xml:space="preserve"> Miel, sin que se haya hecho la consulta debida a la comunidad tal co</w:t>
      </w:r>
      <w:r w:rsidR="00222E31" w:rsidRPr="00A1219A">
        <w:rPr>
          <w:sz w:val="20"/>
          <w:lang w:val="es-ES"/>
        </w:rPr>
        <w:t>mo lo establece el Convenio 169[…]</w:t>
      </w:r>
      <w:r w:rsidR="00133F0C" w:rsidRPr="00A1219A">
        <w:rPr>
          <w:sz w:val="20"/>
          <w:lang w:val="es-ES"/>
        </w:rPr>
        <w:t>”</w:t>
      </w:r>
      <w:r w:rsidR="00222E31" w:rsidRPr="00A1219A">
        <w:rPr>
          <w:sz w:val="20"/>
          <w:lang w:val="es-ES"/>
        </w:rPr>
        <w:t xml:space="preserve">. </w:t>
      </w:r>
      <w:r w:rsidRPr="00A1219A">
        <w:rPr>
          <w:sz w:val="20"/>
          <w:lang w:val="es-ES"/>
        </w:rPr>
        <w:t>Asimismo</w:t>
      </w:r>
      <w:r w:rsidR="00222E31" w:rsidRPr="00A1219A">
        <w:rPr>
          <w:sz w:val="20"/>
          <w:lang w:val="es-ES"/>
        </w:rPr>
        <w:t>, denunciaron que “</w:t>
      </w:r>
      <w:r w:rsidR="00831A34" w:rsidRPr="00A1219A">
        <w:rPr>
          <w:sz w:val="20"/>
          <w:lang w:val="es-ES"/>
        </w:rPr>
        <w:t>Paulino Mejía, miembro de la comunidad Garífuna de Punta Piedra, estaba recibiendo amenazas de muerte por parte de tres ladinos que han invadido tierras pertenecientes a la comunidad garifunas en Punta Piedra</w:t>
      </w:r>
      <w:r w:rsidR="00831A34" w:rsidRPr="00A1219A">
        <w:rPr>
          <w:sz w:val="20"/>
          <w:lang w:val="es-ES"/>
        </w:rPr>
        <w:sym w:font="Symbol" w:char="F05B"/>
      </w:r>
      <w:r w:rsidR="00831A34" w:rsidRPr="00A1219A">
        <w:rPr>
          <w:sz w:val="20"/>
          <w:lang w:val="es-ES"/>
        </w:rPr>
        <w:t>…</w:t>
      </w:r>
      <w:r w:rsidR="00831A34" w:rsidRPr="00A1219A">
        <w:rPr>
          <w:sz w:val="20"/>
          <w:lang w:val="es-ES"/>
        </w:rPr>
        <w:sym w:font="Symbol" w:char="F05D"/>
      </w:r>
      <w:r w:rsidR="00831A34" w:rsidRPr="00A1219A">
        <w:rPr>
          <w:sz w:val="20"/>
          <w:lang w:val="es-ES"/>
        </w:rPr>
        <w:t xml:space="preserve"> diciéndole que si no se sale de allí le va a pasar lo mismo que a Félix Ordóñez</w:t>
      </w:r>
      <w:r w:rsidR="00222E31" w:rsidRPr="00A1219A">
        <w:rPr>
          <w:sz w:val="20"/>
          <w:lang w:val="es-ES"/>
        </w:rPr>
        <w:sym w:font="Symbol" w:char="F05B"/>
      </w:r>
      <w:r w:rsidR="00222E31" w:rsidRPr="00A1219A">
        <w:rPr>
          <w:sz w:val="20"/>
          <w:lang w:val="es-ES"/>
        </w:rPr>
        <w:t>…</w:t>
      </w:r>
      <w:r w:rsidR="00222E31" w:rsidRPr="00A1219A">
        <w:rPr>
          <w:sz w:val="20"/>
          <w:lang w:val="es-ES"/>
        </w:rPr>
        <w:sym w:font="Symbol" w:char="F05D"/>
      </w:r>
      <w:r w:rsidR="00222E31" w:rsidRPr="00A1219A">
        <w:rPr>
          <w:sz w:val="20"/>
          <w:lang w:val="es-ES"/>
        </w:rPr>
        <w:t>”</w:t>
      </w:r>
      <w:r w:rsidR="00831A34" w:rsidRPr="00A1219A">
        <w:rPr>
          <w:rStyle w:val="Refdenotaalpie"/>
          <w:sz w:val="20"/>
          <w:lang w:val="es-ES"/>
        </w:rPr>
        <w:footnoteReference w:id="78"/>
      </w:r>
      <w:r w:rsidR="00831A34" w:rsidRPr="00A1219A">
        <w:rPr>
          <w:sz w:val="20"/>
          <w:lang w:val="es-ES"/>
        </w:rPr>
        <w:t>.</w:t>
      </w:r>
    </w:p>
    <w:p w:rsidR="005B625B" w:rsidRPr="00A1219A" w:rsidRDefault="005B625B" w:rsidP="005B625B">
      <w:pPr>
        <w:jc w:val="both"/>
        <w:rPr>
          <w:sz w:val="20"/>
          <w:lang w:val="es-ES"/>
        </w:rPr>
      </w:pPr>
    </w:p>
    <w:p w:rsidR="0074086B" w:rsidRPr="00A1219A" w:rsidRDefault="00C15425" w:rsidP="0074086B">
      <w:pPr>
        <w:numPr>
          <w:ilvl w:val="0"/>
          <w:numId w:val="1"/>
        </w:numPr>
        <w:tabs>
          <w:tab w:val="clear" w:pos="900"/>
        </w:tabs>
        <w:ind w:left="0" w:firstLine="720"/>
        <w:jc w:val="both"/>
        <w:rPr>
          <w:sz w:val="20"/>
          <w:lang w:val="es-ES"/>
        </w:rPr>
      </w:pPr>
      <w:r w:rsidRPr="00A1219A">
        <w:rPr>
          <w:sz w:val="20"/>
          <w:lang w:val="es-ES"/>
        </w:rPr>
        <w:t>Respecto</w:t>
      </w:r>
      <w:r w:rsidR="00F67CC0" w:rsidRPr="00A1219A">
        <w:rPr>
          <w:sz w:val="20"/>
          <w:lang w:val="es-ES"/>
        </w:rPr>
        <w:t xml:space="preserve"> a</w:t>
      </w:r>
      <w:r w:rsidRPr="00A1219A">
        <w:rPr>
          <w:sz w:val="20"/>
          <w:lang w:val="es-ES"/>
        </w:rPr>
        <w:t xml:space="preserve"> las investigativas</w:t>
      </w:r>
      <w:r w:rsidR="008D1EDE" w:rsidRPr="00A1219A">
        <w:rPr>
          <w:sz w:val="20"/>
          <w:lang w:val="es-ES"/>
        </w:rPr>
        <w:t xml:space="preserve"> realizadas</w:t>
      </w:r>
      <w:r w:rsidRPr="00A1219A">
        <w:rPr>
          <w:sz w:val="20"/>
          <w:lang w:val="es-ES"/>
        </w:rPr>
        <w:t>, según la información aportada, entre octubre y diciembre de 20</w:t>
      </w:r>
      <w:r w:rsidR="00F67CC0" w:rsidRPr="00A1219A">
        <w:rPr>
          <w:sz w:val="20"/>
          <w:lang w:val="es-ES"/>
        </w:rPr>
        <w:t>10,</w:t>
      </w:r>
      <w:r w:rsidRPr="00A1219A">
        <w:rPr>
          <w:sz w:val="20"/>
          <w:lang w:val="es-ES"/>
        </w:rPr>
        <w:t xml:space="preserve"> a solicitud de la Fiscalía de Etnias se designaron funcionarios de la Dirección General de Investigación Criminal y el INA para realizar una inspección al terreno y determinar las áreas usurpadas por particulares. No obstante, según afirmó el Estado, la gira “no pudo realizarse</w:t>
      </w:r>
      <w:r w:rsidRPr="00A1219A">
        <w:rPr>
          <w:sz w:val="20"/>
          <w:lang w:val="es-ES"/>
        </w:rPr>
        <w:sym w:font="Symbol" w:char="F05B"/>
      </w:r>
      <w:r w:rsidRPr="00A1219A">
        <w:rPr>
          <w:sz w:val="20"/>
          <w:lang w:val="es-ES"/>
        </w:rPr>
        <w:t>…</w:t>
      </w:r>
      <w:r w:rsidRPr="00A1219A">
        <w:rPr>
          <w:sz w:val="20"/>
          <w:lang w:val="es-ES"/>
        </w:rPr>
        <w:sym w:font="Symbol" w:char="F05D"/>
      </w:r>
      <w:r w:rsidRPr="00A1219A">
        <w:rPr>
          <w:sz w:val="20"/>
          <w:lang w:val="es-ES"/>
        </w:rPr>
        <w:t xml:space="preserve"> por falta de viáticos y transporte a las personas designadas para llevar a cabo esas diligencias”</w:t>
      </w:r>
      <w:r w:rsidRPr="00A1219A">
        <w:rPr>
          <w:rStyle w:val="Refdenotaalpie"/>
          <w:sz w:val="20"/>
          <w:lang w:val="es-ES"/>
        </w:rPr>
        <w:footnoteReference w:id="79"/>
      </w:r>
      <w:r w:rsidRPr="00A1219A">
        <w:rPr>
          <w:sz w:val="20"/>
          <w:lang w:val="es-ES"/>
        </w:rPr>
        <w:t>.</w:t>
      </w:r>
    </w:p>
    <w:p w:rsidR="0074086B" w:rsidRPr="00A1219A" w:rsidRDefault="0074086B" w:rsidP="0074086B">
      <w:pPr>
        <w:jc w:val="both"/>
        <w:rPr>
          <w:sz w:val="20"/>
          <w:lang w:val="es-ES"/>
        </w:rPr>
      </w:pPr>
    </w:p>
    <w:p w:rsidR="00024811" w:rsidRPr="00A1219A" w:rsidRDefault="008B78D3" w:rsidP="0074086B">
      <w:pPr>
        <w:numPr>
          <w:ilvl w:val="0"/>
          <w:numId w:val="1"/>
        </w:numPr>
        <w:tabs>
          <w:tab w:val="clear" w:pos="900"/>
        </w:tabs>
        <w:ind w:left="0" w:firstLine="720"/>
        <w:jc w:val="both"/>
        <w:rPr>
          <w:sz w:val="20"/>
          <w:lang w:val="es-ES"/>
        </w:rPr>
      </w:pPr>
      <w:r w:rsidRPr="00A1219A">
        <w:rPr>
          <w:sz w:val="20"/>
          <w:lang w:val="es-ES"/>
        </w:rPr>
        <w:t>Por otra parte, l</w:t>
      </w:r>
      <w:r w:rsidR="00B71713" w:rsidRPr="00A1219A">
        <w:rPr>
          <w:sz w:val="20"/>
          <w:lang w:val="es-ES"/>
        </w:rPr>
        <w:t xml:space="preserve">a CIDH </w:t>
      </w:r>
      <w:r w:rsidRPr="00A1219A">
        <w:rPr>
          <w:sz w:val="20"/>
          <w:lang w:val="es-ES"/>
        </w:rPr>
        <w:t xml:space="preserve">observa que </w:t>
      </w:r>
      <w:r w:rsidR="00B71713" w:rsidRPr="00A1219A">
        <w:rPr>
          <w:sz w:val="20"/>
          <w:lang w:val="es-ES"/>
        </w:rPr>
        <w:t>paralelamente al proceso de reconocimiento de la propiedad ancestral de la Comunidad</w:t>
      </w:r>
      <w:r w:rsidRPr="00A1219A">
        <w:rPr>
          <w:sz w:val="20"/>
          <w:lang w:val="es-ES"/>
        </w:rPr>
        <w:t xml:space="preserve"> de Punta Piedra</w:t>
      </w:r>
      <w:r w:rsidR="00B71713" w:rsidRPr="00A1219A">
        <w:rPr>
          <w:sz w:val="20"/>
          <w:lang w:val="es-ES"/>
        </w:rPr>
        <w:t xml:space="preserve">, se adoptaron normas y programas dirigidos a la regularización y titulación de la propiedad privada en </w:t>
      </w:r>
      <w:smartTag w:uri="urn:schemas-microsoft-com:office:smarttags" w:element="PersonName">
        <w:r w:rsidR="00B71713" w:rsidRPr="00A1219A">
          <w:rPr>
            <w:sz w:val="20"/>
            <w:lang w:val="es-ES"/>
          </w:rPr>
          <w:t>Honduras</w:t>
        </w:r>
      </w:smartTag>
      <w:r w:rsidR="00B71713" w:rsidRPr="00A1219A">
        <w:rPr>
          <w:sz w:val="20"/>
          <w:lang w:val="es-ES"/>
        </w:rPr>
        <w:t xml:space="preserve"> –como la Ley de Propiedad, aprobada por Decreto No. 82-2004 del 29 de junio de 2004 y el Programa de Administración de Tierra en </w:t>
      </w:r>
      <w:smartTag w:uri="urn:schemas-microsoft-com:office:smarttags" w:element="PersonName">
        <w:r w:rsidR="00B71713" w:rsidRPr="00A1219A">
          <w:rPr>
            <w:sz w:val="20"/>
            <w:lang w:val="es-ES"/>
          </w:rPr>
          <w:t>Honduras</w:t>
        </w:r>
      </w:smartTag>
      <w:r w:rsidR="00B71713" w:rsidRPr="00A1219A">
        <w:rPr>
          <w:sz w:val="20"/>
          <w:lang w:val="es-ES"/>
        </w:rPr>
        <w:t>- a los cuales se han opuesto las comunidades Garífuna</w:t>
      </w:r>
      <w:r w:rsidRPr="00A1219A">
        <w:rPr>
          <w:sz w:val="20"/>
          <w:lang w:val="es-ES"/>
        </w:rPr>
        <w:t>s</w:t>
      </w:r>
      <w:r w:rsidR="00B71713" w:rsidRPr="00A1219A">
        <w:rPr>
          <w:sz w:val="20"/>
          <w:lang w:val="es-ES"/>
        </w:rPr>
        <w:t>, entre ellas Punta Piedra, por</w:t>
      </w:r>
      <w:r w:rsidRPr="00A1219A">
        <w:rPr>
          <w:sz w:val="20"/>
          <w:lang w:val="es-ES"/>
        </w:rPr>
        <w:t>que consideran que serían c</w:t>
      </w:r>
      <w:r w:rsidR="00B71713" w:rsidRPr="00A1219A">
        <w:rPr>
          <w:sz w:val="20"/>
          <w:lang w:val="es-ES"/>
        </w:rPr>
        <w:t>ontrarios al reconocimiento de sus derechos territoriales</w:t>
      </w:r>
      <w:r w:rsidR="00B71713" w:rsidRPr="00A1219A">
        <w:rPr>
          <w:rStyle w:val="Refdenotaalpie"/>
          <w:sz w:val="20"/>
          <w:lang w:val="es-ES"/>
        </w:rPr>
        <w:footnoteReference w:id="80"/>
      </w:r>
      <w:r w:rsidR="00B71713" w:rsidRPr="00A1219A">
        <w:rPr>
          <w:sz w:val="20"/>
          <w:lang w:val="es-ES"/>
        </w:rPr>
        <w:t>.</w:t>
      </w:r>
      <w:r w:rsidR="002230D7" w:rsidRPr="00A1219A">
        <w:rPr>
          <w:sz w:val="20"/>
          <w:lang w:val="es-ES"/>
        </w:rPr>
        <w:t xml:space="preserve"> En específico, la peticionaria argumenta que la Ley de Propiedad de 2004 no fue consultada a los pueblos indígenas y </w:t>
      </w:r>
      <w:r w:rsidR="002230D7" w:rsidRPr="00A1219A">
        <w:rPr>
          <w:sz w:val="20"/>
          <w:lang w:val="es-ES"/>
        </w:rPr>
        <w:lastRenderedPageBreak/>
        <w:t xml:space="preserve">tribales de </w:t>
      </w:r>
      <w:smartTag w:uri="urn:schemas-microsoft-com:office:smarttags" w:element="PersonName">
        <w:r w:rsidR="002230D7" w:rsidRPr="00A1219A">
          <w:rPr>
            <w:sz w:val="20"/>
            <w:lang w:val="es-ES"/>
          </w:rPr>
          <w:t>Honduras</w:t>
        </w:r>
      </w:smartTag>
      <w:r w:rsidR="0074086B" w:rsidRPr="00A1219A">
        <w:rPr>
          <w:sz w:val="20"/>
          <w:lang w:val="es-ES"/>
        </w:rPr>
        <w:t xml:space="preserve">; que </w:t>
      </w:r>
      <w:r w:rsidR="0074086B" w:rsidRPr="00A1219A">
        <w:rPr>
          <w:rFonts w:cs="TimesNewRoman,Bold"/>
          <w:bCs/>
          <w:sz w:val="20"/>
          <w:lang w:val="es-ES"/>
        </w:rPr>
        <w:t>le otorga derechos específicos a personas</w:t>
      </w:r>
      <w:r w:rsidR="0074086B" w:rsidRPr="00A1219A">
        <w:rPr>
          <w:sz w:val="20"/>
          <w:lang w:val="es-ES"/>
        </w:rPr>
        <w:t xml:space="preserve"> </w:t>
      </w:r>
      <w:r w:rsidR="0074086B" w:rsidRPr="00A1219A">
        <w:rPr>
          <w:rFonts w:cs="TimesNewRoman,Bold"/>
          <w:bCs/>
          <w:sz w:val="20"/>
          <w:lang w:val="es-ES"/>
        </w:rPr>
        <w:t>no indígenas ocupantes de tierras indígenas</w:t>
      </w:r>
      <w:r w:rsidR="002230D7" w:rsidRPr="00A1219A">
        <w:rPr>
          <w:sz w:val="20"/>
          <w:lang w:val="es-ES"/>
        </w:rPr>
        <w:t xml:space="preserve"> y</w:t>
      </w:r>
      <w:r w:rsidR="0074086B" w:rsidRPr="00A1219A">
        <w:rPr>
          <w:sz w:val="20"/>
          <w:lang w:val="es-ES"/>
        </w:rPr>
        <w:t>;</w:t>
      </w:r>
      <w:r w:rsidR="002230D7" w:rsidRPr="00A1219A">
        <w:rPr>
          <w:sz w:val="20"/>
          <w:lang w:val="es-ES"/>
        </w:rPr>
        <w:t xml:space="preserve"> que </w:t>
      </w:r>
      <w:r w:rsidR="0074086B" w:rsidRPr="00A1219A">
        <w:rPr>
          <w:sz w:val="20"/>
          <w:lang w:val="es-ES"/>
        </w:rPr>
        <w:t>su</w:t>
      </w:r>
      <w:r w:rsidR="002230D7" w:rsidRPr="00A1219A">
        <w:rPr>
          <w:sz w:val="20"/>
          <w:lang w:val="es-ES"/>
        </w:rPr>
        <w:t xml:space="preserve"> artículo 100 permite </w:t>
      </w:r>
      <w:r w:rsidR="00024811" w:rsidRPr="00A1219A">
        <w:rPr>
          <w:sz w:val="20"/>
          <w:lang w:val="es-ES"/>
        </w:rPr>
        <w:t>atomizar los territorios ancestrales de estos pueblos. Dicho artículo establece que:</w:t>
      </w:r>
    </w:p>
    <w:p w:rsidR="00024811" w:rsidRPr="00A1219A" w:rsidRDefault="00024811" w:rsidP="00024811">
      <w:pPr>
        <w:jc w:val="both"/>
        <w:rPr>
          <w:sz w:val="20"/>
          <w:lang w:val="es-ES"/>
        </w:rPr>
      </w:pPr>
    </w:p>
    <w:p w:rsidR="00024811" w:rsidRPr="00A1219A" w:rsidRDefault="00024811" w:rsidP="00024811">
      <w:pPr>
        <w:ind w:left="720" w:right="720"/>
        <w:jc w:val="both"/>
        <w:rPr>
          <w:sz w:val="18"/>
          <w:szCs w:val="18"/>
          <w:lang w:val="es-ES"/>
        </w:rPr>
      </w:pPr>
      <w:r w:rsidRPr="00A1219A">
        <w:rPr>
          <w:sz w:val="18"/>
          <w:szCs w:val="18"/>
          <w:lang w:val="es-ES"/>
        </w:rPr>
        <w:t xml:space="preserve">Se declara y reconoce que el régimen comunal de las tierras que tradicionalmente poseen estos pueblos conlleva la inalienabilidad, inembargabilidad e imprescriptibilidad de la misma. </w:t>
      </w:r>
    </w:p>
    <w:p w:rsidR="00024811" w:rsidRPr="00A1219A" w:rsidRDefault="00024811" w:rsidP="00024811">
      <w:pPr>
        <w:ind w:left="720" w:right="720"/>
        <w:jc w:val="both"/>
        <w:rPr>
          <w:sz w:val="18"/>
          <w:szCs w:val="18"/>
          <w:lang w:val="es-ES"/>
        </w:rPr>
      </w:pPr>
    </w:p>
    <w:p w:rsidR="00024811" w:rsidRPr="00A1219A" w:rsidRDefault="00024811" w:rsidP="00024811">
      <w:pPr>
        <w:ind w:left="720" w:right="720"/>
        <w:jc w:val="both"/>
        <w:rPr>
          <w:sz w:val="18"/>
          <w:szCs w:val="18"/>
          <w:lang w:val="es-ES"/>
        </w:rPr>
      </w:pPr>
      <w:r w:rsidRPr="00A1219A">
        <w:rPr>
          <w:sz w:val="18"/>
          <w:szCs w:val="18"/>
          <w:lang w:val="es-ES"/>
        </w:rPr>
        <w:t xml:space="preserve">No obstante, las mismas comunidades podrán poner fin a este régimen comunal, autorizar arrendamientos a favor de terceros o autorizar contratos de otra naturaleza que permitan la participación de la comunidad en inversiones que contribuyan a su desarrollo. </w:t>
      </w:r>
    </w:p>
    <w:p w:rsidR="00024811" w:rsidRPr="00A1219A" w:rsidRDefault="00024811" w:rsidP="00024811">
      <w:pPr>
        <w:jc w:val="both"/>
        <w:rPr>
          <w:sz w:val="20"/>
          <w:lang w:val="es-ES"/>
        </w:rPr>
      </w:pPr>
    </w:p>
    <w:p w:rsidR="0048716C" w:rsidRPr="00A1219A" w:rsidRDefault="0048716C" w:rsidP="0048716C">
      <w:pPr>
        <w:numPr>
          <w:ilvl w:val="0"/>
          <w:numId w:val="1"/>
        </w:numPr>
        <w:tabs>
          <w:tab w:val="clear" w:pos="900"/>
        </w:tabs>
        <w:ind w:left="0" w:firstLine="720"/>
        <w:jc w:val="both"/>
        <w:rPr>
          <w:sz w:val="20"/>
          <w:lang w:val="es-ES"/>
        </w:rPr>
      </w:pPr>
      <w:r w:rsidRPr="00A1219A">
        <w:rPr>
          <w:sz w:val="20"/>
          <w:lang w:val="es-ES"/>
        </w:rPr>
        <w:t xml:space="preserve">De los párrafos precedentes, la CIDH observa que </w:t>
      </w:r>
      <w:r w:rsidR="00573194">
        <w:rPr>
          <w:sz w:val="20"/>
          <w:lang w:val="es-ES"/>
        </w:rPr>
        <w:t xml:space="preserve">ni </w:t>
      </w:r>
      <w:r w:rsidRPr="00A1219A">
        <w:rPr>
          <w:sz w:val="20"/>
          <w:lang w:val="es-ES"/>
        </w:rPr>
        <w:t xml:space="preserve">al momento de otorgar los títulos de </w:t>
      </w:r>
      <w:r w:rsidR="0032034E" w:rsidRPr="00A1219A">
        <w:rPr>
          <w:sz w:val="20"/>
          <w:lang w:val="es-ES"/>
        </w:rPr>
        <w:t>dominio</w:t>
      </w:r>
      <w:r w:rsidRPr="00A1219A">
        <w:rPr>
          <w:sz w:val="20"/>
          <w:lang w:val="es-ES"/>
        </w:rPr>
        <w:t xml:space="preserve"> pleno a favor de la Comunidad Punta Piedra, </w:t>
      </w:r>
      <w:r w:rsidR="00573194">
        <w:rPr>
          <w:sz w:val="20"/>
          <w:lang w:val="es-ES"/>
        </w:rPr>
        <w:t xml:space="preserve">ni posteriormente </w:t>
      </w:r>
      <w:r w:rsidRPr="00A1219A">
        <w:rPr>
          <w:sz w:val="20"/>
          <w:lang w:val="es-ES"/>
        </w:rPr>
        <w:t xml:space="preserve">las autoridades estatales competentes garantizaron </w:t>
      </w:r>
      <w:r w:rsidR="0032034E" w:rsidRPr="00A1219A">
        <w:rPr>
          <w:sz w:val="20"/>
          <w:lang w:val="es-ES"/>
        </w:rPr>
        <w:t xml:space="preserve">a través del saneamiento, </w:t>
      </w:r>
      <w:r w:rsidRPr="00A1219A">
        <w:rPr>
          <w:sz w:val="20"/>
          <w:lang w:val="es-ES"/>
        </w:rPr>
        <w:t>la posesión pacífica de los territorios ancestrales de la Comunidad frente a su ocupación por parte de terceros</w:t>
      </w:r>
      <w:r w:rsidR="008E3A20" w:rsidRPr="00A1219A">
        <w:rPr>
          <w:rStyle w:val="Refdenotaalpie"/>
          <w:sz w:val="20"/>
          <w:lang w:val="es-ES"/>
        </w:rPr>
        <w:footnoteReference w:id="81"/>
      </w:r>
      <w:r w:rsidRPr="00A1219A">
        <w:rPr>
          <w:sz w:val="20"/>
          <w:lang w:val="es-ES"/>
        </w:rPr>
        <w:t>. Esto queda evidenciado, en particular, en el acta de compromiso suscrita el 6 de diciembre de 1999 con distintas autoridades estatales –entre ellas el INA- en que se afirma que el título de dominio pleno sobre 1.513 hectáreas fue concedido “sin haber hecho el saneamiento respectivo, o sea, el pago de mejoras a los ocupantes de la comunidad de Río Miel”</w:t>
      </w:r>
      <w:r w:rsidRPr="00A1219A">
        <w:rPr>
          <w:rStyle w:val="Refdenotaalpie"/>
          <w:sz w:val="20"/>
          <w:lang w:val="es-ES"/>
        </w:rPr>
        <w:footnoteReference w:id="82"/>
      </w:r>
      <w:r w:rsidRPr="00A1219A">
        <w:rPr>
          <w:sz w:val="20"/>
          <w:lang w:val="es-ES"/>
        </w:rPr>
        <w:t>. Asimismo, en un informe elaborado por funcionarios del INA se señala que “</w:t>
      </w:r>
      <w:r w:rsidRPr="00A1219A">
        <w:rPr>
          <w:sz w:val="20"/>
          <w:lang w:val="es-ES"/>
        </w:rPr>
        <w:sym w:font="Symbol" w:char="F05B"/>
      </w:r>
      <w:r w:rsidRPr="00A1219A">
        <w:rPr>
          <w:sz w:val="20"/>
          <w:lang w:val="es-ES"/>
        </w:rPr>
        <w:t>d</w:t>
      </w:r>
      <w:r w:rsidRPr="00A1219A">
        <w:rPr>
          <w:sz w:val="20"/>
          <w:lang w:val="es-ES"/>
        </w:rPr>
        <w:sym w:font="Symbol" w:char="F05D"/>
      </w:r>
      <w:r w:rsidRPr="00A1219A">
        <w:rPr>
          <w:sz w:val="20"/>
          <w:lang w:val="es-ES"/>
        </w:rPr>
        <w:t>entro del área antes referida [haciendo alusión al territorio ocupado históricamente por comunidades Garífunas] hay que señalar que en las últimas administraciones se emitieron títulos de ampliación de tierras sin considerar las ocupaciones garifunas existentes; ya que lo procedente en ese caso era la ejecución de un saneamiento previo o la exclusión de esas áreas. Esto ha dado lugar a la generación de conflictos entre pobladores Garífunas y ladinos”</w:t>
      </w:r>
      <w:r w:rsidRPr="00A1219A">
        <w:rPr>
          <w:rStyle w:val="Refdenotaalpie"/>
          <w:sz w:val="20"/>
          <w:lang w:val="es-ES"/>
        </w:rPr>
        <w:footnoteReference w:id="83"/>
      </w:r>
      <w:r w:rsidRPr="00A1219A">
        <w:rPr>
          <w:sz w:val="20"/>
          <w:lang w:val="es-ES"/>
        </w:rPr>
        <w:t>.</w:t>
      </w:r>
    </w:p>
    <w:p w:rsidR="00B71713" w:rsidRPr="00A1219A" w:rsidRDefault="00B71713" w:rsidP="00B213F8">
      <w:pPr>
        <w:jc w:val="both"/>
        <w:rPr>
          <w:sz w:val="20"/>
          <w:lang w:val="es-ES"/>
        </w:rPr>
      </w:pPr>
    </w:p>
    <w:p w:rsidR="006031A2" w:rsidRPr="00A1219A" w:rsidDel="003E311F" w:rsidRDefault="006031A2" w:rsidP="00693812">
      <w:pPr>
        <w:pStyle w:val="Ttulo1"/>
        <w:spacing w:before="0" w:after="0"/>
        <w:ind w:left="1440" w:hanging="720"/>
        <w:rPr>
          <w:rFonts w:ascii="Univers" w:hAnsi="Univers"/>
          <w:sz w:val="20"/>
          <w:lang w:val="es-ES"/>
        </w:rPr>
      </w:pPr>
      <w:bookmarkStart w:id="28" w:name="_Toc336248011"/>
      <w:bookmarkStart w:id="29" w:name="_Toc350183588"/>
      <w:r w:rsidRPr="00A1219A">
        <w:rPr>
          <w:rFonts w:ascii="Univers" w:hAnsi="Univers"/>
          <w:sz w:val="20"/>
          <w:lang w:val="es-ES"/>
        </w:rPr>
        <w:t>V.</w:t>
      </w:r>
      <w:r w:rsidRPr="00A1219A">
        <w:rPr>
          <w:rFonts w:ascii="Univers" w:hAnsi="Univers"/>
          <w:sz w:val="20"/>
          <w:lang w:val="es-ES"/>
        </w:rPr>
        <w:tab/>
        <w:t>ANÁLISIS DE DERECHO</w:t>
      </w:r>
      <w:bookmarkEnd w:id="28"/>
      <w:bookmarkEnd w:id="29"/>
    </w:p>
    <w:p w:rsidR="006031A2" w:rsidRPr="00A1219A" w:rsidRDefault="006031A2" w:rsidP="00693812">
      <w:pPr>
        <w:ind w:firstLine="720"/>
        <w:jc w:val="both"/>
        <w:rPr>
          <w:sz w:val="20"/>
          <w:lang w:val="es-ES"/>
        </w:rPr>
      </w:pPr>
    </w:p>
    <w:p w:rsidR="00117C15" w:rsidRPr="00A1219A" w:rsidRDefault="00117C15" w:rsidP="00693812">
      <w:pPr>
        <w:pStyle w:val="Ttulo2"/>
        <w:numPr>
          <w:ilvl w:val="0"/>
          <w:numId w:val="9"/>
        </w:numPr>
        <w:spacing w:before="0" w:after="0"/>
        <w:rPr>
          <w:rFonts w:ascii="Univers" w:hAnsi="Univers"/>
          <w:i w:val="0"/>
          <w:sz w:val="20"/>
          <w:lang w:val="es-ES"/>
        </w:rPr>
      </w:pPr>
      <w:bookmarkStart w:id="30" w:name="_Toc336248012"/>
      <w:bookmarkStart w:id="31" w:name="_Toc350183589"/>
      <w:r w:rsidRPr="00A1219A">
        <w:rPr>
          <w:rFonts w:ascii="Univers" w:hAnsi="Univers"/>
          <w:i w:val="0"/>
          <w:iCs w:val="0"/>
          <w:sz w:val="20"/>
          <w:lang w:val="es-ES"/>
        </w:rPr>
        <w:t>Cuestiones previas</w:t>
      </w:r>
      <w:bookmarkEnd w:id="30"/>
      <w:bookmarkEnd w:id="31"/>
    </w:p>
    <w:p w:rsidR="00E411B8" w:rsidRPr="00A1219A" w:rsidRDefault="00E411B8" w:rsidP="00693812">
      <w:pPr>
        <w:jc w:val="both"/>
        <w:rPr>
          <w:sz w:val="20"/>
          <w:lang w:val="es-ES"/>
        </w:rPr>
      </w:pPr>
    </w:p>
    <w:p w:rsidR="00117C15" w:rsidRPr="00A1219A" w:rsidRDefault="00117C15" w:rsidP="007F1AAD">
      <w:pPr>
        <w:numPr>
          <w:ilvl w:val="0"/>
          <w:numId w:val="1"/>
        </w:numPr>
        <w:tabs>
          <w:tab w:val="clear" w:pos="900"/>
        </w:tabs>
        <w:ind w:left="0" w:firstLine="720"/>
        <w:jc w:val="both"/>
        <w:rPr>
          <w:sz w:val="20"/>
          <w:lang w:val="es-ES"/>
        </w:rPr>
      </w:pPr>
      <w:r w:rsidRPr="00A1219A">
        <w:rPr>
          <w:sz w:val="20"/>
          <w:lang w:val="es-ES"/>
        </w:rPr>
        <w:t xml:space="preserve">El pueblo Garífuna, producto del sincretismo cultural entre indígenas y africanos, ha hecho valer sus derechos en </w:t>
      </w:r>
      <w:smartTag w:uri="urn:schemas-microsoft-com:office:smarttags" w:element="PersonName">
        <w:r w:rsidRPr="00A1219A">
          <w:rPr>
            <w:sz w:val="20"/>
            <w:lang w:val="es-ES"/>
          </w:rPr>
          <w:t>Honduras</w:t>
        </w:r>
      </w:smartTag>
      <w:r w:rsidRPr="00A1219A">
        <w:rPr>
          <w:sz w:val="20"/>
          <w:lang w:val="es-ES"/>
        </w:rPr>
        <w:t xml:space="preserve"> como pueblo indígena. Como se estableció, el pueblo Garífuna ha mantenido sus propias formas culturales, organizaciones e instituciones sociales y culturales, forma de vida, cosmovisión, usos, costumbres, prácticas ceremoniales, idioma, vestuario y relación especial con la tierra. Tales elementos hacen de los Garífuna una cultura y un grupo étnico diferenciado, cuyos miembros comparten entre sí características sociales, culturales y económicas, ausentes en otros sectores de la sociedad hondureña, en particular la relación especial con las tierras ocupadas históricamente, así como la concepción colectiva de la propiedad ancestral. </w:t>
      </w:r>
      <w:r w:rsidR="008D3A87" w:rsidRPr="00A1219A">
        <w:rPr>
          <w:sz w:val="20"/>
          <w:lang w:val="es-ES"/>
        </w:rPr>
        <w:t xml:space="preserve">El carácter indígena del pueblo Garífuna no ha sido controvertido por el Estado de </w:t>
      </w:r>
      <w:smartTag w:uri="urn:schemas-microsoft-com:office:smarttags" w:element="PersonName">
        <w:r w:rsidR="008D3A87" w:rsidRPr="00A1219A">
          <w:rPr>
            <w:sz w:val="20"/>
            <w:lang w:val="es-ES"/>
          </w:rPr>
          <w:t>Honduras</w:t>
        </w:r>
      </w:smartTag>
      <w:r w:rsidR="008D3A87" w:rsidRPr="00A1219A">
        <w:rPr>
          <w:sz w:val="20"/>
          <w:lang w:val="es-ES"/>
        </w:rPr>
        <w:t xml:space="preserve"> en el presente caso.</w:t>
      </w:r>
    </w:p>
    <w:p w:rsidR="00117C15" w:rsidRPr="00A1219A" w:rsidRDefault="00117C15" w:rsidP="00693812">
      <w:pPr>
        <w:ind w:firstLine="720"/>
        <w:jc w:val="both"/>
        <w:rPr>
          <w:sz w:val="20"/>
          <w:lang w:val="es-ES"/>
        </w:rPr>
      </w:pPr>
    </w:p>
    <w:p w:rsidR="00C67AFA" w:rsidRPr="00A1219A" w:rsidRDefault="00117C15" w:rsidP="00C67AFA">
      <w:pPr>
        <w:numPr>
          <w:ilvl w:val="0"/>
          <w:numId w:val="1"/>
        </w:numPr>
        <w:tabs>
          <w:tab w:val="clear" w:pos="900"/>
        </w:tabs>
        <w:ind w:left="0" w:firstLine="720"/>
        <w:jc w:val="both"/>
        <w:rPr>
          <w:sz w:val="20"/>
          <w:lang w:val="es-ES"/>
        </w:rPr>
      </w:pPr>
      <w:r w:rsidRPr="00A1219A">
        <w:rPr>
          <w:sz w:val="20"/>
          <w:lang w:val="es-ES"/>
        </w:rPr>
        <w:t>Los órganos del sistema interamericano de derechos humanos han sostenido, con base en el artículo 1.1 de la Convención, que los miembros de los pueblos indígenas y tribales precisan ciertas medidas especiales para garantizar el ejercicio pleno de sus derechos, en especial respecto del goce de sus derechos de propiedad, a fin de garantizar su supervivencia física y cultural</w:t>
      </w:r>
      <w:r w:rsidRPr="00A1219A">
        <w:rPr>
          <w:rStyle w:val="Refdenotaalpie"/>
          <w:sz w:val="20"/>
          <w:szCs w:val="24"/>
          <w:lang w:val="es-ES"/>
        </w:rPr>
        <w:footnoteReference w:id="84"/>
      </w:r>
      <w:r w:rsidRPr="00A1219A">
        <w:rPr>
          <w:sz w:val="20"/>
          <w:lang w:val="es-ES"/>
        </w:rPr>
        <w:t>. En virtud a ello, la Comisión analizar</w:t>
      </w:r>
      <w:r w:rsidRPr="00A1219A">
        <w:rPr>
          <w:rFonts w:cs="Tahoma"/>
          <w:sz w:val="20"/>
          <w:lang w:val="es-ES"/>
        </w:rPr>
        <w:t>á</w:t>
      </w:r>
      <w:r w:rsidRPr="00A1219A">
        <w:rPr>
          <w:sz w:val="20"/>
          <w:lang w:val="es-ES"/>
        </w:rPr>
        <w:t xml:space="preserve"> el caso de la Comunidad Garífuna de </w:t>
      </w:r>
      <w:r w:rsidR="000009DC" w:rsidRPr="00A1219A">
        <w:rPr>
          <w:sz w:val="20"/>
          <w:lang w:val="es-ES"/>
        </w:rPr>
        <w:t>Punta Piedra</w:t>
      </w:r>
      <w:r w:rsidRPr="00A1219A">
        <w:rPr>
          <w:sz w:val="20"/>
          <w:lang w:val="es-ES"/>
        </w:rPr>
        <w:t xml:space="preserve"> teniendo presente la </w:t>
      </w:r>
      <w:r w:rsidRPr="00A1219A">
        <w:rPr>
          <w:sz w:val="20"/>
          <w:lang w:val="es-ES"/>
        </w:rPr>
        <w:lastRenderedPageBreak/>
        <w:t xml:space="preserve">jurisprudencia del sistema interamericano respecto de los derechos de los pueblos indígenas, en atención a sus características sociales, culturales y económicas distintivas, incluyendo la relación especial con sus territorios ancestrales. </w:t>
      </w:r>
    </w:p>
    <w:p w:rsidR="00646F74" w:rsidRPr="00A1219A" w:rsidRDefault="00646F74" w:rsidP="00693812">
      <w:pPr>
        <w:jc w:val="both"/>
        <w:rPr>
          <w:sz w:val="20"/>
          <w:lang w:val="es-ES"/>
        </w:rPr>
      </w:pPr>
    </w:p>
    <w:p w:rsidR="00117C15" w:rsidRPr="00A1219A" w:rsidRDefault="00117C15" w:rsidP="00693812">
      <w:pPr>
        <w:pStyle w:val="Ttulo2"/>
        <w:numPr>
          <w:ilvl w:val="0"/>
          <w:numId w:val="9"/>
        </w:numPr>
        <w:spacing w:before="0" w:after="0"/>
        <w:jc w:val="both"/>
        <w:rPr>
          <w:rFonts w:ascii="Univers" w:hAnsi="Univers"/>
          <w:i w:val="0"/>
          <w:sz w:val="20"/>
          <w:szCs w:val="20"/>
          <w:lang w:val="es-ES"/>
        </w:rPr>
      </w:pPr>
      <w:bookmarkStart w:id="32" w:name="_Toc336248013"/>
      <w:bookmarkStart w:id="33" w:name="_Toc350183590"/>
      <w:r w:rsidRPr="00A1219A">
        <w:rPr>
          <w:rFonts w:ascii="Univers" w:hAnsi="Univers"/>
          <w:i w:val="0"/>
          <w:sz w:val="20"/>
          <w:lang w:val="es-ES"/>
        </w:rPr>
        <w:t>Artículo 21 de la Convención, en relación con los artículos 1.1 y 2 del mismo instrumento</w:t>
      </w:r>
      <w:bookmarkEnd w:id="32"/>
      <w:bookmarkEnd w:id="33"/>
    </w:p>
    <w:p w:rsidR="00117C15" w:rsidRPr="00A1219A" w:rsidRDefault="00117C15" w:rsidP="00693812">
      <w:pPr>
        <w:jc w:val="both"/>
        <w:rPr>
          <w:sz w:val="20"/>
          <w:lang w:val="es-ES"/>
        </w:rPr>
      </w:pPr>
    </w:p>
    <w:p w:rsidR="00EA598D" w:rsidRPr="00A1219A" w:rsidRDefault="00EA598D" w:rsidP="00EA598D">
      <w:pPr>
        <w:pStyle w:val="Ttulo3"/>
        <w:spacing w:before="0" w:after="0"/>
        <w:ind w:left="1440" w:hanging="720"/>
        <w:jc w:val="both"/>
        <w:rPr>
          <w:rFonts w:ascii="Univers" w:hAnsi="Univers"/>
          <w:sz w:val="20"/>
          <w:lang w:val="es-ES"/>
        </w:rPr>
      </w:pPr>
      <w:bookmarkStart w:id="34" w:name="_Toc350183591"/>
      <w:r w:rsidRPr="00A1219A">
        <w:rPr>
          <w:rFonts w:ascii="Univers" w:hAnsi="Univers"/>
          <w:sz w:val="20"/>
          <w:lang w:val="es-ES"/>
        </w:rPr>
        <w:t>1.</w:t>
      </w:r>
      <w:r w:rsidRPr="00A1219A">
        <w:rPr>
          <w:rFonts w:ascii="Univers" w:hAnsi="Univers"/>
          <w:sz w:val="20"/>
          <w:lang w:val="es-ES"/>
        </w:rPr>
        <w:tab/>
        <w:t>Los derechos territoriales de los pueblos indígenas en el sistema interamericano de derechos humanos</w:t>
      </w:r>
      <w:bookmarkEnd w:id="34"/>
    </w:p>
    <w:p w:rsidR="00EA598D" w:rsidRPr="00A1219A" w:rsidRDefault="00EA598D" w:rsidP="00693812">
      <w:pPr>
        <w:jc w:val="both"/>
        <w:rPr>
          <w:sz w:val="20"/>
          <w:lang w:val="es-ES"/>
        </w:rPr>
      </w:pPr>
    </w:p>
    <w:p w:rsidR="00117C15" w:rsidRPr="00A1219A" w:rsidRDefault="00117C15" w:rsidP="007F1AAD">
      <w:pPr>
        <w:numPr>
          <w:ilvl w:val="0"/>
          <w:numId w:val="1"/>
        </w:numPr>
        <w:tabs>
          <w:tab w:val="clear" w:pos="900"/>
        </w:tabs>
        <w:ind w:left="0" w:firstLine="720"/>
        <w:jc w:val="both"/>
        <w:rPr>
          <w:sz w:val="20"/>
          <w:lang w:val="es-ES"/>
        </w:rPr>
      </w:pPr>
      <w:r w:rsidRPr="00A1219A">
        <w:rPr>
          <w:sz w:val="20"/>
          <w:lang w:val="es-ES"/>
        </w:rPr>
        <w:t>La jurisprudencia del sistema interamericano de derechos humanos ha reconocido reiteradamente el derecho de propiedad de los pueblos indígenas sobre sus territorios ancestrales, y el deber de protección que emana del artículo 21 de la Convención Americana. Al respecto, la CIDH ha afirmado que los pueblos indígenas y tribales tienen un derecho de propiedad comunal sobre las tierras que han usado y ocupado tradicionalmente, y que “el carácter de ese derecho está en función de las modalidades de uso de la tierra y la tenencia consuetudinaria de la tierra”</w:t>
      </w:r>
      <w:r w:rsidRPr="00A1219A">
        <w:rPr>
          <w:rStyle w:val="Refdenotaalpie"/>
          <w:sz w:val="20"/>
          <w:lang w:val="es-ES"/>
        </w:rPr>
        <w:t xml:space="preserve"> </w:t>
      </w:r>
      <w:r w:rsidRPr="00A1219A">
        <w:rPr>
          <w:rStyle w:val="Refdenotaalpie"/>
          <w:sz w:val="20"/>
          <w:lang w:val="es-ES"/>
        </w:rPr>
        <w:footnoteReference w:id="85"/>
      </w:r>
      <w:r w:rsidRPr="00A1219A">
        <w:rPr>
          <w:sz w:val="20"/>
          <w:lang w:val="es-ES"/>
        </w:rPr>
        <w:t>. En este mismo sentido, la Corte Interamericana ha señalado que “entre los indígenas existe una tradición comunitaria sobre la forma comunal de la propiedad colectiva en el sentido de que la pertenencia de ésta no se centra en un individuo sino en el grupo y su comunidad”</w:t>
      </w:r>
      <w:r w:rsidRPr="00A1219A">
        <w:rPr>
          <w:rStyle w:val="Refdenotaalpie"/>
          <w:sz w:val="20"/>
          <w:lang w:val="es-ES"/>
        </w:rPr>
        <w:footnoteReference w:id="86"/>
      </w:r>
      <w:r w:rsidRPr="00A1219A">
        <w:rPr>
          <w:sz w:val="20"/>
          <w:lang w:val="es-ES"/>
        </w:rPr>
        <w:t>.</w:t>
      </w:r>
    </w:p>
    <w:p w:rsidR="00117C15" w:rsidRPr="00A1219A" w:rsidRDefault="00117C15" w:rsidP="00693812">
      <w:pPr>
        <w:jc w:val="both"/>
        <w:rPr>
          <w:sz w:val="20"/>
          <w:lang w:val="es-ES"/>
        </w:rPr>
      </w:pPr>
    </w:p>
    <w:p w:rsidR="00117C15" w:rsidRPr="00A1219A" w:rsidRDefault="00117C15" w:rsidP="007F1AAD">
      <w:pPr>
        <w:numPr>
          <w:ilvl w:val="0"/>
          <w:numId w:val="1"/>
        </w:numPr>
        <w:tabs>
          <w:tab w:val="clear" w:pos="900"/>
        </w:tabs>
        <w:ind w:left="0" w:firstLine="720"/>
        <w:jc w:val="both"/>
        <w:rPr>
          <w:sz w:val="20"/>
          <w:lang w:val="es-ES"/>
        </w:rPr>
      </w:pPr>
      <w:r w:rsidRPr="00A1219A">
        <w:rPr>
          <w:sz w:val="20"/>
          <w:lang w:val="es-ES"/>
        </w:rPr>
        <w:t>Además de la concepción colectiva de la propiedad, los pueblos indígenas tienen una relación especial, única e internacionalmente protegida con sus territorios ancestrales, que está ausente en el caso de los no indígenas. Esta relación especial y única entre los pueblos indígenas y sus territorios tradicionales tiene protección jurídica internacional. Según han afirmado la CIDH y la Corte Interamericana, la preservación de la conexión particular entre las comunidades indígenas y sus tierras y recursos se vincula a la existencia misma de estos pueblos, y por lo mismo “amerita medidas especiales de protección”</w:t>
      </w:r>
      <w:r w:rsidRPr="00A1219A">
        <w:rPr>
          <w:rStyle w:val="Refdenotaalpie"/>
          <w:sz w:val="20"/>
          <w:lang w:val="es-ES"/>
        </w:rPr>
        <w:footnoteReference w:id="87"/>
      </w:r>
      <w:r w:rsidRPr="00A1219A">
        <w:rPr>
          <w:sz w:val="20"/>
          <w:lang w:val="es-ES"/>
        </w:rPr>
        <w:t>. El derecho a la propiedad de los pueblos indígenas y tribales protege esta vinculación estrecha que guardan con sus territorios y con los recursos naturales ligados a su cultura que allí se encuentran</w:t>
      </w:r>
      <w:r w:rsidRPr="00A1219A">
        <w:rPr>
          <w:rStyle w:val="Refdenotaalpie"/>
          <w:sz w:val="20"/>
          <w:lang w:val="es-ES"/>
        </w:rPr>
        <w:footnoteReference w:id="88"/>
      </w:r>
      <w:r w:rsidRPr="00A1219A">
        <w:rPr>
          <w:sz w:val="20"/>
          <w:lang w:val="es-ES"/>
        </w:rPr>
        <w:t>.</w:t>
      </w:r>
    </w:p>
    <w:p w:rsidR="00117C15" w:rsidRPr="00A1219A" w:rsidRDefault="00117C15" w:rsidP="00693812">
      <w:pPr>
        <w:jc w:val="both"/>
        <w:rPr>
          <w:sz w:val="20"/>
          <w:lang w:val="es-ES"/>
        </w:rPr>
      </w:pPr>
    </w:p>
    <w:p w:rsidR="00117C15" w:rsidRPr="00A1219A" w:rsidRDefault="00117C15" w:rsidP="007F1AAD">
      <w:pPr>
        <w:numPr>
          <w:ilvl w:val="0"/>
          <w:numId w:val="1"/>
        </w:numPr>
        <w:tabs>
          <w:tab w:val="clear" w:pos="900"/>
        </w:tabs>
        <w:ind w:left="0" w:firstLine="720"/>
        <w:jc w:val="both"/>
        <w:rPr>
          <w:sz w:val="18"/>
          <w:szCs w:val="18"/>
          <w:lang w:val="es-ES"/>
        </w:rPr>
      </w:pPr>
      <w:r w:rsidRPr="00A1219A">
        <w:rPr>
          <w:sz w:val="20"/>
          <w:lang w:val="es-ES"/>
        </w:rPr>
        <w:t xml:space="preserve">La protección de los derechos de propiedad, garantías y protección judicial está reforzada por la obligación general de respetar los derechos humanos impuesta por el artículo 1.1 de la Convención. Además, el artículo 2 de la Convención Americana establece que si el ejercicio de los derechos y libertades mencionados en el artículo 1 no estuviere ya garantizado por disposiciones legislativas o de otro carácter, los Estados partes se comprometen a adoptar, con arreglo a sus </w:t>
      </w:r>
      <w:r w:rsidRPr="00A1219A">
        <w:rPr>
          <w:sz w:val="20"/>
          <w:lang w:val="es-ES"/>
        </w:rPr>
        <w:lastRenderedPageBreak/>
        <w:t>procedimientos constitucionales y a las disposiciones de esta Convención, las medidas legislativas o de otro carácter que fueren necesarias para hacer efectivos tales derechos y libertades</w:t>
      </w:r>
      <w:r w:rsidRPr="00A1219A">
        <w:rPr>
          <w:rStyle w:val="Refdenotaalpie"/>
          <w:sz w:val="20"/>
          <w:lang w:val="es-ES"/>
        </w:rPr>
        <w:footnoteReference w:id="89"/>
      </w:r>
      <w:r w:rsidRPr="00A1219A">
        <w:rPr>
          <w:sz w:val="20"/>
          <w:lang w:val="es-ES"/>
        </w:rPr>
        <w:t xml:space="preserve">. </w:t>
      </w:r>
    </w:p>
    <w:p w:rsidR="00AD4905" w:rsidRPr="00A1219A" w:rsidRDefault="00AD4905" w:rsidP="00693812">
      <w:pPr>
        <w:jc w:val="both"/>
        <w:rPr>
          <w:sz w:val="20"/>
          <w:lang w:val="es-ES"/>
        </w:rPr>
      </w:pPr>
    </w:p>
    <w:p w:rsidR="00AD4905" w:rsidRPr="00A1219A" w:rsidRDefault="00AD4905" w:rsidP="007F1AAD">
      <w:pPr>
        <w:numPr>
          <w:ilvl w:val="0"/>
          <w:numId w:val="1"/>
        </w:numPr>
        <w:tabs>
          <w:tab w:val="clear" w:pos="900"/>
        </w:tabs>
        <w:ind w:left="0" w:firstLine="720"/>
        <w:jc w:val="both"/>
        <w:rPr>
          <w:rFonts w:cs="Verdana"/>
          <w:sz w:val="20"/>
          <w:lang w:val="es-ES"/>
        </w:rPr>
      </w:pPr>
      <w:r w:rsidRPr="00A1219A">
        <w:rPr>
          <w:rFonts w:cs="Verdana"/>
          <w:sz w:val="20"/>
          <w:lang w:val="es-ES"/>
        </w:rPr>
        <w:t xml:space="preserve">Asimismo, tanto la CIDH como la Corte Interamericana han establecido que los pueblos indígenas, como sujetos colectivos distintos a sus miembros individuales, son titulares de derechos reconocidos por </w:t>
      </w:r>
      <w:r w:rsidRPr="00A1219A">
        <w:rPr>
          <w:sz w:val="20"/>
          <w:lang w:val="es-ES"/>
        </w:rPr>
        <w:t>la</w:t>
      </w:r>
      <w:r w:rsidRPr="00A1219A">
        <w:rPr>
          <w:rFonts w:cs="Verdana"/>
          <w:sz w:val="20"/>
          <w:lang w:val="es-ES"/>
        </w:rPr>
        <w:t xml:space="preserve"> Convención Americana. Al respecto, en su sentencia en el </w:t>
      </w:r>
      <w:r w:rsidRPr="00A1219A">
        <w:rPr>
          <w:rFonts w:cs="Verdana"/>
          <w:i/>
          <w:sz w:val="20"/>
          <w:lang w:val="es-ES"/>
        </w:rPr>
        <w:t xml:space="preserve">Caso Pueblo Indígena </w:t>
      </w:r>
      <w:proofErr w:type="spellStart"/>
      <w:r w:rsidRPr="00A1219A">
        <w:rPr>
          <w:rFonts w:cs="Verdana"/>
          <w:i/>
          <w:sz w:val="20"/>
          <w:lang w:val="es-ES"/>
        </w:rPr>
        <w:t>Kichwa</w:t>
      </w:r>
      <w:proofErr w:type="spellEnd"/>
      <w:r w:rsidRPr="00A1219A">
        <w:rPr>
          <w:rFonts w:cs="Verdana"/>
          <w:i/>
          <w:sz w:val="20"/>
          <w:lang w:val="es-ES"/>
        </w:rPr>
        <w:t xml:space="preserve"> de </w:t>
      </w:r>
      <w:proofErr w:type="spellStart"/>
      <w:r w:rsidRPr="00A1219A">
        <w:rPr>
          <w:rFonts w:cs="Verdana"/>
          <w:i/>
          <w:sz w:val="20"/>
          <w:lang w:val="es-ES"/>
        </w:rPr>
        <w:t>Sarayaku</w:t>
      </w:r>
      <w:proofErr w:type="spellEnd"/>
      <w:r w:rsidRPr="00A1219A">
        <w:rPr>
          <w:rFonts w:cs="Verdana"/>
          <w:i/>
          <w:sz w:val="20"/>
          <w:lang w:val="es-ES"/>
        </w:rPr>
        <w:t xml:space="preserve"> Vs. Ecuador</w:t>
      </w:r>
      <w:r w:rsidRPr="00A1219A">
        <w:rPr>
          <w:rFonts w:cs="Verdana"/>
          <w:sz w:val="20"/>
          <w:lang w:val="es-ES"/>
        </w:rPr>
        <w:t>, la Corte Interamericana advirtió que “la normativa internacional relativa a pueblos y comunidades indígenas o tribales reconoce derechos a los pueblos como sujetos colectivos del Derecho Internacional y no únicamente a sus miembros”. Además, la Corte precisó que “[p]</w:t>
      </w:r>
      <w:proofErr w:type="spellStart"/>
      <w:r w:rsidRPr="00A1219A">
        <w:rPr>
          <w:rFonts w:cs="Verdana"/>
          <w:sz w:val="20"/>
          <w:lang w:val="es-ES"/>
        </w:rPr>
        <w:t>uesto</w:t>
      </w:r>
      <w:proofErr w:type="spellEnd"/>
      <w:r w:rsidRPr="00A1219A">
        <w:rPr>
          <w:rFonts w:cs="Verdana"/>
          <w:sz w:val="20"/>
          <w:lang w:val="es-ES"/>
        </w:rPr>
        <w:t xml:space="preserve"> que los pueblos y comunidades indígenas o tribales, cohesionados por sus particulares formas de vida e identidad, ejercen algunos derechos reconocidos por la Convención desde una dimensión colectiva, la Corte señala que las consideraciones de derecho expresadas o vertidas en la presente Sentencia deben entenderse desde dicha perspectiva colectiva”</w:t>
      </w:r>
      <w:r w:rsidRPr="00A1219A">
        <w:rPr>
          <w:rStyle w:val="Refdenotaalpie"/>
          <w:sz w:val="20"/>
          <w:lang w:val="es-ES"/>
        </w:rPr>
        <w:footnoteReference w:id="90"/>
      </w:r>
      <w:r w:rsidRPr="00A1219A">
        <w:rPr>
          <w:rFonts w:cs="Verdana"/>
          <w:sz w:val="20"/>
          <w:lang w:val="es-ES"/>
        </w:rPr>
        <w:t>. En tal sentido, será desde una perspectiva colectiva que, como en casos anteriores</w:t>
      </w:r>
      <w:r w:rsidRPr="00A1219A">
        <w:rPr>
          <w:rStyle w:val="Refdenotaalpie"/>
          <w:sz w:val="20"/>
          <w:lang w:val="es-ES"/>
        </w:rPr>
        <w:footnoteReference w:id="91"/>
      </w:r>
      <w:r w:rsidRPr="00A1219A">
        <w:rPr>
          <w:rFonts w:cs="Verdana"/>
          <w:sz w:val="20"/>
          <w:lang w:val="es-ES"/>
        </w:rPr>
        <w:t>, la CIDH analizará el presente asunto.</w:t>
      </w:r>
    </w:p>
    <w:p w:rsidR="00117C15" w:rsidRPr="00A1219A" w:rsidRDefault="00117C15" w:rsidP="00693812">
      <w:pPr>
        <w:ind w:left="720"/>
        <w:jc w:val="both"/>
        <w:rPr>
          <w:lang w:val="es-ES"/>
        </w:rPr>
      </w:pPr>
    </w:p>
    <w:p w:rsidR="00EA598D" w:rsidRPr="00A1219A" w:rsidRDefault="00EA598D" w:rsidP="00BF7518">
      <w:pPr>
        <w:ind w:left="1440" w:hanging="720"/>
        <w:jc w:val="both"/>
        <w:outlineLvl w:val="2"/>
        <w:rPr>
          <w:b/>
          <w:sz w:val="20"/>
          <w:lang w:val="es-ES"/>
        </w:rPr>
      </w:pPr>
      <w:bookmarkStart w:id="35" w:name="_Toc350183592"/>
      <w:r w:rsidRPr="00A1219A">
        <w:rPr>
          <w:b/>
          <w:sz w:val="20"/>
          <w:lang w:val="es-ES"/>
        </w:rPr>
        <w:t>2.</w:t>
      </w:r>
      <w:r w:rsidRPr="00A1219A">
        <w:rPr>
          <w:b/>
          <w:sz w:val="20"/>
          <w:lang w:val="es-ES"/>
        </w:rPr>
        <w:tab/>
        <w:t xml:space="preserve">Derecho a la propiedad colectiva de la Comunidad </w:t>
      </w:r>
      <w:r w:rsidRPr="00A1219A">
        <w:rPr>
          <w:b/>
          <w:bCs/>
          <w:sz w:val="20"/>
          <w:lang w:val="es-ES"/>
        </w:rPr>
        <w:t>de Punta Piedra</w:t>
      </w:r>
      <w:r w:rsidRPr="00A1219A">
        <w:rPr>
          <w:b/>
          <w:sz w:val="20"/>
          <w:lang w:val="es-ES"/>
        </w:rPr>
        <w:t xml:space="preserve"> y sus miembros</w:t>
      </w:r>
      <w:bookmarkEnd w:id="35"/>
    </w:p>
    <w:p w:rsidR="00EA598D" w:rsidRPr="00A1219A" w:rsidRDefault="00EA598D" w:rsidP="00693812">
      <w:pPr>
        <w:ind w:left="720"/>
        <w:jc w:val="both"/>
        <w:rPr>
          <w:lang w:val="es-ES"/>
        </w:rPr>
      </w:pPr>
    </w:p>
    <w:p w:rsidR="00117C15" w:rsidRPr="00A1219A" w:rsidRDefault="00117C15" w:rsidP="007F1AAD">
      <w:pPr>
        <w:numPr>
          <w:ilvl w:val="0"/>
          <w:numId w:val="1"/>
        </w:numPr>
        <w:tabs>
          <w:tab w:val="clear" w:pos="900"/>
        </w:tabs>
        <w:ind w:left="0" w:firstLine="720"/>
        <w:jc w:val="both"/>
        <w:rPr>
          <w:sz w:val="20"/>
          <w:lang w:val="es-ES"/>
        </w:rPr>
      </w:pPr>
      <w:r w:rsidRPr="00A1219A">
        <w:rPr>
          <w:sz w:val="20"/>
          <w:lang w:val="es-ES"/>
        </w:rPr>
        <w:t>La Constitución hondureña de 1982 reconoce la existencia de los pueblos indígenas y la importancia que reviste preservar y estimular su cultura</w:t>
      </w:r>
      <w:r w:rsidRPr="00A1219A">
        <w:rPr>
          <w:rStyle w:val="Refdenotaalpie"/>
          <w:sz w:val="20"/>
          <w:lang w:val="es-ES"/>
        </w:rPr>
        <w:footnoteReference w:id="92"/>
      </w:r>
      <w:r w:rsidRPr="00A1219A">
        <w:rPr>
          <w:sz w:val="20"/>
          <w:lang w:val="es-ES"/>
        </w:rPr>
        <w:t>. La Constitución, en su artículo 346, reconoce el derecho de propiedad de los pueblos indígenas y establece la obligación de dictar medidas de protección de los derechos e intereses de las comunidades indígenas existentes en el país. Dicha disposición, a la letra, señala que:</w:t>
      </w:r>
    </w:p>
    <w:p w:rsidR="00117C15" w:rsidRPr="00A1219A" w:rsidRDefault="00117C15" w:rsidP="00693812">
      <w:pPr>
        <w:jc w:val="both"/>
        <w:rPr>
          <w:sz w:val="20"/>
          <w:lang w:val="es-ES"/>
        </w:rPr>
      </w:pPr>
    </w:p>
    <w:p w:rsidR="00117C15" w:rsidRPr="00A1219A" w:rsidRDefault="00117C15" w:rsidP="00693812">
      <w:pPr>
        <w:ind w:left="720" w:right="720"/>
        <w:jc w:val="both"/>
        <w:rPr>
          <w:sz w:val="18"/>
          <w:szCs w:val="18"/>
          <w:lang w:val="es-ES"/>
        </w:rPr>
      </w:pPr>
      <w:r w:rsidRPr="00A1219A">
        <w:rPr>
          <w:sz w:val="18"/>
          <w:szCs w:val="18"/>
          <w:lang w:val="es-ES"/>
        </w:rPr>
        <w:t>Es deber del Estado dictar medidas de protección de los derechos e intereses de las comunidades indígenas existentes en el país, especialmente de las tierras y bosques donde estuvieren asentadas.</w:t>
      </w:r>
    </w:p>
    <w:p w:rsidR="00117C15" w:rsidRPr="00A1219A" w:rsidRDefault="00117C15" w:rsidP="00693812">
      <w:pPr>
        <w:jc w:val="both"/>
        <w:rPr>
          <w:sz w:val="20"/>
          <w:lang w:val="es-ES"/>
        </w:rPr>
      </w:pPr>
    </w:p>
    <w:p w:rsidR="00117C15" w:rsidRPr="00A1219A" w:rsidRDefault="00117C15" w:rsidP="007F1AAD">
      <w:pPr>
        <w:numPr>
          <w:ilvl w:val="0"/>
          <w:numId w:val="1"/>
        </w:numPr>
        <w:tabs>
          <w:tab w:val="clear" w:pos="900"/>
        </w:tabs>
        <w:ind w:left="0" w:firstLine="720"/>
        <w:jc w:val="both"/>
        <w:rPr>
          <w:sz w:val="20"/>
          <w:lang w:val="es-ES"/>
        </w:rPr>
      </w:pPr>
      <w:r w:rsidRPr="00A1219A">
        <w:rPr>
          <w:sz w:val="20"/>
          <w:lang w:val="es-ES"/>
        </w:rPr>
        <w:t xml:space="preserve">Además del texto constitucional, se encuentran normas en el orden jurídico interno que reconocen derechos territoriales de los pueblos indígenas, en particular, el citado artículo 92 de </w:t>
      </w:r>
      <w:r w:rsidRPr="00A1219A">
        <w:rPr>
          <w:rFonts w:cs="Arial"/>
          <w:sz w:val="20"/>
          <w:lang w:val="es-ES"/>
        </w:rPr>
        <w:t xml:space="preserve">la Ley de </w:t>
      </w:r>
      <w:r w:rsidRPr="00A1219A">
        <w:rPr>
          <w:sz w:val="20"/>
          <w:lang w:val="es-ES"/>
        </w:rPr>
        <w:t>Modernización</w:t>
      </w:r>
      <w:r w:rsidRPr="00A1219A">
        <w:rPr>
          <w:rFonts w:cs="Arial"/>
          <w:sz w:val="20"/>
          <w:lang w:val="es-ES"/>
        </w:rPr>
        <w:t xml:space="preserve"> y Desarrollo del Sector Agrario de 1992</w:t>
      </w:r>
      <w:r w:rsidRPr="00A1219A">
        <w:rPr>
          <w:rStyle w:val="Refdenotaalpie"/>
          <w:sz w:val="20"/>
          <w:lang w:val="es-ES"/>
        </w:rPr>
        <w:footnoteReference w:id="93"/>
      </w:r>
      <w:r w:rsidRPr="00A1219A">
        <w:rPr>
          <w:rFonts w:cs="Arial"/>
          <w:sz w:val="20"/>
          <w:lang w:val="es-ES"/>
        </w:rPr>
        <w:t xml:space="preserve">, y </w:t>
      </w:r>
      <w:r w:rsidRPr="00A1219A">
        <w:rPr>
          <w:sz w:val="20"/>
          <w:lang w:val="es-ES"/>
        </w:rPr>
        <w:t xml:space="preserve">la Ley de Propiedad, aprobada mediante Decreto No. 82-2004 del 29 de junio de 2004, cuyo capítulo III -artículos 93 a 102- se refiere al “proceso de regularización de la propiedad inmueble para los pueblos indígenas y </w:t>
      </w:r>
      <w:proofErr w:type="spellStart"/>
      <w:r w:rsidRPr="00A1219A">
        <w:rPr>
          <w:sz w:val="20"/>
          <w:lang w:val="es-ES"/>
        </w:rPr>
        <w:t>afrohondureños</w:t>
      </w:r>
      <w:proofErr w:type="spellEnd"/>
      <w:r w:rsidRPr="00A1219A">
        <w:rPr>
          <w:sz w:val="20"/>
          <w:lang w:val="es-ES"/>
        </w:rPr>
        <w:t xml:space="preserve">”. En dicha ley se </w:t>
      </w:r>
      <w:r w:rsidRPr="00A1219A">
        <w:rPr>
          <w:rFonts w:cs="Helvetica"/>
          <w:sz w:val="20"/>
          <w:lang w:val="es-ES"/>
        </w:rPr>
        <w:t xml:space="preserve">reconoce el régimen comunal de las tierras que tradicionalmente poseen los pueblos indígenas y </w:t>
      </w:r>
      <w:proofErr w:type="spellStart"/>
      <w:r w:rsidRPr="00A1219A">
        <w:rPr>
          <w:rFonts w:cs="Helvetica"/>
          <w:sz w:val="20"/>
          <w:lang w:val="es-ES"/>
        </w:rPr>
        <w:t>afrohondureños</w:t>
      </w:r>
      <w:proofErr w:type="spellEnd"/>
      <w:r w:rsidRPr="00A1219A">
        <w:rPr>
          <w:rFonts w:cs="Helvetica"/>
          <w:sz w:val="20"/>
          <w:lang w:val="es-ES"/>
        </w:rPr>
        <w:t xml:space="preserve"> con las características de inalienable, inembargable e imprescriptible</w:t>
      </w:r>
      <w:r w:rsidRPr="00A1219A">
        <w:rPr>
          <w:rStyle w:val="Refdenotaalpie"/>
          <w:sz w:val="20"/>
          <w:lang w:val="es-ES"/>
        </w:rPr>
        <w:footnoteReference w:id="94"/>
      </w:r>
      <w:r w:rsidRPr="00A1219A">
        <w:rPr>
          <w:rFonts w:cs="Helvetica"/>
          <w:sz w:val="20"/>
          <w:lang w:val="es-ES"/>
        </w:rPr>
        <w:t xml:space="preserve">, así como </w:t>
      </w:r>
      <w:r w:rsidRPr="00A1219A">
        <w:rPr>
          <w:rFonts w:cs="Helvetica"/>
          <w:sz w:val="20"/>
          <w:lang w:val="es-ES"/>
        </w:rPr>
        <w:lastRenderedPageBreak/>
        <w:t>también se reconoce la importancia especial que para las culturas y valores espirituales de los pueblos reviste su relación con las tierras</w:t>
      </w:r>
      <w:r w:rsidRPr="00A1219A">
        <w:rPr>
          <w:rStyle w:val="Refdenotaalpie"/>
          <w:sz w:val="18"/>
          <w:szCs w:val="18"/>
          <w:lang w:val="es-ES"/>
        </w:rPr>
        <w:footnoteReference w:id="95"/>
      </w:r>
      <w:r w:rsidRPr="00A1219A">
        <w:rPr>
          <w:sz w:val="18"/>
          <w:szCs w:val="18"/>
          <w:lang w:val="es-ES"/>
        </w:rPr>
        <w:t>.</w:t>
      </w:r>
    </w:p>
    <w:p w:rsidR="00117C15" w:rsidRPr="00A1219A" w:rsidRDefault="00117C15" w:rsidP="00693812">
      <w:pPr>
        <w:jc w:val="both"/>
        <w:rPr>
          <w:sz w:val="20"/>
          <w:lang w:val="es-ES"/>
        </w:rPr>
      </w:pPr>
    </w:p>
    <w:p w:rsidR="00117C15" w:rsidRPr="00A1219A" w:rsidRDefault="009D70DE" w:rsidP="007F1AAD">
      <w:pPr>
        <w:numPr>
          <w:ilvl w:val="0"/>
          <w:numId w:val="1"/>
        </w:numPr>
        <w:tabs>
          <w:tab w:val="clear" w:pos="900"/>
        </w:tabs>
        <w:ind w:left="0" w:firstLine="720"/>
        <w:jc w:val="both"/>
        <w:rPr>
          <w:rFonts w:cs="Arial"/>
          <w:color w:val="333333"/>
          <w:sz w:val="18"/>
          <w:szCs w:val="18"/>
          <w:shd w:val="clear" w:color="auto" w:fill="FFFFFF"/>
          <w:lang w:val="es-ES"/>
        </w:rPr>
      </w:pPr>
      <w:r w:rsidRPr="00A1219A">
        <w:rPr>
          <w:sz w:val="20"/>
          <w:lang w:val="es-ES"/>
        </w:rPr>
        <w:t>De otro lado</w:t>
      </w:r>
      <w:r w:rsidR="00117C15" w:rsidRPr="00A1219A">
        <w:rPr>
          <w:sz w:val="20"/>
          <w:lang w:val="es-ES"/>
        </w:rPr>
        <w:t xml:space="preserve">, mediante Decreto No. 26-94 del </w:t>
      </w:r>
      <w:r w:rsidR="00B35AE9" w:rsidRPr="00A1219A">
        <w:rPr>
          <w:sz w:val="20"/>
          <w:lang w:val="es-ES"/>
        </w:rPr>
        <w:t xml:space="preserve">10 de mayo </w:t>
      </w:r>
      <w:r w:rsidR="00117C15" w:rsidRPr="00A1219A">
        <w:rPr>
          <w:sz w:val="20"/>
          <w:lang w:val="es-ES"/>
        </w:rPr>
        <w:t>de 1994</w:t>
      </w:r>
      <w:r w:rsidR="00B35AE9" w:rsidRPr="00A1219A">
        <w:rPr>
          <w:sz w:val="20"/>
          <w:lang w:val="es-ES"/>
        </w:rPr>
        <w:t>, publicado el 30 de julio de 1994</w:t>
      </w:r>
      <w:r w:rsidR="00117C15" w:rsidRPr="00A1219A">
        <w:rPr>
          <w:sz w:val="20"/>
          <w:lang w:val="es-ES"/>
        </w:rPr>
        <w:t xml:space="preserve">, </w:t>
      </w:r>
      <w:smartTag w:uri="urn:schemas-microsoft-com:office:smarttags" w:element="PersonName">
        <w:r w:rsidR="00117C15" w:rsidRPr="00A1219A">
          <w:rPr>
            <w:sz w:val="20"/>
            <w:lang w:val="es-ES"/>
          </w:rPr>
          <w:t>Honduras</w:t>
        </w:r>
      </w:smartTag>
      <w:r w:rsidR="00117C15" w:rsidRPr="00A1219A">
        <w:rPr>
          <w:sz w:val="20"/>
          <w:lang w:val="es-ES"/>
        </w:rPr>
        <w:t xml:space="preserve"> aprobó la ratificación del Convenio 169 sobre Pueblos Indígenas y Tribales en Países Independientes de la Organización Internacional del Trabajo</w:t>
      </w:r>
      <w:r w:rsidR="00B35AE9" w:rsidRPr="00A1219A">
        <w:rPr>
          <w:sz w:val="20"/>
          <w:lang w:val="es-ES"/>
        </w:rPr>
        <w:t>. Este Convenio</w:t>
      </w:r>
      <w:r w:rsidR="00117C15" w:rsidRPr="00A1219A">
        <w:rPr>
          <w:sz w:val="20"/>
          <w:lang w:val="es-ES"/>
        </w:rPr>
        <w:t xml:space="preserve"> se encuentra en vigor para el Estado hondureño desde el </w:t>
      </w:r>
      <w:r w:rsidR="00117C15" w:rsidRPr="00A1219A">
        <w:rPr>
          <w:rFonts w:cs="Arial"/>
          <w:sz w:val="20"/>
          <w:shd w:val="clear" w:color="auto" w:fill="FFFFFF"/>
          <w:lang w:val="es-ES"/>
        </w:rPr>
        <w:t>28 de marzo de 1995.</w:t>
      </w:r>
      <w:r w:rsidR="00117C15" w:rsidRPr="00A1219A">
        <w:rPr>
          <w:sz w:val="20"/>
          <w:lang w:val="es-ES"/>
        </w:rPr>
        <w:t xml:space="preserve"> Con la ratificación de dicho Convenio, el Estado se obligó a adoptar medidas especiales para garantizar a los pueblos indígenas el goce efectivo de los derechos humanos y libertades fundamentales sin restricciones, así como a incluir medidas que promuevan la plena efectividad de sus derechos sociales, económicos y culturales, respetando su identidad social y cultural, sus costumbres, tradiciones e instituciones. En relación al derecho de propiedad el Convenio en su artículo 14 establece: </w:t>
      </w:r>
    </w:p>
    <w:p w:rsidR="00117C15" w:rsidRPr="00A1219A" w:rsidRDefault="00117C15" w:rsidP="00693812">
      <w:pPr>
        <w:ind w:left="720" w:right="720"/>
        <w:jc w:val="both"/>
        <w:rPr>
          <w:sz w:val="18"/>
          <w:szCs w:val="18"/>
          <w:lang w:val="es-ES"/>
        </w:rPr>
      </w:pPr>
    </w:p>
    <w:p w:rsidR="00117C15" w:rsidRPr="00A1219A" w:rsidRDefault="00117C15" w:rsidP="00693812">
      <w:pPr>
        <w:ind w:left="720" w:right="720"/>
        <w:jc w:val="both"/>
        <w:rPr>
          <w:rFonts w:cs="Arial"/>
          <w:bCs/>
          <w:sz w:val="18"/>
          <w:szCs w:val="18"/>
          <w:lang w:val="es-ES"/>
        </w:rPr>
      </w:pPr>
      <w:r w:rsidRPr="00A1219A">
        <w:rPr>
          <w:sz w:val="18"/>
          <w:szCs w:val="18"/>
          <w:lang w:val="es-ES"/>
        </w:rPr>
        <w:t>[</w:t>
      </w:r>
      <w:proofErr w:type="gramStart"/>
      <w:r w:rsidRPr="00A1219A">
        <w:rPr>
          <w:sz w:val="18"/>
          <w:szCs w:val="18"/>
          <w:lang w:val="es-ES"/>
        </w:rPr>
        <w:t>d]</w:t>
      </w:r>
      <w:proofErr w:type="spellStart"/>
      <w:proofErr w:type="gramEnd"/>
      <w:r w:rsidRPr="00A1219A">
        <w:rPr>
          <w:rFonts w:cs="Arial"/>
          <w:bCs/>
          <w:sz w:val="18"/>
          <w:szCs w:val="18"/>
          <w:lang w:val="es-ES"/>
        </w:rPr>
        <w:t>eberá</w:t>
      </w:r>
      <w:proofErr w:type="spellEnd"/>
      <w:r w:rsidRPr="00A1219A">
        <w:rPr>
          <w:rFonts w:cs="Arial"/>
          <w:bCs/>
          <w:sz w:val="18"/>
          <w:szCs w:val="18"/>
          <w:lang w:val="es-ES"/>
        </w:rPr>
        <w:t xml:space="preserve"> reconocerse a los pueblos interesados el derecho de propiedad y de posesión sobre las tierras que tradicionalmente ocupan. Además, en los casos apropiados, deberán tomarse medidas para salvaguardar el derecho de los pueblos interesados a utilizar tierras que no estén exclusivamente ocupadas por ellos, pero a las que hayan tenido tradicionalmente acceso para sus actividades tradicionales y de subsistencia. </w:t>
      </w:r>
    </w:p>
    <w:p w:rsidR="00117C15" w:rsidRPr="00A1219A" w:rsidRDefault="00117C15" w:rsidP="00693812">
      <w:pPr>
        <w:jc w:val="both"/>
        <w:rPr>
          <w:sz w:val="20"/>
          <w:lang w:val="es-ES"/>
        </w:rPr>
      </w:pPr>
    </w:p>
    <w:p w:rsidR="00117C15" w:rsidRPr="00A1219A" w:rsidRDefault="00117C15" w:rsidP="007F1AAD">
      <w:pPr>
        <w:numPr>
          <w:ilvl w:val="0"/>
          <w:numId w:val="1"/>
        </w:numPr>
        <w:tabs>
          <w:tab w:val="clear" w:pos="900"/>
        </w:tabs>
        <w:ind w:left="0" w:firstLine="720"/>
        <w:jc w:val="both"/>
        <w:rPr>
          <w:sz w:val="20"/>
          <w:lang w:val="es-ES"/>
        </w:rPr>
      </w:pPr>
      <w:r w:rsidRPr="00A1219A">
        <w:rPr>
          <w:sz w:val="20"/>
          <w:lang w:val="es-ES"/>
        </w:rPr>
        <w:t xml:space="preserve">El Convenio 169, parte de la legislación interna de </w:t>
      </w:r>
      <w:smartTag w:uri="urn:schemas-microsoft-com:office:smarttags" w:element="PersonName">
        <w:r w:rsidRPr="00A1219A">
          <w:rPr>
            <w:sz w:val="20"/>
            <w:lang w:val="es-ES"/>
          </w:rPr>
          <w:t>Honduras</w:t>
        </w:r>
      </w:smartTag>
      <w:r w:rsidRPr="00A1219A">
        <w:rPr>
          <w:sz w:val="20"/>
          <w:lang w:val="es-ES"/>
        </w:rPr>
        <w:t>, también establece obligaciones de consulta y participación de los pueblos indígenas en los asuntos que los afectan y una serie de normas que guardan relación con los derechos sobre sus tierras, la protección eficaz en materia de contratación y empleo, la seguridad social y los servicios de salud, la educación y los medios de educación.</w:t>
      </w:r>
    </w:p>
    <w:p w:rsidR="00117C15" w:rsidRPr="00A1219A" w:rsidRDefault="00117C15" w:rsidP="00693812">
      <w:pPr>
        <w:jc w:val="both"/>
        <w:rPr>
          <w:sz w:val="20"/>
          <w:lang w:val="es-ES"/>
        </w:rPr>
      </w:pPr>
    </w:p>
    <w:p w:rsidR="005D611B" w:rsidRPr="00A1219A" w:rsidRDefault="000402D4" w:rsidP="0057366E">
      <w:pPr>
        <w:numPr>
          <w:ilvl w:val="0"/>
          <w:numId w:val="1"/>
        </w:numPr>
        <w:tabs>
          <w:tab w:val="clear" w:pos="900"/>
        </w:tabs>
        <w:ind w:left="0" w:firstLine="720"/>
        <w:jc w:val="both"/>
        <w:rPr>
          <w:sz w:val="20"/>
          <w:lang w:val="es-ES"/>
        </w:rPr>
      </w:pPr>
      <w:r w:rsidRPr="00A1219A">
        <w:rPr>
          <w:sz w:val="20"/>
          <w:lang w:val="es-ES"/>
        </w:rPr>
        <w:t>En el</w:t>
      </w:r>
      <w:r w:rsidR="0032204B" w:rsidRPr="00A1219A">
        <w:rPr>
          <w:sz w:val="20"/>
          <w:lang w:val="es-ES"/>
        </w:rPr>
        <w:t xml:space="preserve"> presente</w:t>
      </w:r>
      <w:r w:rsidRPr="00A1219A">
        <w:rPr>
          <w:sz w:val="20"/>
          <w:lang w:val="es-ES"/>
        </w:rPr>
        <w:t xml:space="preserve"> caso, </w:t>
      </w:r>
      <w:r w:rsidR="0032204B" w:rsidRPr="00A1219A">
        <w:rPr>
          <w:rFonts w:cs="Arial"/>
          <w:sz w:val="20"/>
          <w:lang w:val="es-ES"/>
        </w:rPr>
        <w:t xml:space="preserve">la presencia ancestral de </w:t>
      </w:r>
      <w:r w:rsidR="0032204B" w:rsidRPr="00A1219A">
        <w:rPr>
          <w:sz w:val="20"/>
          <w:lang w:val="es-ES"/>
        </w:rPr>
        <w:t xml:space="preserve">la Comunidad Garífuna de Punta Piedra no ha sido controvertida por el Estado, ni ha presentado éste pruebas que contradigan o impugnen las que acreditan su vinculación de larga data con la tierra. Por el contrario, el Estado ha reconocido expresamente </w:t>
      </w:r>
      <w:r w:rsidR="00A53530" w:rsidRPr="00A1219A">
        <w:rPr>
          <w:sz w:val="20"/>
          <w:lang w:val="es-ES"/>
        </w:rPr>
        <w:t xml:space="preserve">ante la CIDH </w:t>
      </w:r>
      <w:r w:rsidR="0032204B" w:rsidRPr="00A1219A">
        <w:rPr>
          <w:sz w:val="20"/>
          <w:lang w:val="es-ES"/>
        </w:rPr>
        <w:t>que la Comunidad tiene derecho a l</w:t>
      </w:r>
      <w:r w:rsidR="00223D7B" w:rsidRPr="00A1219A">
        <w:rPr>
          <w:sz w:val="20"/>
          <w:lang w:val="es-ES"/>
        </w:rPr>
        <w:t>a propiedad colectiva sobre el territorio ocupado históricamente</w:t>
      </w:r>
      <w:r w:rsidR="0032204B" w:rsidRPr="00A1219A">
        <w:rPr>
          <w:sz w:val="20"/>
          <w:lang w:val="es-ES"/>
        </w:rPr>
        <w:t xml:space="preserve">, </w:t>
      </w:r>
      <w:r w:rsidR="00F104E8" w:rsidRPr="00A1219A">
        <w:rPr>
          <w:sz w:val="20"/>
          <w:lang w:val="es-ES"/>
        </w:rPr>
        <w:t>reconocimiento que se refleja</w:t>
      </w:r>
      <w:r w:rsidR="00A53530" w:rsidRPr="00A1219A">
        <w:rPr>
          <w:sz w:val="20"/>
          <w:lang w:val="es-ES"/>
        </w:rPr>
        <w:t xml:space="preserve"> en el otorgamiento </w:t>
      </w:r>
      <w:r w:rsidR="0057366E" w:rsidRPr="00A1219A">
        <w:rPr>
          <w:sz w:val="20"/>
          <w:lang w:val="es-ES"/>
        </w:rPr>
        <w:t xml:space="preserve">en 1993 y en 1999 de títulos de dominio pleno sobre 800,64 hectáreas y 1.513,54 hectáreas, respectivamente. </w:t>
      </w:r>
    </w:p>
    <w:p w:rsidR="005D611B" w:rsidRPr="00A1219A" w:rsidRDefault="005D611B" w:rsidP="005D611B">
      <w:pPr>
        <w:jc w:val="both"/>
        <w:rPr>
          <w:bCs/>
          <w:sz w:val="20"/>
          <w:lang w:val="es-ES"/>
        </w:rPr>
      </w:pPr>
    </w:p>
    <w:p w:rsidR="0032204B" w:rsidRPr="00A1219A" w:rsidRDefault="00453D5E" w:rsidP="0057366E">
      <w:pPr>
        <w:numPr>
          <w:ilvl w:val="0"/>
          <w:numId w:val="1"/>
        </w:numPr>
        <w:tabs>
          <w:tab w:val="clear" w:pos="900"/>
        </w:tabs>
        <w:ind w:left="0" w:firstLine="720"/>
        <w:jc w:val="both"/>
        <w:rPr>
          <w:sz w:val="20"/>
          <w:lang w:val="es-ES"/>
        </w:rPr>
      </w:pPr>
      <w:r w:rsidRPr="00A1219A">
        <w:rPr>
          <w:bCs/>
          <w:sz w:val="20"/>
          <w:lang w:val="es-ES"/>
        </w:rPr>
        <w:t xml:space="preserve">Como se observó, en el presente asunto no </w:t>
      </w:r>
      <w:r w:rsidR="0032204B" w:rsidRPr="00A1219A">
        <w:rPr>
          <w:bCs/>
          <w:sz w:val="20"/>
          <w:lang w:val="es-ES"/>
        </w:rPr>
        <w:t xml:space="preserve">está en discusión el derecho de propiedad de </w:t>
      </w:r>
      <w:r w:rsidR="00223D7B" w:rsidRPr="00A1219A">
        <w:rPr>
          <w:bCs/>
          <w:sz w:val="20"/>
          <w:lang w:val="es-ES"/>
        </w:rPr>
        <w:t>la Comunidad de Punta Piedra</w:t>
      </w:r>
      <w:r w:rsidR="0032204B" w:rsidRPr="00A1219A">
        <w:rPr>
          <w:bCs/>
          <w:sz w:val="20"/>
          <w:lang w:val="es-ES"/>
        </w:rPr>
        <w:t xml:space="preserve"> sobre </w:t>
      </w:r>
      <w:r w:rsidRPr="00A1219A">
        <w:rPr>
          <w:bCs/>
          <w:sz w:val="20"/>
          <w:lang w:val="es-ES"/>
        </w:rPr>
        <w:t>su territorio</w:t>
      </w:r>
      <w:r w:rsidR="00223D7B" w:rsidRPr="00A1219A">
        <w:rPr>
          <w:bCs/>
          <w:sz w:val="20"/>
          <w:lang w:val="es-ES"/>
        </w:rPr>
        <w:t>, ni</w:t>
      </w:r>
      <w:r w:rsidR="0032204B" w:rsidRPr="00A1219A">
        <w:rPr>
          <w:bCs/>
          <w:sz w:val="20"/>
          <w:lang w:val="es-ES"/>
        </w:rPr>
        <w:t xml:space="preserve"> la entrega de un título jurídico </w:t>
      </w:r>
      <w:r w:rsidR="00223D7B" w:rsidRPr="00A1219A">
        <w:rPr>
          <w:bCs/>
          <w:sz w:val="20"/>
          <w:lang w:val="es-ES"/>
        </w:rPr>
        <w:t>que reconozca tal derecho,</w:t>
      </w:r>
      <w:r w:rsidR="0032204B" w:rsidRPr="00A1219A">
        <w:rPr>
          <w:bCs/>
          <w:sz w:val="20"/>
          <w:lang w:val="es-ES"/>
        </w:rPr>
        <w:t xml:space="preserve"> </w:t>
      </w:r>
      <w:r w:rsidR="00223D7B" w:rsidRPr="00A1219A">
        <w:rPr>
          <w:bCs/>
          <w:sz w:val="20"/>
          <w:lang w:val="es-ES"/>
        </w:rPr>
        <w:t xml:space="preserve">sino </w:t>
      </w:r>
      <w:r w:rsidR="00DF13FF" w:rsidRPr="00A1219A">
        <w:rPr>
          <w:bCs/>
          <w:sz w:val="20"/>
          <w:lang w:val="es-ES"/>
        </w:rPr>
        <w:t>la obligación de garantizar su posesión pacífica a través del saneamiento y</w:t>
      </w:r>
      <w:r w:rsidR="00223D7B" w:rsidRPr="00A1219A">
        <w:rPr>
          <w:bCs/>
          <w:sz w:val="20"/>
          <w:lang w:val="es-ES"/>
        </w:rPr>
        <w:t xml:space="preserve"> </w:t>
      </w:r>
      <w:r w:rsidR="00D63BA6" w:rsidRPr="00A1219A">
        <w:rPr>
          <w:bCs/>
          <w:sz w:val="20"/>
          <w:lang w:val="es-ES"/>
        </w:rPr>
        <w:t>su</w:t>
      </w:r>
      <w:r w:rsidR="0032204B" w:rsidRPr="00A1219A">
        <w:rPr>
          <w:sz w:val="20"/>
          <w:lang w:val="es-ES"/>
        </w:rPr>
        <w:t xml:space="preserve"> protección efectiva </w:t>
      </w:r>
      <w:r w:rsidR="00223D7B" w:rsidRPr="00A1219A">
        <w:rPr>
          <w:sz w:val="20"/>
          <w:lang w:val="es-ES"/>
        </w:rPr>
        <w:t>frente a terceros</w:t>
      </w:r>
      <w:r w:rsidR="0032204B" w:rsidRPr="00A1219A">
        <w:rPr>
          <w:sz w:val="20"/>
          <w:lang w:val="es-ES"/>
        </w:rPr>
        <w:t>.</w:t>
      </w:r>
    </w:p>
    <w:p w:rsidR="0032204B" w:rsidRPr="00A1219A" w:rsidRDefault="0032204B" w:rsidP="00693812">
      <w:pPr>
        <w:jc w:val="both"/>
        <w:rPr>
          <w:sz w:val="20"/>
          <w:lang w:val="es-ES"/>
        </w:rPr>
      </w:pPr>
    </w:p>
    <w:p w:rsidR="006B7E20" w:rsidRPr="00A1219A" w:rsidRDefault="00D63BA6" w:rsidP="006B7E20">
      <w:pPr>
        <w:numPr>
          <w:ilvl w:val="0"/>
          <w:numId w:val="1"/>
        </w:numPr>
        <w:tabs>
          <w:tab w:val="clear" w:pos="900"/>
        </w:tabs>
        <w:ind w:left="0" w:firstLine="720"/>
        <w:jc w:val="both"/>
        <w:rPr>
          <w:sz w:val="20"/>
          <w:lang w:val="es-ES"/>
        </w:rPr>
      </w:pPr>
      <w:r w:rsidRPr="00A1219A">
        <w:rPr>
          <w:sz w:val="20"/>
          <w:lang w:val="es-ES"/>
        </w:rPr>
        <w:t>Al respecto, la CIDH ha señalado que</w:t>
      </w:r>
      <w:r w:rsidR="006B7E20" w:rsidRPr="00A1219A">
        <w:rPr>
          <w:sz w:val="20"/>
          <w:lang w:val="es-ES"/>
        </w:rPr>
        <w:t xml:space="preserve"> asegurar el goce efectivo de la propiedad territorial por los pueblos indígenas y sus miembros es uno de los objetivos últimos de la protección jurídica de este derecho. Los Estados están obligados a adoptar medidas especiales para garantizar el disfrute efectivo del derecho a la propiedad territorial de los pueblos indígenas</w:t>
      </w:r>
      <w:r w:rsidR="006B7E20" w:rsidRPr="00A1219A">
        <w:rPr>
          <w:rStyle w:val="Refdenotaalpie"/>
          <w:sz w:val="20"/>
          <w:lang w:val="es-ES"/>
        </w:rPr>
        <w:footnoteReference w:id="96"/>
      </w:r>
      <w:r w:rsidR="006B7E20" w:rsidRPr="00A1219A">
        <w:rPr>
          <w:sz w:val="20"/>
          <w:lang w:val="es-ES"/>
        </w:rPr>
        <w:t xml:space="preserve">. Por este motivo, la CIDH ha enfatizado que “la demarcación y registro legal de las tierras indígenas constituye en la realidad sólo un primer paso en su establecimiento y defensa real”, ya que </w:t>
      </w:r>
      <w:r w:rsidR="00A43B2B" w:rsidRPr="00A1219A">
        <w:rPr>
          <w:sz w:val="20"/>
          <w:lang w:val="es-ES"/>
        </w:rPr>
        <w:t xml:space="preserve">muy frecuentemente </w:t>
      </w:r>
      <w:r w:rsidR="006B7E20" w:rsidRPr="00A1219A">
        <w:rPr>
          <w:sz w:val="20"/>
          <w:lang w:val="es-ES"/>
        </w:rPr>
        <w:t>la propiedad y posesión efectivas se ven continuamente amenazadas, usurpadas o reducidas por distintas acciones de hecho o de derecho</w:t>
      </w:r>
      <w:r w:rsidR="006B7E20" w:rsidRPr="00A1219A">
        <w:rPr>
          <w:rStyle w:val="Refdenotaalpie"/>
          <w:sz w:val="20"/>
          <w:lang w:val="es-ES"/>
        </w:rPr>
        <w:footnoteReference w:id="97"/>
      </w:r>
      <w:r w:rsidR="006B7E20" w:rsidRPr="00A1219A">
        <w:rPr>
          <w:sz w:val="20"/>
          <w:lang w:val="es-ES"/>
        </w:rPr>
        <w:t xml:space="preserve">. </w:t>
      </w:r>
    </w:p>
    <w:p w:rsidR="006B7E20" w:rsidRPr="00A1219A" w:rsidRDefault="006B7E20" w:rsidP="006B7E20">
      <w:pPr>
        <w:ind w:left="360"/>
        <w:jc w:val="both"/>
        <w:rPr>
          <w:sz w:val="20"/>
          <w:lang w:val="es-ES"/>
        </w:rPr>
      </w:pPr>
    </w:p>
    <w:p w:rsidR="006B7E20" w:rsidRPr="00A1219A" w:rsidRDefault="006B7E20" w:rsidP="00C6370F">
      <w:pPr>
        <w:numPr>
          <w:ilvl w:val="0"/>
          <w:numId w:val="1"/>
        </w:numPr>
        <w:tabs>
          <w:tab w:val="clear" w:pos="900"/>
        </w:tabs>
        <w:ind w:left="0" w:firstLine="720"/>
        <w:jc w:val="both"/>
        <w:rPr>
          <w:rFonts w:cs="Calibri"/>
          <w:color w:val="000000"/>
          <w:sz w:val="20"/>
          <w:lang w:val="es-ES"/>
        </w:rPr>
      </w:pPr>
      <w:r w:rsidRPr="00A1219A">
        <w:rPr>
          <w:sz w:val="20"/>
          <w:lang w:val="es-ES"/>
        </w:rPr>
        <w:t xml:space="preserve">La CIDH ha señalado además que los pueblos indígenas y tribales tienen derecho a que se les proteja de conflictos con terceros por la tierra, a través del otorgamiento pronto de un título de propiedad, y de la delimitación y la demarcación de sus tierras sin demoras, para efectos de prevenir </w:t>
      </w:r>
      <w:r w:rsidRPr="00A1219A">
        <w:rPr>
          <w:sz w:val="20"/>
          <w:lang w:val="es-ES"/>
        </w:rPr>
        <w:lastRenderedPageBreak/>
        <w:t>conflictos y ataques por otros</w:t>
      </w:r>
      <w:r w:rsidRPr="00A1219A">
        <w:rPr>
          <w:rStyle w:val="Refdenotaalpie"/>
          <w:sz w:val="20"/>
          <w:lang w:val="es-ES"/>
        </w:rPr>
        <w:footnoteReference w:id="98"/>
      </w:r>
      <w:r w:rsidRPr="00A1219A">
        <w:rPr>
          <w:sz w:val="20"/>
          <w:lang w:val="es-ES"/>
        </w:rPr>
        <w:t xml:space="preserve">. </w:t>
      </w:r>
      <w:r w:rsidRPr="00A1219A">
        <w:rPr>
          <w:rFonts w:cs="Calibri"/>
          <w:color w:val="000000"/>
          <w:sz w:val="20"/>
          <w:lang w:val="es-ES"/>
        </w:rPr>
        <w:t>En este mismo ámbito, los pueblos indígenas o tribales y sus miembros tienen derecho a que su territorio sea reservado para ellos, sin que existan dentro de sus tierras asentamientos o presencia de terceros o colonos no indígenas. El Estado tiene una obligación correlativa de prevenir la invasión o colonización del territorio indígena o tribal por parte de otras personas, y de realizar las gestiones y actuaciones necesarias para reubicar a aquellos habitantes no indígenas del territorio que se encuentren asentados allí</w:t>
      </w:r>
      <w:r w:rsidRPr="00A1219A">
        <w:rPr>
          <w:rStyle w:val="Refdenotaalpie"/>
          <w:sz w:val="20"/>
          <w:lang w:val="es-ES"/>
        </w:rPr>
        <w:footnoteReference w:id="99"/>
      </w:r>
      <w:r w:rsidRPr="00A1219A">
        <w:rPr>
          <w:rFonts w:cs="Calibri"/>
          <w:color w:val="000000"/>
          <w:sz w:val="20"/>
          <w:lang w:val="es-ES"/>
        </w:rPr>
        <w:t>. La CIDH ha calificado las invasiones e intrusiones ilegales de pobladores no indígenas como amenazas, usurpaciones y reducciones de los derechos a la propiedad y posesión efectiva del territorio por los pueblos indígenas y tribales, que el Estado está en la obligación de controlar y prevenir</w:t>
      </w:r>
      <w:r w:rsidRPr="00A1219A">
        <w:rPr>
          <w:rStyle w:val="Refdenotaalpie"/>
          <w:rFonts w:cs="Calibri"/>
          <w:color w:val="000000"/>
          <w:sz w:val="20"/>
          <w:lang w:val="es-ES"/>
        </w:rPr>
        <w:footnoteReference w:id="100"/>
      </w:r>
      <w:r w:rsidRPr="00A1219A">
        <w:rPr>
          <w:rFonts w:cs="Calibri"/>
          <w:color w:val="000000"/>
          <w:sz w:val="20"/>
          <w:lang w:val="es-ES"/>
        </w:rPr>
        <w:t>.</w:t>
      </w:r>
    </w:p>
    <w:p w:rsidR="006B7E20" w:rsidRPr="00A1219A" w:rsidRDefault="006B7E20" w:rsidP="006B7E20">
      <w:pPr>
        <w:ind w:left="360"/>
        <w:jc w:val="both"/>
        <w:rPr>
          <w:sz w:val="20"/>
          <w:lang w:val="es-ES"/>
        </w:rPr>
      </w:pPr>
    </w:p>
    <w:p w:rsidR="006B7E20" w:rsidRPr="00A1219A" w:rsidRDefault="006B7E20" w:rsidP="006B7E20">
      <w:pPr>
        <w:numPr>
          <w:ilvl w:val="0"/>
          <w:numId w:val="1"/>
        </w:numPr>
        <w:tabs>
          <w:tab w:val="clear" w:pos="900"/>
        </w:tabs>
        <w:ind w:left="0" w:firstLine="720"/>
        <w:jc w:val="both"/>
        <w:rPr>
          <w:sz w:val="20"/>
          <w:lang w:val="es-ES"/>
        </w:rPr>
      </w:pPr>
      <w:r w:rsidRPr="00A1219A">
        <w:rPr>
          <w:sz w:val="20"/>
          <w:lang w:val="es-ES"/>
        </w:rPr>
        <w:t xml:space="preserve">En </w:t>
      </w:r>
      <w:r w:rsidR="004C49D2" w:rsidRPr="00A1219A">
        <w:rPr>
          <w:sz w:val="20"/>
          <w:lang w:val="es-ES"/>
        </w:rPr>
        <w:t xml:space="preserve">el </w:t>
      </w:r>
      <w:r w:rsidR="00D63BA6" w:rsidRPr="00A1219A">
        <w:rPr>
          <w:sz w:val="20"/>
          <w:lang w:val="es-ES"/>
        </w:rPr>
        <w:t>asunto bajo examen</w:t>
      </w:r>
      <w:r w:rsidRPr="00A1219A">
        <w:rPr>
          <w:sz w:val="20"/>
          <w:lang w:val="es-ES"/>
        </w:rPr>
        <w:t xml:space="preserve">, la CIDH observa que, a pesar de existir normas constitucionales y legales que reconocen el derecho de la Comunidad de Punta Piedra a la propiedad comunal, y existiendo incluso el reconocimiento de sus formas tradicionales de tenencia de la tierra, la Comunidad no </w:t>
      </w:r>
      <w:r w:rsidR="005D611B" w:rsidRPr="00A1219A">
        <w:rPr>
          <w:sz w:val="20"/>
          <w:lang w:val="es-ES"/>
        </w:rPr>
        <w:t>podido usar y gozar de sus tierras en forma pacífica</w:t>
      </w:r>
      <w:r w:rsidRPr="00A1219A">
        <w:rPr>
          <w:sz w:val="20"/>
          <w:lang w:val="es-ES"/>
        </w:rPr>
        <w:t xml:space="preserve">. En opinión de la CIDH, lo anterior se produjo debido al incumplimiento por parte de autoridades estatales de deberes correlativos a los derechos territoriales de la Comunidad Garífuna, </w:t>
      </w:r>
      <w:r w:rsidR="000D67DB" w:rsidRPr="00A1219A">
        <w:rPr>
          <w:sz w:val="20"/>
          <w:lang w:val="es-ES"/>
        </w:rPr>
        <w:t>referidos principalmente a la falta de protección efectiva de</w:t>
      </w:r>
      <w:r w:rsidRPr="00A1219A">
        <w:rPr>
          <w:sz w:val="20"/>
          <w:lang w:val="es-ES"/>
        </w:rPr>
        <w:t xml:space="preserve"> su territorio frente a la ocupación y despojo por parte de terceros, y </w:t>
      </w:r>
      <w:r w:rsidR="000D67DB" w:rsidRPr="00A1219A">
        <w:rPr>
          <w:sz w:val="20"/>
          <w:lang w:val="es-ES"/>
        </w:rPr>
        <w:t xml:space="preserve">a </w:t>
      </w:r>
      <w:r w:rsidRPr="00A1219A">
        <w:rPr>
          <w:sz w:val="20"/>
          <w:lang w:val="es-ES"/>
        </w:rPr>
        <w:t>garantizar que é</w:t>
      </w:r>
      <w:r w:rsidR="004C49D2" w:rsidRPr="00A1219A">
        <w:rPr>
          <w:sz w:val="20"/>
          <w:lang w:val="es-ES"/>
        </w:rPr>
        <w:t>ste sea exclusivamente indígena a tr</w:t>
      </w:r>
      <w:r w:rsidR="00C6370F" w:rsidRPr="00A1219A">
        <w:rPr>
          <w:sz w:val="20"/>
          <w:lang w:val="es-ES"/>
        </w:rPr>
        <w:t>avés del saneamiento respectivo.</w:t>
      </w:r>
    </w:p>
    <w:p w:rsidR="000D67DB" w:rsidRPr="00A1219A" w:rsidRDefault="000D67DB" w:rsidP="000D67DB">
      <w:pPr>
        <w:jc w:val="both"/>
        <w:rPr>
          <w:sz w:val="20"/>
          <w:lang w:val="es-ES"/>
        </w:rPr>
      </w:pPr>
    </w:p>
    <w:p w:rsidR="000D67DB" w:rsidRPr="00A1219A" w:rsidRDefault="00D63BA6" w:rsidP="006B7E20">
      <w:pPr>
        <w:numPr>
          <w:ilvl w:val="0"/>
          <w:numId w:val="1"/>
        </w:numPr>
        <w:tabs>
          <w:tab w:val="clear" w:pos="900"/>
        </w:tabs>
        <w:ind w:left="0" w:firstLine="720"/>
        <w:jc w:val="both"/>
        <w:rPr>
          <w:sz w:val="20"/>
          <w:lang w:val="es-ES"/>
        </w:rPr>
      </w:pPr>
      <w:r w:rsidRPr="00A1219A">
        <w:rPr>
          <w:sz w:val="20"/>
          <w:lang w:val="es-ES"/>
        </w:rPr>
        <w:t>En efecto, c</w:t>
      </w:r>
      <w:r w:rsidR="000D67DB" w:rsidRPr="00A1219A">
        <w:rPr>
          <w:sz w:val="20"/>
          <w:lang w:val="es-ES"/>
        </w:rPr>
        <w:t>omo se ha constatado, el principal hecho que ha impedido la posesión pacífica de la Comunidad se refiere a la presencia y apropiación paulatina de ladinos o no garífunas en su territorio ancestral, en especial en la zona conocida como Río Miel. Según ha dado por probado la CIDH, autoridades competentes tenían conocimiento de la presencia de múltiples personas ladinas en tierras indígenas. La Comunidad solicitó en reiteradas ocasiones el saneamiento de sus tierras, a lo que las autoridades</w:t>
      </w:r>
      <w:r w:rsidRPr="00A1219A">
        <w:rPr>
          <w:sz w:val="20"/>
          <w:lang w:val="es-ES"/>
        </w:rPr>
        <w:t xml:space="preserve"> se comprometieron expresamente, al menos, a través del “Acta de compromiso” del 13 de diciembre de 2001, y del “Acta de entendimiento” del 28 de septiembre de 2006.</w:t>
      </w:r>
      <w:r w:rsidR="000D67DB" w:rsidRPr="00A1219A">
        <w:rPr>
          <w:sz w:val="20"/>
          <w:lang w:val="es-ES"/>
        </w:rPr>
        <w:t xml:space="preserve"> No obstante</w:t>
      </w:r>
      <w:r w:rsidR="00C6370F" w:rsidRPr="00A1219A">
        <w:rPr>
          <w:sz w:val="20"/>
          <w:lang w:val="es-ES"/>
        </w:rPr>
        <w:t>,</w:t>
      </w:r>
      <w:r w:rsidR="000D67DB" w:rsidRPr="00A1219A">
        <w:rPr>
          <w:sz w:val="20"/>
          <w:lang w:val="es-ES"/>
        </w:rPr>
        <w:t xml:space="preserve"> el Estado no probó ante la CIDH su realización efectiva, sino que por el contrario, se recibió información que indica la persistencia de </w:t>
      </w:r>
      <w:r w:rsidRPr="00A1219A">
        <w:rPr>
          <w:sz w:val="20"/>
          <w:lang w:val="es-ES"/>
        </w:rPr>
        <w:t>este</w:t>
      </w:r>
      <w:r w:rsidR="000D67DB" w:rsidRPr="00A1219A">
        <w:rPr>
          <w:sz w:val="20"/>
          <w:lang w:val="es-ES"/>
        </w:rPr>
        <w:t xml:space="preserve"> conflicto</w:t>
      </w:r>
      <w:r w:rsidR="00C6370F" w:rsidRPr="00A1219A">
        <w:rPr>
          <w:sz w:val="20"/>
          <w:lang w:val="es-ES"/>
        </w:rPr>
        <w:t>, transcurridos cerca de veinte años desde la invasión.</w:t>
      </w:r>
    </w:p>
    <w:p w:rsidR="000D67DB" w:rsidRPr="00A1219A" w:rsidRDefault="000D67DB" w:rsidP="000D67DB">
      <w:pPr>
        <w:jc w:val="both"/>
        <w:rPr>
          <w:sz w:val="20"/>
          <w:lang w:val="es-ES"/>
        </w:rPr>
      </w:pPr>
    </w:p>
    <w:p w:rsidR="00B4758E" w:rsidRPr="00A1219A" w:rsidRDefault="000D67DB" w:rsidP="00B4758E">
      <w:pPr>
        <w:numPr>
          <w:ilvl w:val="0"/>
          <w:numId w:val="1"/>
        </w:numPr>
        <w:tabs>
          <w:tab w:val="clear" w:pos="900"/>
        </w:tabs>
        <w:ind w:left="0" w:firstLine="720"/>
        <w:jc w:val="both"/>
        <w:rPr>
          <w:sz w:val="20"/>
          <w:lang w:val="es-ES"/>
        </w:rPr>
      </w:pPr>
      <w:r w:rsidRPr="00A1219A">
        <w:rPr>
          <w:sz w:val="20"/>
          <w:lang w:val="es-ES"/>
        </w:rPr>
        <w:t xml:space="preserve">Lejos de negar tal hecho ni el derecho de la Comunidad de Punta Piedra a obtener el saneamiento de su territorio ancestral, el Estado de </w:t>
      </w:r>
      <w:smartTag w:uri="urn:schemas-microsoft-com:office:smarttags" w:element="PersonName">
        <w:r w:rsidRPr="00A1219A">
          <w:rPr>
            <w:sz w:val="20"/>
            <w:lang w:val="es-ES"/>
          </w:rPr>
          <w:t>Honduras</w:t>
        </w:r>
      </w:smartTag>
      <w:r w:rsidRPr="00A1219A">
        <w:rPr>
          <w:sz w:val="20"/>
          <w:lang w:val="es-ES"/>
        </w:rPr>
        <w:t xml:space="preserve"> </w:t>
      </w:r>
      <w:r w:rsidR="00B4758E" w:rsidRPr="00A1219A">
        <w:rPr>
          <w:sz w:val="20"/>
          <w:lang w:val="es-ES"/>
        </w:rPr>
        <w:t>reconoció</w:t>
      </w:r>
      <w:r w:rsidRPr="00A1219A">
        <w:rPr>
          <w:sz w:val="20"/>
          <w:lang w:val="es-ES"/>
        </w:rPr>
        <w:t xml:space="preserve"> ante la CIDH </w:t>
      </w:r>
      <w:r w:rsidR="000402D4" w:rsidRPr="00A1219A">
        <w:rPr>
          <w:sz w:val="20"/>
          <w:lang w:val="es-ES"/>
        </w:rPr>
        <w:t xml:space="preserve">que </w:t>
      </w:r>
      <w:r w:rsidRPr="00A1219A">
        <w:rPr>
          <w:sz w:val="20"/>
          <w:lang w:val="es-ES"/>
        </w:rPr>
        <w:t>los conflictos surgieron con “la llegada de los primeros pobladores de la comunidad que se conoce como Río Miel”</w:t>
      </w:r>
      <w:r w:rsidR="0017664E" w:rsidRPr="00A1219A">
        <w:rPr>
          <w:sz w:val="20"/>
          <w:lang w:val="es-ES"/>
        </w:rPr>
        <w:t xml:space="preserve">, pero alegó </w:t>
      </w:r>
      <w:r w:rsidRPr="00A1219A">
        <w:rPr>
          <w:sz w:val="20"/>
          <w:lang w:val="es-ES"/>
        </w:rPr>
        <w:t xml:space="preserve">que </w:t>
      </w:r>
      <w:r w:rsidR="0017664E" w:rsidRPr="00A1219A">
        <w:rPr>
          <w:sz w:val="20"/>
          <w:lang w:val="es-ES"/>
        </w:rPr>
        <w:t xml:space="preserve">es “mínima” la zona ocupada por la Aldea de Río Miel en la cual </w:t>
      </w:r>
      <w:r w:rsidRPr="00A1219A">
        <w:rPr>
          <w:sz w:val="20"/>
          <w:lang w:val="es-ES"/>
        </w:rPr>
        <w:t>“la Comunidad no puede ejercer los derechos de</w:t>
      </w:r>
      <w:r w:rsidR="000402D4" w:rsidRPr="00A1219A">
        <w:rPr>
          <w:sz w:val="20"/>
          <w:lang w:val="es-ES"/>
        </w:rPr>
        <w:t xml:space="preserve"> uso, goce y posesión”</w:t>
      </w:r>
      <w:r w:rsidRPr="00A1219A">
        <w:rPr>
          <w:sz w:val="20"/>
          <w:lang w:val="es-ES"/>
        </w:rPr>
        <w:t>.</w:t>
      </w:r>
      <w:r w:rsidR="00F425B4" w:rsidRPr="00A1219A">
        <w:rPr>
          <w:sz w:val="20"/>
          <w:lang w:val="es-ES"/>
        </w:rPr>
        <w:t xml:space="preserve"> </w:t>
      </w:r>
    </w:p>
    <w:p w:rsidR="0017664E" w:rsidRPr="00A1219A" w:rsidRDefault="0017664E" w:rsidP="0017664E">
      <w:pPr>
        <w:jc w:val="both"/>
        <w:rPr>
          <w:sz w:val="20"/>
          <w:lang w:val="es-ES"/>
        </w:rPr>
      </w:pPr>
    </w:p>
    <w:p w:rsidR="0017664E" w:rsidRPr="00A1219A" w:rsidRDefault="0017664E" w:rsidP="0017664E">
      <w:pPr>
        <w:numPr>
          <w:ilvl w:val="0"/>
          <w:numId w:val="1"/>
        </w:numPr>
        <w:tabs>
          <w:tab w:val="clear" w:pos="900"/>
        </w:tabs>
        <w:ind w:left="0" w:firstLine="720"/>
        <w:jc w:val="both"/>
        <w:rPr>
          <w:sz w:val="20"/>
          <w:lang w:val="es-ES"/>
        </w:rPr>
      </w:pPr>
      <w:r w:rsidRPr="00A1219A">
        <w:rPr>
          <w:sz w:val="20"/>
          <w:lang w:val="es-ES"/>
        </w:rPr>
        <w:t>Bajo los instrumentos interamericanos de derechos humanos, los pueblos indígenas y tribales tienen derecho a que se reconozcan y protejan “sus versiones específicas del derecho al uso y goce de los bienes, dadas por la cultura, usos, costumbres y creencias de cada pueblo”</w:t>
      </w:r>
      <w:r w:rsidRPr="00A1219A">
        <w:rPr>
          <w:rStyle w:val="Refdenotaalpie"/>
          <w:sz w:val="20"/>
          <w:lang w:val="es-ES"/>
        </w:rPr>
        <w:footnoteReference w:id="101"/>
      </w:r>
      <w:r w:rsidRPr="00A1219A">
        <w:rPr>
          <w:sz w:val="20"/>
          <w:lang w:val="es-ES"/>
        </w:rPr>
        <w:t>. No existe sólo una forma de usar y disfrutar de los bienes protegidos; tanto la propiedad como los modos de posesión de los territorios por los pueblos indígenas y tribales pueden diferir de la concepción no indígena de dominio, pero son protegidas por el derecho a la propiedad</w:t>
      </w:r>
      <w:r w:rsidRPr="00A1219A">
        <w:rPr>
          <w:rStyle w:val="Refdenotaalpie"/>
          <w:sz w:val="20"/>
          <w:lang w:val="es-ES"/>
        </w:rPr>
        <w:footnoteReference w:id="102"/>
      </w:r>
      <w:r w:rsidRPr="00A1219A">
        <w:rPr>
          <w:sz w:val="20"/>
          <w:lang w:val="es-ES"/>
        </w:rPr>
        <w:t xml:space="preserve">. La relación única entre los indígenas y su </w:t>
      </w:r>
      <w:r w:rsidRPr="00A1219A">
        <w:rPr>
          <w:sz w:val="20"/>
          <w:lang w:val="es-ES"/>
        </w:rPr>
        <w:lastRenderedPageBreak/>
        <w:t>territorio tradicional “puede incluir el uso o presencia tradicional, ya sea a través de lazos espirituales o ceremoniales; asentamientos o cultivos esporádicos; caza, pesca o recolección estacional o nómada; uso de recursos naturales ligados a sus costumbres; y cualquier otro elemento característico de su cultura”</w:t>
      </w:r>
      <w:r w:rsidRPr="00A1219A">
        <w:rPr>
          <w:rStyle w:val="Refdenotaalpie"/>
          <w:sz w:val="20"/>
          <w:lang w:val="es-ES"/>
        </w:rPr>
        <w:footnoteReference w:id="103"/>
      </w:r>
      <w:r w:rsidRPr="00A1219A">
        <w:rPr>
          <w:sz w:val="20"/>
          <w:lang w:val="es-ES"/>
        </w:rPr>
        <w:t>. Cualquiera de estas modalidades está protegida por el artículo 21 de la Convención</w:t>
      </w:r>
      <w:r w:rsidRPr="00A1219A">
        <w:rPr>
          <w:rStyle w:val="Refdenotaalpie"/>
          <w:sz w:val="20"/>
          <w:lang w:val="es-ES"/>
        </w:rPr>
        <w:footnoteReference w:id="104"/>
      </w:r>
      <w:r w:rsidRPr="00A1219A">
        <w:rPr>
          <w:sz w:val="20"/>
          <w:lang w:val="es-ES"/>
        </w:rPr>
        <w:t xml:space="preserve">. </w:t>
      </w:r>
    </w:p>
    <w:p w:rsidR="00B60C4D" w:rsidRPr="00A1219A" w:rsidRDefault="00B60C4D" w:rsidP="00B60C4D">
      <w:pPr>
        <w:jc w:val="both"/>
        <w:rPr>
          <w:sz w:val="20"/>
          <w:lang w:val="es-ES"/>
        </w:rPr>
      </w:pPr>
    </w:p>
    <w:p w:rsidR="00B60C4D" w:rsidRPr="00A1219A" w:rsidRDefault="005B625B" w:rsidP="0017664E">
      <w:pPr>
        <w:numPr>
          <w:ilvl w:val="0"/>
          <w:numId w:val="1"/>
        </w:numPr>
        <w:tabs>
          <w:tab w:val="clear" w:pos="900"/>
        </w:tabs>
        <w:ind w:left="0" w:firstLine="720"/>
        <w:jc w:val="both"/>
        <w:rPr>
          <w:sz w:val="20"/>
          <w:lang w:val="es-ES"/>
        </w:rPr>
      </w:pPr>
      <w:r w:rsidRPr="00A1219A">
        <w:rPr>
          <w:sz w:val="20"/>
          <w:lang w:val="es-ES"/>
        </w:rPr>
        <w:t xml:space="preserve">En el presente caso es necesario resaltar que </w:t>
      </w:r>
      <w:r w:rsidR="00B60C4D" w:rsidRPr="00A1219A">
        <w:rPr>
          <w:sz w:val="20"/>
          <w:lang w:val="es-ES"/>
        </w:rPr>
        <w:t>como han establecido consistentemente los órganos del sistema interamericano, la propiedad territorial indígena es una forma de propiedad que no se fundamenta en el reconocimiento oficial del Estado, sino en el uso y posesión tradicionales de las tierras y recursos; los territorios de los pueblos indígenas y tribales “les pertenecen por su uso u ocupación ancestral”</w:t>
      </w:r>
      <w:r w:rsidR="00B60C4D" w:rsidRPr="00A1219A">
        <w:rPr>
          <w:rStyle w:val="Refdenotaalpie"/>
          <w:sz w:val="20"/>
          <w:lang w:val="es-ES"/>
        </w:rPr>
        <w:footnoteReference w:id="105"/>
      </w:r>
      <w:r w:rsidR="00B60C4D" w:rsidRPr="00A1219A">
        <w:rPr>
          <w:sz w:val="20"/>
          <w:lang w:val="es-ES"/>
        </w:rPr>
        <w:t>. El derecho de propiedad comunal indígena se fundamenta asimismo en las culturas jurídicas indígenas, y en sus sistemas ancestrales de propiedad, con independencia del reconocimiento estatal; el origen de los derechos de propiedad de los pueblos indígenas y tribales se encuentra, por ende, en el sistema consuetudinario de tenencia de la tierra que ha existido tradicionalmente entre las comunidades</w:t>
      </w:r>
      <w:r w:rsidR="00B60C4D" w:rsidRPr="00A1219A">
        <w:rPr>
          <w:rStyle w:val="Refdenotaalpie"/>
          <w:sz w:val="20"/>
          <w:lang w:val="es-ES"/>
        </w:rPr>
        <w:footnoteReference w:id="106"/>
      </w:r>
      <w:r w:rsidR="00B60C4D" w:rsidRPr="00A1219A">
        <w:rPr>
          <w:sz w:val="20"/>
          <w:lang w:val="es-ES"/>
        </w:rPr>
        <w:t xml:space="preserve">. </w:t>
      </w:r>
      <w:r w:rsidR="00B60C4D" w:rsidRPr="00A1219A">
        <w:rPr>
          <w:rFonts w:cs="Verdana"/>
          <w:sz w:val="20"/>
          <w:lang w:val="es-ES"/>
        </w:rPr>
        <w:t>En virtud a ello ha afirmado la Corte que “la posesión tradicional de los indígenas sobre sus tierras tiene efectos equivalentes al título de pleno dominio que otorga el Estado”</w:t>
      </w:r>
      <w:r w:rsidR="00B60C4D" w:rsidRPr="00A1219A">
        <w:rPr>
          <w:rStyle w:val="Refdenotaalpie"/>
          <w:rFonts w:cs="Verdana"/>
          <w:sz w:val="20"/>
          <w:lang w:val="es-ES"/>
        </w:rPr>
        <w:footnoteReference w:id="107"/>
      </w:r>
      <w:r w:rsidR="00B60C4D" w:rsidRPr="00A1219A">
        <w:rPr>
          <w:rFonts w:cs="Verdana"/>
          <w:sz w:val="20"/>
          <w:lang w:val="es-ES"/>
        </w:rPr>
        <w:t>.</w:t>
      </w:r>
    </w:p>
    <w:p w:rsidR="00B60C4D" w:rsidRPr="00A1219A" w:rsidRDefault="00B60C4D" w:rsidP="00B60C4D">
      <w:pPr>
        <w:ind w:left="720"/>
        <w:jc w:val="both"/>
        <w:rPr>
          <w:sz w:val="20"/>
          <w:lang w:val="es-ES"/>
        </w:rPr>
      </w:pPr>
    </w:p>
    <w:p w:rsidR="00B60C4D" w:rsidRPr="00A1219A" w:rsidRDefault="00B60C4D" w:rsidP="0017664E">
      <w:pPr>
        <w:numPr>
          <w:ilvl w:val="0"/>
          <w:numId w:val="1"/>
        </w:numPr>
        <w:tabs>
          <w:tab w:val="clear" w:pos="900"/>
        </w:tabs>
        <w:ind w:left="0" w:firstLine="720"/>
        <w:jc w:val="both"/>
        <w:rPr>
          <w:sz w:val="20"/>
          <w:lang w:val="es-ES"/>
        </w:rPr>
      </w:pPr>
      <w:r w:rsidRPr="00A1219A">
        <w:rPr>
          <w:sz w:val="20"/>
          <w:lang w:val="es-ES"/>
        </w:rPr>
        <w:t xml:space="preserve">En este orden de ideas, el que la Comunidad de Punta Piedra no contara al momento de la invasión de Río Miel con un título de propiedad formalmente reconocido por las autoridades, no exime </w:t>
      </w:r>
      <w:r w:rsidR="005B625B" w:rsidRPr="00A1219A">
        <w:rPr>
          <w:sz w:val="20"/>
          <w:lang w:val="es-ES"/>
        </w:rPr>
        <w:t xml:space="preserve">de </w:t>
      </w:r>
      <w:r w:rsidRPr="00A1219A">
        <w:rPr>
          <w:sz w:val="20"/>
          <w:lang w:val="es-ES"/>
        </w:rPr>
        <w:t xml:space="preserve">responsabilidad internacional </w:t>
      </w:r>
      <w:r w:rsidR="005B625B" w:rsidRPr="00A1219A">
        <w:rPr>
          <w:sz w:val="20"/>
          <w:lang w:val="es-ES"/>
        </w:rPr>
        <w:t>al</w:t>
      </w:r>
      <w:r w:rsidRPr="00A1219A">
        <w:rPr>
          <w:sz w:val="20"/>
          <w:lang w:val="es-ES"/>
        </w:rPr>
        <w:t xml:space="preserve"> Estado de </w:t>
      </w:r>
      <w:smartTag w:uri="urn:schemas-microsoft-com:office:smarttags" w:element="PersonName">
        <w:r w:rsidRPr="00A1219A">
          <w:rPr>
            <w:sz w:val="20"/>
            <w:lang w:val="es-ES"/>
          </w:rPr>
          <w:t>Honduras</w:t>
        </w:r>
      </w:smartTag>
      <w:r w:rsidRPr="00A1219A">
        <w:rPr>
          <w:sz w:val="20"/>
          <w:lang w:val="es-ES"/>
        </w:rPr>
        <w:t xml:space="preserve">, por cuanto según ha establecido la jurisprudencia del sistema, las garantías de protección del derecho a la propiedad bajo los instrumentos interamericanos de derechos humanos pueden hacerse plenamente efectivas por parte de los pueblos </w:t>
      </w:r>
      <w:r w:rsidRPr="00A1219A">
        <w:rPr>
          <w:sz w:val="20"/>
          <w:lang w:val="es-ES"/>
        </w:rPr>
        <w:lastRenderedPageBreak/>
        <w:t>indígenas respecto de territorios que les pertenecen pero que aún no han sido titulados formalmente, demarcados o delimitados por el Estado</w:t>
      </w:r>
      <w:r w:rsidRPr="00A1219A">
        <w:rPr>
          <w:rStyle w:val="Refdenotaalpie"/>
          <w:sz w:val="20"/>
          <w:lang w:val="es-ES"/>
        </w:rPr>
        <w:footnoteReference w:id="108"/>
      </w:r>
      <w:r w:rsidRPr="00A1219A">
        <w:rPr>
          <w:sz w:val="20"/>
          <w:lang w:val="es-ES"/>
        </w:rPr>
        <w:t xml:space="preserve">. </w:t>
      </w:r>
    </w:p>
    <w:p w:rsidR="00CC71CE" w:rsidRPr="00A1219A" w:rsidRDefault="00CC71CE" w:rsidP="004C49D2">
      <w:pPr>
        <w:jc w:val="both"/>
        <w:rPr>
          <w:sz w:val="20"/>
          <w:lang w:val="es-ES"/>
        </w:rPr>
      </w:pPr>
    </w:p>
    <w:p w:rsidR="004C49D2" w:rsidRPr="00A1219A" w:rsidRDefault="005B625B" w:rsidP="00B4758E">
      <w:pPr>
        <w:numPr>
          <w:ilvl w:val="0"/>
          <w:numId w:val="1"/>
        </w:numPr>
        <w:tabs>
          <w:tab w:val="clear" w:pos="900"/>
        </w:tabs>
        <w:ind w:left="0" w:firstLine="720"/>
        <w:jc w:val="both"/>
        <w:rPr>
          <w:rFonts w:cs="Calibri"/>
          <w:color w:val="000000"/>
          <w:sz w:val="20"/>
          <w:lang w:val="es-ES"/>
        </w:rPr>
      </w:pPr>
      <w:r w:rsidRPr="00A1219A">
        <w:rPr>
          <w:sz w:val="20"/>
          <w:lang w:val="es-ES"/>
        </w:rPr>
        <w:t>El</w:t>
      </w:r>
      <w:r w:rsidR="00F425B4" w:rsidRPr="00A1219A">
        <w:rPr>
          <w:sz w:val="20"/>
          <w:lang w:val="es-ES"/>
        </w:rPr>
        <w:t xml:space="preserve"> Estado al</w:t>
      </w:r>
      <w:r w:rsidR="00B4758E" w:rsidRPr="00A1219A">
        <w:rPr>
          <w:sz w:val="20"/>
          <w:lang w:val="es-ES"/>
        </w:rPr>
        <w:t xml:space="preserve">egó que no puede desconocer los derechos </w:t>
      </w:r>
      <w:r w:rsidR="00F425B4" w:rsidRPr="00A1219A">
        <w:rPr>
          <w:sz w:val="20"/>
          <w:lang w:val="es-ES"/>
        </w:rPr>
        <w:t xml:space="preserve">de los ocupantes </w:t>
      </w:r>
      <w:r w:rsidR="00B4758E" w:rsidRPr="00A1219A">
        <w:rPr>
          <w:sz w:val="20"/>
          <w:lang w:val="es-ES"/>
        </w:rPr>
        <w:t>de Río Miel</w:t>
      </w:r>
      <w:r w:rsidR="00F425B4" w:rsidRPr="00A1219A">
        <w:rPr>
          <w:sz w:val="20"/>
          <w:lang w:val="es-ES"/>
        </w:rPr>
        <w:t xml:space="preserve"> que </w:t>
      </w:r>
      <w:r w:rsidR="00B4758E" w:rsidRPr="00A1219A">
        <w:rPr>
          <w:sz w:val="20"/>
          <w:lang w:val="es-ES"/>
        </w:rPr>
        <w:t xml:space="preserve">ejercen posesión desde hace décadas y los de </w:t>
      </w:r>
      <w:r w:rsidR="00D63BA6" w:rsidRPr="00A1219A">
        <w:rPr>
          <w:sz w:val="20"/>
          <w:lang w:val="es-ES"/>
        </w:rPr>
        <w:t>otros ocupantes que cuentan con “dominios amparados en escrituras pú</w:t>
      </w:r>
      <w:r w:rsidR="00B4758E" w:rsidRPr="00A1219A">
        <w:rPr>
          <w:sz w:val="20"/>
          <w:lang w:val="es-ES"/>
        </w:rPr>
        <w:t>blicas debidamente registradas”</w:t>
      </w:r>
      <w:r w:rsidR="00D63BA6" w:rsidRPr="00A1219A">
        <w:rPr>
          <w:sz w:val="20"/>
          <w:lang w:val="es-ES"/>
        </w:rPr>
        <w:t>.</w:t>
      </w:r>
      <w:r w:rsidR="00B4758E" w:rsidRPr="00A1219A">
        <w:rPr>
          <w:rFonts w:cs="Calibri"/>
          <w:color w:val="000000"/>
          <w:sz w:val="20"/>
          <w:lang w:val="es-ES"/>
        </w:rPr>
        <w:t xml:space="preserve"> </w:t>
      </w:r>
      <w:r w:rsidR="004C49D2" w:rsidRPr="00A1219A">
        <w:rPr>
          <w:sz w:val="20"/>
          <w:lang w:val="es-ES"/>
        </w:rPr>
        <w:t xml:space="preserve">La CIDH coincide con el Estado en la medida que, como ha sido expresado por la Corte, tanto </w:t>
      </w:r>
      <w:r w:rsidR="004C49D2" w:rsidRPr="00A1219A">
        <w:rPr>
          <w:rFonts w:cs="Calibri"/>
          <w:color w:val="000000"/>
          <w:sz w:val="20"/>
          <w:lang w:val="es-ES"/>
        </w:rPr>
        <w:t xml:space="preserve">“la propiedad privada de los particulares” como la “propiedad comunitaria de los miembros de las comunidades indígenas” se encuentran amparadas por la Convención Americana. </w:t>
      </w:r>
      <w:r w:rsidR="004C49D2" w:rsidRPr="00A1219A">
        <w:rPr>
          <w:sz w:val="20"/>
          <w:lang w:val="es-ES"/>
        </w:rPr>
        <w:t>Sin embargo, como se ha establecido en la jurisprudencia del sistema interamericano, cuando estos derechos entran en conflicto, el problema debe ser resuelto de conformidad con los principios que rigen las limitaciones a los derechos humanos</w:t>
      </w:r>
      <w:r w:rsidR="004C49D2" w:rsidRPr="00A1219A">
        <w:rPr>
          <w:rStyle w:val="Refdenotaalpie"/>
          <w:rFonts w:cs="Calibri"/>
          <w:color w:val="000000"/>
          <w:sz w:val="20"/>
          <w:lang w:val="es-ES"/>
        </w:rPr>
        <w:footnoteReference w:id="109"/>
      </w:r>
      <w:r w:rsidR="004C49D2" w:rsidRPr="00A1219A">
        <w:rPr>
          <w:sz w:val="20"/>
          <w:lang w:val="es-ES"/>
        </w:rPr>
        <w:t>.</w:t>
      </w:r>
    </w:p>
    <w:p w:rsidR="005B625B" w:rsidRPr="00A1219A" w:rsidRDefault="005B625B" w:rsidP="005B625B">
      <w:pPr>
        <w:jc w:val="both"/>
        <w:rPr>
          <w:rFonts w:cs="Calibri"/>
          <w:color w:val="000000"/>
          <w:sz w:val="20"/>
          <w:lang w:val="es-ES"/>
        </w:rPr>
      </w:pPr>
    </w:p>
    <w:p w:rsidR="005B625B" w:rsidRPr="00A1219A" w:rsidRDefault="005B625B" w:rsidP="00B4758E">
      <w:pPr>
        <w:numPr>
          <w:ilvl w:val="0"/>
          <w:numId w:val="1"/>
        </w:numPr>
        <w:tabs>
          <w:tab w:val="clear" w:pos="900"/>
        </w:tabs>
        <w:ind w:left="0" w:firstLine="720"/>
        <w:jc w:val="both"/>
        <w:rPr>
          <w:rFonts w:cs="Calibri"/>
          <w:color w:val="000000"/>
          <w:sz w:val="20"/>
          <w:lang w:val="es-ES"/>
        </w:rPr>
      </w:pPr>
      <w:r w:rsidRPr="00A1219A">
        <w:rPr>
          <w:sz w:val="20"/>
          <w:lang w:val="es-ES"/>
        </w:rPr>
        <w:t xml:space="preserve">En este orden de ideas, ante </w:t>
      </w:r>
      <w:r w:rsidR="00A87D6B" w:rsidRPr="00A1219A">
        <w:rPr>
          <w:sz w:val="20"/>
          <w:lang w:val="es-ES"/>
        </w:rPr>
        <w:t xml:space="preserve">el hecho reconocido </w:t>
      </w:r>
      <w:r w:rsidRPr="00A1219A">
        <w:rPr>
          <w:sz w:val="20"/>
          <w:lang w:val="es-ES"/>
        </w:rPr>
        <w:t xml:space="preserve">de la ocupación por terceros </w:t>
      </w:r>
      <w:r w:rsidR="00A87D6B" w:rsidRPr="00A1219A">
        <w:rPr>
          <w:sz w:val="20"/>
          <w:lang w:val="es-ES"/>
        </w:rPr>
        <w:t xml:space="preserve">de áreas del territorio ancestral perteneciente a la Comunidad Punta Piedra así como el deterioro del territorio por la quema de los bosques, es que el Estado realizó gestiones para sanear el territorio y pagar a los ocupantes las mejoras realizadas y trasladarlos. Sin embargo, a la fecha de este informe el Estado no ha cumplido con dicho saneamiento. </w:t>
      </w:r>
      <w:r w:rsidRPr="00A1219A">
        <w:rPr>
          <w:sz w:val="20"/>
          <w:lang w:val="es-ES"/>
        </w:rPr>
        <w:t xml:space="preserve"> </w:t>
      </w:r>
    </w:p>
    <w:p w:rsidR="005D611B" w:rsidRPr="00A1219A" w:rsidRDefault="005D611B" w:rsidP="005D611B">
      <w:pPr>
        <w:jc w:val="both"/>
        <w:rPr>
          <w:rFonts w:cs="Calibri"/>
          <w:color w:val="000000"/>
          <w:sz w:val="20"/>
          <w:lang w:val="es-ES"/>
        </w:rPr>
      </w:pPr>
    </w:p>
    <w:p w:rsidR="00D64A42" w:rsidRPr="00A1219A" w:rsidRDefault="004C49D2" w:rsidP="00D64A42">
      <w:pPr>
        <w:numPr>
          <w:ilvl w:val="0"/>
          <w:numId w:val="1"/>
        </w:numPr>
        <w:tabs>
          <w:tab w:val="clear" w:pos="900"/>
        </w:tabs>
        <w:ind w:left="0" w:firstLine="720"/>
        <w:jc w:val="both"/>
        <w:rPr>
          <w:sz w:val="20"/>
          <w:lang w:val="es-ES"/>
        </w:rPr>
      </w:pPr>
      <w:r w:rsidRPr="00A1219A">
        <w:rPr>
          <w:rFonts w:cs="Calibri"/>
          <w:color w:val="000000"/>
          <w:sz w:val="20"/>
          <w:lang w:val="es-ES"/>
        </w:rPr>
        <w:t>Asimismo, debe considerarse que los pueblos indígenas y tribales tienen derecho a que su propiedad del territorio no sea, en principio, susceptible de ser opacada por derechos de propiedad de terceros</w:t>
      </w:r>
      <w:r w:rsidRPr="00A1219A">
        <w:rPr>
          <w:rStyle w:val="Refdenotaalpie"/>
          <w:rFonts w:cs="Calibri"/>
          <w:color w:val="000000"/>
          <w:sz w:val="20"/>
          <w:lang w:val="es-ES"/>
        </w:rPr>
        <w:footnoteReference w:id="110"/>
      </w:r>
      <w:r w:rsidRPr="00A1219A">
        <w:rPr>
          <w:rFonts w:cs="Calibri"/>
          <w:color w:val="000000"/>
          <w:sz w:val="20"/>
          <w:lang w:val="es-ES"/>
        </w:rPr>
        <w:t xml:space="preserve">, sino que tienen </w:t>
      </w:r>
      <w:r w:rsidRPr="00A1219A">
        <w:rPr>
          <w:sz w:val="20"/>
          <w:lang w:val="es-ES"/>
        </w:rPr>
        <w:t>derecho a vivir libremente en sus territorios ancestrales, lo que ha sido explicado por la Corte en los siguientes términos:</w:t>
      </w:r>
    </w:p>
    <w:p w:rsidR="00D64A42" w:rsidRPr="00A1219A" w:rsidRDefault="00D64A42" w:rsidP="00D64A42">
      <w:pPr>
        <w:jc w:val="both"/>
        <w:rPr>
          <w:sz w:val="20"/>
          <w:lang w:val="es-ES"/>
        </w:rPr>
      </w:pPr>
    </w:p>
    <w:p w:rsidR="00D64A42" w:rsidRPr="00A1219A" w:rsidRDefault="00D64A42" w:rsidP="00D64A42">
      <w:pPr>
        <w:ind w:left="720" w:right="720"/>
        <w:jc w:val="both"/>
        <w:rPr>
          <w:sz w:val="18"/>
          <w:szCs w:val="18"/>
          <w:vertAlign w:val="superscript"/>
          <w:lang w:val="es-ES"/>
        </w:rPr>
      </w:pPr>
      <w:r w:rsidRPr="00A1219A">
        <w:rPr>
          <w:sz w:val="18"/>
          <w:szCs w:val="18"/>
          <w:lang w:val="es-ES"/>
        </w:rPr>
        <w:t>Los indígenas por el hecho de su propia existencia tienen derecho a vivir libremente en sus propios territorios; la estrecha relación que los indígenas mantienen con la tierra debe de ser reconocida y comprendida como la base fundamental de sus culturas, su vida espiritual, su integridad y su supervivencia económica. Para las comunidades indígenas la relación con la tierra no es meramente una cuestión de posesión y producción sino un elemento material y espiritual del que deben gozar plenamente, inclusive para preservar su legado cultural y transmitirlo a las generaciones futuras</w:t>
      </w:r>
      <w:r w:rsidRPr="00A1219A">
        <w:rPr>
          <w:rStyle w:val="Refdenotaalpie"/>
          <w:sz w:val="18"/>
          <w:szCs w:val="18"/>
          <w:lang w:val="es-ES"/>
        </w:rPr>
        <w:footnoteReference w:id="111"/>
      </w:r>
      <w:r w:rsidRPr="00A1219A">
        <w:rPr>
          <w:sz w:val="18"/>
          <w:szCs w:val="18"/>
          <w:lang w:val="es-ES"/>
        </w:rPr>
        <w:t>.</w:t>
      </w:r>
      <w:r w:rsidRPr="00A1219A">
        <w:rPr>
          <w:sz w:val="18"/>
          <w:szCs w:val="18"/>
          <w:vertAlign w:val="superscript"/>
          <w:lang w:val="es-ES"/>
        </w:rPr>
        <w:t xml:space="preserve"> </w:t>
      </w:r>
    </w:p>
    <w:p w:rsidR="00D64A42" w:rsidRPr="00A1219A" w:rsidRDefault="00D64A42" w:rsidP="00D64A42">
      <w:pPr>
        <w:jc w:val="both"/>
        <w:rPr>
          <w:sz w:val="20"/>
          <w:lang w:val="es-ES"/>
        </w:rPr>
      </w:pPr>
    </w:p>
    <w:p w:rsidR="00D64A42" w:rsidRPr="00A1219A" w:rsidRDefault="0032034E" w:rsidP="00D64A42">
      <w:pPr>
        <w:numPr>
          <w:ilvl w:val="0"/>
          <w:numId w:val="1"/>
        </w:numPr>
        <w:tabs>
          <w:tab w:val="clear" w:pos="900"/>
        </w:tabs>
        <w:ind w:left="0" w:firstLine="720"/>
        <w:jc w:val="both"/>
        <w:rPr>
          <w:sz w:val="20"/>
          <w:lang w:val="es-ES"/>
        </w:rPr>
      </w:pPr>
      <w:r w:rsidRPr="00A1219A">
        <w:rPr>
          <w:sz w:val="20"/>
          <w:lang w:val="es-ES"/>
        </w:rPr>
        <w:t xml:space="preserve">Al respecto, la CIDH observa </w:t>
      </w:r>
      <w:r w:rsidR="00D64A42" w:rsidRPr="00A1219A">
        <w:rPr>
          <w:sz w:val="20"/>
          <w:lang w:val="es-ES"/>
        </w:rPr>
        <w:t xml:space="preserve">que </w:t>
      </w:r>
      <w:r w:rsidRPr="00A1219A">
        <w:rPr>
          <w:sz w:val="20"/>
          <w:lang w:val="es-ES"/>
        </w:rPr>
        <w:t xml:space="preserve">la Ley de Propiedad de 2004 </w:t>
      </w:r>
      <w:r w:rsidR="00D64A42" w:rsidRPr="00A1219A">
        <w:rPr>
          <w:sz w:val="20"/>
          <w:lang w:val="es-ES"/>
        </w:rPr>
        <w:t>en el C</w:t>
      </w:r>
      <w:r w:rsidRPr="00A1219A">
        <w:rPr>
          <w:sz w:val="20"/>
          <w:lang w:val="es-ES"/>
        </w:rPr>
        <w:t>apítulo</w:t>
      </w:r>
      <w:r w:rsidR="00D64A42" w:rsidRPr="00A1219A">
        <w:rPr>
          <w:sz w:val="20"/>
          <w:lang w:val="es-ES"/>
        </w:rPr>
        <w:t xml:space="preserve"> Capitulo III sobre el proceso de regularización de la propiedad inmueble para pueblos indígenas y </w:t>
      </w:r>
      <w:proofErr w:type="spellStart"/>
      <w:r w:rsidR="00D64A42" w:rsidRPr="00A1219A">
        <w:rPr>
          <w:sz w:val="20"/>
          <w:lang w:val="es-ES"/>
        </w:rPr>
        <w:t>afrohondureños</w:t>
      </w:r>
      <w:proofErr w:type="spellEnd"/>
      <w:r w:rsidR="00D64A42" w:rsidRPr="00A1219A">
        <w:rPr>
          <w:sz w:val="20"/>
          <w:lang w:val="es-ES"/>
        </w:rPr>
        <w:t>, reconoce ciertos derechos, en específico al establecer en su artículo 93 que:</w:t>
      </w:r>
    </w:p>
    <w:p w:rsidR="00D64A42" w:rsidRPr="00A1219A" w:rsidRDefault="00D64A42" w:rsidP="00D64A42">
      <w:pPr>
        <w:jc w:val="both"/>
        <w:rPr>
          <w:sz w:val="20"/>
          <w:lang w:val="es-ES"/>
        </w:rPr>
      </w:pPr>
    </w:p>
    <w:p w:rsidR="00D64A42" w:rsidRPr="00A1219A" w:rsidRDefault="00D64A42" w:rsidP="00D64A42">
      <w:pPr>
        <w:ind w:left="720" w:right="720"/>
        <w:jc w:val="both"/>
        <w:rPr>
          <w:sz w:val="18"/>
          <w:szCs w:val="18"/>
          <w:lang w:val="es-ES"/>
        </w:rPr>
      </w:pPr>
      <w:r w:rsidRPr="00A1219A">
        <w:rPr>
          <w:sz w:val="18"/>
          <w:szCs w:val="18"/>
          <w:lang w:val="es-ES"/>
        </w:rPr>
        <w:t xml:space="preserve">El Estado, por la importancia especial que para las culturas y valores espirituales reviste su relación con las tierras, reconoce el derecho que los pueblos indígenas y </w:t>
      </w:r>
      <w:proofErr w:type="spellStart"/>
      <w:r w:rsidRPr="00A1219A">
        <w:rPr>
          <w:sz w:val="18"/>
          <w:szCs w:val="18"/>
          <w:lang w:val="es-ES"/>
        </w:rPr>
        <w:t>afrohondureños</w:t>
      </w:r>
      <w:proofErr w:type="spellEnd"/>
      <w:r w:rsidRPr="00A1219A">
        <w:rPr>
          <w:sz w:val="18"/>
          <w:szCs w:val="18"/>
          <w:lang w:val="es-ES"/>
        </w:rPr>
        <w:t xml:space="preserve"> tienen sobre las tierras que tradicionalmente poseen y que la ley no prohíbe.</w:t>
      </w:r>
    </w:p>
    <w:p w:rsidR="00D64A42" w:rsidRPr="00A1219A" w:rsidRDefault="00D64A42" w:rsidP="00D64A42">
      <w:pPr>
        <w:jc w:val="both"/>
        <w:rPr>
          <w:sz w:val="20"/>
          <w:lang w:val="es-ES"/>
        </w:rPr>
      </w:pPr>
    </w:p>
    <w:p w:rsidR="0032034E" w:rsidRPr="00A1219A" w:rsidRDefault="00D64A42" w:rsidP="001A7934">
      <w:pPr>
        <w:numPr>
          <w:ilvl w:val="0"/>
          <w:numId w:val="1"/>
        </w:numPr>
        <w:tabs>
          <w:tab w:val="clear" w:pos="900"/>
        </w:tabs>
        <w:ind w:left="0" w:firstLine="720"/>
        <w:jc w:val="both"/>
        <w:rPr>
          <w:sz w:val="20"/>
          <w:lang w:val="es-ES"/>
        </w:rPr>
      </w:pPr>
      <w:r w:rsidRPr="00A1219A">
        <w:rPr>
          <w:sz w:val="20"/>
          <w:lang w:val="es-ES"/>
        </w:rPr>
        <w:t xml:space="preserve">Sin embargo, observa que la citada ley no fue consultada a los pueblos indígenas y tribales, a pesar de que el Estado de </w:t>
      </w:r>
      <w:smartTag w:uri="urn:schemas-microsoft-com:office:smarttags" w:element="PersonName">
        <w:r w:rsidRPr="00A1219A">
          <w:rPr>
            <w:sz w:val="20"/>
            <w:lang w:val="es-ES"/>
          </w:rPr>
          <w:t>Honduras</w:t>
        </w:r>
      </w:smartTag>
      <w:r w:rsidRPr="00A1219A">
        <w:rPr>
          <w:sz w:val="20"/>
          <w:lang w:val="es-ES"/>
        </w:rPr>
        <w:t xml:space="preserve"> ratificó el Convenio 169 de la OIT en el año 1995 y a pesar de la jurisprudencia del sistema interamericano de derechos humanos en la materia. Asimismo, observa con preocupación </w:t>
      </w:r>
      <w:r w:rsidR="0032034E" w:rsidRPr="00A1219A">
        <w:rPr>
          <w:rFonts w:cs="Helvetica"/>
          <w:sz w:val="20"/>
          <w:lang w:val="es-ES"/>
        </w:rPr>
        <w:t>la</w:t>
      </w:r>
      <w:r w:rsidR="001A7934" w:rsidRPr="00A1219A">
        <w:rPr>
          <w:rFonts w:cs="Helvetica"/>
          <w:sz w:val="20"/>
          <w:lang w:val="es-ES"/>
        </w:rPr>
        <w:t>s normas de la</w:t>
      </w:r>
      <w:r w:rsidR="0032034E" w:rsidRPr="00A1219A">
        <w:rPr>
          <w:rFonts w:cs="Helvetica"/>
          <w:sz w:val="20"/>
          <w:lang w:val="es-ES"/>
        </w:rPr>
        <w:t xml:space="preserve"> </w:t>
      </w:r>
      <w:r w:rsidR="0032034E" w:rsidRPr="00A1219A">
        <w:rPr>
          <w:sz w:val="20"/>
          <w:lang w:val="es-ES"/>
        </w:rPr>
        <w:t>Ley de Propiedad</w:t>
      </w:r>
      <w:r w:rsidR="0032034E" w:rsidRPr="00A1219A">
        <w:rPr>
          <w:rFonts w:cs="Helvetica"/>
          <w:sz w:val="20"/>
          <w:lang w:val="es-ES"/>
        </w:rPr>
        <w:t xml:space="preserve"> </w:t>
      </w:r>
      <w:r w:rsidR="001A7934" w:rsidRPr="00A1219A">
        <w:rPr>
          <w:rFonts w:cs="Helvetica"/>
          <w:sz w:val="20"/>
          <w:lang w:val="es-ES"/>
        </w:rPr>
        <w:t xml:space="preserve">sobre </w:t>
      </w:r>
      <w:r w:rsidR="0032034E" w:rsidRPr="00A1219A">
        <w:rPr>
          <w:rFonts w:cs="Helvetica"/>
          <w:sz w:val="20"/>
          <w:lang w:val="es-ES"/>
        </w:rPr>
        <w:t>presencia de</w:t>
      </w:r>
      <w:r w:rsidR="001A7934" w:rsidRPr="00A1219A">
        <w:rPr>
          <w:rFonts w:cs="Helvetica"/>
          <w:sz w:val="20"/>
          <w:lang w:val="es-ES"/>
        </w:rPr>
        <w:t xml:space="preserve"> terceros en tierras comunales </w:t>
      </w:r>
      <w:r w:rsidR="0032034E" w:rsidRPr="00A1219A">
        <w:rPr>
          <w:rFonts w:cs="Helvetica"/>
          <w:sz w:val="20"/>
          <w:lang w:val="es-ES"/>
        </w:rPr>
        <w:t xml:space="preserve">de los pueblos indígenas y </w:t>
      </w:r>
      <w:proofErr w:type="spellStart"/>
      <w:r w:rsidR="0032034E" w:rsidRPr="00A1219A">
        <w:rPr>
          <w:rFonts w:cs="Helvetica"/>
          <w:sz w:val="20"/>
          <w:lang w:val="es-ES"/>
        </w:rPr>
        <w:t>afrohondureños</w:t>
      </w:r>
      <w:proofErr w:type="spellEnd"/>
      <w:r w:rsidR="001A7934" w:rsidRPr="00A1219A">
        <w:rPr>
          <w:rFonts w:cs="Helvetica"/>
          <w:sz w:val="20"/>
          <w:lang w:val="es-ES"/>
        </w:rPr>
        <w:t>. Al respecto señala que l</w:t>
      </w:r>
      <w:r w:rsidR="001A7934" w:rsidRPr="00A1219A">
        <w:rPr>
          <w:sz w:val="20"/>
          <w:lang w:val="es-ES"/>
        </w:rPr>
        <w:t xml:space="preserve">os derechos de propiedad y tenencia de estos pueblos prevalecerán sobre estos títulos emitidos a favor de terceros que </w:t>
      </w:r>
      <w:r w:rsidR="001A7934" w:rsidRPr="00A1219A">
        <w:rPr>
          <w:sz w:val="20"/>
          <w:lang w:val="es-ES"/>
        </w:rPr>
        <w:lastRenderedPageBreak/>
        <w:t>nunca las han poseído</w:t>
      </w:r>
      <w:r w:rsidR="0032034E" w:rsidRPr="00A1219A">
        <w:rPr>
          <w:rStyle w:val="Refdenotaalpie"/>
          <w:rFonts w:cs="Helvetica"/>
          <w:sz w:val="20"/>
          <w:lang w:val="es-ES"/>
        </w:rPr>
        <w:footnoteReference w:id="112"/>
      </w:r>
      <w:r w:rsidR="0032034E" w:rsidRPr="00A1219A">
        <w:rPr>
          <w:rFonts w:cs="Helvetica"/>
          <w:sz w:val="20"/>
          <w:lang w:val="es-ES"/>
        </w:rPr>
        <w:t>, no obstante los terceros que tengan título de propiedad en tierras de estos pueblos y que han tenido y poseído la tierra tienen el derecho de continuar poseyéndola y explotándola</w:t>
      </w:r>
      <w:r w:rsidR="0032034E" w:rsidRPr="00A1219A">
        <w:rPr>
          <w:rStyle w:val="Refdenotaalpie"/>
          <w:rFonts w:cs="Helvetica"/>
          <w:sz w:val="20"/>
          <w:lang w:val="es-ES"/>
        </w:rPr>
        <w:footnoteReference w:id="113"/>
      </w:r>
      <w:r w:rsidR="0032034E" w:rsidRPr="00A1219A">
        <w:rPr>
          <w:rFonts w:cs="Helvetica"/>
          <w:sz w:val="20"/>
          <w:lang w:val="es-ES"/>
        </w:rPr>
        <w:t>. La Ley establece además que el tercero que ha recibido título de propiedad en tierras de comunales, que por sus características puede ser anulable, previo a la devolución de las tierras a las comunidades afectadas será indemnizado en sus mejoras, en cambio los terceros en tierras indígenas que no poseen título alguno podrán negociar su permanencia con la comunidad</w:t>
      </w:r>
      <w:r w:rsidR="0032034E" w:rsidRPr="00A1219A">
        <w:rPr>
          <w:rStyle w:val="Refdenotaalpie"/>
          <w:rFonts w:cs="Helvetica"/>
          <w:sz w:val="20"/>
          <w:lang w:val="es-ES"/>
        </w:rPr>
        <w:footnoteReference w:id="114"/>
      </w:r>
      <w:r w:rsidR="0032034E" w:rsidRPr="00A1219A">
        <w:rPr>
          <w:rFonts w:cs="Helvetica"/>
          <w:sz w:val="20"/>
          <w:lang w:val="es-ES"/>
        </w:rPr>
        <w:t xml:space="preserve">. En opinión de la CIDH, tales disposiciones tornan ilusorio el derecho preferente de los pueblos indígenas con base en la </w:t>
      </w:r>
      <w:r w:rsidR="0032034E" w:rsidRPr="00A1219A">
        <w:rPr>
          <w:rFonts w:cs="Verdana"/>
          <w:sz w:val="20"/>
          <w:lang w:val="es-ES"/>
        </w:rPr>
        <w:t>posesión ancestral de sus tierras, así como tampoco favorecen su derecho a la propiedad colectiva de un territorio exclusivamente indígena.</w:t>
      </w:r>
    </w:p>
    <w:p w:rsidR="001A7934" w:rsidRPr="00A1219A" w:rsidRDefault="001A7934" w:rsidP="001A7934">
      <w:pPr>
        <w:jc w:val="both"/>
        <w:rPr>
          <w:sz w:val="20"/>
          <w:lang w:val="es-ES"/>
        </w:rPr>
      </w:pPr>
    </w:p>
    <w:p w:rsidR="007D6787" w:rsidRPr="00A1219A" w:rsidRDefault="00573194" w:rsidP="009D1BF3">
      <w:pPr>
        <w:numPr>
          <w:ilvl w:val="0"/>
          <w:numId w:val="1"/>
        </w:numPr>
        <w:tabs>
          <w:tab w:val="clear" w:pos="900"/>
        </w:tabs>
        <w:ind w:left="0" w:firstLine="720"/>
        <w:jc w:val="both"/>
        <w:rPr>
          <w:sz w:val="20"/>
          <w:lang w:val="es-ES"/>
        </w:rPr>
      </w:pPr>
      <w:r>
        <w:rPr>
          <w:sz w:val="20"/>
          <w:lang w:val="es-ES"/>
        </w:rPr>
        <w:t xml:space="preserve">Una de las consecuencias de </w:t>
      </w:r>
      <w:r w:rsidR="008E40A6" w:rsidRPr="00A1219A">
        <w:rPr>
          <w:sz w:val="20"/>
          <w:lang w:val="es-ES"/>
        </w:rPr>
        <w:t>la falta de protección efectiva y saneamiento del territorio ocupado históricamente por la Comunidad de Punta Piedra</w:t>
      </w:r>
      <w:r w:rsidR="00B60C4D" w:rsidRPr="00A1219A">
        <w:rPr>
          <w:sz w:val="20"/>
          <w:lang w:val="es-ES"/>
        </w:rPr>
        <w:t xml:space="preserve"> </w:t>
      </w:r>
      <w:r w:rsidR="00F425B4" w:rsidRPr="00A1219A">
        <w:rPr>
          <w:sz w:val="20"/>
          <w:lang w:val="es-ES"/>
        </w:rPr>
        <w:t xml:space="preserve">condujo a la generación de </w:t>
      </w:r>
      <w:r w:rsidR="00B60C4D" w:rsidRPr="00A1219A">
        <w:rPr>
          <w:sz w:val="20"/>
          <w:lang w:val="es-ES"/>
        </w:rPr>
        <w:t>una situa</w:t>
      </w:r>
      <w:r w:rsidR="008E40A6" w:rsidRPr="00A1219A">
        <w:rPr>
          <w:sz w:val="20"/>
          <w:lang w:val="es-ES"/>
        </w:rPr>
        <w:t>ción de inseguridad y violen</w:t>
      </w:r>
      <w:r w:rsidR="008E40A6" w:rsidRPr="0029560E">
        <w:rPr>
          <w:sz w:val="20"/>
          <w:lang w:val="es-ES"/>
        </w:rPr>
        <w:t>cia</w:t>
      </w:r>
      <w:r w:rsidR="00B60C4D" w:rsidRPr="0029560E">
        <w:rPr>
          <w:sz w:val="20"/>
          <w:lang w:val="es-ES"/>
        </w:rPr>
        <w:t xml:space="preserve">. </w:t>
      </w:r>
      <w:r w:rsidR="006F7DF2" w:rsidRPr="0029560E">
        <w:rPr>
          <w:sz w:val="20"/>
          <w:lang w:val="es-ES"/>
        </w:rPr>
        <w:t>La CIDH observa que</w:t>
      </w:r>
      <w:r w:rsidR="00D82FB7" w:rsidRPr="0029560E">
        <w:rPr>
          <w:sz w:val="20"/>
          <w:lang w:val="es-ES"/>
        </w:rPr>
        <w:t>, según denunció la Comunidad Garífuna, tales hostigamientos y actos de violencia causados po</w:t>
      </w:r>
      <w:r w:rsidR="009E7F6E" w:rsidRPr="0029560E">
        <w:rPr>
          <w:sz w:val="20"/>
          <w:lang w:val="es-ES"/>
        </w:rPr>
        <w:t>r intereses de ladinos o no garí</w:t>
      </w:r>
      <w:r w:rsidR="00D82FB7" w:rsidRPr="0029560E">
        <w:rPr>
          <w:sz w:val="20"/>
          <w:lang w:val="es-ES"/>
        </w:rPr>
        <w:t>funas en el territorio ancestral fueron exacerbados por la discriminación existente contra el pueblo garifuna en razón de su origen étnico.</w:t>
      </w:r>
      <w:r w:rsidR="00D82FB7">
        <w:rPr>
          <w:sz w:val="20"/>
          <w:lang w:val="es-ES"/>
        </w:rPr>
        <w:t xml:space="preserve"> </w:t>
      </w:r>
      <w:r w:rsidR="00B60C4D" w:rsidRPr="00A1219A">
        <w:rPr>
          <w:sz w:val="20"/>
          <w:lang w:val="es-ES"/>
        </w:rPr>
        <w:t xml:space="preserve">Como se ha acreditado, </w:t>
      </w:r>
      <w:r w:rsidR="0042658F" w:rsidRPr="00A1219A">
        <w:rPr>
          <w:sz w:val="20"/>
          <w:lang w:val="es-ES"/>
        </w:rPr>
        <w:t>miembros de la Comunidad de Punta Piedra</w:t>
      </w:r>
      <w:r w:rsidR="00B60C4D" w:rsidRPr="00A1219A">
        <w:rPr>
          <w:sz w:val="20"/>
          <w:lang w:val="es-ES"/>
        </w:rPr>
        <w:t xml:space="preserve"> denuncia</w:t>
      </w:r>
      <w:r w:rsidR="0042658F" w:rsidRPr="00A1219A">
        <w:rPr>
          <w:sz w:val="20"/>
          <w:lang w:val="es-ES"/>
        </w:rPr>
        <w:t>ron</w:t>
      </w:r>
      <w:r w:rsidR="00B60C4D" w:rsidRPr="00A1219A">
        <w:rPr>
          <w:sz w:val="20"/>
          <w:lang w:val="es-ES"/>
        </w:rPr>
        <w:t xml:space="preserve"> ante autoridades </w:t>
      </w:r>
      <w:r w:rsidR="0042658F" w:rsidRPr="00A1219A">
        <w:rPr>
          <w:sz w:val="20"/>
          <w:lang w:val="es-ES"/>
        </w:rPr>
        <w:t>estatales</w:t>
      </w:r>
      <w:r w:rsidR="00B60C4D" w:rsidRPr="00A1219A">
        <w:rPr>
          <w:sz w:val="20"/>
          <w:lang w:val="es-ES"/>
        </w:rPr>
        <w:t xml:space="preserve"> actos de hostigamiento y de violencia realizados por particulares, con el objeto de despojarlos de sus tierras ancestrales</w:t>
      </w:r>
      <w:r w:rsidR="0042658F" w:rsidRPr="00A1219A">
        <w:rPr>
          <w:rFonts w:cs="Arial"/>
          <w:sz w:val="20"/>
          <w:lang w:val="es-ES"/>
        </w:rPr>
        <w:t>,</w:t>
      </w:r>
      <w:r w:rsidR="0042658F" w:rsidRPr="00A1219A">
        <w:rPr>
          <w:sz w:val="20"/>
          <w:lang w:val="es-ES"/>
        </w:rPr>
        <w:t xml:space="preserve"> lo que claramente da</w:t>
      </w:r>
      <w:r w:rsidR="00B60C4D" w:rsidRPr="00A1219A">
        <w:rPr>
          <w:sz w:val="20"/>
          <w:lang w:val="es-ES"/>
        </w:rPr>
        <w:t xml:space="preserve"> cuenta de la situación de conflictividad e inseguridad existente en el territorio ancestral</w:t>
      </w:r>
      <w:r w:rsidR="008E40A6" w:rsidRPr="00A1219A">
        <w:rPr>
          <w:rFonts w:cs="Arial"/>
          <w:sz w:val="20"/>
          <w:lang w:val="es-ES"/>
        </w:rPr>
        <w:t>, impidiendo así su goce y disfrute pacífico.</w:t>
      </w:r>
      <w:r w:rsidR="007D6787">
        <w:rPr>
          <w:rFonts w:cs="Arial"/>
          <w:sz w:val="20"/>
          <w:lang w:val="es-ES"/>
        </w:rPr>
        <w:t xml:space="preserve"> </w:t>
      </w:r>
    </w:p>
    <w:p w:rsidR="00784335" w:rsidRPr="00A1219A" w:rsidRDefault="00784335" w:rsidP="00784335">
      <w:pPr>
        <w:ind w:left="720"/>
        <w:jc w:val="both"/>
        <w:rPr>
          <w:sz w:val="20"/>
          <w:lang w:val="es-ES"/>
        </w:rPr>
      </w:pPr>
    </w:p>
    <w:p w:rsidR="0042658F" w:rsidRPr="00A1219A" w:rsidRDefault="0042658F" w:rsidP="008E40A6">
      <w:pPr>
        <w:numPr>
          <w:ilvl w:val="0"/>
          <w:numId w:val="1"/>
        </w:numPr>
        <w:tabs>
          <w:tab w:val="clear" w:pos="900"/>
        </w:tabs>
        <w:ind w:left="0" w:firstLine="720"/>
        <w:jc w:val="both"/>
        <w:rPr>
          <w:sz w:val="20"/>
          <w:lang w:val="es-ES"/>
        </w:rPr>
      </w:pPr>
      <w:r w:rsidRPr="00A1219A">
        <w:rPr>
          <w:sz w:val="20"/>
          <w:lang w:val="es-ES"/>
        </w:rPr>
        <w:t>En suma</w:t>
      </w:r>
      <w:r w:rsidR="00B60C4D" w:rsidRPr="00A1219A">
        <w:rPr>
          <w:sz w:val="20"/>
          <w:lang w:val="es-ES"/>
        </w:rPr>
        <w:t xml:space="preserve">, la CIDH </w:t>
      </w:r>
      <w:r w:rsidRPr="00A1219A">
        <w:rPr>
          <w:sz w:val="20"/>
          <w:lang w:val="es-ES"/>
        </w:rPr>
        <w:t>considera</w:t>
      </w:r>
      <w:r w:rsidR="00B60C4D" w:rsidRPr="00A1219A">
        <w:rPr>
          <w:sz w:val="20"/>
          <w:lang w:val="es-ES"/>
        </w:rPr>
        <w:t xml:space="preserve"> que el Estado de </w:t>
      </w:r>
      <w:smartTag w:uri="urn:schemas-microsoft-com:office:smarttags" w:element="PersonName">
        <w:r w:rsidR="00B60C4D" w:rsidRPr="00A1219A">
          <w:rPr>
            <w:sz w:val="20"/>
            <w:lang w:val="es-ES"/>
          </w:rPr>
          <w:t>Honduras</w:t>
        </w:r>
      </w:smartTag>
      <w:r w:rsidR="00B60C4D" w:rsidRPr="00A1219A">
        <w:rPr>
          <w:sz w:val="20"/>
          <w:lang w:val="es-ES"/>
        </w:rPr>
        <w:t xml:space="preserve"> no garantizó la protección efectiva de las tierras ancestrales de la Comunidad de Punta Piedra frente a su </w:t>
      </w:r>
      <w:r w:rsidR="00B60C4D" w:rsidRPr="00A1219A">
        <w:rPr>
          <w:rFonts w:cs="TimesNewRoman"/>
          <w:sz w:val="20"/>
          <w:lang w:val="es-ES"/>
        </w:rPr>
        <w:t>ocupación por parte de terceros</w:t>
      </w:r>
      <w:r w:rsidR="008E40A6" w:rsidRPr="00A1219A">
        <w:rPr>
          <w:sz w:val="20"/>
          <w:lang w:val="es-ES"/>
        </w:rPr>
        <w:t xml:space="preserve">, ni garantizó su posesión pacífica a través del saneamiento respectivo, </w:t>
      </w:r>
      <w:r w:rsidRPr="00A1219A">
        <w:rPr>
          <w:sz w:val="20"/>
          <w:lang w:val="es-ES"/>
        </w:rPr>
        <w:t>lo que</w:t>
      </w:r>
      <w:r w:rsidR="00B60C4D" w:rsidRPr="00A1219A">
        <w:rPr>
          <w:sz w:val="20"/>
          <w:lang w:val="es-ES"/>
        </w:rPr>
        <w:t xml:space="preserve"> </w:t>
      </w:r>
      <w:r w:rsidRPr="00A1219A">
        <w:rPr>
          <w:sz w:val="20"/>
          <w:lang w:val="es-ES"/>
        </w:rPr>
        <w:t>mantuvo</w:t>
      </w:r>
      <w:r w:rsidR="00B60C4D" w:rsidRPr="00A1219A">
        <w:rPr>
          <w:sz w:val="20"/>
          <w:lang w:val="es-ES"/>
        </w:rPr>
        <w:t xml:space="preserve"> a la </w:t>
      </w:r>
      <w:r w:rsidRPr="00A1219A">
        <w:rPr>
          <w:sz w:val="20"/>
          <w:lang w:val="es-ES"/>
        </w:rPr>
        <w:t>C</w:t>
      </w:r>
      <w:r w:rsidR="00B60C4D" w:rsidRPr="00A1219A">
        <w:rPr>
          <w:sz w:val="20"/>
          <w:lang w:val="es-ES"/>
        </w:rPr>
        <w:t>omunidad en una situación de conflicto</w:t>
      </w:r>
      <w:r w:rsidR="008E40A6" w:rsidRPr="00A1219A">
        <w:rPr>
          <w:sz w:val="20"/>
          <w:lang w:val="es-ES"/>
        </w:rPr>
        <w:t xml:space="preserve"> permanente</w:t>
      </w:r>
      <w:r w:rsidR="00B60C4D" w:rsidRPr="00A1219A">
        <w:rPr>
          <w:sz w:val="20"/>
          <w:lang w:val="es-ES"/>
        </w:rPr>
        <w:t>.</w:t>
      </w:r>
      <w:r w:rsidRPr="00A1219A">
        <w:rPr>
          <w:sz w:val="20"/>
          <w:lang w:val="es-ES"/>
        </w:rPr>
        <w:t xml:space="preserve"> En virtud a </w:t>
      </w:r>
      <w:r w:rsidR="008E40A6" w:rsidRPr="00A1219A">
        <w:rPr>
          <w:sz w:val="20"/>
          <w:lang w:val="es-ES"/>
        </w:rPr>
        <w:t>lo anterior</w:t>
      </w:r>
      <w:r w:rsidRPr="00A1219A">
        <w:rPr>
          <w:sz w:val="20"/>
          <w:lang w:val="es-ES"/>
        </w:rPr>
        <w:t xml:space="preserve">, la Comisión concluye que el Estado de </w:t>
      </w:r>
      <w:smartTag w:uri="urn:schemas-microsoft-com:office:smarttags" w:element="PersonName">
        <w:r w:rsidRPr="00A1219A">
          <w:rPr>
            <w:sz w:val="20"/>
            <w:lang w:val="es-ES"/>
          </w:rPr>
          <w:t>Honduras</w:t>
        </w:r>
      </w:smartTag>
      <w:r w:rsidRPr="00A1219A">
        <w:rPr>
          <w:sz w:val="20"/>
          <w:lang w:val="es-ES"/>
        </w:rPr>
        <w:t xml:space="preserve"> violó el artículo 21 de la Convención Americana, en relación con los artículos 1.1 y 2 del mismo instrumento, en perjuicio de la Comunidad Garífuna de Punta Piedra y sus miembros.</w:t>
      </w:r>
    </w:p>
    <w:p w:rsidR="001A5572" w:rsidRPr="00A1219A" w:rsidRDefault="001A5572" w:rsidP="001A5572">
      <w:pPr>
        <w:jc w:val="both"/>
        <w:rPr>
          <w:sz w:val="20"/>
          <w:lang w:val="es-ES"/>
        </w:rPr>
      </w:pPr>
    </w:p>
    <w:p w:rsidR="00117C15" w:rsidRPr="00A1219A" w:rsidRDefault="00D81D09" w:rsidP="00A87D6B">
      <w:pPr>
        <w:pStyle w:val="Ttulo2"/>
        <w:numPr>
          <w:ilvl w:val="0"/>
          <w:numId w:val="9"/>
        </w:numPr>
        <w:spacing w:before="0" w:after="0"/>
        <w:jc w:val="both"/>
        <w:rPr>
          <w:rFonts w:ascii="Univers" w:hAnsi="Univers"/>
          <w:i w:val="0"/>
          <w:iCs w:val="0"/>
          <w:sz w:val="20"/>
          <w:lang w:val="es-ES"/>
        </w:rPr>
      </w:pPr>
      <w:bookmarkStart w:id="36" w:name="_Toc336248017"/>
      <w:bookmarkStart w:id="37" w:name="_Toc350183593"/>
      <w:r w:rsidRPr="00A1219A">
        <w:rPr>
          <w:rFonts w:ascii="Univers" w:hAnsi="Univers"/>
          <w:i w:val="0"/>
          <w:iCs w:val="0"/>
          <w:sz w:val="20"/>
          <w:lang w:val="es-ES"/>
        </w:rPr>
        <w:t>Artículo</w:t>
      </w:r>
      <w:r w:rsidR="00117C15" w:rsidRPr="00A1219A">
        <w:rPr>
          <w:rFonts w:ascii="Univers" w:hAnsi="Univers"/>
          <w:i w:val="0"/>
          <w:iCs w:val="0"/>
          <w:sz w:val="20"/>
          <w:lang w:val="es-ES"/>
        </w:rPr>
        <w:t xml:space="preserve"> </w:t>
      </w:r>
      <w:r w:rsidR="00491258" w:rsidRPr="00A1219A">
        <w:rPr>
          <w:rFonts w:ascii="Univers" w:hAnsi="Univers"/>
          <w:i w:val="0"/>
          <w:iCs w:val="0"/>
          <w:sz w:val="20"/>
          <w:lang w:val="es-ES"/>
        </w:rPr>
        <w:t xml:space="preserve">25 </w:t>
      </w:r>
      <w:r w:rsidR="00117C15" w:rsidRPr="00A1219A">
        <w:rPr>
          <w:rFonts w:ascii="Univers" w:hAnsi="Univers"/>
          <w:i w:val="0"/>
          <w:iCs w:val="0"/>
          <w:sz w:val="20"/>
          <w:lang w:val="es-ES"/>
        </w:rPr>
        <w:t>de la Convención</w:t>
      </w:r>
      <w:r w:rsidRPr="00A1219A">
        <w:rPr>
          <w:rFonts w:ascii="Univers" w:hAnsi="Univers"/>
          <w:i w:val="0"/>
          <w:iCs w:val="0"/>
          <w:sz w:val="20"/>
          <w:lang w:val="es-ES"/>
        </w:rPr>
        <w:t xml:space="preserve"> Americana</w:t>
      </w:r>
      <w:r w:rsidR="00117C15" w:rsidRPr="00A1219A">
        <w:rPr>
          <w:rFonts w:ascii="Univers" w:hAnsi="Univers"/>
          <w:i w:val="0"/>
          <w:iCs w:val="0"/>
          <w:sz w:val="20"/>
          <w:lang w:val="es-ES"/>
        </w:rPr>
        <w:t>, en relación con los artículos 1.1 y 2 de la misma</w:t>
      </w:r>
      <w:bookmarkEnd w:id="36"/>
      <w:bookmarkEnd w:id="37"/>
    </w:p>
    <w:p w:rsidR="000778C8" w:rsidRPr="00A1219A" w:rsidRDefault="000778C8" w:rsidP="0017664E">
      <w:pPr>
        <w:jc w:val="both"/>
        <w:rPr>
          <w:sz w:val="20"/>
          <w:lang w:val="es-ES"/>
        </w:rPr>
      </w:pPr>
    </w:p>
    <w:p w:rsidR="00974C6C" w:rsidRPr="00A1219A" w:rsidRDefault="00872679" w:rsidP="00974C6C">
      <w:pPr>
        <w:numPr>
          <w:ilvl w:val="0"/>
          <w:numId w:val="1"/>
        </w:numPr>
        <w:tabs>
          <w:tab w:val="clear" w:pos="900"/>
        </w:tabs>
        <w:ind w:left="0" w:firstLine="720"/>
        <w:jc w:val="both"/>
        <w:rPr>
          <w:sz w:val="20"/>
          <w:lang w:val="es-ES"/>
        </w:rPr>
      </w:pPr>
      <w:r w:rsidRPr="00A1219A">
        <w:rPr>
          <w:sz w:val="20"/>
          <w:lang w:val="es-ES"/>
        </w:rPr>
        <w:t xml:space="preserve">Conforme a lo establecido por la Corte Interamericana en su jurisprudencia, </w:t>
      </w:r>
      <w:r w:rsidR="00853657" w:rsidRPr="00A1219A">
        <w:rPr>
          <w:sz w:val="20"/>
          <w:lang w:val="es-ES"/>
        </w:rPr>
        <w:t>el artículo 25.1 de la Convención Americana contempla la obligación de los Estados Partes de “garantizar, a todas las personas bajo su jurisdicción, un recurso judicial efectivo contra actos violatorios de sus derechos fundamentales”</w:t>
      </w:r>
      <w:r w:rsidR="00853657" w:rsidRPr="00A1219A">
        <w:rPr>
          <w:rStyle w:val="Refdenotaalpie"/>
          <w:sz w:val="20"/>
          <w:lang w:val="es-ES"/>
        </w:rPr>
        <w:footnoteReference w:id="115"/>
      </w:r>
      <w:r w:rsidR="00974C6C" w:rsidRPr="00A1219A">
        <w:rPr>
          <w:sz w:val="20"/>
          <w:lang w:val="es-ES"/>
        </w:rPr>
        <w:t>. La Corte ha enfatizado además que la existencia de e</w:t>
      </w:r>
      <w:r w:rsidR="00DC5639" w:rsidRPr="00A1219A">
        <w:rPr>
          <w:sz w:val="20"/>
          <w:lang w:val="es-ES"/>
        </w:rPr>
        <w:t>sta garantí</w:t>
      </w:r>
      <w:r w:rsidR="00974C6C" w:rsidRPr="00A1219A">
        <w:rPr>
          <w:sz w:val="20"/>
          <w:lang w:val="es-ES"/>
        </w:rPr>
        <w:t>a “constituye uno</w:t>
      </w:r>
      <w:r w:rsidR="00DC5639" w:rsidRPr="00A1219A">
        <w:rPr>
          <w:sz w:val="20"/>
          <w:lang w:val="es-ES"/>
        </w:rPr>
        <w:t xml:space="preserve"> de los pilares básicos, no só</w:t>
      </w:r>
      <w:r w:rsidR="00974C6C" w:rsidRPr="00A1219A">
        <w:rPr>
          <w:sz w:val="20"/>
          <w:lang w:val="es-ES"/>
        </w:rPr>
        <w:t>lo de la Convenci</w:t>
      </w:r>
      <w:r w:rsidR="00DC5639" w:rsidRPr="00A1219A">
        <w:rPr>
          <w:sz w:val="20"/>
          <w:lang w:val="es-ES"/>
        </w:rPr>
        <w:t>ó</w:t>
      </w:r>
      <w:r w:rsidR="00974C6C" w:rsidRPr="00A1219A">
        <w:rPr>
          <w:sz w:val="20"/>
          <w:lang w:val="es-ES"/>
        </w:rPr>
        <w:t xml:space="preserve">n Americana, sino del propio Estado de </w:t>
      </w:r>
      <w:r w:rsidR="00DC5639" w:rsidRPr="00A1219A">
        <w:rPr>
          <w:sz w:val="20"/>
          <w:lang w:val="es-ES"/>
        </w:rPr>
        <w:t>Derecho en una sociedad democrá</w:t>
      </w:r>
      <w:r w:rsidR="00974C6C" w:rsidRPr="00A1219A">
        <w:rPr>
          <w:sz w:val="20"/>
          <w:lang w:val="es-ES"/>
        </w:rPr>
        <w:t>tica”</w:t>
      </w:r>
      <w:r w:rsidR="00974C6C" w:rsidRPr="00A1219A">
        <w:rPr>
          <w:rStyle w:val="Refdenotaalpie"/>
          <w:sz w:val="20"/>
          <w:lang w:val="es-ES"/>
        </w:rPr>
        <w:footnoteReference w:id="116"/>
      </w:r>
      <w:r w:rsidR="00974C6C" w:rsidRPr="00A1219A">
        <w:rPr>
          <w:sz w:val="20"/>
          <w:lang w:val="es-ES"/>
        </w:rPr>
        <w:t xml:space="preserve">, y que la inexistencia de tales recursos efectivos, “coloca a una </w:t>
      </w:r>
      <w:r w:rsidR="00DC5639" w:rsidRPr="00A1219A">
        <w:rPr>
          <w:sz w:val="20"/>
          <w:lang w:val="es-ES"/>
        </w:rPr>
        <w:t>persona en estado de indefensió</w:t>
      </w:r>
      <w:r w:rsidR="00974C6C" w:rsidRPr="00A1219A">
        <w:rPr>
          <w:sz w:val="20"/>
          <w:lang w:val="es-ES"/>
        </w:rPr>
        <w:t>n”</w:t>
      </w:r>
      <w:r w:rsidR="00974C6C" w:rsidRPr="00A1219A">
        <w:rPr>
          <w:rStyle w:val="Refdenotaalpie"/>
          <w:sz w:val="20"/>
          <w:lang w:val="es-ES"/>
        </w:rPr>
        <w:footnoteReference w:id="117"/>
      </w:r>
      <w:r w:rsidR="00974C6C" w:rsidRPr="00A1219A">
        <w:rPr>
          <w:sz w:val="20"/>
          <w:lang w:val="es-ES"/>
        </w:rPr>
        <w:t xml:space="preserve">. Asimismo, ha precisado que: </w:t>
      </w:r>
    </w:p>
    <w:p w:rsidR="00974C6C" w:rsidRPr="00A1219A" w:rsidRDefault="00974C6C" w:rsidP="00974C6C">
      <w:pPr>
        <w:ind w:left="720"/>
        <w:jc w:val="both"/>
        <w:rPr>
          <w:sz w:val="20"/>
          <w:lang w:val="es-ES"/>
        </w:rPr>
      </w:pPr>
    </w:p>
    <w:p w:rsidR="00974C6C" w:rsidRPr="00A1219A" w:rsidRDefault="00974C6C" w:rsidP="00974C6C">
      <w:pPr>
        <w:tabs>
          <w:tab w:val="left" w:pos="720"/>
        </w:tabs>
        <w:ind w:left="720" w:right="720"/>
        <w:jc w:val="both"/>
        <w:rPr>
          <w:sz w:val="18"/>
          <w:szCs w:val="18"/>
          <w:lang w:val="es-ES"/>
        </w:rPr>
      </w:pPr>
      <w:r w:rsidRPr="00A1219A">
        <w:rPr>
          <w:sz w:val="18"/>
          <w:szCs w:val="18"/>
          <w:lang w:val="es-ES"/>
        </w:rPr>
        <w:lastRenderedPageBreak/>
        <w:t>[</w:t>
      </w:r>
      <w:r w:rsidR="001A5572" w:rsidRPr="00A1219A">
        <w:rPr>
          <w:sz w:val="18"/>
          <w:szCs w:val="18"/>
          <w:lang w:val="es-ES"/>
        </w:rPr>
        <w:t>E</w:t>
      </w:r>
      <w:r w:rsidR="00DC5639" w:rsidRPr="00A1219A">
        <w:rPr>
          <w:sz w:val="18"/>
          <w:szCs w:val="18"/>
          <w:lang w:val="es-ES"/>
        </w:rPr>
        <w:t>]l artículo 25 de la Convención se encuentra í</w:t>
      </w:r>
      <w:r w:rsidRPr="00A1219A">
        <w:rPr>
          <w:sz w:val="18"/>
          <w:szCs w:val="18"/>
          <w:lang w:val="es-ES"/>
        </w:rPr>
        <w:t>ntimamente ligado con las obligaciones g</w:t>
      </w:r>
      <w:r w:rsidR="00DC5639" w:rsidRPr="00A1219A">
        <w:rPr>
          <w:sz w:val="18"/>
          <w:szCs w:val="18"/>
          <w:lang w:val="es-ES"/>
        </w:rPr>
        <w:t>enerales contenidas en los artí</w:t>
      </w:r>
      <w:r w:rsidRPr="00A1219A">
        <w:rPr>
          <w:sz w:val="18"/>
          <w:szCs w:val="18"/>
          <w:lang w:val="es-ES"/>
        </w:rPr>
        <w:t>culos 1.1 y 2 de la misma, las cuales a</w:t>
      </w:r>
      <w:r w:rsidR="00DC5639" w:rsidRPr="00A1219A">
        <w:rPr>
          <w:sz w:val="18"/>
          <w:szCs w:val="18"/>
          <w:lang w:val="es-ES"/>
        </w:rPr>
        <w:t>tribuyen funciones de protecció</w:t>
      </w:r>
      <w:r w:rsidRPr="00A1219A">
        <w:rPr>
          <w:sz w:val="18"/>
          <w:szCs w:val="18"/>
          <w:lang w:val="es-ES"/>
        </w:rPr>
        <w:t>n al derecho interno de los Estados Partes, de lo cual se desprende que el Estado ti</w:t>
      </w:r>
      <w:r w:rsidR="00DC5639" w:rsidRPr="00A1219A">
        <w:rPr>
          <w:sz w:val="18"/>
          <w:szCs w:val="18"/>
          <w:lang w:val="es-ES"/>
        </w:rPr>
        <w:t>ene la responsabilidad de diseñ</w:t>
      </w:r>
      <w:r w:rsidRPr="00A1219A">
        <w:rPr>
          <w:sz w:val="18"/>
          <w:szCs w:val="18"/>
          <w:lang w:val="es-ES"/>
        </w:rPr>
        <w:t>ar y consagrar normat</w:t>
      </w:r>
      <w:r w:rsidR="00DC5639" w:rsidRPr="00A1219A">
        <w:rPr>
          <w:sz w:val="18"/>
          <w:szCs w:val="18"/>
          <w:lang w:val="es-ES"/>
        </w:rPr>
        <w:t>ivamente un recurso eficaz, así</w:t>
      </w:r>
      <w:r w:rsidRPr="00A1219A">
        <w:rPr>
          <w:sz w:val="18"/>
          <w:szCs w:val="18"/>
          <w:lang w:val="es-ES"/>
        </w:rPr>
        <w:t xml:space="preserve"> como la de asegurar la debida aplicaci</w:t>
      </w:r>
      <w:r w:rsidR="00DC5639" w:rsidRPr="00A1219A">
        <w:rPr>
          <w:sz w:val="18"/>
          <w:szCs w:val="18"/>
          <w:lang w:val="es-ES"/>
        </w:rPr>
        <w:t>ón</w:t>
      </w:r>
      <w:r w:rsidRPr="00A1219A">
        <w:rPr>
          <w:sz w:val="18"/>
          <w:szCs w:val="18"/>
          <w:lang w:val="es-ES"/>
        </w:rPr>
        <w:t xml:space="preserve"> de dicho recurso por parte de sus autoridades judiciales. En ese sentid</w:t>
      </w:r>
      <w:r w:rsidR="00DC5639" w:rsidRPr="00A1219A">
        <w:rPr>
          <w:sz w:val="18"/>
          <w:szCs w:val="18"/>
          <w:lang w:val="es-ES"/>
        </w:rPr>
        <w:t>o, en los té</w:t>
      </w:r>
      <w:r w:rsidRPr="00A1219A">
        <w:rPr>
          <w:sz w:val="18"/>
          <w:szCs w:val="18"/>
          <w:lang w:val="es-ES"/>
        </w:rPr>
        <w:t>rminos d</w:t>
      </w:r>
      <w:r w:rsidR="00DC5639" w:rsidRPr="00A1219A">
        <w:rPr>
          <w:sz w:val="18"/>
          <w:szCs w:val="18"/>
          <w:lang w:val="es-ES"/>
        </w:rPr>
        <w:t>el artículo 25 de la Convenció</w:t>
      </w:r>
      <w:r w:rsidRPr="00A1219A">
        <w:rPr>
          <w:sz w:val="18"/>
          <w:szCs w:val="18"/>
          <w:lang w:val="es-ES"/>
        </w:rPr>
        <w:t>n, la normativa interna debe asegurar la debida aplicaci</w:t>
      </w:r>
      <w:r w:rsidR="00DC5639" w:rsidRPr="00A1219A">
        <w:rPr>
          <w:sz w:val="18"/>
          <w:szCs w:val="18"/>
          <w:lang w:val="es-ES"/>
        </w:rPr>
        <w:t>ó</w:t>
      </w:r>
      <w:r w:rsidRPr="00A1219A">
        <w:rPr>
          <w:sz w:val="18"/>
          <w:szCs w:val="18"/>
          <w:lang w:val="es-ES"/>
        </w:rPr>
        <w:t>n de recursos efectivos ante las autor</w:t>
      </w:r>
      <w:r w:rsidR="00DC5639" w:rsidRPr="00A1219A">
        <w:rPr>
          <w:sz w:val="18"/>
          <w:szCs w:val="18"/>
          <w:lang w:val="es-ES"/>
        </w:rPr>
        <w:t>idades competentes con el propó</w:t>
      </w:r>
      <w:r w:rsidRPr="00A1219A">
        <w:rPr>
          <w:sz w:val="18"/>
          <w:szCs w:val="18"/>
          <w:lang w:val="es-ES"/>
        </w:rPr>
        <w:t>sito de amparar a todas l</w:t>
      </w:r>
      <w:r w:rsidR="00DC5639" w:rsidRPr="00A1219A">
        <w:rPr>
          <w:sz w:val="18"/>
          <w:szCs w:val="18"/>
          <w:lang w:val="es-ES"/>
        </w:rPr>
        <w:t>as personas bajo su jurisdicció</w:t>
      </w:r>
      <w:r w:rsidRPr="00A1219A">
        <w:rPr>
          <w:sz w:val="18"/>
          <w:szCs w:val="18"/>
          <w:lang w:val="es-ES"/>
        </w:rPr>
        <w:t xml:space="preserve">n contra actos que violen sus derechos fundamentales o </w:t>
      </w:r>
      <w:r w:rsidR="00DC5639" w:rsidRPr="00A1219A">
        <w:rPr>
          <w:sz w:val="18"/>
          <w:szCs w:val="18"/>
          <w:lang w:val="es-ES"/>
        </w:rPr>
        <w:t>que conlleven a la determinació</w:t>
      </w:r>
      <w:r w:rsidRPr="00A1219A">
        <w:rPr>
          <w:sz w:val="18"/>
          <w:szCs w:val="18"/>
          <w:lang w:val="es-ES"/>
        </w:rPr>
        <w:t>n de l</w:t>
      </w:r>
      <w:r w:rsidR="00DC5639" w:rsidRPr="00A1219A">
        <w:rPr>
          <w:sz w:val="18"/>
          <w:szCs w:val="18"/>
          <w:lang w:val="es-ES"/>
        </w:rPr>
        <w:t>os derechos y obligaciones de é</w:t>
      </w:r>
      <w:r w:rsidRPr="00A1219A">
        <w:rPr>
          <w:sz w:val="18"/>
          <w:szCs w:val="18"/>
          <w:lang w:val="es-ES"/>
        </w:rPr>
        <w:t>stas.</w:t>
      </w:r>
    </w:p>
    <w:p w:rsidR="00974C6C" w:rsidRPr="00A1219A" w:rsidRDefault="00974C6C" w:rsidP="00974C6C">
      <w:pPr>
        <w:jc w:val="both"/>
        <w:rPr>
          <w:sz w:val="20"/>
          <w:lang w:val="es-ES"/>
        </w:rPr>
      </w:pPr>
    </w:p>
    <w:p w:rsidR="00872679" w:rsidRPr="00A1219A" w:rsidRDefault="00853657" w:rsidP="000552AC">
      <w:pPr>
        <w:numPr>
          <w:ilvl w:val="0"/>
          <w:numId w:val="1"/>
        </w:numPr>
        <w:tabs>
          <w:tab w:val="clear" w:pos="900"/>
        </w:tabs>
        <w:ind w:left="0" w:firstLine="720"/>
        <w:jc w:val="both"/>
        <w:rPr>
          <w:sz w:val="20"/>
          <w:lang w:val="es-ES"/>
        </w:rPr>
      </w:pPr>
      <w:r w:rsidRPr="00A1219A">
        <w:rPr>
          <w:sz w:val="20"/>
          <w:lang w:val="es-ES"/>
        </w:rPr>
        <w:t>E</w:t>
      </w:r>
      <w:r w:rsidR="00872679" w:rsidRPr="00A1219A">
        <w:rPr>
          <w:sz w:val="20"/>
          <w:lang w:val="es-ES"/>
        </w:rPr>
        <w:t xml:space="preserve">n lo </w:t>
      </w:r>
      <w:r w:rsidR="001A5572" w:rsidRPr="00A1219A">
        <w:rPr>
          <w:sz w:val="20"/>
          <w:lang w:val="es-ES"/>
        </w:rPr>
        <w:t>relativo</w:t>
      </w:r>
      <w:r w:rsidR="00872679" w:rsidRPr="00A1219A">
        <w:rPr>
          <w:sz w:val="20"/>
          <w:lang w:val="es-ES"/>
        </w:rPr>
        <w:t xml:space="preserve"> a pueblos indígenas</w:t>
      </w:r>
      <w:r w:rsidR="00784335" w:rsidRPr="00A1219A">
        <w:rPr>
          <w:sz w:val="20"/>
          <w:lang w:val="es-ES"/>
        </w:rPr>
        <w:t xml:space="preserve"> y tribales</w:t>
      </w:r>
      <w:r w:rsidR="00872679" w:rsidRPr="00A1219A">
        <w:rPr>
          <w:sz w:val="20"/>
          <w:lang w:val="es-ES"/>
        </w:rPr>
        <w:t xml:space="preserve">, las obligaciones contenidas </w:t>
      </w:r>
      <w:r w:rsidR="0029560E">
        <w:rPr>
          <w:sz w:val="20"/>
          <w:lang w:val="es-ES"/>
        </w:rPr>
        <w:t xml:space="preserve">en </w:t>
      </w:r>
      <w:r w:rsidR="00D1284E" w:rsidRPr="0029560E">
        <w:rPr>
          <w:sz w:val="20"/>
          <w:lang w:val="es-ES"/>
        </w:rPr>
        <w:t>el artículo</w:t>
      </w:r>
      <w:r w:rsidR="00D1284E">
        <w:rPr>
          <w:sz w:val="20"/>
          <w:lang w:val="es-ES"/>
        </w:rPr>
        <w:t xml:space="preserve"> </w:t>
      </w:r>
      <w:r w:rsidR="00872679" w:rsidRPr="00A1219A">
        <w:rPr>
          <w:sz w:val="20"/>
          <w:lang w:val="es-ES"/>
        </w:rPr>
        <w:t>25 de la Convención</w:t>
      </w:r>
      <w:r w:rsidR="00784335" w:rsidRPr="00A1219A">
        <w:rPr>
          <w:sz w:val="20"/>
          <w:lang w:val="es-ES"/>
        </w:rPr>
        <w:t xml:space="preserve"> Americana</w:t>
      </w:r>
      <w:r w:rsidR="00872679" w:rsidRPr="00A1219A">
        <w:rPr>
          <w:sz w:val="20"/>
          <w:lang w:val="es-ES"/>
        </w:rPr>
        <w:t xml:space="preserve"> suponen que los Estados otorguen una protección efectiva que tome en cuenta sus particularidades propias, sus características económicas y sociales, así como su situación de especial vulnerabilidad, su derecho consuetudinario, valores, usos y costumbres</w:t>
      </w:r>
      <w:r w:rsidR="00872679" w:rsidRPr="00A1219A">
        <w:rPr>
          <w:rStyle w:val="Refdenotaalpie"/>
          <w:sz w:val="20"/>
          <w:lang w:val="es-ES"/>
        </w:rPr>
        <w:footnoteReference w:id="118"/>
      </w:r>
      <w:r w:rsidR="00872679" w:rsidRPr="00A1219A">
        <w:rPr>
          <w:sz w:val="20"/>
          <w:lang w:val="es-ES"/>
        </w:rPr>
        <w:t>. Asimismo, la jurisprudencia del sistema interamericano de derechos humanos ha determinado que los pueblos indígenas y tribales tienen derecho a que existan mecanismos efectivos y expeditos para proteger, garantizar y promover sus derechos sobre los territorios ancestrales, a través de los cuales se puedan llevar a cabo los procesos de reconocimiento, titulación, demarcación y delimitación de su propiedad territorial</w:t>
      </w:r>
      <w:r w:rsidR="00872679" w:rsidRPr="00A1219A">
        <w:rPr>
          <w:rStyle w:val="Refdenotaalpie"/>
          <w:sz w:val="20"/>
          <w:lang w:val="es-ES"/>
        </w:rPr>
        <w:footnoteReference w:id="119"/>
      </w:r>
      <w:r w:rsidR="00872679" w:rsidRPr="00A1219A">
        <w:rPr>
          <w:sz w:val="20"/>
          <w:lang w:val="es-ES"/>
        </w:rPr>
        <w:t>.</w:t>
      </w:r>
    </w:p>
    <w:p w:rsidR="00937A21" w:rsidRPr="00A1219A" w:rsidRDefault="00937A21" w:rsidP="00872679">
      <w:pPr>
        <w:jc w:val="both"/>
        <w:rPr>
          <w:sz w:val="20"/>
          <w:lang w:val="es-ES"/>
        </w:rPr>
      </w:pPr>
    </w:p>
    <w:p w:rsidR="00872679" w:rsidRPr="00A1219A" w:rsidRDefault="00872679" w:rsidP="000552AC">
      <w:pPr>
        <w:numPr>
          <w:ilvl w:val="0"/>
          <w:numId w:val="1"/>
        </w:numPr>
        <w:tabs>
          <w:tab w:val="clear" w:pos="900"/>
        </w:tabs>
        <w:ind w:left="0" w:firstLine="720"/>
        <w:jc w:val="both"/>
        <w:rPr>
          <w:rFonts w:cs="Calibri"/>
          <w:color w:val="000000"/>
          <w:sz w:val="20"/>
          <w:lang w:val="es-ES"/>
        </w:rPr>
      </w:pPr>
      <w:r w:rsidRPr="00A1219A">
        <w:rPr>
          <w:rFonts w:cs="Calibri"/>
          <w:color w:val="000000"/>
          <w:sz w:val="20"/>
          <w:lang w:val="es-ES"/>
        </w:rPr>
        <w:t xml:space="preserve">Igualmente, de acuerdo a la jurisprudencia del sistema interamericano, los Estados están obligados a adoptar medidas para garantizar y dar certeza jurídica a los derechos de los pueblos indígenas y tribales </w:t>
      </w:r>
      <w:r w:rsidRPr="00A1219A">
        <w:rPr>
          <w:sz w:val="20"/>
          <w:lang w:val="es-ES"/>
        </w:rPr>
        <w:t>respecto</w:t>
      </w:r>
      <w:r w:rsidRPr="00A1219A">
        <w:rPr>
          <w:rFonts w:cs="Calibri"/>
          <w:color w:val="000000"/>
          <w:sz w:val="20"/>
          <w:lang w:val="es-ES"/>
        </w:rPr>
        <w:t xml:space="preserve"> del dominio de sus propiedades, entre otros a través del establecimiento de mecanismos y procedimientos especiales, </w:t>
      </w:r>
      <w:r w:rsidR="00937A21" w:rsidRPr="00A1219A">
        <w:rPr>
          <w:rFonts w:cs="Calibri"/>
          <w:color w:val="000000"/>
          <w:sz w:val="20"/>
          <w:lang w:val="es-ES"/>
        </w:rPr>
        <w:t>oportunos</w:t>
      </w:r>
      <w:r w:rsidRPr="00A1219A">
        <w:rPr>
          <w:rFonts w:cs="Calibri"/>
          <w:color w:val="000000"/>
          <w:sz w:val="20"/>
          <w:lang w:val="es-ES"/>
        </w:rPr>
        <w:t xml:space="preserve"> y efectivos para resolver reclamos jurídicos sobre tal propiedad. Según ha señalado la Corte Interamericana, los procedimientos en mención deben cumplir las reglas del debido proceso legal así como en cualquier otro procedimiento cuya decisión pueda afectar los derechos de las personas</w:t>
      </w:r>
      <w:r w:rsidRPr="00A1219A">
        <w:rPr>
          <w:rStyle w:val="Refdenotaalpie"/>
          <w:color w:val="000000"/>
          <w:sz w:val="20"/>
          <w:lang w:val="es-ES"/>
        </w:rPr>
        <w:footnoteReference w:id="120"/>
      </w:r>
      <w:r w:rsidRPr="00A1219A">
        <w:rPr>
          <w:rFonts w:cs="Calibri"/>
          <w:color w:val="000000"/>
          <w:sz w:val="20"/>
          <w:lang w:val="es-ES"/>
        </w:rPr>
        <w:t>.</w:t>
      </w:r>
    </w:p>
    <w:p w:rsidR="00872679" w:rsidRPr="00A1219A" w:rsidRDefault="00872679" w:rsidP="00872679">
      <w:pPr>
        <w:jc w:val="both"/>
        <w:rPr>
          <w:sz w:val="20"/>
          <w:lang w:val="es-ES"/>
        </w:rPr>
      </w:pPr>
    </w:p>
    <w:p w:rsidR="00872679" w:rsidRPr="00A1219A" w:rsidRDefault="00872679" w:rsidP="000552AC">
      <w:pPr>
        <w:numPr>
          <w:ilvl w:val="0"/>
          <w:numId w:val="1"/>
        </w:numPr>
        <w:tabs>
          <w:tab w:val="clear" w:pos="900"/>
        </w:tabs>
        <w:ind w:left="0" w:firstLine="720"/>
        <w:jc w:val="both"/>
        <w:rPr>
          <w:sz w:val="20"/>
          <w:lang w:val="es-ES"/>
        </w:rPr>
      </w:pPr>
      <w:r w:rsidRPr="00A1219A">
        <w:rPr>
          <w:sz w:val="20"/>
          <w:lang w:val="es-ES"/>
        </w:rPr>
        <w:t>Estos mecanismos y procedimientos especiales deben ser efectivos. La Corte Interamericana ha examinado, a la luz de los requisitos de efectividad y plazo razonable establecidos en el artículo 25 de la Convención Americana, si los Estados han establecido procedimientos administrativos para la titulación, delimitación y demarcación de tierras indígenas, y de tenerlos, si implementan tales procedimientos en la práctica</w:t>
      </w:r>
      <w:r w:rsidRPr="00A1219A">
        <w:rPr>
          <w:rStyle w:val="Refdenotaalpie"/>
          <w:sz w:val="20"/>
          <w:lang w:val="es-ES"/>
        </w:rPr>
        <w:footnoteReference w:id="121"/>
      </w:r>
      <w:r w:rsidRPr="00A1219A">
        <w:rPr>
          <w:sz w:val="20"/>
          <w:lang w:val="es-ES"/>
        </w:rPr>
        <w:t xml:space="preserve">; y ha explicado que no es suficiente para dar cumplimiento a los requisitos establecidos en el artículo 25, que hayan normas jurídicas que reconozcan y protejan la propiedad indígena – es necesario que existan procedimientos específicos, y claramente regulados, para asuntos tales como la titulación de tierras ocupadas por los </w:t>
      </w:r>
      <w:r w:rsidR="00ED56E9" w:rsidRPr="00A1219A">
        <w:rPr>
          <w:sz w:val="20"/>
          <w:lang w:val="es-ES"/>
        </w:rPr>
        <w:t>pueblos</w:t>
      </w:r>
      <w:r w:rsidRPr="00A1219A">
        <w:rPr>
          <w:sz w:val="20"/>
          <w:lang w:val="es-ES"/>
        </w:rPr>
        <w:t xml:space="preserve"> indígenas o su demarcación, atendiendo a sus características particulares</w:t>
      </w:r>
      <w:r w:rsidRPr="00A1219A">
        <w:rPr>
          <w:rStyle w:val="Refdenotaalpie"/>
          <w:sz w:val="20"/>
          <w:lang w:val="es-ES"/>
        </w:rPr>
        <w:footnoteReference w:id="122"/>
      </w:r>
      <w:r w:rsidRPr="00A1219A">
        <w:rPr>
          <w:sz w:val="20"/>
          <w:lang w:val="es-ES"/>
        </w:rPr>
        <w:t xml:space="preserve">, y que tales procedimientos sean efectivos en la práctica para permitir el goce del derecho a la propiedad territorial – es decir, que además de la </w:t>
      </w:r>
      <w:r w:rsidRPr="00A1219A">
        <w:rPr>
          <w:sz w:val="20"/>
          <w:lang w:val="es-ES"/>
        </w:rPr>
        <w:lastRenderedPageBreak/>
        <w:t>existencia formal de los procedimientos, éstos den resultados o respuestas a las violaciones de los derechos legalmente reconocidos</w:t>
      </w:r>
      <w:r w:rsidRPr="00A1219A">
        <w:rPr>
          <w:rStyle w:val="Refdenotaalpie"/>
          <w:sz w:val="20"/>
          <w:lang w:val="es-ES"/>
        </w:rPr>
        <w:footnoteReference w:id="123"/>
      </w:r>
      <w:r w:rsidRPr="00A1219A">
        <w:rPr>
          <w:sz w:val="20"/>
          <w:lang w:val="es-ES"/>
        </w:rPr>
        <w:t>.</w:t>
      </w:r>
    </w:p>
    <w:p w:rsidR="00872679" w:rsidRPr="00A1219A" w:rsidRDefault="00872679" w:rsidP="00872679">
      <w:pPr>
        <w:ind w:left="720"/>
        <w:jc w:val="both"/>
        <w:rPr>
          <w:sz w:val="20"/>
          <w:lang w:val="es-ES"/>
        </w:rPr>
      </w:pPr>
    </w:p>
    <w:p w:rsidR="00AD1DA3" w:rsidRPr="0029560E" w:rsidRDefault="00F2497A" w:rsidP="00AD1DA3">
      <w:pPr>
        <w:numPr>
          <w:ilvl w:val="0"/>
          <w:numId w:val="1"/>
        </w:numPr>
        <w:tabs>
          <w:tab w:val="clear" w:pos="900"/>
        </w:tabs>
        <w:ind w:left="0" w:firstLine="720"/>
        <w:jc w:val="both"/>
        <w:rPr>
          <w:sz w:val="20"/>
          <w:lang w:val="es-ES"/>
        </w:rPr>
      </w:pPr>
      <w:r w:rsidRPr="00A1219A">
        <w:rPr>
          <w:sz w:val="20"/>
          <w:lang w:val="es-ES"/>
        </w:rPr>
        <w:t xml:space="preserve">En </w:t>
      </w:r>
      <w:r w:rsidR="00E3546A" w:rsidRPr="00A1219A">
        <w:rPr>
          <w:sz w:val="20"/>
          <w:lang w:val="es-ES"/>
        </w:rPr>
        <w:t xml:space="preserve">el </w:t>
      </w:r>
      <w:r w:rsidR="003233CE">
        <w:rPr>
          <w:sz w:val="20"/>
          <w:lang w:val="es-ES"/>
        </w:rPr>
        <w:t xml:space="preserve">asunto bajo examen, </w:t>
      </w:r>
      <w:r w:rsidR="008029D7" w:rsidRPr="00A1219A">
        <w:rPr>
          <w:sz w:val="20"/>
          <w:lang w:val="es-ES"/>
        </w:rPr>
        <w:t>la CIDH o</w:t>
      </w:r>
      <w:r w:rsidR="000E62B6" w:rsidRPr="00A1219A">
        <w:rPr>
          <w:sz w:val="20"/>
          <w:lang w:val="es-ES"/>
        </w:rPr>
        <w:t>bserva</w:t>
      </w:r>
      <w:r w:rsidR="00E3546A" w:rsidRPr="00A1219A">
        <w:rPr>
          <w:sz w:val="20"/>
          <w:lang w:val="es-ES"/>
        </w:rPr>
        <w:t xml:space="preserve"> </w:t>
      </w:r>
      <w:r w:rsidR="00A9103C" w:rsidRPr="00A1219A">
        <w:rPr>
          <w:sz w:val="20"/>
          <w:lang w:val="es-ES"/>
        </w:rPr>
        <w:t>que la peticionaria OFRANEH y la Comunidad de Punta Piedra realiz</w:t>
      </w:r>
      <w:r w:rsidR="00762F81" w:rsidRPr="00A1219A">
        <w:rPr>
          <w:sz w:val="20"/>
          <w:lang w:val="es-ES"/>
        </w:rPr>
        <w:t>aron</w:t>
      </w:r>
      <w:r w:rsidR="00A9103C" w:rsidRPr="00A1219A">
        <w:rPr>
          <w:sz w:val="20"/>
          <w:lang w:val="es-ES"/>
        </w:rPr>
        <w:t xml:space="preserve"> de acuerdo a los mecanismos que el derecho interno le ofrecía las gestiones necesarias para </w:t>
      </w:r>
      <w:r w:rsidR="00C31553" w:rsidRPr="009A3A76">
        <w:rPr>
          <w:sz w:val="20"/>
          <w:lang w:val="es-ES"/>
        </w:rPr>
        <w:t>obtener</w:t>
      </w:r>
      <w:r w:rsidR="00C31553">
        <w:rPr>
          <w:sz w:val="20"/>
          <w:lang w:val="es-ES"/>
        </w:rPr>
        <w:t xml:space="preserve"> </w:t>
      </w:r>
      <w:r w:rsidR="00A9103C" w:rsidRPr="00A1219A">
        <w:rPr>
          <w:sz w:val="20"/>
          <w:lang w:val="es-ES"/>
        </w:rPr>
        <w:t xml:space="preserve">el </w:t>
      </w:r>
      <w:r w:rsidR="00A9103C" w:rsidRPr="0029560E">
        <w:rPr>
          <w:sz w:val="20"/>
          <w:lang w:val="es-ES"/>
        </w:rPr>
        <w:t>reconocimiento por parte del Estado mediante un título de dominio del territorio de la Comunidad, asunto que se concretó a través de los título</w:t>
      </w:r>
      <w:r w:rsidR="00980E7D" w:rsidRPr="0029560E">
        <w:rPr>
          <w:sz w:val="20"/>
          <w:lang w:val="es-ES"/>
        </w:rPr>
        <w:t>s</w:t>
      </w:r>
      <w:r w:rsidR="00A9103C" w:rsidRPr="0029560E">
        <w:rPr>
          <w:sz w:val="20"/>
          <w:lang w:val="es-ES"/>
        </w:rPr>
        <w:t xml:space="preserve"> emitidos por el INA en 1993 y 1999</w:t>
      </w:r>
      <w:r w:rsidR="00762F81" w:rsidRPr="0029560E">
        <w:rPr>
          <w:sz w:val="20"/>
          <w:lang w:val="es-ES"/>
        </w:rPr>
        <w:t>,</w:t>
      </w:r>
      <w:r w:rsidR="00A9103C" w:rsidRPr="0029560E">
        <w:rPr>
          <w:sz w:val="20"/>
          <w:lang w:val="es-ES"/>
        </w:rPr>
        <w:t xml:space="preserve"> respectivamente. </w:t>
      </w:r>
      <w:r w:rsidR="00526000" w:rsidRPr="0029560E">
        <w:rPr>
          <w:sz w:val="20"/>
          <w:lang w:val="es-ES_tradnl"/>
        </w:rPr>
        <w:t xml:space="preserve">Se ha </w:t>
      </w:r>
      <w:r w:rsidR="00853231" w:rsidRPr="0029560E">
        <w:rPr>
          <w:sz w:val="20"/>
          <w:lang w:val="es-ES_tradnl"/>
        </w:rPr>
        <w:t>señalado</w:t>
      </w:r>
      <w:r w:rsidR="00526000" w:rsidRPr="0029560E">
        <w:rPr>
          <w:sz w:val="20"/>
          <w:lang w:val="es-ES_tradnl"/>
        </w:rPr>
        <w:t xml:space="preserve"> que tal legislación ha consistido concretamente en la </w:t>
      </w:r>
      <w:r w:rsidR="00AD1DA3" w:rsidRPr="0029560E">
        <w:rPr>
          <w:sz w:val="20"/>
          <w:lang w:val="es-ES"/>
        </w:rPr>
        <w:t xml:space="preserve">Ley de Reforma Agraria, adoptada mediante Decreto Ley Nº 170-74 del 30 diciembre 1974, en vigor desde el 14 de enero de 1975, modificado </w:t>
      </w:r>
      <w:r w:rsidR="00B26491" w:rsidRPr="0029560E">
        <w:rPr>
          <w:sz w:val="20"/>
          <w:lang w:val="es-ES"/>
        </w:rPr>
        <w:t>por</w:t>
      </w:r>
      <w:r w:rsidR="00AD1DA3" w:rsidRPr="0029560E">
        <w:rPr>
          <w:sz w:val="20"/>
          <w:lang w:val="es-ES"/>
        </w:rPr>
        <w:t xml:space="preserve"> la Ley para la Modernización y el Desarrollo del Sector Agrícola, adoptada por Decreto Nº 31-92 del 5 de marzo de 1992, en vigor desde el 6 de abril de 1992.</w:t>
      </w:r>
    </w:p>
    <w:p w:rsidR="00526000" w:rsidRPr="0029560E" w:rsidRDefault="00526000" w:rsidP="00526000">
      <w:pPr>
        <w:jc w:val="both"/>
        <w:rPr>
          <w:sz w:val="20"/>
          <w:lang w:val="es-ES"/>
        </w:rPr>
      </w:pPr>
    </w:p>
    <w:p w:rsidR="00A9103C" w:rsidRPr="0029560E" w:rsidRDefault="00853231" w:rsidP="009A65A7">
      <w:pPr>
        <w:numPr>
          <w:ilvl w:val="0"/>
          <w:numId w:val="1"/>
        </w:numPr>
        <w:tabs>
          <w:tab w:val="clear" w:pos="900"/>
        </w:tabs>
        <w:ind w:left="0" w:firstLine="720"/>
        <w:jc w:val="both"/>
        <w:rPr>
          <w:sz w:val="20"/>
          <w:lang w:val="es-ES"/>
        </w:rPr>
      </w:pPr>
      <w:r w:rsidRPr="0029560E">
        <w:rPr>
          <w:sz w:val="20"/>
          <w:lang w:val="es-ES"/>
        </w:rPr>
        <w:t>Como ha advertido la CIDH, en el presente caso la controversia</w:t>
      </w:r>
      <w:r w:rsidR="006F7DF2" w:rsidRPr="0029560E">
        <w:rPr>
          <w:sz w:val="20"/>
          <w:lang w:val="es-ES"/>
        </w:rPr>
        <w:t xml:space="preserve"> principal </w:t>
      </w:r>
      <w:r w:rsidRPr="0029560E">
        <w:rPr>
          <w:sz w:val="20"/>
          <w:lang w:val="es-ES"/>
        </w:rPr>
        <w:t xml:space="preserve">refiere a la falta de saneamiento de </w:t>
      </w:r>
      <w:r w:rsidR="006F7DF2" w:rsidRPr="0029560E">
        <w:rPr>
          <w:sz w:val="20"/>
          <w:lang w:val="es-ES"/>
        </w:rPr>
        <w:t>los territorios ancestrales de la Comunidad</w:t>
      </w:r>
      <w:r w:rsidRPr="0029560E">
        <w:rPr>
          <w:sz w:val="20"/>
          <w:lang w:val="es-ES"/>
        </w:rPr>
        <w:t>, en especial del área otorgada en 1999. Al respecto, l</w:t>
      </w:r>
      <w:r w:rsidR="009A65A7" w:rsidRPr="0029560E">
        <w:rPr>
          <w:sz w:val="20"/>
          <w:lang w:val="es-ES"/>
        </w:rPr>
        <w:t xml:space="preserve">a CIDH </w:t>
      </w:r>
      <w:r w:rsidR="00DE7866" w:rsidRPr="0029560E">
        <w:rPr>
          <w:sz w:val="20"/>
          <w:lang w:val="es-ES"/>
        </w:rPr>
        <w:t>nota</w:t>
      </w:r>
      <w:r w:rsidR="009A65A7" w:rsidRPr="0029560E">
        <w:rPr>
          <w:sz w:val="20"/>
          <w:lang w:val="es-ES"/>
        </w:rPr>
        <w:t xml:space="preserve"> que </w:t>
      </w:r>
      <w:r w:rsidRPr="0029560E">
        <w:rPr>
          <w:sz w:val="20"/>
          <w:lang w:val="es-ES"/>
        </w:rPr>
        <w:t>la mencionada</w:t>
      </w:r>
      <w:r w:rsidR="001A439C" w:rsidRPr="0029560E">
        <w:rPr>
          <w:sz w:val="20"/>
          <w:lang w:val="es-ES"/>
        </w:rPr>
        <w:t xml:space="preserve"> </w:t>
      </w:r>
      <w:r w:rsidRPr="0029560E">
        <w:rPr>
          <w:sz w:val="20"/>
          <w:lang w:val="es-ES"/>
        </w:rPr>
        <w:t xml:space="preserve">legislación con base </w:t>
      </w:r>
      <w:r w:rsidR="006F0B07" w:rsidRPr="0029560E">
        <w:rPr>
          <w:sz w:val="20"/>
          <w:lang w:val="es-ES"/>
        </w:rPr>
        <w:t>en</w:t>
      </w:r>
      <w:r w:rsidRPr="0029560E">
        <w:rPr>
          <w:sz w:val="20"/>
          <w:lang w:val="es-ES"/>
        </w:rPr>
        <w:t xml:space="preserve"> la cual fue otorgado el título de 1999 contiene disposiciones relativas </w:t>
      </w:r>
      <w:r w:rsidR="006F7DF2" w:rsidRPr="0029560E">
        <w:rPr>
          <w:sz w:val="20"/>
          <w:lang w:val="es-ES"/>
        </w:rPr>
        <w:t xml:space="preserve">a las acciones que realiza el INA para el saneamiento de los títulos de dominio pleno que entrega dicha institución del Estado, entre ellas las referentes </w:t>
      </w:r>
      <w:r w:rsidRPr="0029560E">
        <w:rPr>
          <w:sz w:val="20"/>
          <w:lang w:val="es-ES"/>
        </w:rPr>
        <w:t>al “avalúo de las tierras expropiadas o adquiridas” y sus formas de pago</w:t>
      </w:r>
      <w:r w:rsidRPr="0029560E">
        <w:rPr>
          <w:rStyle w:val="Refdenotaalpie"/>
          <w:sz w:val="20"/>
          <w:lang w:val="es-ES"/>
        </w:rPr>
        <w:footnoteReference w:id="124"/>
      </w:r>
      <w:r w:rsidR="009A65A7" w:rsidRPr="0029560E">
        <w:rPr>
          <w:sz w:val="20"/>
          <w:lang w:val="es-ES"/>
        </w:rPr>
        <w:t xml:space="preserve">. </w:t>
      </w:r>
      <w:r w:rsidR="00D10095" w:rsidRPr="0029560E">
        <w:rPr>
          <w:sz w:val="20"/>
          <w:lang w:val="es-ES"/>
        </w:rPr>
        <w:t>No obstante, según</w:t>
      </w:r>
      <w:r w:rsidR="008A279B" w:rsidRPr="0029560E">
        <w:rPr>
          <w:sz w:val="20"/>
          <w:lang w:val="es-ES"/>
        </w:rPr>
        <w:t xml:space="preserve"> se</w:t>
      </w:r>
      <w:r w:rsidR="00D10095" w:rsidRPr="0029560E">
        <w:rPr>
          <w:sz w:val="20"/>
          <w:lang w:val="es-ES"/>
        </w:rPr>
        <w:t xml:space="preserve"> ha dado por probado,</w:t>
      </w:r>
      <w:r w:rsidR="00B7539E" w:rsidRPr="0029560E">
        <w:rPr>
          <w:sz w:val="20"/>
          <w:lang w:val="es-ES"/>
        </w:rPr>
        <w:t xml:space="preserve"> </w:t>
      </w:r>
      <w:r w:rsidR="00762F81" w:rsidRPr="0029560E">
        <w:rPr>
          <w:sz w:val="20"/>
          <w:lang w:val="es-ES"/>
        </w:rPr>
        <w:t xml:space="preserve">por años, </w:t>
      </w:r>
      <w:r w:rsidR="00223EEF" w:rsidRPr="0029560E">
        <w:rPr>
          <w:sz w:val="20"/>
          <w:lang w:val="es-ES"/>
        </w:rPr>
        <w:t>la Comunidad realizó</w:t>
      </w:r>
      <w:r w:rsidR="00A9103C" w:rsidRPr="0029560E">
        <w:rPr>
          <w:sz w:val="20"/>
          <w:lang w:val="es-ES"/>
        </w:rPr>
        <w:t xml:space="preserve"> diversas gestiones ante </w:t>
      </w:r>
      <w:r w:rsidR="000E4DFA" w:rsidRPr="0029560E">
        <w:rPr>
          <w:sz w:val="20"/>
          <w:lang w:val="es-ES"/>
        </w:rPr>
        <w:t xml:space="preserve">el INA y otras </w:t>
      </w:r>
      <w:r w:rsidR="00A9103C" w:rsidRPr="0029560E">
        <w:rPr>
          <w:sz w:val="20"/>
          <w:lang w:val="es-ES"/>
        </w:rPr>
        <w:t xml:space="preserve">autoridades estatales para obtener que el Estado cumpliera con su deber de </w:t>
      </w:r>
      <w:r w:rsidR="00223EEF" w:rsidRPr="0029560E">
        <w:rPr>
          <w:sz w:val="20"/>
          <w:lang w:val="es-ES"/>
        </w:rPr>
        <w:t>saneamiento</w:t>
      </w:r>
      <w:r w:rsidR="0084280D" w:rsidRPr="0029560E">
        <w:rPr>
          <w:sz w:val="20"/>
          <w:lang w:val="es-ES"/>
        </w:rPr>
        <w:t>;</w:t>
      </w:r>
      <w:r w:rsidR="002E3FE9" w:rsidRPr="0029560E">
        <w:rPr>
          <w:sz w:val="20"/>
          <w:lang w:val="es-ES"/>
        </w:rPr>
        <w:t xml:space="preserve"> </w:t>
      </w:r>
      <w:r w:rsidR="0084280D" w:rsidRPr="0029560E">
        <w:rPr>
          <w:sz w:val="20"/>
          <w:lang w:val="es-ES"/>
        </w:rPr>
        <w:t>i</w:t>
      </w:r>
      <w:r w:rsidR="00A9103C" w:rsidRPr="0029560E">
        <w:rPr>
          <w:sz w:val="20"/>
          <w:lang w:val="es-ES"/>
        </w:rPr>
        <w:t>nclu</w:t>
      </w:r>
      <w:r w:rsidR="00762F81" w:rsidRPr="0029560E">
        <w:rPr>
          <w:sz w:val="20"/>
          <w:lang w:val="es-ES"/>
        </w:rPr>
        <w:t>yendo</w:t>
      </w:r>
      <w:r w:rsidR="00A9103C" w:rsidRPr="0029560E">
        <w:rPr>
          <w:sz w:val="20"/>
          <w:lang w:val="es-ES"/>
        </w:rPr>
        <w:t xml:space="preserve"> en estas acciones, la interposición de una denuncia por usurpación en el año 2010 ante la autoridad </w:t>
      </w:r>
      <w:r w:rsidR="00762F81" w:rsidRPr="0029560E">
        <w:rPr>
          <w:sz w:val="20"/>
          <w:lang w:val="es-ES"/>
        </w:rPr>
        <w:t>correspondiente</w:t>
      </w:r>
      <w:r w:rsidR="00A9103C" w:rsidRPr="0029560E">
        <w:rPr>
          <w:sz w:val="20"/>
          <w:lang w:val="es-ES"/>
        </w:rPr>
        <w:t>.</w:t>
      </w:r>
    </w:p>
    <w:p w:rsidR="00A9103C" w:rsidRPr="0029560E" w:rsidRDefault="00A9103C" w:rsidP="00A9103C">
      <w:pPr>
        <w:jc w:val="both"/>
        <w:rPr>
          <w:sz w:val="20"/>
          <w:lang w:val="es-ES"/>
        </w:rPr>
      </w:pPr>
    </w:p>
    <w:p w:rsidR="000E62B6" w:rsidRPr="00A1219A" w:rsidRDefault="007A1DDB" w:rsidP="000E62B6">
      <w:pPr>
        <w:numPr>
          <w:ilvl w:val="0"/>
          <w:numId w:val="1"/>
        </w:numPr>
        <w:tabs>
          <w:tab w:val="clear" w:pos="900"/>
        </w:tabs>
        <w:ind w:left="0" w:firstLine="720"/>
        <w:jc w:val="both"/>
        <w:rPr>
          <w:sz w:val="20"/>
          <w:lang w:val="es-ES"/>
        </w:rPr>
      </w:pPr>
      <w:r w:rsidRPr="0029560E">
        <w:rPr>
          <w:sz w:val="20"/>
          <w:lang w:val="es-ES"/>
        </w:rPr>
        <w:t>Ciertamente</w:t>
      </w:r>
      <w:r w:rsidR="00D10095" w:rsidRPr="0029560E">
        <w:rPr>
          <w:sz w:val="20"/>
          <w:lang w:val="es-ES"/>
        </w:rPr>
        <w:t>, l</w:t>
      </w:r>
      <w:r w:rsidR="00BC28B0" w:rsidRPr="0029560E">
        <w:rPr>
          <w:sz w:val="20"/>
          <w:lang w:val="es-ES"/>
        </w:rPr>
        <w:t xml:space="preserve">a CIDH </w:t>
      </w:r>
      <w:r w:rsidR="00A9103C" w:rsidRPr="0029560E">
        <w:rPr>
          <w:sz w:val="20"/>
          <w:lang w:val="es-ES"/>
        </w:rPr>
        <w:t xml:space="preserve">observa </w:t>
      </w:r>
      <w:r w:rsidR="00E3546A" w:rsidRPr="0029560E">
        <w:rPr>
          <w:sz w:val="20"/>
          <w:lang w:val="es-ES"/>
        </w:rPr>
        <w:t>a partir de los hechos probados</w:t>
      </w:r>
      <w:r w:rsidR="00A9103C" w:rsidRPr="0029560E">
        <w:rPr>
          <w:sz w:val="20"/>
          <w:lang w:val="es-ES"/>
        </w:rPr>
        <w:t>,</w:t>
      </w:r>
      <w:r w:rsidR="00BC28B0" w:rsidRPr="0029560E">
        <w:rPr>
          <w:sz w:val="20"/>
          <w:lang w:val="es-ES"/>
        </w:rPr>
        <w:t xml:space="preserve"> que</w:t>
      </w:r>
      <w:r w:rsidR="000E62B6" w:rsidRPr="0029560E">
        <w:rPr>
          <w:sz w:val="20"/>
          <w:lang w:val="es-ES"/>
        </w:rPr>
        <w:t xml:space="preserve"> la respuesta estatal para resolver la invasión en Río</w:t>
      </w:r>
      <w:r w:rsidR="000E62B6" w:rsidRPr="00A1219A">
        <w:rPr>
          <w:sz w:val="20"/>
          <w:lang w:val="es-ES"/>
        </w:rPr>
        <w:t xml:space="preserve"> Miel y procurar el saneamiento de la</w:t>
      </w:r>
      <w:r w:rsidR="00565A44" w:rsidRPr="00A1219A">
        <w:rPr>
          <w:sz w:val="20"/>
          <w:lang w:val="es-ES"/>
        </w:rPr>
        <w:t>s tierras garífunas consistió</w:t>
      </w:r>
      <w:r w:rsidR="000E62B6" w:rsidRPr="00A1219A">
        <w:rPr>
          <w:sz w:val="20"/>
          <w:lang w:val="es-ES"/>
        </w:rPr>
        <w:t xml:space="preserve">, en términos generales, en el establecimiento de comisiones </w:t>
      </w:r>
      <w:r w:rsidR="000E62B6" w:rsidRPr="00A1219A">
        <w:rPr>
          <w:i/>
          <w:sz w:val="20"/>
          <w:lang w:val="es-ES"/>
        </w:rPr>
        <w:t>ad-hoc</w:t>
      </w:r>
      <w:r w:rsidR="00A9103C" w:rsidRPr="00A1219A">
        <w:rPr>
          <w:i/>
          <w:sz w:val="20"/>
          <w:lang w:val="es-ES"/>
        </w:rPr>
        <w:t>;</w:t>
      </w:r>
      <w:r w:rsidR="000E62B6" w:rsidRPr="00A1219A">
        <w:rPr>
          <w:sz w:val="20"/>
          <w:lang w:val="es-ES"/>
        </w:rPr>
        <w:t xml:space="preserve"> la suscripción de acuerdos de compromisos entre autoridades estatal</w:t>
      </w:r>
      <w:r w:rsidR="00911505" w:rsidRPr="00A1219A">
        <w:rPr>
          <w:sz w:val="20"/>
          <w:lang w:val="es-ES"/>
        </w:rPr>
        <w:t>es, la Comunidad Garífuna de Punta Piedra y los campesinos asentados en Río Miel</w:t>
      </w:r>
      <w:r w:rsidR="00A9103C" w:rsidRPr="00A1219A">
        <w:rPr>
          <w:sz w:val="20"/>
          <w:lang w:val="es-ES"/>
        </w:rPr>
        <w:t xml:space="preserve">, priorizando la </w:t>
      </w:r>
      <w:r w:rsidR="00565A44" w:rsidRPr="00A1219A">
        <w:rPr>
          <w:sz w:val="20"/>
          <w:lang w:val="es-ES"/>
        </w:rPr>
        <w:t xml:space="preserve">negociación </w:t>
      </w:r>
      <w:r w:rsidR="00911505" w:rsidRPr="00A1219A">
        <w:rPr>
          <w:sz w:val="20"/>
          <w:lang w:val="es-ES"/>
        </w:rPr>
        <w:t xml:space="preserve">y </w:t>
      </w:r>
      <w:r w:rsidR="00A9103C" w:rsidRPr="00A1219A">
        <w:rPr>
          <w:sz w:val="20"/>
          <w:lang w:val="es-ES"/>
        </w:rPr>
        <w:t>la c</w:t>
      </w:r>
      <w:r w:rsidR="00911505" w:rsidRPr="00A1219A">
        <w:rPr>
          <w:sz w:val="20"/>
          <w:lang w:val="es-ES"/>
        </w:rPr>
        <w:t xml:space="preserve">onciliación </w:t>
      </w:r>
      <w:r w:rsidR="00565A44" w:rsidRPr="00A1219A">
        <w:rPr>
          <w:sz w:val="20"/>
          <w:lang w:val="es-ES"/>
        </w:rPr>
        <w:t>entre</w:t>
      </w:r>
      <w:r w:rsidR="00911505" w:rsidRPr="00A1219A">
        <w:rPr>
          <w:sz w:val="20"/>
          <w:lang w:val="es-ES"/>
        </w:rPr>
        <w:t xml:space="preserve"> ambas comunidades</w:t>
      </w:r>
      <w:r w:rsidR="00A9103C" w:rsidRPr="00A1219A">
        <w:rPr>
          <w:sz w:val="20"/>
          <w:lang w:val="es-ES"/>
        </w:rPr>
        <w:t>; diversas gestiones del INA tendientes a determinar quienes son los terceros que ocupan el territorio de la Comunidad Garífuna de Punta Piedra y evaluar las mejoras por ellos introducidas</w:t>
      </w:r>
      <w:r w:rsidR="00A9103C" w:rsidRPr="002E3FE9">
        <w:rPr>
          <w:sz w:val="20"/>
          <w:lang w:val="es-ES"/>
        </w:rPr>
        <w:t>; así como algunas gestiones realizadas por las autoridades del Ministerio Público en relación con la denuncia de usurpación planteada por la Comunidad en el año 2010</w:t>
      </w:r>
      <w:r w:rsidR="00565A44" w:rsidRPr="00A1219A">
        <w:rPr>
          <w:sz w:val="20"/>
          <w:lang w:val="es-ES"/>
        </w:rPr>
        <w:t>.</w:t>
      </w:r>
    </w:p>
    <w:p w:rsidR="000E62B6" w:rsidRPr="00A1219A" w:rsidRDefault="000E62B6" w:rsidP="00ED56E9">
      <w:pPr>
        <w:jc w:val="both"/>
        <w:rPr>
          <w:sz w:val="20"/>
          <w:lang w:val="es-ES"/>
        </w:rPr>
      </w:pPr>
    </w:p>
    <w:p w:rsidR="00187612" w:rsidRPr="0029560E" w:rsidRDefault="000E62B6" w:rsidP="00187612">
      <w:pPr>
        <w:numPr>
          <w:ilvl w:val="0"/>
          <w:numId w:val="1"/>
        </w:numPr>
        <w:tabs>
          <w:tab w:val="clear" w:pos="900"/>
        </w:tabs>
        <w:ind w:left="0" w:firstLine="720"/>
        <w:jc w:val="both"/>
        <w:rPr>
          <w:sz w:val="20"/>
          <w:lang w:val="es-ES"/>
        </w:rPr>
      </w:pPr>
      <w:r w:rsidRPr="00A1219A">
        <w:rPr>
          <w:sz w:val="20"/>
          <w:lang w:val="es-ES"/>
        </w:rPr>
        <w:t>En efecto, c</w:t>
      </w:r>
      <w:r w:rsidR="00872679" w:rsidRPr="00A1219A">
        <w:rPr>
          <w:sz w:val="20"/>
          <w:lang w:val="es-ES"/>
        </w:rPr>
        <w:t xml:space="preserve">omo </w:t>
      </w:r>
      <w:r w:rsidR="00317473" w:rsidRPr="00A1219A">
        <w:rPr>
          <w:sz w:val="20"/>
          <w:lang w:val="es-ES"/>
        </w:rPr>
        <w:t>ha constatado la CIDH en párrafos precedentes</w:t>
      </w:r>
      <w:r w:rsidR="00872679" w:rsidRPr="00A1219A">
        <w:rPr>
          <w:sz w:val="20"/>
          <w:lang w:val="es-ES"/>
        </w:rPr>
        <w:t xml:space="preserve">, </w:t>
      </w:r>
      <w:r w:rsidR="00911505" w:rsidRPr="00A1219A">
        <w:rPr>
          <w:sz w:val="20"/>
          <w:lang w:val="es-ES"/>
        </w:rPr>
        <w:t>en</w:t>
      </w:r>
      <w:r w:rsidRPr="00A1219A">
        <w:rPr>
          <w:sz w:val="20"/>
          <w:lang w:val="es-ES"/>
        </w:rPr>
        <w:t xml:space="preserve"> abril de 2001 </w:t>
      </w:r>
      <w:r w:rsidR="00911505" w:rsidRPr="00A1219A">
        <w:rPr>
          <w:sz w:val="20"/>
          <w:lang w:val="es-ES"/>
        </w:rPr>
        <w:t>fue establecida</w:t>
      </w:r>
      <w:r w:rsidRPr="00A1219A">
        <w:rPr>
          <w:sz w:val="20"/>
          <w:lang w:val="es-ES"/>
        </w:rPr>
        <w:t xml:space="preserve"> una Comisión Interinstitucional </w:t>
      </w:r>
      <w:r w:rsidRPr="00A1219A">
        <w:rPr>
          <w:i/>
          <w:sz w:val="20"/>
          <w:lang w:val="es-ES"/>
        </w:rPr>
        <w:t>ad-hoc</w:t>
      </w:r>
      <w:r w:rsidRPr="00A1219A">
        <w:rPr>
          <w:sz w:val="20"/>
          <w:lang w:val="es-ES"/>
        </w:rPr>
        <w:t xml:space="preserve"> integrada por representantes del INA, el Comisionado Nacional de Derechos Humanos y la Pastoral Social de la Diócesis de Trujillo, “como organismo de conciliación y concertación en la búsqueda de una so</w:t>
      </w:r>
      <w:r w:rsidR="00911505" w:rsidRPr="00A1219A">
        <w:rPr>
          <w:sz w:val="20"/>
          <w:lang w:val="es-ES"/>
        </w:rPr>
        <w:t xml:space="preserve">lución pacífica al conflicto”. Posteriormente, el </w:t>
      </w:r>
      <w:r w:rsidR="00911505" w:rsidRPr="00A1219A">
        <w:rPr>
          <w:rFonts w:cs="Arial"/>
          <w:sz w:val="20"/>
          <w:lang w:val="es-ES"/>
        </w:rPr>
        <w:t xml:space="preserve">20 de febrero de 2007, se acordó la creación de una </w:t>
      </w:r>
      <w:r w:rsidR="00911505" w:rsidRPr="00A1219A">
        <w:rPr>
          <w:sz w:val="20"/>
          <w:lang w:val="es-ES"/>
        </w:rPr>
        <w:t>Comisión Interinstitucional</w:t>
      </w:r>
      <w:r w:rsidR="00911505" w:rsidRPr="00A1219A">
        <w:rPr>
          <w:rFonts w:cs="Arial"/>
          <w:sz w:val="20"/>
          <w:lang w:val="es-ES"/>
        </w:rPr>
        <w:t xml:space="preserve"> conformada por representantes del INA, SERNA, la Procuraduría General de la República, Secretaría de Gobernación, la Fiscalía de Etnias y de la </w:t>
      </w:r>
      <w:r w:rsidR="00911505" w:rsidRPr="0029560E">
        <w:rPr>
          <w:rFonts w:cs="Arial"/>
          <w:sz w:val="20"/>
          <w:lang w:val="es-ES"/>
        </w:rPr>
        <w:t>Comunidad de Punta Piedra.</w:t>
      </w:r>
      <w:r w:rsidR="00911505" w:rsidRPr="0029560E">
        <w:rPr>
          <w:sz w:val="20"/>
          <w:lang w:val="es-ES"/>
        </w:rPr>
        <w:t xml:space="preserve"> </w:t>
      </w:r>
      <w:r w:rsidR="007D7DEB" w:rsidRPr="0029560E">
        <w:rPr>
          <w:sz w:val="20"/>
          <w:lang w:val="es-ES"/>
        </w:rPr>
        <w:t>Igualmente</w:t>
      </w:r>
      <w:r w:rsidR="00565A44" w:rsidRPr="0029560E">
        <w:rPr>
          <w:sz w:val="20"/>
          <w:lang w:val="es-ES"/>
        </w:rPr>
        <w:t xml:space="preserve">, según se dio por probado, se establecieron un total de tres compromisos: (i) el 13 de diciembre de 2001 entre autoridades estatales y ambas comunidades; (ii) </w:t>
      </w:r>
      <w:r w:rsidR="00911505" w:rsidRPr="0029560E">
        <w:rPr>
          <w:sz w:val="20"/>
          <w:lang w:val="es-ES"/>
        </w:rPr>
        <w:t xml:space="preserve">el 28 de septiembre de 2006 </w:t>
      </w:r>
      <w:r w:rsidR="00565A44" w:rsidRPr="0029560E">
        <w:rPr>
          <w:sz w:val="20"/>
          <w:lang w:val="es-ES"/>
        </w:rPr>
        <w:t xml:space="preserve">entre autoridades estatales, la organización peticionaria y la Comunidad de Punta Piedra; y (iii) el </w:t>
      </w:r>
      <w:r w:rsidR="00911505" w:rsidRPr="0029560E">
        <w:rPr>
          <w:sz w:val="20"/>
          <w:lang w:val="es-ES"/>
        </w:rPr>
        <w:t xml:space="preserve">20 de abril de 2007 </w:t>
      </w:r>
      <w:r w:rsidR="00565A44" w:rsidRPr="0029560E">
        <w:rPr>
          <w:sz w:val="20"/>
          <w:lang w:val="es-ES"/>
        </w:rPr>
        <w:t xml:space="preserve">entre autoridades estatales y representantes de </w:t>
      </w:r>
      <w:r w:rsidR="00911505" w:rsidRPr="0029560E">
        <w:rPr>
          <w:sz w:val="20"/>
          <w:lang w:val="es-ES"/>
        </w:rPr>
        <w:t>los campesinos</w:t>
      </w:r>
      <w:r w:rsidR="00565A44" w:rsidRPr="0029560E">
        <w:rPr>
          <w:sz w:val="20"/>
          <w:lang w:val="es-ES"/>
        </w:rPr>
        <w:t xml:space="preserve"> </w:t>
      </w:r>
      <w:r w:rsidR="00911505" w:rsidRPr="0029560E">
        <w:rPr>
          <w:sz w:val="20"/>
          <w:lang w:val="es-ES"/>
        </w:rPr>
        <w:t>de</w:t>
      </w:r>
      <w:r w:rsidR="00565A44" w:rsidRPr="0029560E">
        <w:rPr>
          <w:sz w:val="20"/>
          <w:lang w:val="es-ES"/>
        </w:rPr>
        <w:t xml:space="preserve"> Río Miel.</w:t>
      </w:r>
      <w:r w:rsidR="007D7DEB" w:rsidRPr="0029560E">
        <w:rPr>
          <w:sz w:val="20"/>
          <w:lang w:val="es-ES"/>
        </w:rPr>
        <w:t xml:space="preserve"> </w:t>
      </w:r>
      <w:r w:rsidR="003E2098" w:rsidRPr="0029560E">
        <w:rPr>
          <w:sz w:val="20"/>
          <w:lang w:val="es-ES"/>
        </w:rPr>
        <w:t xml:space="preserve">Además, </w:t>
      </w:r>
      <w:r w:rsidR="0059522B" w:rsidRPr="0029560E">
        <w:rPr>
          <w:sz w:val="20"/>
          <w:lang w:val="es-ES"/>
        </w:rPr>
        <w:t>el INA</w:t>
      </w:r>
      <w:r w:rsidR="003E2098" w:rsidRPr="0029560E">
        <w:rPr>
          <w:sz w:val="20"/>
          <w:lang w:val="es-ES"/>
        </w:rPr>
        <w:t xml:space="preserve"> realiz</w:t>
      </w:r>
      <w:r w:rsidR="0059522B" w:rsidRPr="0029560E">
        <w:rPr>
          <w:sz w:val="20"/>
          <w:lang w:val="es-ES"/>
        </w:rPr>
        <w:t>ó</w:t>
      </w:r>
      <w:r w:rsidR="003E2098" w:rsidRPr="0029560E">
        <w:rPr>
          <w:sz w:val="20"/>
          <w:lang w:val="es-ES"/>
        </w:rPr>
        <w:t xml:space="preserve"> no menos de dos avalúos para determinar las mejoras introducidas a ser pagadas en el saneamiento. </w:t>
      </w:r>
    </w:p>
    <w:p w:rsidR="00187612" w:rsidRPr="0029560E" w:rsidRDefault="00187612" w:rsidP="00187612">
      <w:pPr>
        <w:jc w:val="both"/>
        <w:rPr>
          <w:sz w:val="20"/>
          <w:lang w:val="es-ES"/>
        </w:rPr>
      </w:pPr>
    </w:p>
    <w:p w:rsidR="001A5572" w:rsidRPr="0029560E" w:rsidRDefault="00D70EA9" w:rsidP="007E1967">
      <w:pPr>
        <w:numPr>
          <w:ilvl w:val="0"/>
          <w:numId w:val="1"/>
        </w:numPr>
        <w:tabs>
          <w:tab w:val="clear" w:pos="900"/>
        </w:tabs>
        <w:ind w:left="0" w:firstLine="720"/>
        <w:jc w:val="both"/>
        <w:rPr>
          <w:sz w:val="20"/>
          <w:lang w:val="es-ES"/>
        </w:rPr>
      </w:pPr>
      <w:r w:rsidRPr="0029560E">
        <w:rPr>
          <w:sz w:val="20"/>
          <w:lang w:val="es-ES"/>
        </w:rPr>
        <w:t xml:space="preserve">No obstante, según ha dado por probado la Comisión, este saneamiento no se </w:t>
      </w:r>
      <w:r w:rsidR="00EB0442" w:rsidRPr="0029560E">
        <w:rPr>
          <w:sz w:val="20"/>
          <w:lang w:val="es-ES"/>
        </w:rPr>
        <w:t>realizó</w:t>
      </w:r>
      <w:r w:rsidRPr="0029560E">
        <w:rPr>
          <w:sz w:val="20"/>
          <w:lang w:val="es-ES"/>
        </w:rPr>
        <w:t xml:space="preserve"> efectivamente. </w:t>
      </w:r>
      <w:r w:rsidR="00872679" w:rsidRPr="0029560E">
        <w:rPr>
          <w:sz w:val="20"/>
          <w:lang w:val="es-ES"/>
        </w:rPr>
        <w:t xml:space="preserve">En opinión de la CIDH, </w:t>
      </w:r>
      <w:r w:rsidR="00F2497A" w:rsidRPr="0029560E">
        <w:rPr>
          <w:sz w:val="20"/>
          <w:lang w:val="es-ES"/>
        </w:rPr>
        <w:t xml:space="preserve">lo anterior </w:t>
      </w:r>
      <w:r w:rsidR="00CA4850" w:rsidRPr="0029560E">
        <w:rPr>
          <w:sz w:val="20"/>
          <w:lang w:val="es-ES"/>
        </w:rPr>
        <w:t>no equivale a</w:t>
      </w:r>
      <w:r w:rsidR="007D7DEB" w:rsidRPr="0029560E">
        <w:rPr>
          <w:sz w:val="20"/>
          <w:lang w:val="es-ES"/>
        </w:rPr>
        <w:t xml:space="preserve"> </w:t>
      </w:r>
      <w:r w:rsidR="00872679" w:rsidRPr="0029560E">
        <w:rPr>
          <w:sz w:val="20"/>
          <w:lang w:val="es-ES"/>
        </w:rPr>
        <w:t>u</w:t>
      </w:r>
      <w:r w:rsidR="008F5D45" w:rsidRPr="0029560E">
        <w:rPr>
          <w:sz w:val="20"/>
          <w:lang w:val="es-ES"/>
        </w:rPr>
        <w:t xml:space="preserve">n </w:t>
      </w:r>
      <w:r w:rsidR="007D7DEB" w:rsidRPr="0029560E">
        <w:rPr>
          <w:sz w:val="20"/>
          <w:lang w:val="es-ES"/>
        </w:rPr>
        <w:t>mecanismo</w:t>
      </w:r>
      <w:r w:rsidR="008F5D45" w:rsidRPr="0029560E">
        <w:rPr>
          <w:sz w:val="20"/>
          <w:lang w:val="es-ES"/>
        </w:rPr>
        <w:t xml:space="preserve"> </w:t>
      </w:r>
      <w:r w:rsidR="007D7DEB" w:rsidRPr="0029560E">
        <w:rPr>
          <w:sz w:val="20"/>
          <w:lang w:val="es-ES"/>
        </w:rPr>
        <w:t xml:space="preserve">adecuado y efectivo en los términos antes descritos, </w:t>
      </w:r>
      <w:r w:rsidR="006B4650" w:rsidRPr="0029560E">
        <w:rPr>
          <w:sz w:val="20"/>
          <w:lang w:val="es-ES"/>
        </w:rPr>
        <w:t>pues no permitió</w:t>
      </w:r>
      <w:r w:rsidR="007D7DEB" w:rsidRPr="0029560E">
        <w:rPr>
          <w:sz w:val="20"/>
          <w:lang w:val="es-ES"/>
        </w:rPr>
        <w:t xml:space="preserve"> el saneamiento y protección efectivas del territorio ancestral de la Comunidad Garífuna de Punta Piedra, </w:t>
      </w:r>
      <w:r w:rsidR="006B4650" w:rsidRPr="0029560E">
        <w:rPr>
          <w:sz w:val="20"/>
          <w:lang w:val="es-ES"/>
        </w:rPr>
        <w:t xml:space="preserve">sin </w:t>
      </w:r>
      <w:r w:rsidR="007D7DEB" w:rsidRPr="0029560E">
        <w:rPr>
          <w:sz w:val="20"/>
          <w:lang w:val="es-ES"/>
        </w:rPr>
        <w:t xml:space="preserve">que se tomen en cuenta </w:t>
      </w:r>
      <w:r w:rsidR="00F2497A" w:rsidRPr="0029560E">
        <w:rPr>
          <w:sz w:val="20"/>
          <w:lang w:val="es-ES"/>
        </w:rPr>
        <w:t xml:space="preserve">sus particularidades propias, sus características económicas y sociales, así como su derecho consuetudinario, valores, usos y </w:t>
      </w:r>
      <w:r w:rsidR="00F2497A" w:rsidRPr="0029560E">
        <w:rPr>
          <w:sz w:val="20"/>
          <w:lang w:val="es-ES"/>
        </w:rPr>
        <w:lastRenderedPageBreak/>
        <w:t xml:space="preserve">costumbres. </w:t>
      </w:r>
      <w:r w:rsidR="007D7DEB" w:rsidRPr="0029560E">
        <w:rPr>
          <w:sz w:val="20"/>
          <w:lang w:val="es-ES"/>
        </w:rPr>
        <w:t xml:space="preserve">La CIDH considera </w:t>
      </w:r>
      <w:r w:rsidR="005D611B" w:rsidRPr="0029560E">
        <w:rPr>
          <w:sz w:val="20"/>
          <w:lang w:val="es-ES"/>
        </w:rPr>
        <w:t>insuficiente en relación a la</w:t>
      </w:r>
      <w:r w:rsidR="007D7DEB" w:rsidRPr="0029560E">
        <w:rPr>
          <w:sz w:val="20"/>
          <w:lang w:val="es-ES"/>
        </w:rPr>
        <w:t xml:space="preserve"> jurisprudencia antes referida, la creación de “comisiones” que por su naturaleza son entes temporales, sin competencias claramente establecidas conforme a ley, y que no favorecen la certeza jurídica de los </w:t>
      </w:r>
      <w:r w:rsidR="007D7DEB" w:rsidRPr="0029560E">
        <w:rPr>
          <w:rFonts w:cs="Calibri"/>
          <w:color w:val="000000"/>
          <w:sz w:val="20"/>
          <w:lang w:val="es-ES"/>
        </w:rPr>
        <w:t>derechos territoriales de los pueblos indígenas y tribales.</w:t>
      </w:r>
      <w:r w:rsidR="007E1967" w:rsidRPr="0029560E">
        <w:rPr>
          <w:sz w:val="20"/>
          <w:lang w:val="es-ES"/>
        </w:rPr>
        <w:t xml:space="preserve"> </w:t>
      </w:r>
      <w:r w:rsidR="00E3546A" w:rsidRPr="0029560E">
        <w:rPr>
          <w:sz w:val="20"/>
          <w:lang w:val="es-ES"/>
        </w:rPr>
        <w:t xml:space="preserve">De este modo, ante la negativa de los campesinos de Río Miel de abandonar la zona a cambio del pago de las mejoras introducidas, </w:t>
      </w:r>
      <w:r w:rsidR="00AF0097" w:rsidRPr="0029560E">
        <w:rPr>
          <w:sz w:val="20"/>
          <w:lang w:val="es-ES"/>
        </w:rPr>
        <w:t xml:space="preserve">la </w:t>
      </w:r>
      <w:r w:rsidR="00E3546A" w:rsidRPr="0029560E">
        <w:rPr>
          <w:sz w:val="20"/>
          <w:lang w:val="es-ES"/>
        </w:rPr>
        <w:t xml:space="preserve">Comunidad de Punta Piedra </w:t>
      </w:r>
      <w:r w:rsidR="009A3A76" w:rsidRPr="0029560E">
        <w:rPr>
          <w:sz w:val="20"/>
          <w:lang w:val="es-ES"/>
        </w:rPr>
        <w:t>careció</w:t>
      </w:r>
      <w:r w:rsidR="00E3546A" w:rsidRPr="0029560E">
        <w:rPr>
          <w:sz w:val="20"/>
          <w:lang w:val="es-ES"/>
        </w:rPr>
        <w:t xml:space="preserve"> de un recurso </w:t>
      </w:r>
      <w:r w:rsidR="009A3A76" w:rsidRPr="0029560E">
        <w:rPr>
          <w:sz w:val="20"/>
          <w:lang w:val="es-ES"/>
        </w:rPr>
        <w:t xml:space="preserve">efectivo </w:t>
      </w:r>
      <w:r w:rsidR="00E3546A" w:rsidRPr="0029560E">
        <w:rPr>
          <w:sz w:val="20"/>
          <w:lang w:val="es-ES"/>
        </w:rPr>
        <w:t xml:space="preserve">que le permitiera </w:t>
      </w:r>
      <w:r w:rsidR="00AF0097" w:rsidRPr="0029560E">
        <w:rPr>
          <w:sz w:val="20"/>
          <w:lang w:val="es-ES"/>
        </w:rPr>
        <w:t xml:space="preserve">recuperar sus territorio ancestral, en el que se tenga en cuenta aspectos propios de los pueblos indígenas, como la significación especial que las tierras tienen para éstos. </w:t>
      </w:r>
      <w:r w:rsidR="001A5572" w:rsidRPr="0029560E">
        <w:rPr>
          <w:sz w:val="20"/>
          <w:lang w:val="es-ES"/>
        </w:rPr>
        <w:t>Al respecto, cabe recordar que en los casos sometidos a la Corte Interamericana contra Paraguay, dicho Tribunal identificó precisamente como uno de los “problemas estructurales” del procedimiento administrativo para la reivindicación de tierras tradicionales indígenas, “el sometimiento […] a la existencia de un acuerdo de voluntad entre las partes”</w:t>
      </w:r>
      <w:r w:rsidR="00D77FC2" w:rsidRPr="0029560E">
        <w:rPr>
          <w:rStyle w:val="Refdenotaalpie"/>
          <w:sz w:val="20"/>
          <w:lang w:val="es-ES"/>
        </w:rPr>
        <w:footnoteReference w:id="125"/>
      </w:r>
      <w:r w:rsidR="001A5572" w:rsidRPr="0029560E">
        <w:rPr>
          <w:sz w:val="20"/>
          <w:lang w:val="es-ES"/>
        </w:rPr>
        <w:t>.</w:t>
      </w:r>
    </w:p>
    <w:p w:rsidR="00F2497A" w:rsidRPr="0029560E" w:rsidRDefault="00F2497A" w:rsidP="00565A44">
      <w:pPr>
        <w:jc w:val="both"/>
        <w:rPr>
          <w:sz w:val="20"/>
          <w:lang w:val="es-ES"/>
        </w:rPr>
      </w:pPr>
    </w:p>
    <w:p w:rsidR="000E62B6" w:rsidRPr="0029560E" w:rsidRDefault="00F2497A" w:rsidP="000E62B6">
      <w:pPr>
        <w:numPr>
          <w:ilvl w:val="0"/>
          <w:numId w:val="1"/>
        </w:numPr>
        <w:tabs>
          <w:tab w:val="clear" w:pos="900"/>
        </w:tabs>
        <w:ind w:left="0" w:firstLine="720"/>
        <w:jc w:val="both"/>
        <w:rPr>
          <w:sz w:val="20"/>
          <w:lang w:val="es-ES"/>
        </w:rPr>
      </w:pPr>
      <w:r w:rsidRPr="0029560E">
        <w:rPr>
          <w:sz w:val="20"/>
          <w:lang w:val="es-ES"/>
        </w:rPr>
        <w:t>L</w:t>
      </w:r>
      <w:r w:rsidR="00317473" w:rsidRPr="0029560E">
        <w:rPr>
          <w:sz w:val="20"/>
          <w:lang w:val="es-ES"/>
        </w:rPr>
        <w:t xml:space="preserve">a CIDH </w:t>
      </w:r>
      <w:r w:rsidRPr="0029560E">
        <w:rPr>
          <w:sz w:val="20"/>
          <w:lang w:val="es-ES"/>
        </w:rPr>
        <w:t xml:space="preserve">advierte además </w:t>
      </w:r>
      <w:r w:rsidR="00317473" w:rsidRPr="0029560E">
        <w:rPr>
          <w:sz w:val="20"/>
          <w:lang w:val="es-ES"/>
        </w:rPr>
        <w:t xml:space="preserve">que </w:t>
      </w:r>
      <w:r w:rsidR="006A41D1" w:rsidRPr="0029560E">
        <w:rPr>
          <w:sz w:val="20"/>
          <w:lang w:val="es-ES"/>
        </w:rPr>
        <w:t xml:space="preserve">la ausencia de </w:t>
      </w:r>
      <w:r w:rsidR="00317473" w:rsidRPr="0029560E">
        <w:rPr>
          <w:sz w:val="20"/>
          <w:lang w:val="es-ES"/>
        </w:rPr>
        <w:t>un</w:t>
      </w:r>
      <w:r w:rsidR="006A41D1" w:rsidRPr="0029560E">
        <w:rPr>
          <w:sz w:val="20"/>
          <w:lang w:val="es-ES"/>
        </w:rPr>
        <w:t xml:space="preserve"> mecanismo</w:t>
      </w:r>
      <w:r w:rsidR="00317473" w:rsidRPr="0029560E">
        <w:rPr>
          <w:sz w:val="20"/>
          <w:lang w:val="es-ES"/>
        </w:rPr>
        <w:t xml:space="preserve"> </w:t>
      </w:r>
      <w:r w:rsidR="00B633EF" w:rsidRPr="0029560E">
        <w:rPr>
          <w:sz w:val="20"/>
          <w:lang w:val="es-ES"/>
        </w:rPr>
        <w:t xml:space="preserve">eficaz </w:t>
      </w:r>
      <w:r w:rsidR="00317473" w:rsidRPr="0029560E">
        <w:rPr>
          <w:sz w:val="20"/>
          <w:lang w:val="es-ES"/>
        </w:rPr>
        <w:t>que permitiera la protección y el saneamiento de las tierras garífunas</w:t>
      </w:r>
      <w:r w:rsidR="006A41D1" w:rsidRPr="0029560E">
        <w:rPr>
          <w:sz w:val="20"/>
          <w:lang w:val="es-ES"/>
        </w:rPr>
        <w:t>,</w:t>
      </w:r>
      <w:r w:rsidR="00317473" w:rsidRPr="0029560E">
        <w:rPr>
          <w:sz w:val="20"/>
          <w:lang w:val="es-ES"/>
        </w:rPr>
        <w:t xml:space="preserve"> </w:t>
      </w:r>
      <w:r w:rsidR="00B633EF" w:rsidRPr="0029560E">
        <w:rPr>
          <w:sz w:val="20"/>
          <w:lang w:val="es-ES"/>
        </w:rPr>
        <w:t xml:space="preserve">dada la </w:t>
      </w:r>
      <w:r w:rsidR="00473E3D" w:rsidRPr="0029560E">
        <w:rPr>
          <w:sz w:val="20"/>
          <w:lang w:val="es-ES"/>
        </w:rPr>
        <w:t xml:space="preserve">ineficacia de las acciones estatales </w:t>
      </w:r>
      <w:r w:rsidR="00317473" w:rsidRPr="0029560E">
        <w:rPr>
          <w:sz w:val="20"/>
          <w:lang w:val="es-ES"/>
        </w:rPr>
        <w:t xml:space="preserve">tras cerca de veinte años de iniciada la invasión en Río Miel, </w:t>
      </w:r>
      <w:r w:rsidR="00B633EF" w:rsidRPr="0029560E">
        <w:rPr>
          <w:sz w:val="20"/>
          <w:lang w:val="es-ES"/>
        </w:rPr>
        <w:t>generó</w:t>
      </w:r>
      <w:r w:rsidR="00317473" w:rsidRPr="0029560E">
        <w:rPr>
          <w:sz w:val="20"/>
          <w:lang w:val="es-ES"/>
        </w:rPr>
        <w:t xml:space="preserve"> el agravamiento de la situación. Esto se evidencia, </w:t>
      </w:r>
      <w:r w:rsidR="000E62B6" w:rsidRPr="0029560E">
        <w:rPr>
          <w:sz w:val="20"/>
          <w:lang w:val="es-ES"/>
        </w:rPr>
        <w:t>en</w:t>
      </w:r>
      <w:r w:rsidR="00317473" w:rsidRPr="0029560E">
        <w:rPr>
          <w:sz w:val="20"/>
          <w:lang w:val="es-ES"/>
        </w:rPr>
        <w:t>tre otros aspectos, en</w:t>
      </w:r>
      <w:r w:rsidR="000E62B6" w:rsidRPr="0029560E">
        <w:rPr>
          <w:sz w:val="20"/>
          <w:lang w:val="es-ES"/>
        </w:rPr>
        <w:t xml:space="preserve"> que</w:t>
      </w:r>
      <w:r w:rsidR="00317473" w:rsidRPr="0029560E">
        <w:rPr>
          <w:sz w:val="20"/>
          <w:lang w:val="es-ES"/>
        </w:rPr>
        <w:t xml:space="preserve"> la falta de cumplimiento del primer compromiso firmado el 13 de diciembre de 2001 y el pago efectivo del avalúo realizado, llevó a </w:t>
      </w:r>
      <w:r w:rsidR="00565A44" w:rsidRPr="0029560E">
        <w:rPr>
          <w:sz w:val="20"/>
          <w:lang w:val="es-ES"/>
        </w:rPr>
        <w:t>un</w:t>
      </w:r>
      <w:r w:rsidR="00AF0097" w:rsidRPr="0029560E">
        <w:rPr>
          <w:sz w:val="20"/>
          <w:lang w:val="es-ES"/>
        </w:rPr>
        <w:t xml:space="preserve"> mayor</w:t>
      </w:r>
      <w:r w:rsidR="00565A44" w:rsidRPr="0029560E">
        <w:rPr>
          <w:sz w:val="20"/>
          <w:lang w:val="es-ES"/>
        </w:rPr>
        <w:t xml:space="preserve"> clima de tensión y violencia, </w:t>
      </w:r>
      <w:r w:rsidR="00AF0097" w:rsidRPr="0029560E">
        <w:rPr>
          <w:sz w:val="20"/>
          <w:lang w:val="es-ES"/>
        </w:rPr>
        <w:t>al</w:t>
      </w:r>
      <w:r w:rsidR="00565A44" w:rsidRPr="0029560E">
        <w:rPr>
          <w:sz w:val="20"/>
          <w:lang w:val="es-ES"/>
        </w:rPr>
        <w:t xml:space="preserve"> aumento de la resistencia de </w:t>
      </w:r>
      <w:r w:rsidR="00317473" w:rsidRPr="0029560E">
        <w:rPr>
          <w:sz w:val="20"/>
          <w:lang w:val="es-ES"/>
        </w:rPr>
        <w:t xml:space="preserve">los campesinos </w:t>
      </w:r>
      <w:r w:rsidR="00565A44" w:rsidRPr="0029560E">
        <w:rPr>
          <w:sz w:val="20"/>
          <w:lang w:val="es-ES"/>
        </w:rPr>
        <w:t>a abandonar la zona</w:t>
      </w:r>
      <w:r w:rsidR="00AF0097" w:rsidRPr="0029560E">
        <w:rPr>
          <w:sz w:val="20"/>
          <w:lang w:val="es-ES"/>
        </w:rPr>
        <w:t>,</w:t>
      </w:r>
      <w:r w:rsidR="00565A44" w:rsidRPr="0029560E">
        <w:rPr>
          <w:sz w:val="20"/>
          <w:lang w:val="es-ES"/>
        </w:rPr>
        <w:t xml:space="preserve"> y a un incremento del monto de las mejoras introducidas necesarias de ser pagadas.</w:t>
      </w:r>
      <w:r w:rsidR="00FF3D79" w:rsidRPr="0029560E">
        <w:rPr>
          <w:sz w:val="20"/>
          <w:lang w:val="es-ES"/>
        </w:rPr>
        <w:t xml:space="preserve"> </w:t>
      </w:r>
    </w:p>
    <w:p w:rsidR="004D3862" w:rsidRPr="0029560E" w:rsidRDefault="004D3862" w:rsidP="004D3862">
      <w:pPr>
        <w:jc w:val="both"/>
        <w:rPr>
          <w:sz w:val="20"/>
          <w:lang w:val="es-ES"/>
        </w:rPr>
      </w:pPr>
    </w:p>
    <w:p w:rsidR="00224813" w:rsidRPr="0029560E" w:rsidRDefault="00224813" w:rsidP="00224813">
      <w:pPr>
        <w:numPr>
          <w:ilvl w:val="0"/>
          <w:numId w:val="1"/>
        </w:numPr>
        <w:tabs>
          <w:tab w:val="clear" w:pos="900"/>
        </w:tabs>
        <w:ind w:left="0" w:firstLine="720"/>
        <w:jc w:val="both"/>
        <w:rPr>
          <w:sz w:val="20"/>
          <w:lang w:val="es-ES"/>
        </w:rPr>
      </w:pPr>
      <w:r w:rsidRPr="0029560E">
        <w:rPr>
          <w:sz w:val="20"/>
          <w:lang w:val="es-ES"/>
        </w:rPr>
        <w:t xml:space="preserve">De otro lado, la CIDH ha dado por probada la existencia de una situación de conflicto permanente provocada por terceros interesados en las tierras ancestrales de la Comunidad, caracterizada por constantes amenazas, hostigamientos y acciones violentas. Es un hecho acreditado que esta situación era conocida por el Estado hondureño, como consta en el </w:t>
      </w:r>
      <w:r w:rsidRPr="0029560E">
        <w:rPr>
          <w:rFonts w:cs="Arial"/>
          <w:sz w:val="20"/>
          <w:lang w:val="es-ES"/>
        </w:rPr>
        <w:t xml:space="preserve">Acta de compromiso del 13 de diciembre de 2001, suscrita por autoridades estatales, en la que se afirma que “desde esa época [refiriéndose a la llegada de los primeros campesinos a Río Miel] hasta la fecha se han venido presentando problemas que no solamente significan la disputa por la tierra, sino que ponen en peligro la integridad física y algunos bienes de los habitantes de las comunidades”.  </w:t>
      </w:r>
    </w:p>
    <w:p w:rsidR="00224813" w:rsidRPr="0029560E" w:rsidRDefault="00224813" w:rsidP="00224813">
      <w:pPr>
        <w:ind w:firstLine="720"/>
        <w:jc w:val="both"/>
        <w:rPr>
          <w:rFonts w:cs="Arial"/>
          <w:sz w:val="20"/>
          <w:lang w:val="es-ES"/>
        </w:rPr>
      </w:pPr>
    </w:p>
    <w:p w:rsidR="00224813" w:rsidRPr="0029560E" w:rsidRDefault="00224813" w:rsidP="00224813">
      <w:pPr>
        <w:numPr>
          <w:ilvl w:val="0"/>
          <w:numId w:val="1"/>
        </w:numPr>
        <w:tabs>
          <w:tab w:val="clear" w:pos="900"/>
        </w:tabs>
        <w:ind w:left="0" w:firstLine="720"/>
        <w:jc w:val="both"/>
        <w:rPr>
          <w:sz w:val="20"/>
          <w:lang w:val="es-ES"/>
        </w:rPr>
      </w:pPr>
      <w:r w:rsidRPr="0029560E">
        <w:rPr>
          <w:sz w:val="20"/>
          <w:lang w:val="es-ES"/>
        </w:rPr>
        <w:t>Adicionalmente, según fue dado por probado, miembros de la Comunidad de Punta Piedra</w:t>
      </w:r>
      <w:r w:rsidRPr="0029560E">
        <w:rPr>
          <w:sz w:val="20"/>
          <w:lang w:val="es-ES_tradnl"/>
        </w:rPr>
        <w:t xml:space="preserve"> denunciaron ante autoridades estatales en múltiples ocasiones tales actos, como se evidencia en la </w:t>
      </w:r>
      <w:r w:rsidRPr="0029560E">
        <w:rPr>
          <w:sz w:val="20"/>
          <w:lang w:val="es-ES"/>
        </w:rPr>
        <w:t xml:space="preserve">denuncia presentada por el asesinato de Félix Ordóñez Suazo, miembro de la Comunidad, en junio de 2007; la denuncia por usurpación interpuesta por dirigentes de la Comunidad el 13 de abril de 2010; y aquella presentada en la misma fecha por amenazas de muerte contra un miembro de la Comunidad por parte de no garífunas que habían invadido tierras comunitarias. </w:t>
      </w:r>
      <w:r w:rsidRPr="0029560E">
        <w:rPr>
          <w:sz w:val="20"/>
          <w:lang w:val="es-ES_tradnl"/>
        </w:rPr>
        <w:t>E</w:t>
      </w:r>
      <w:r w:rsidRPr="0029560E">
        <w:rPr>
          <w:sz w:val="20"/>
          <w:lang w:val="es-ES"/>
        </w:rPr>
        <w:t>l Estado indicó en el proceso ante la CIDH, con relación a la denuncia por la muerte de Félix Ordóñez, que la investigación estaba pendiente ante la Dirección General de Investigación Criminal, y la Fiscalía Especial de Etnias y Patrimonio; y refiriéndose a las denuncias de abril de 2010, informó que se programó una gira al terreno que “no pudo realizarse</w:t>
      </w:r>
      <w:r w:rsidRPr="0029560E">
        <w:rPr>
          <w:sz w:val="20"/>
          <w:lang w:val="es-ES"/>
        </w:rPr>
        <w:sym w:font="Symbol" w:char="F05B"/>
      </w:r>
      <w:r w:rsidRPr="0029560E">
        <w:rPr>
          <w:sz w:val="20"/>
          <w:lang w:val="es-ES"/>
        </w:rPr>
        <w:t>…</w:t>
      </w:r>
      <w:r w:rsidRPr="0029560E">
        <w:rPr>
          <w:sz w:val="20"/>
          <w:lang w:val="es-ES"/>
        </w:rPr>
        <w:sym w:font="Symbol" w:char="F05D"/>
      </w:r>
      <w:r w:rsidRPr="0029560E">
        <w:rPr>
          <w:sz w:val="20"/>
          <w:lang w:val="es-ES"/>
        </w:rPr>
        <w:t xml:space="preserve"> por falta de viáticos y transporte a las personas designadas para llevar a cabo esas diligencias”.</w:t>
      </w:r>
    </w:p>
    <w:p w:rsidR="00224813" w:rsidRPr="0029560E" w:rsidRDefault="00224813" w:rsidP="00224813">
      <w:pPr>
        <w:jc w:val="both"/>
        <w:rPr>
          <w:sz w:val="20"/>
          <w:lang w:val="es-ES"/>
        </w:rPr>
      </w:pPr>
    </w:p>
    <w:p w:rsidR="00224813" w:rsidRPr="0029560E" w:rsidRDefault="00224813" w:rsidP="009477B5">
      <w:pPr>
        <w:numPr>
          <w:ilvl w:val="0"/>
          <w:numId w:val="1"/>
        </w:numPr>
        <w:tabs>
          <w:tab w:val="clear" w:pos="900"/>
        </w:tabs>
        <w:ind w:left="0" w:firstLine="720"/>
        <w:jc w:val="both"/>
        <w:rPr>
          <w:sz w:val="20"/>
          <w:lang w:val="es-ES_tradnl"/>
        </w:rPr>
      </w:pPr>
      <w:r w:rsidRPr="0029560E">
        <w:rPr>
          <w:sz w:val="20"/>
          <w:lang w:val="es-ES_tradnl"/>
        </w:rPr>
        <w:t xml:space="preserve">Al respecto, la CIDH recuerda que, como ha establecido la Corte Interamericana, el artículo 25 garantiza no solamente un recurso sencillo y rápido para la protección de los derechos sino también un </w:t>
      </w:r>
      <w:r w:rsidRPr="0029560E">
        <w:rPr>
          <w:sz w:val="20"/>
          <w:lang w:val="es-ES"/>
        </w:rPr>
        <w:t>recurso</w:t>
      </w:r>
      <w:r w:rsidRPr="0029560E">
        <w:rPr>
          <w:sz w:val="20"/>
          <w:lang w:val="es-ES_tradnl"/>
        </w:rPr>
        <w:t xml:space="preserve"> efectivo para proteger a los individuos de los actos del Estado violatorios de sus derechos fundamentales</w:t>
      </w:r>
      <w:r w:rsidRPr="0029560E">
        <w:rPr>
          <w:rStyle w:val="Refdenotaalpie"/>
          <w:sz w:val="20"/>
          <w:lang w:val="es-ES_tradnl"/>
        </w:rPr>
        <w:footnoteReference w:id="126"/>
      </w:r>
      <w:r w:rsidRPr="0029560E">
        <w:rPr>
          <w:sz w:val="20"/>
          <w:lang w:val="es-ES_tradnl"/>
        </w:rPr>
        <w:t xml:space="preserve">. De ahí que el derecho a la protección judicial sea considerado como un derecho de trascendental importancia al constituirse en un mecanismo fundamental para ejercer la defensa de cualquier otro derecho que haya sido transgredido, planteando ante la autoridad judicial competente las acciones o recursos pertinentes. </w:t>
      </w:r>
    </w:p>
    <w:p w:rsidR="00224813" w:rsidRPr="0029560E" w:rsidRDefault="00224813" w:rsidP="00224813">
      <w:pPr>
        <w:ind w:firstLine="720"/>
        <w:jc w:val="both"/>
        <w:rPr>
          <w:sz w:val="20"/>
          <w:lang w:val="es-ES_tradnl"/>
        </w:rPr>
      </w:pPr>
    </w:p>
    <w:p w:rsidR="00224813" w:rsidRPr="0029560E" w:rsidRDefault="00224813" w:rsidP="009477B5">
      <w:pPr>
        <w:numPr>
          <w:ilvl w:val="0"/>
          <w:numId w:val="1"/>
        </w:numPr>
        <w:tabs>
          <w:tab w:val="clear" w:pos="900"/>
        </w:tabs>
        <w:ind w:left="0" w:firstLine="720"/>
        <w:jc w:val="both"/>
        <w:rPr>
          <w:sz w:val="20"/>
          <w:lang w:val="es-ES_tradnl"/>
        </w:rPr>
      </w:pPr>
      <w:r w:rsidRPr="0029560E">
        <w:rPr>
          <w:sz w:val="20"/>
          <w:lang w:val="es-ES_tradnl"/>
        </w:rPr>
        <w:lastRenderedPageBreak/>
        <w:t>En consecuencia, los Estados Parte tienen la obligación de tomar todo tipo de providencias para que nadie sea sustraído de la protección judicial y del ejercicio del derecho a un recurso sencillo y eficaz</w:t>
      </w:r>
      <w:r w:rsidRPr="0029560E">
        <w:rPr>
          <w:rStyle w:val="Refdenotaalpie"/>
          <w:sz w:val="20"/>
          <w:lang w:val="es-ES_tradnl"/>
        </w:rPr>
        <w:footnoteReference w:id="127"/>
      </w:r>
      <w:r w:rsidRPr="0029560E">
        <w:rPr>
          <w:sz w:val="20"/>
          <w:lang w:val="es-ES_tradnl"/>
        </w:rPr>
        <w:t xml:space="preserve">. De acuerdo con la jurisprudencia de la Corte Interamericana, el Estado tiene la obligación de que “cada acto estatal que conforma el proceso investigativo, así como la investigación en su totalidad, debe estar orientado hacia una finalidad específica, la determinación de la verdad y la investigación, </w:t>
      </w:r>
      <w:r w:rsidRPr="0029560E">
        <w:rPr>
          <w:sz w:val="20"/>
          <w:lang w:val="es-ES"/>
        </w:rPr>
        <w:t>persecución</w:t>
      </w:r>
      <w:r w:rsidRPr="0029560E">
        <w:rPr>
          <w:sz w:val="20"/>
          <w:lang w:val="es-ES_tradnl"/>
        </w:rPr>
        <w:t>, captura, enjuiciamiento, y en su caso, la sanción de los responsables de los hechos”</w:t>
      </w:r>
      <w:r w:rsidRPr="0029560E">
        <w:rPr>
          <w:rStyle w:val="Refdenotaalpie"/>
          <w:sz w:val="20"/>
          <w:lang w:val="es-ES_tradnl"/>
        </w:rPr>
        <w:footnoteReference w:id="128"/>
      </w:r>
      <w:r w:rsidR="00835A83" w:rsidRPr="0029560E">
        <w:rPr>
          <w:sz w:val="20"/>
          <w:lang w:val="es-ES_tradnl"/>
        </w:rPr>
        <w:t xml:space="preserve">. </w:t>
      </w:r>
      <w:r w:rsidRPr="0029560E">
        <w:rPr>
          <w:sz w:val="20"/>
          <w:lang w:val="es-ES_tradnl"/>
        </w:rPr>
        <w:t>Como ha señalado la Corte reiteradamente, se trata de una obligación de medios, y no de resultado, que debe ser asumida por el Estado como una obligación jurídica propia y no como una simple formalidad condenada de antemano a ser infructuosa</w:t>
      </w:r>
      <w:r w:rsidRPr="0029560E">
        <w:rPr>
          <w:rStyle w:val="Refdenotaalpie"/>
          <w:sz w:val="20"/>
          <w:lang w:val="es-ES_tradnl"/>
        </w:rPr>
        <w:footnoteReference w:id="129"/>
      </w:r>
      <w:r w:rsidRPr="0029560E">
        <w:rPr>
          <w:sz w:val="20"/>
          <w:lang w:val="es-ES_tradnl"/>
        </w:rPr>
        <w:t>. En ese sentido, la investigación debe ser llevada a cabo con la debida diligencia, de forma efectiva, seria e imparcial</w:t>
      </w:r>
      <w:r w:rsidRPr="0029560E">
        <w:rPr>
          <w:rStyle w:val="Refdenotaalpie"/>
          <w:sz w:val="20"/>
          <w:lang w:val="es-ES_tradnl"/>
        </w:rPr>
        <w:footnoteReference w:id="130"/>
      </w:r>
      <w:r w:rsidRPr="0029560E">
        <w:rPr>
          <w:sz w:val="20"/>
          <w:lang w:val="es-ES_tradnl"/>
        </w:rPr>
        <w:t xml:space="preserve">. </w:t>
      </w:r>
    </w:p>
    <w:p w:rsidR="00224813" w:rsidRPr="0029560E" w:rsidRDefault="00224813" w:rsidP="00224813">
      <w:pPr>
        <w:ind w:firstLine="720"/>
        <w:jc w:val="both"/>
        <w:rPr>
          <w:sz w:val="20"/>
          <w:lang w:val="es-ES_tradnl"/>
        </w:rPr>
      </w:pPr>
    </w:p>
    <w:p w:rsidR="00224813" w:rsidRPr="0029560E" w:rsidRDefault="00224813" w:rsidP="009477B5">
      <w:pPr>
        <w:numPr>
          <w:ilvl w:val="0"/>
          <w:numId w:val="1"/>
        </w:numPr>
        <w:tabs>
          <w:tab w:val="clear" w:pos="900"/>
        </w:tabs>
        <w:ind w:left="0" w:firstLine="720"/>
        <w:jc w:val="both"/>
        <w:rPr>
          <w:sz w:val="20"/>
          <w:lang w:val="es-ES_tradnl"/>
        </w:rPr>
      </w:pPr>
      <w:r w:rsidRPr="0029560E">
        <w:rPr>
          <w:sz w:val="20"/>
          <w:lang w:val="es-ES"/>
        </w:rPr>
        <w:t>A la luz de lo anterior, la CIDH nota que</w:t>
      </w:r>
      <w:r w:rsidRPr="0029560E">
        <w:rPr>
          <w:sz w:val="20"/>
          <w:lang w:val="es-ES_tradnl"/>
        </w:rPr>
        <w:t xml:space="preserve">, durante los años materia del presente caso, se presentaron múltiples denuncias interpuestas ante agentes estatales que dan cuenta de </w:t>
      </w:r>
      <w:r w:rsidRPr="0029560E">
        <w:rPr>
          <w:color w:val="000000"/>
          <w:sz w:val="20"/>
          <w:lang w:val="es-ES_tradnl"/>
        </w:rPr>
        <w:t xml:space="preserve">una multiplicidad de actos de </w:t>
      </w:r>
      <w:r w:rsidRPr="0029560E">
        <w:rPr>
          <w:sz w:val="20"/>
          <w:lang w:val="es-ES"/>
        </w:rPr>
        <w:t>violencia</w:t>
      </w:r>
      <w:r w:rsidRPr="0029560E">
        <w:rPr>
          <w:color w:val="000000"/>
          <w:sz w:val="20"/>
          <w:lang w:val="es-ES_tradnl"/>
        </w:rPr>
        <w:t xml:space="preserve"> que se circunscriben dentro de la situación de desprotección del territorio ancestral de la Comunidad Garífuna de Punta Piedra.</w:t>
      </w:r>
      <w:r w:rsidRPr="0029560E">
        <w:rPr>
          <w:rFonts w:cs="Arial"/>
          <w:sz w:val="20"/>
          <w:lang w:val="es-ES_tradnl"/>
        </w:rPr>
        <w:t xml:space="preserve"> </w:t>
      </w:r>
      <w:r w:rsidRPr="0029560E">
        <w:rPr>
          <w:sz w:val="20"/>
          <w:lang w:val="es-ES_tradnl"/>
        </w:rPr>
        <w:t xml:space="preserve">No obstante la prueba de denuncias que obran en el expediente ante la CIDH, en ninguno de los casos el Estado informó la realización de una investigación seria, efectiva y sin dilaciones dirigida a la averiguación de la verdad y la determinación de responsabilidades. </w:t>
      </w:r>
      <w:r w:rsidRPr="0029560E">
        <w:rPr>
          <w:rFonts w:cs="Arial"/>
          <w:sz w:val="20"/>
          <w:lang w:val="es-ES_tradnl"/>
        </w:rPr>
        <w:t>L</w:t>
      </w:r>
      <w:r w:rsidRPr="0029560E">
        <w:rPr>
          <w:sz w:val="20"/>
          <w:lang w:val="es-ES_tradnl"/>
        </w:rPr>
        <w:t xml:space="preserve">a CIDH considera de la información a su alcance que la falta de respuesta estatal frente a los </w:t>
      </w:r>
      <w:r w:rsidRPr="0029560E">
        <w:rPr>
          <w:rFonts w:cs="Arial"/>
          <w:sz w:val="20"/>
          <w:lang w:val="es-ES_tradnl"/>
        </w:rPr>
        <w:t xml:space="preserve">recursos intentados, dejó a las presuntas víctimas en una situación de desprotección y </w:t>
      </w:r>
      <w:r w:rsidRPr="0029560E">
        <w:rPr>
          <w:sz w:val="20"/>
          <w:lang w:val="es-ES_tradnl"/>
        </w:rPr>
        <w:t xml:space="preserve">ha generado que la Comunidad de Punta Piedra </w:t>
      </w:r>
      <w:r w:rsidRPr="0029560E">
        <w:rPr>
          <w:rFonts w:cs="Arial"/>
          <w:sz w:val="20"/>
          <w:lang w:val="es-ES_tradnl"/>
        </w:rPr>
        <w:t>y sus miembros permanezcan</w:t>
      </w:r>
      <w:r w:rsidRPr="0029560E">
        <w:rPr>
          <w:sz w:val="20"/>
          <w:lang w:val="es-ES_tradnl"/>
        </w:rPr>
        <w:t xml:space="preserve"> en una situación de continua</w:t>
      </w:r>
      <w:r w:rsidRPr="0029560E">
        <w:rPr>
          <w:rFonts w:cs="Arial"/>
          <w:sz w:val="20"/>
          <w:lang w:val="es-ES_tradnl"/>
        </w:rPr>
        <w:t xml:space="preserve"> incertidumbre, zozobra y temor</w:t>
      </w:r>
      <w:r w:rsidR="007E1967" w:rsidRPr="0029560E">
        <w:rPr>
          <w:rFonts w:cs="Arial"/>
          <w:sz w:val="20"/>
          <w:lang w:val="es-ES_tradnl"/>
        </w:rPr>
        <w:t>, tanto en relación con la falta de control de sus territorios como en relación con la continuidad de la situación de conflictividad</w:t>
      </w:r>
      <w:r w:rsidRPr="0029560E">
        <w:rPr>
          <w:rFonts w:cs="Arial"/>
          <w:sz w:val="20"/>
          <w:lang w:val="es-ES_tradnl"/>
        </w:rPr>
        <w:t>.</w:t>
      </w:r>
    </w:p>
    <w:p w:rsidR="00224813" w:rsidRPr="0029560E" w:rsidRDefault="00224813" w:rsidP="00224813">
      <w:pPr>
        <w:jc w:val="both"/>
        <w:rPr>
          <w:sz w:val="20"/>
          <w:lang w:val="es-ES_tradnl"/>
        </w:rPr>
      </w:pPr>
    </w:p>
    <w:p w:rsidR="00224813" w:rsidRPr="0029560E" w:rsidRDefault="00224813" w:rsidP="009477B5">
      <w:pPr>
        <w:numPr>
          <w:ilvl w:val="0"/>
          <w:numId w:val="1"/>
        </w:numPr>
        <w:tabs>
          <w:tab w:val="clear" w:pos="900"/>
        </w:tabs>
        <w:ind w:left="0" w:firstLine="720"/>
        <w:jc w:val="both"/>
        <w:rPr>
          <w:sz w:val="20"/>
          <w:lang w:val="es-ES_tradnl"/>
        </w:rPr>
      </w:pPr>
      <w:r w:rsidRPr="0029560E">
        <w:rPr>
          <w:sz w:val="20"/>
          <w:lang w:val="es-ES_tradnl"/>
        </w:rPr>
        <w:t xml:space="preserve">En virtud a lo anterior, la Comisión concluye que el Estado hondureño no ha garantizado un recurso adecuado y efectivo para responder a las reclamaciones de territorio ancestral y las reivindicaciones de las tierras </w:t>
      </w:r>
      <w:r w:rsidRPr="0029560E">
        <w:rPr>
          <w:sz w:val="20"/>
          <w:lang w:val="es-ES"/>
        </w:rPr>
        <w:t>tituladas</w:t>
      </w:r>
      <w:r w:rsidRPr="0029560E">
        <w:rPr>
          <w:sz w:val="20"/>
          <w:lang w:val="es-ES_tradnl"/>
        </w:rPr>
        <w:t xml:space="preserve"> a favor de la Comunidad Garífuna de Punta Piedra, ni ha realizado las investigaciones correspondientes en relación a las denuncias interpuestas por la Comunidad y sus miembros por los daños a la propiedad y los actos de amenazas, agresiones, hostigamiento y persecución sufridos, por lo que la Comisión concluye que el Estado de Honduras violó el artículo 25 de la Convención Americana, en relación con los artículos 1.1 y 2.</w:t>
      </w:r>
    </w:p>
    <w:p w:rsidR="00224813" w:rsidRPr="0029560E" w:rsidRDefault="00224813" w:rsidP="00F161E5">
      <w:pPr>
        <w:jc w:val="both"/>
        <w:rPr>
          <w:sz w:val="20"/>
          <w:lang w:val="es-ES_tradnl"/>
        </w:rPr>
      </w:pPr>
    </w:p>
    <w:p w:rsidR="00B12BD9" w:rsidRPr="0029560E" w:rsidRDefault="004D0FFF" w:rsidP="00693812">
      <w:pPr>
        <w:pStyle w:val="Ttulo1"/>
        <w:spacing w:before="0" w:after="0"/>
        <w:ind w:left="1440" w:hanging="720"/>
        <w:rPr>
          <w:rFonts w:ascii="Univers" w:hAnsi="Univers"/>
          <w:sz w:val="20"/>
          <w:lang w:val="es-ES"/>
        </w:rPr>
      </w:pPr>
      <w:bookmarkStart w:id="38" w:name="_Toc336248020"/>
      <w:bookmarkStart w:id="39" w:name="_Toc350183594"/>
      <w:r w:rsidRPr="0029560E">
        <w:rPr>
          <w:rFonts w:ascii="Univers" w:hAnsi="Univers"/>
          <w:sz w:val="20"/>
          <w:lang w:val="es-ES"/>
        </w:rPr>
        <w:t>VI.</w:t>
      </w:r>
      <w:r w:rsidRPr="0029560E">
        <w:rPr>
          <w:rFonts w:ascii="Univers" w:hAnsi="Univers"/>
          <w:sz w:val="20"/>
          <w:lang w:val="es-ES"/>
        </w:rPr>
        <w:tab/>
        <w:t>CONCLUSIONES</w:t>
      </w:r>
      <w:bookmarkEnd w:id="38"/>
      <w:bookmarkEnd w:id="39"/>
    </w:p>
    <w:p w:rsidR="004D0FFF" w:rsidRPr="0029560E" w:rsidRDefault="004D0FFF" w:rsidP="00693812">
      <w:pPr>
        <w:rPr>
          <w:lang w:val="es-ES"/>
        </w:rPr>
      </w:pPr>
    </w:p>
    <w:p w:rsidR="00474B8F" w:rsidRPr="0029560E" w:rsidRDefault="00474B8F" w:rsidP="000552AC">
      <w:pPr>
        <w:numPr>
          <w:ilvl w:val="0"/>
          <w:numId w:val="1"/>
        </w:numPr>
        <w:tabs>
          <w:tab w:val="clear" w:pos="900"/>
        </w:tabs>
        <w:ind w:left="0" w:firstLine="720"/>
        <w:jc w:val="both"/>
        <w:rPr>
          <w:sz w:val="20"/>
          <w:lang w:val="es-ES"/>
        </w:rPr>
      </w:pPr>
      <w:r w:rsidRPr="0029560E">
        <w:rPr>
          <w:sz w:val="20"/>
          <w:lang w:val="es-ES"/>
        </w:rPr>
        <w:t>En virtud de las consideraciones de hecho y de derecho establecidas en el presente informe, la Comisión Interamericana de Derechos Humanos concluye que:</w:t>
      </w:r>
    </w:p>
    <w:p w:rsidR="00474B8F" w:rsidRPr="0029560E" w:rsidRDefault="00474B8F" w:rsidP="00693812">
      <w:pPr>
        <w:jc w:val="both"/>
        <w:rPr>
          <w:sz w:val="20"/>
          <w:lang w:val="es-ES"/>
        </w:rPr>
      </w:pPr>
    </w:p>
    <w:p w:rsidR="00194596" w:rsidRPr="0029560E" w:rsidRDefault="00194596" w:rsidP="007F1AAD">
      <w:pPr>
        <w:numPr>
          <w:ilvl w:val="3"/>
          <w:numId w:val="26"/>
        </w:numPr>
        <w:tabs>
          <w:tab w:val="clear" w:pos="3240"/>
          <w:tab w:val="num" w:pos="1440"/>
        </w:tabs>
        <w:ind w:left="0" w:firstLine="720"/>
        <w:jc w:val="both"/>
        <w:rPr>
          <w:rFonts w:cs="Arial"/>
          <w:sz w:val="20"/>
          <w:lang w:val="es-ES"/>
        </w:rPr>
      </w:pPr>
      <w:r w:rsidRPr="0029560E">
        <w:rPr>
          <w:rFonts w:cs="Arial"/>
          <w:sz w:val="20"/>
          <w:lang w:val="es-ES"/>
        </w:rPr>
        <w:t xml:space="preserve">El Estado de </w:t>
      </w:r>
      <w:smartTag w:uri="urn:schemas-microsoft-com:office:smarttags" w:element="PersonName">
        <w:r w:rsidRPr="0029560E">
          <w:rPr>
            <w:rFonts w:cs="Arial"/>
            <w:sz w:val="20"/>
            <w:lang w:val="es-ES"/>
          </w:rPr>
          <w:t>Honduras</w:t>
        </w:r>
      </w:smartTag>
      <w:r w:rsidRPr="0029560E">
        <w:rPr>
          <w:rFonts w:cs="Arial"/>
          <w:sz w:val="20"/>
          <w:lang w:val="es-ES"/>
        </w:rPr>
        <w:t xml:space="preserve"> violó el derecho a la propiedad consagrado en el artículo 21 de la Convención Americana sobre Derechos Humanos, en relación con los artículos 1.1 y 2 de la misma, en perjuicio de la Comunidad Garífuna de Punta Piedra y sus miembros</w:t>
      </w:r>
      <w:r w:rsidR="004E1430" w:rsidRPr="0029560E">
        <w:rPr>
          <w:rFonts w:cs="Arial"/>
          <w:sz w:val="20"/>
          <w:lang w:val="es-ES"/>
        </w:rPr>
        <w:t>.</w:t>
      </w:r>
    </w:p>
    <w:p w:rsidR="00194596" w:rsidRPr="0029560E" w:rsidRDefault="00194596" w:rsidP="007F1AAD">
      <w:pPr>
        <w:tabs>
          <w:tab w:val="num" w:pos="0"/>
          <w:tab w:val="num" w:pos="1440"/>
        </w:tabs>
        <w:ind w:firstLine="720"/>
        <w:jc w:val="both"/>
        <w:rPr>
          <w:rFonts w:cs="Arial"/>
          <w:sz w:val="20"/>
          <w:lang w:val="es-ES"/>
        </w:rPr>
      </w:pPr>
    </w:p>
    <w:p w:rsidR="004E1430" w:rsidRPr="0029560E" w:rsidRDefault="004E1430" w:rsidP="004E1430">
      <w:pPr>
        <w:numPr>
          <w:ilvl w:val="3"/>
          <w:numId w:val="26"/>
        </w:numPr>
        <w:tabs>
          <w:tab w:val="clear" w:pos="3240"/>
          <w:tab w:val="num" w:pos="1440"/>
        </w:tabs>
        <w:ind w:left="0" w:firstLine="720"/>
        <w:jc w:val="both"/>
        <w:rPr>
          <w:rFonts w:cs="Arial"/>
          <w:sz w:val="20"/>
          <w:lang w:val="es-ES"/>
        </w:rPr>
      </w:pPr>
      <w:r w:rsidRPr="0029560E">
        <w:rPr>
          <w:rFonts w:cs="Arial"/>
          <w:sz w:val="20"/>
          <w:lang w:val="es-ES"/>
        </w:rPr>
        <w:t xml:space="preserve">El Estado de </w:t>
      </w:r>
      <w:smartTag w:uri="urn:schemas-microsoft-com:office:smarttags" w:element="PersonName">
        <w:r w:rsidRPr="0029560E">
          <w:rPr>
            <w:rFonts w:cs="Arial"/>
            <w:sz w:val="20"/>
            <w:lang w:val="es-ES"/>
          </w:rPr>
          <w:t>Honduras</w:t>
        </w:r>
      </w:smartTag>
      <w:r w:rsidRPr="0029560E">
        <w:rPr>
          <w:rFonts w:cs="Arial"/>
          <w:sz w:val="20"/>
          <w:lang w:val="es-ES"/>
        </w:rPr>
        <w:t xml:space="preserve"> violó el derecho a la </w:t>
      </w:r>
      <w:r w:rsidR="00063CE2" w:rsidRPr="0029560E">
        <w:rPr>
          <w:rFonts w:cs="Arial"/>
          <w:sz w:val="20"/>
          <w:lang w:val="es-ES"/>
        </w:rPr>
        <w:t>protección judicial</w:t>
      </w:r>
      <w:r w:rsidRPr="0029560E">
        <w:rPr>
          <w:rFonts w:cs="Arial"/>
          <w:sz w:val="20"/>
          <w:lang w:val="es-ES"/>
        </w:rPr>
        <w:t xml:space="preserve"> </w:t>
      </w:r>
      <w:proofErr w:type="gramStart"/>
      <w:r w:rsidRPr="0029560E">
        <w:rPr>
          <w:rFonts w:cs="Arial"/>
          <w:sz w:val="20"/>
          <w:lang w:val="es-ES"/>
        </w:rPr>
        <w:t>consagrado</w:t>
      </w:r>
      <w:proofErr w:type="gramEnd"/>
      <w:r w:rsidRPr="0029560E">
        <w:rPr>
          <w:rFonts w:cs="Arial"/>
          <w:sz w:val="20"/>
          <w:lang w:val="es-ES"/>
        </w:rPr>
        <w:t xml:space="preserve"> en el artículo 25 de la Convención Americana sobre Derechos Humanos, en relación con los artículos 1.1 y 2 de la misma, en perjuicio de la Comunidad Garífuna de Punta Piedra y sus miembros.</w:t>
      </w:r>
    </w:p>
    <w:p w:rsidR="00194596" w:rsidRPr="0029560E" w:rsidRDefault="00194596" w:rsidP="00693812">
      <w:pPr>
        <w:jc w:val="both"/>
        <w:rPr>
          <w:sz w:val="20"/>
          <w:lang w:val="es-ES"/>
        </w:rPr>
      </w:pPr>
    </w:p>
    <w:p w:rsidR="004D0FFF" w:rsidRPr="0029560E" w:rsidRDefault="00297461" w:rsidP="00693812">
      <w:pPr>
        <w:pStyle w:val="Ttulo1"/>
        <w:spacing w:before="0" w:after="0"/>
        <w:ind w:left="1440" w:hanging="720"/>
        <w:rPr>
          <w:rFonts w:ascii="Univers" w:hAnsi="Univers"/>
          <w:sz w:val="20"/>
          <w:lang w:val="es-ES"/>
        </w:rPr>
      </w:pPr>
      <w:bookmarkStart w:id="40" w:name="_Toc336248021"/>
      <w:bookmarkStart w:id="41" w:name="_Toc350183595"/>
      <w:r w:rsidRPr="0029560E">
        <w:rPr>
          <w:rFonts w:ascii="Univers" w:hAnsi="Univers"/>
          <w:sz w:val="20"/>
          <w:lang w:val="es-ES"/>
        </w:rPr>
        <w:lastRenderedPageBreak/>
        <w:t>VII.</w:t>
      </w:r>
      <w:r w:rsidRPr="0029560E">
        <w:rPr>
          <w:rFonts w:ascii="Univers" w:hAnsi="Univers"/>
          <w:sz w:val="20"/>
          <w:lang w:val="es-ES"/>
        </w:rPr>
        <w:tab/>
      </w:r>
      <w:r w:rsidR="004D0FFF" w:rsidRPr="0029560E">
        <w:rPr>
          <w:rFonts w:ascii="Univers" w:hAnsi="Univers"/>
          <w:sz w:val="20"/>
          <w:lang w:val="es-ES"/>
        </w:rPr>
        <w:t>RECOMENDACIONES</w:t>
      </w:r>
      <w:bookmarkEnd w:id="40"/>
      <w:bookmarkEnd w:id="41"/>
    </w:p>
    <w:p w:rsidR="006602D8" w:rsidRPr="0029560E" w:rsidRDefault="006602D8" w:rsidP="00693812">
      <w:pPr>
        <w:ind w:left="360"/>
        <w:rPr>
          <w:lang w:val="es-ES"/>
        </w:rPr>
      </w:pPr>
    </w:p>
    <w:p w:rsidR="006602D8" w:rsidRPr="0029560E" w:rsidRDefault="006602D8" w:rsidP="000552AC">
      <w:pPr>
        <w:numPr>
          <w:ilvl w:val="0"/>
          <w:numId w:val="1"/>
        </w:numPr>
        <w:tabs>
          <w:tab w:val="clear" w:pos="900"/>
        </w:tabs>
        <w:ind w:left="0" w:firstLine="720"/>
        <w:jc w:val="both"/>
        <w:rPr>
          <w:sz w:val="20"/>
          <w:lang w:val="es-ES"/>
        </w:rPr>
      </w:pPr>
      <w:r w:rsidRPr="0029560E">
        <w:rPr>
          <w:sz w:val="20"/>
          <w:lang w:val="es-ES"/>
        </w:rPr>
        <w:t>Con fundamento en el análisis y las conclusiones del presente informe,</w:t>
      </w:r>
    </w:p>
    <w:p w:rsidR="006602D8" w:rsidRPr="0029560E" w:rsidRDefault="006602D8" w:rsidP="00693812">
      <w:pPr>
        <w:jc w:val="both"/>
        <w:rPr>
          <w:rFonts w:cs="Arial"/>
          <w:b/>
          <w:sz w:val="20"/>
          <w:lang w:val="es-ES"/>
        </w:rPr>
      </w:pPr>
    </w:p>
    <w:p w:rsidR="006602D8" w:rsidRPr="0029560E" w:rsidRDefault="006602D8" w:rsidP="00693812">
      <w:pPr>
        <w:pStyle w:val="Textoindependiente2"/>
        <w:widowControl w:val="0"/>
        <w:spacing w:after="0" w:line="240" w:lineRule="auto"/>
        <w:ind w:firstLine="720"/>
        <w:jc w:val="both"/>
        <w:rPr>
          <w:b/>
          <w:sz w:val="20"/>
          <w:lang w:val="es-ES"/>
        </w:rPr>
      </w:pPr>
      <w:r w:rsidRPr="0029560E">
        <w:rPr>
          <w:b/>
          <w:sz w:val="20"/>
          <w:lang w:val="es-ES"/>
        </w:rPr>
        <w:t xml:space="preserve">LA COMISIÓN INTERAMERICANA DE DERECHOS HUMANOS RECOMIENDA AL ESTADO DE </w:t>
      </w:r>
      <w:r w:rsidR="00EE42BA" w:rsidRPr="0029560E">
        <w:rPr>
          <w:b/>
          <w:sz w:val="20"/>
          <w:lang w:val="es-ES"/>
        </w:rPr>
        <w:t>HONDURAS</w:t>
      </w:r>
      <w:r w:rsidRPr="0029560E">
        <w:rPr>
          <w:b/>
          <w:sz w:val="20"/>
          <w:lang w:val="es-ES"/>
        </w:rPr>
        <w:t>:</w:t>
      </w:r>
    </w:p>
    <w:p w:rsidR="00B22B25" w:rsidRPr="0029560E" w:rsidRDefault="00B22B25" w:rsidP="00693812">
      <w:pPr>
        <w:autoSpaceDE w:val="0"/>
        <w:autoSpaceDN w:val="0"/>
        <w:adjustRightInd w:val="0"/>
        <w:jc w:val="both"/>
        <w:rPr>
          <w:sz w:val="20"/>
          <w:lang w:val="es-ES"/>
        </w:rPr>
      </w:pPr>
    </w:p>
    <w:p w:rsidR="0072477A" w:rsidRPr="0029560E" w:rsidRDefault="0072477A" w:rsidP="000552AC">
      <w:pPr>
        <w:numPr>
          <w:ilvl w:val="3"/>
          <w:numId w:val="30"/>
        </w:numPr>
        <w:tabs>
          <w:tab w:val="clear" w:pos="3240"/>
          <w:tab w:val="num" w:pos="0"/>
        </w:tabs>
        <w:autoSpaceDE w:val="0"/>
        <w:autoSpaceDN w:val="0"/>
        <w:adjustRightInd w:val="0"/>
        <w:ind w:left="0" w:firstLine="720"/>
        <w:jc w:val="both"/>
        <w:rPr>
          <w:rFonts w:cs="Arial"/>
          <w:sz w:val="20"/>
          <w:lang w:val="es-ES"/>
        </w:rPr>
      </w:pPr>
      <w:r w:rsidRPr="0029560E">
        <w:rPr>
          <w:rFonts w:cs="Arial"/>
          <w:sz w:val="20"/>
          <w:lang w:val="es-ES"/>
        </w:rPr>
        <w:t xml:space="preserve">Adoptar a la brevedad las medidas necesarias para hacer efectivo el derecho de propiedad comunal y la posesión de la Comunidad Garífuna de Punta Piedra y sus miembros, con respecto a su territorio ancestral; y en particular las medidas legislativas, administrativas o de otro carácter necesarias para </w:t>
      </w:r>
      <w:r w:rsidR="004E1430" w:rsidRPr="0029560E">
        <w:rPr>
          <w:rFonts w:cs="Arial"/>
          <w:sz w:val="20"/>
          <w:lang w:val="es-ES"/>
        </w:rPr>
        <w:t xml:space="preserve">lograr </w:t>
      </w:r>
      <w:r w:rsidR="004E1430" w:rsidRPr="0029560E">
        <w:rPr>
          <w:rFonts w:eastAsia="Times" w:cs="Arial"/>
          <w:sz w:val="20"/>
          <w:lang w:val="es-ES"/>
        </w:rPr>
        <w:t>su saneamiento efectivo</w:t>
      </w:r>
      <w:r w:rsidRPr="0029560E">
        <w:rPr>
          <w:rFonts w:cs="Arial"/>
          <w:sz w:val="20"/>
          <w:lang w:val="es-ES"/>
        </w:rPr>
        <w:t xml:space="preserve">, </w:t>
      </w:r>
      <w:r w:rsidRPr="0029560E">
        <w:rPr>
          <w:rFonts w:eastAsia="Times" w:cs="Arial"/>
          <w:sz w:val="20"/>
          <w:lang w:val="es-ES"/>
        </w:rPr>
        <w:t xml:space="preserve">acorde con su derecho consuetudinario, valores, usos y costumbres y, </w:t>
      </w:r>
      <w:r w:rsidRPr="0029560E">
        <w:rPr>
          <w:rFonts w:cs="Arial"/>
          <w:sz w:val="20"/>
          <w:lang w:val="es-ES"/>
        </w:rPr>
        <w:t xml:space="preserve">garantizar a los miembros de la Comunidad </w:t>
      </w:r>
      <w:r w:rsidRPr="0029560E">
        <w:rPr>
          <w:sz w:val="20"/>
          <w:lang w:val="es-ES"/>
        </w:rPr>
        <w:t xml:space="preserve">que puedan continuar viviendo su modo de vida tradicional, conforme a su identidad cultural, estructura social, sistema económico, costumbres, creencias y tradiciones distintivas. </w:t>
      </w:r>
    </w:p>
    <w:p w:rsidR="0072477A" w:rsidRPr="0029560E" w:rsidRDefault="0072477A" w:rsidP="0048709E">
      <w:pPr>
        <w:tabs>
          <w:tab w:val="num" w:pos="0"/>
          <w:tab w:val="num" w:pos="1440"/>
        </w:tabs>
        <w:autoSpaceDE w:val="0"/>
        <w:autoSpaceDN w:val="0"/>
        <w:adjustRightInd w:val="0"/>
        <w:jc w:val="both"/>
        <w:rPr>
          <w:rFonts w:cs="Arial"/>
          <w:sz w:val="20"/>
          <w:lang w:val="es-ES"/>
        </w:rPr>
      </w:pPr>
    </w:p>
    <w:p w:rsidR="002D7616" w:rsidRPr="0029560E" w:rsidRDefault="002D7616" w:rsidP="002D7616">
      <w:pPr>
        <w:numPr>
          <w:ilvl w:val="3"/>
          <w:numId w:val="30"/>
        </w:numPr>
        <w:tabs>
          <w:tab w:val="clear" w:pos="3240"/>
          <w:tab w:val="num" w:pos="0"/>
        </w:tabs>
        <w:autoSpaceDE w:val="0"/>
        <w:autoSpaceDN w:val="0"/>
        <w:adjustRightInd w:val="0"/>
        <w:ind w:left="0" w:firstLine="720"/>
        <w:jc w:val="both"/>
        <w:rPr>
          <w:rFonts w:cs="Arial"/>
          <w:sz w:val="20"/>
          <w:lang w:val="es-ES_tradnl"/>
        </w:rPr>
      </w:pPr>
      <w:r w:rsidRPr="0029560E">
        <w:rPr>
          <w:sz w:val="20"/>
          <w:lang w:val="es-ES_tradnl"/>
        </w:rPr>
        <w:t xml:space="preserve">Adoptar </w:t>
      </w:r>
      <w:r w:rsidR="00A85B7E" w:rsidRPr="0029560E">
        <w:rPr>
          <w:sz w:val="20"/>
          <w:lang w:val="es-ES_tradnl"/>
        </w:rPr>
        <w:t xml:space="preserve">las </w:t>
      </w:r>
      <w:r w:rsidRPr="0029560E">
        <w:rPr>
          <w:sz w:val="20"/>
          <w:lang w:val="es-ES_tradnl"/>
        </w:rPr>
        <w:t xml:space="preserve">medidas necesarias para prevenir que la Comunidad Garífuna de Punta Piedra y sus miembros sean objeto de actos de discriminación y, en particular, que estén </w:t>
      </w:r>
      <w:r w:rsidRPr="0029560E">
        <w:rPr>
          <w:rFonts w:cs="Arial"/>
          <w:sz w:val="20"/>
          <w:lang w:val="es-ES_tradnl"/>
        </w:rPr>
        <w:t xml:space="preserve">expuestos a actos de violencia por parte de terceros </w:t>
      </w:r>
      <w:r w:rsidR="00393594" w:rsidRPr="0029560E">
        <w:rPr>
          <w:sz w:val="20"/>
          <w:lang w:val="es-ES_tradnl"/>
        </w:rPr>
        <w:t>en razón de</w:t>
      </w:r>
      <w:r w:rsidRPr="0029560E">
        <w:rPr>
          <w:sz w:val="20"/>
          <w:lang w:val="es-ES_tradnl"/>
        </w:rPr>
        <w:t xml:space="preserve"> su origen étnico</w:t>
      </w:r>
      <w:r w:rsidRPr="0029560E">
        <w:rPr>
          <w:rFonts w:cs="Arial"/>
          <w:sz w:val="20"/>
          <w:lang w:val="es-ES_tradnl"/>
        </w:rPr>
        <w:t>.</w:t>
      </w:r>
    </w:p>
    <w:p w:rsidR="002D7616" w:rsidRPr="0029560E" w:rsidRDefault="002D7616" w:rsidP="00FF3D79">
      <w:pPr>
        <w:autoSpaceDE w:val="0"/>
        <w:autoSpaceDN w:val="0"/>
        <w:adjustRightInd w:val="0"/>
        <w:jc w:val="both"/>
        <w:rPr>
          <w:rFonts w:cs="Arial"/>
          <w:sz w:val="20"/>
          <w:lang w:val="es-ES_tradnl"/>
        </w:rPr>
      </w:pPr>
    </w:p>
    <w:p w:rsidR="00EF3FFA" w:rsidRPr="0029560E" w:rsidRDefault="0072477A" w:rsidP="00EF3FFA">
      <w:pPr>
        <w:numPr>
          <w:ilvl w:val="3"/>
          <w:numId w:val="30"/>
        </w:numPr>
        <w:tabs>
          <w:tab w:val="clear" w:pos="3240"/>
          <w:tab w:val="num" w:pos="0"/>
        </w:tabs>
        <w:autoSpaceDE w:val="0"/>
        <w:autoSpaceDN w:val="0"/>
        <w:adjustRightInd w:val="0"/>
        <w:ind w:left="0" w:firstLine="720"/>
        <w:jc w:val="both"/>
        <w:rPr>
          <w:rFonts w:cs="Arial"/>
          <w:sz w:val="20"/>
          <w:lang w:val="es-ES"/>
        </w:rPr>
      </w:pPr>
      <w:r w:rsidRPr="0029560E">
        <w:rPr>
          <w:rFonts w:cs="Arial"/>
          <w:sz w:val="20"/>
          <w:lang w:val="es-ES"/>
        </w:rPr>
        <w:t xml:space="preserve">Adoptar un recurso eficaz y sencillo que tutele el derecho de los pueblos indígenas de </w:t>
      </w:r>
      <w:smartTag w:uri="urn:schemas-microsoft-com:office:smarttags" w:element="PersonName">
        <w:r w:rsidRPr="0029560E">
          <w:rPr>
            <w:rFonts w:cs="Arial"/>
            <w:sz w:val="20"/>
            <w:lang w:val="es-ES"/>
          </w:rPr>
          <w:t>Honduras</w:t>
        </w:r>
      </w:smartTag>
      <w:r w:rsidRPr="0029560E">
        <w:rPr>
          <w:rFonts w:cs="Arial"/>
          <w:sz w:val="20"/>
          <w:lang w:val="es-ES"/>
        </w:rPr>
        <w:t xml:space="preserve"> a reivindicar y acceder a sus territorios tradicionales y que permita proteger dichos territorios ante acciones de parte del Estado o terceros que infrinjan su derecho de propiedad.</w:t>
      </w:r>
    </w:p>
    <w:p w:rsidR="00EF3FFA" w:rsidRPr="0029560E" w:rsidRDefault="00EF3FFA" w:rsidP="00EF3FFA">
      <w:pPr>
        <w:autoSpaceDE w:val="0"/>
        <w:autoSpaceDN w:val="0"/>
        <w:adjustRightInd w:val="0"/>
        <w:jc w:val="both"/>
        <w:rPr>
          <w:rFonts w:cs="Arial"/>
          <w:sz w:val="20"/>
          <w:lang w:val="es-ES"/>
        </w:rPr>
      </w:pPr>
    </w:p>
    <w:p w:rsidR="00965E80" w:rsidRPr="0029560E" w:rsidRDefault="008068C0" w:rsidP="00EF3FFA">
      <w:pPr>
        <w:numPr>
          <w:ilvl w:val="3"/>
          <w:numId w:val="30"/>
        </w:numPr>
        <w:tabs>
          <w:tab w:val="clear" w:pos="3240"/>
          <w:tab w:val="num" w:pos="0"/>
        </w:tabs>
        <w:autoSpaceDE w:val="0"/>
        <w:autoSpaceDN w:val="0"/>
        <w:adjustRightInd w:val="0"/>
        <w:ind w:left="0" w:firstLine="720"/>
        <w:jc w:val="both"/>
        <w:rPr>
          <w:rFonts w:cs="Arial"/>
          <w:sz w:val="20"/>
          <w:lang w:val="es-ES"/>
        </w:rPr>
      </w:pPr>
      <w:r w:rsidRPr="0029560E">
        <w:rPr>
          <w:rFonts w:cs="Arial"/>
          <w:sz w:val="20"/>
          <w:lang w:val="es-ES_tradnl"/>
        </w:rPr>
        <w:t>Investigar y sancionar a los responsables de las amenazas, hostigamientos, actos de violencia e intimidación y daños realizados a la propiedad de la Comunidad de Punta Piedra</w:t>
      </w:r>
      <w:r w:rsidR="007C03E8" w:rsidRPr="0029560E">
        <w:rPr>
          <w:rFonts w:cs="Arial"/>
          <w:sz w:val="20"/>
          <w:lang w:val="es-ES_tradnl"/>
        </w:rPr>
        <w:t xml:space="preserve"> y sus miembros</w:t>
      </w:r>
      <w:r w:rsidRPr="0029560E">
        <w:rPr>
          <w:rFonts w:cs="Arial"/>
          <w:sz w:val="20"/>
          <w:lang w:val="es-ES_tradnl"/>
        </w:rPr>
        <w:t>.</w:t>
      </w:r>
    </w:p>
    <w:p w:rsidR="00965E80" w:rsidRPr="0029560E" w:rsidRDefault="00965E80" w:rsidP="00965E80">
      <w:pPr>
        <w:autoSpaceDE w:val="0"/>
        <w:autoSpaceDN w:val="0"/>
        <w:adjustRightInd w:val="0"/>
        <w:jc w:val="both"/>
        <w:rPr>
          <w:rFonts w:cs="Arial"/>
          <w:sz w:val="20"/>
          <w:lang w:val="es-ES"/>
        </w:rPr>
      </w:pPr>
    </w:p>
    <w:p w:rsidR="0072477A" w:rsidRPr="0029560E" w:rsidRDefault="0072477A" w:rsidP="00EF3FFA">
      <w:pPr>
        <w:numPr>
          <w:ilvl w:val="3"/>
          <w:numId w:val="30"/>
        </w:numPr>
        <w:tabs>
          <w:tab w:val="clear" w:pos="3240"/>
          <w:tab w:val="num" w:pos="0"/>
        </w:tabs>
        <w:autoSpaceDE w:val="0"/>
        <w:autoSpaceDN w:val="0"/>
        <w:adjustRightInd w:val="0"/>
        <w:ind w:left="0" w:firstLine="720"/>
        <w:jc w:val="both"/>
        <w:rPr>
          <w:rFonts w:cs="Arial"/>
          <w:sz w:val="20"/>
          <w:lang w:val="es-ES"/>
        </w:rPr>
      </w:pPr>
      <w:r w:rsidRPr="0029560E">
        <w:rPr>
          <w:rFonts w:cs="Arial"/>
          <w:sz w:val="20"/>
          <w:lang w:val="es-ES"/>
        </w:rPr>
        <w:t>Reparar</w:t>
      </w:r>
      <w:r w:rsidRPr="0029560E">
        <w:rPr>
          <w:sz w:val="20"/>
          <w:lang w:val="es-ES"/>
        </w:rPr>
        <w:t xml:space="preserve"> en el ámbito individual y colectivo las consecuencias de la violación de los derechos enunciados.</w:t>
      </w:r>
      <w:r w:rsidR="00EF3FFA" w:rsidRPr="0029560E">
        <w:rPr>
          <w:sz w:val="20"/>
          <w:lang w:val="es-ES"/>
        </w:rPr>
        <w:t xml:space="preserve"> En especial, considerar los daños provocados a los miembros de la Comunidad Garífuna de Punta Piedra por la falta de saneamiento de su territorio ancestral como los daños provocados en el propio territorio por el accionar de terceros. </w:t>
      </w:r>
    </w:p>
    <w:p w:rsidR="0072477A" w:rsidRPr="0029560E" w:rsidRDefault="0072477A" w:rsidP="000552AC">
      <w:pPr>
        <w:tabs>
          <w:tab w:val="num" w:pos="0"/>
          <w:tab w:val="num" w:pos="1440"/>
        </w:tabs>
        <w:ind w:firstLine="720"/>
        <w:jc w:val="both"/>
        <w:rPr>
          <w:sz w:val="20"/>
          <w:lang w:val="es-ES"/>
        </w:rPr>
      </w:pPr>
    </w:p>
    <w:p w:rsidR="002D7616" w:rsidRDefault="0072477A" w:rsidP="002D7616">
      <w:pPr>
        <w:numPr>
          <w:ilvl w:val="3"/>
          <w:numId w:val="30"/>
        </w:numPr>
        <w:tabs>
          <w:tab w:val="clear" w:pos="3240"/>
          <w:tab w:val="num" w:pos="0"/>
        </w:tabs>
        <w:autoSpaceDE w:val="0"/>
        <w:autoSpaceDN w:val="0"/>
        <w:adjustRightInd w:val="0"/>
        <w:ind w:left="0" w:firstLine="720"/>
        <w:jc w:val="both"/>
        <w:rPr>
          <w:sz w:val="20"/>
          <w:lang w:val="es-ES"/>
        </w:rPr>
      </w:pPr>
      <w:r w:rsidRPr="0029560E">
        <w:rPr>
          <w:sz w:val="20"/>
          <w:lang w:val="es-ES"/>
        </w:rPr>
        <w:t>Adoptar las medidas necesarias para evitar que en el futuro se produzcan hechos similares, conforme al deber de prevención y garantía de los derechos fundamentales reconocidos en la Convención Americana.</w:t>
      </w:r>
    </w:p>
    <w:p w:rsidR="00630388" w:rsidRDefault="00630388" w:rsidP="00630388">
      <w:pPr>
        <w:autoSpaceDE w:val="0"/>
        <w:autoSpaceDN w:val="0"/>
        <w:adjustRightInd w:val="0"/>
        <w:jc w:val="both"/>
        <w:rPr>
          <w:sz w:val="20"/>
          <w:lang w:val="es-ES"/>
        </w:rPr>
      </w:pPr>
    </w:p>
    <w:p w:rsidR="00574427" w:rsidRPr="00D515C5" w:rsidRDefault="00574427" w:rsidP="00574427">
      <w:pPr>
        <w:ind w:firstLine="720"/>
        <w:jc w:val="both"/>
        <w:rPr>
          <w:rFonts w:cs="Arial"/>
          <w:noProof/>
          <w:spacing w:val="-2"/>
          <w:sz w:val="20"/>
          <w:lang w:val="es-CL"/>
        </w:rPr>
      </w:pPr>
      <w:r w:rsidRPr="00D515C5">
        <w:rPr>
          <w:rFonts w:cs="Arial"/>
          <w:noProof/>
          <w:spacing w:val="-2"/>
          <w:sz w:val="20"/>
          <w:lang w:val="es-CL"/>
        </w:rPr>
        <w:t xml:space="preserve">Dado y firmado en la ciudad de Washington, D.C., a los </w:t>
      </w:r>
      <w:r>
        <w:rPr>
          <w:rFonts w:cs="Arial"/>
          <w:noProof/>
          <w:spacing w:val="-2"/>
          <w:sz w:val="20"/>
          <w:lang w:val="es-CL"/>
        </w:rPr>
        <w:t>21</w:t>
      </w:r>
      <w:r w:rsidRPr="00D515C5">
        <w:rPr>
          <w:rFonts w:cs="Arial"/>
          <w:noProof/>
          <w:spacing w:val="-2"/>
          <w:sz w:val="20"/>
          <w:lang w:val="es-CL"/>
        </w:rPr>
        <w:t xml:space="preserve"> días del mes de </w:t>
      </w:r>
      <w:r>
        <w:rPr>
          <w:rFonts w:cs="Arial"/>
          <w:noProof/>
          <w:spacing w:val="-2"/>
          <w:sz w:val="20"/>
          <w:lang w:val="es-CL"/>
        </w:rPr>
        <w:t>marzo de 2012</w:t>
      </w:r>
      <w:r w:rsidRPr="00D515C5">
        <w:rPr>
          <w:rFonts w:cs="Arial"/>
          <w:noProof/>
          <w:spacing w:val="-2"/>
          <w:sz w:val="20"/>
          <w:lang w:val="es-CL"/>
        </w:rPr>
        <w:t>.  (Firmado</w:t>
      </w:r>
      <w:r>
        <w:rPr>
          <w:rFonts w:cs="Arial"/>
          <w:noProof/>
          <w:spacing w:val="-2"/>
          <w:sz w:val="20"/>
          <w:lang w:val="es-CL"/>
        </w:rPr>
        <w:t>)</w:t>
      </w:r>
      <w:r w:rsidRPr="00D515C5">
        <w:rPr>
          <w:rFonts w:cs="Arial"/>
          <w:noProof/>
          <w:spacing w:val="-2"/>
          <w:sz w:val="20"/>
          <w:lang w:val="es-CL"/>
        </w:rPr>
        <w:t>:</w:t>
      </w:r>
      <w:r>
        <w:rPr>
          <w:rFonts w:cs="Arial"/>
          <w:noProof/>
          <w:spacing w:val="-2"/>
          <w:sz w:val="20"/>
          <w:lang w:val="es-CL"/>
        </w:rPr>
        <w:t xml:space="preserve"> José de Jesús Orozco Henríquez, Presidente; Tracy Robinson, Primer Vicepresidenta; Rosa María Oritiz, Segunda Vicepresidenta</w:t>
      </w:r>
      <w:r w:rsidRPr="00D515C5">
        <w:rPr>
          <w:rFonts w:cs="Arial"/>
          <w:noProof/>
          <w:spacing w:val="-2"/>
          <w:sz w:val="20"/>
          <w:lang w:val="es-CL"/>
        </w:rPr>
        <w:t>;</w:t>
      </w:r>
      <w:r>
        <w:rPr>
          <w:rFonts w:cs="Arial"/>
          <w:noProof/>
          <w:spacing w:val="-2"/>
          <w:sz w:val="20"/>
          <w:lang w:val="es-CL"/>
        </w:rPr>
        <w:t xml:space="preserve"> Felipe González, Dinah Shelton, Rodrigo Escobar Gil, y Rose-Marie Antoine, </w:t>
      </w:r>
      <w:r w:rsidRPr="00D515C5">
        <w:rPr>
          <w:rFonts w:cs="Arial"/>
          <w:noProof/>
          <w:spacing w:val="-2"/>
          <w:sz w:val="20"/>
          <w:lang w:val="es-CL"/>
        </w:rPr>
        <w:t>Miembros de la Comisión.</w:t>
      </w:r>
      <w:r w:rsidRPr="00D515C5">
        <w:rPr>
          <w:rFonts w:cs="Arial"/>
          <w:noProof/>
          <w:sz w:val="20"/>
          <w:lang w:val="es-CL"/>
        </w:rPr>
        <w:t xml:space="preserve"> </w:t>
      </w:r>
    </w:p>
    <w:p w:rsidR="00574427" w:rsidRDefault="00574427" w:rsidP="00574427">
      <w:pPr>
        <w:suppressAutoHyphens/>
        <w:ind w:firstLine="720"/>
        <w:jc w:val="both"/>
        <w:rPr>
          <w:rFonts w:cs="Arial"/>
          <w:noProof/>
          <w:spacing w:val="-2"/>
          <w:sz w:val="20"/>
          <w:lang w:val="es-CL"/>
        </w:rPr>
      </w:pPr>
    </w:p>
    <w:p w:rsidR="00574427" w:rsidRPr="00D515C5" w:rsidRDefault="00574427" w:rsidP="00574427">
      <w:pPr>
        <w:ind w:firstLine="720"/>
        <w:jc w:val="both"/>
        <w:rPr>
          <w:rFonts w:cs="Arial"/>
          <w:noProof/>
          <w:sz w:val="20"/>
          <w:lang w:val="es-CL"/>
        </w:rPr>
      </w:pPr>
      <w:r w:rsidRPr="00D515C5">
        <w:rPr>
          <w:rFonts w:cs="Arial"/>
          <w:noProof/>
          <w:sz w:val="20"/>
          <w:lang w:val="es-CL"/>
        </w:rPr>
        <w:t xml:space="preserve">El que suscribe, </w:t>
      </w:r>
      <w:r>
        <w:rPr>
          <w:spacing w:val="-2"/>
          <w:sz w:val="20"/>
          <w:lang w:val="es-SV"/>
        </w:rPr>
        <w:t>Emilio Álvarez Icaza L.</w:t>
      </w:r>
      <w:r w:rsidRPr="00D515C5">
        <w:rPr>
          <w:rFonts w:cs="Arial"/>
          <w:noProof/>
          <w:sz w:val="20"/>
          <w:lang w:val="es-CL"/>
        </w:rPr>
        <w:t xml:space="preserve">, en su carácter de Secretario Ejecutivo de la Comisión Interamericana de Derechos Humanos, de conformidad con el artículo </w:t>
      </w:r>
      <w:r>
        <w:rPr>
          <w:rFonts w:cs="Arial"/>
          <w:noProof/>
          <w:sz w:val="20"/>
          <w:lang w:val="es-CL"/>
        </w:rPr>
        <w:t>49</w:t>
      </w:r>
      <w:r w:rsidRPr="00D515C5">
        <w:rPr>
          <w:rFonts w:cs="Arial"/>
          <w:noProof/>
          <w:sz w:val="20"/>
          <w:lang w:val="es-CL"/>
        </w:rPr>
        <w:t xml:space="preserve"> del Reglamento de la Comisión, certifica que es copia fiel del original depositado en los archivos de la Secretaría de la CIDH.</w:t>
      </w:r>
    </w:p>
    <w:p w:rsidR="00574427" w:rsidRDefault="00574427" w:rsidP="00574427">
      <w:pPr>
        <w:suppressAutoHyphens/>
        <w:jc w:val="both"/>
        <w:rPr>
          <w:rFonts w:cs="Arial"/>
          <w:noProof/>
          <w:spacing w:val="-2"/>
          <w:sz w:val="22"/>
          <w:szCs w:val="22"/>
          <w:lang w:val="es-CL"/>
        </w:rPr>
      </w:pPr>
    </w:p>
    <w:p w:rsidR="00574427" w:rsidRDefault="00574427" w:rsidP="00574427">
      <w:pPr>
        <w:ind w:left="720" w:hanging="720"/>
        <w:jc w:val="center"/>
        <w:rPr>
          <w:rFonts w:cs="Arial"/>
          <w:sz w:val="20"/>
          <w:lang w:val="es-SV"/>
        </w:rPr>
      </w:pPr>
    </w:p>
    <w:p w:rsidR="00574427" w:rsidRDefault="00574427" w:rsidP="00574427">
      <w:pPr>
        <w:ind w:left="720" w:hanging="720"/>
        <w:jc w:val="center"/>
        <w:rPr>
          <w:rFonts w:cs="Arial"/>
          <w:sz w:val="20"/>
          <w:lang w:val="es-SV"/>
        </w:rPr>
      </w:pPr>
    </w:p>
    <w:p w:rsidR="00574427" w:rsidRPr="000435EF" w:rsidRDefault="00F93391" w:rsidP="00574427">
      <w:pPr>
        <w:ind w:left="720" w:hanging="720"/>
        <w:jc w:val="center"/>
        <w:rPr>
          <w:rFonts w:cs="Arial"/>
          <w:i/>
          <w:color w:val="A6A6A6"/>
          <w:sz w:val="18"/>
          <w:lang w:val="es-SV"/>
        </w:rPr>
      </w:pPr>
      <w:r w:rsidRPr="000435EF">
        <w:rPr>
          <w:rFonts w:cs="Arial"/>
          <w:i/>
          <w:color w:val="A6A6A6"/>
          <w:sz w:val="18"/>
          <w:lang w:val="es-SV"/>
        </w:rPr>
        <w:t>Firmado en el original</w:t>
      </w:r>
    </w:p>
    <w:p w:rsidR="00574427" w:rsidRPr="00D515C5" w:rsidRDefault="00574427" w:rsidP="00574427">
      <w:pPr>
        <w:suppressAutoHyphens/>
        <w:jc w:val="center"/>
        <w:rPr>
          <w:spacing w:val="-2"/>
          <w:sz w:val="20"/>
          <w:lang w:val="es-SV"/>
        </w:rPr>
      </w:pPr>
      <w:r>
        <w:rPr>
          <w:spacing w:val="-2"/>
          <w:sz w:val="20"/>
          <w:lang w:val="es-SV"/>
        </w:rPr>
        <w:t>Emilio Álvarez Icaza L.</w:t>
      </w:r>
    </w:p>
    <w:p w:rsidR="00574427" w:rsidRDefault="00574427" w:rsidP="00574427">
      <w:pPr>
        <w:ind w:left="720" w:hanging="720"/>
        <w:jc w:val="center"/>
        <w:rPr>
          <w:rFonts w:cs="Arial"/>
          <w:noProof/>
          <w:spacing w:val="-2"/>
          <w:sz w:val="20"/>
          <w:lang w:val="es-CL"/>
        </w:rPr>
      </w:pPr>
      <w:r w:rsidRPr="00D515C5">
        <w:rPr>
          <w:spacing w:val="-2"/>
          <w:sz w:val="20"/>
          <w:lang w:val="es-SV"/>
        </w:rPr>
        <w:t>Secretario Ejecutivo</w:t>
      </w:r>
    </w:p>
    <w:p w:rsidR="00630388" w:rsidRPr="0029560E" w:rsidRDefault="00630388" w:rsidP="00630388">
      <w:pPr>
        <w:autoSpaceDE w:val="0"/>
        <w:autoSpaceDN w:val="0"/>
        <w:adjustRightInd w:val="0"/>
        <w:jc w:val="center"/>
        <w:rPr>
          <w:sz w:val="20"/>
          <w:lang w:val="es-ES"/>
        </w:rPr>
      </w:pPr>
    </w:p>
    <w:p w:rsidR="002D7616" w:rsidRPr="00A1219A" w:rsidRDefault="002D7616" w:rsidP="002D7616">
      <w:pPr>
        <w:autoSpaceDE w:val="0"/>
        <w:autoSpaceDN w:val="0"/>
        <w:adjustRightInd w:val="0"/>
        <w:jc w:val="both"/>
        <w:rPr>
          <w:sz w:val="20"/>
          <w:lang w:val="es-ES"/>
        </w:rPr>
      </w:pPr>
    </w:p>
    <w:sectPr w:rsidR="002D7616" w:rsidRPr="00A1219A" w:rsidSect="00921096">
      <w:headerReference w:type="even" r:id="rId7"/>
      <w:headerReference w:type="default" r:id="rId8"/>
      <w:footerReference w:type="even" r:id="rId9"/>
      <w:footerReference w:type="default" r:id="rId10"/>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529" w:rsidRDefault="00627529">
      <w:r>
        <w:separator/>
      </w:r>
    </w:p>
  </w:endnote>
  <w:endnote w:type="continuationSeparator" w:id="0">
    <w:p w:rsidR="00627529" w:rsidRDefault="00627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HiddenHorzOCl">
    <w:altName w:val="Hidden Horz OCR"/>
    <w:panose1 w:val="00000000000000000000"/>
    <w:charset w:val="00"/>
    <w:family w:val="swiss"/>
    <w:notTrueType/>
    <w:pitch w:val="default"/>
    <w:sig w:usb0="00000003" w:usb1="00000000" w:usb2="00000000" w:usb3="00000000" w:csb0="00000001" w:csb1="00000000"/>
  </w:font>
  <w:font w:name="TimesNewRoman,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NewRoman">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6B6" w:rsidRDefault="002506B6" w:rsidP="00AC7F9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506B6" w:rsidRDefault="002506B6" w:rsidP="00AC7F93">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6B6" w:rsidRDefault="002506B6" w:rsidP="00AC7F93">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529" w:rsidRDefault="00627529">
      <w:r>
        <w:separator/>
      </w:r>
    </w:p>
  </w:footnote>
  <w:footnote w:type="continuationSeparator" w:id="0">
    <w:p w:rsidR="00627529" w:rsidRDefault="00627529">
      <w:r>
        <w:continuationSeparator/>
      </w:r>
    </w:p>
  </w:footnote>
  <w:footnote w:id="1">
    <w:p w:rsidR="002506B6" w:rsidRPr="00FB43AA" w:rsidRDefault="002506B6" w:rsidP="005E78C0">
      <w:pPr>
        <w:spacing w:after="120"/>
        <w:ind w:firstLine="720"/>
        <w:jc w:val="both"/>
        <w:rPr>
          <w:rFonts w:cs="Arial"/>
          <w:noProof/>
          <w:sz w:val="16"/>
          <w:szCs w:val="16"/>
          <w:lang w:val="es-ES"/>
        </w:rPr>
      </w:pPr>
      <w:r w:rsidRPr="00FB43AA">
        <w:rPr>
          <w:rStyle w:val="Refdenotaalpie"/>
          <w:rFonts w:cs="Arial"/>
          <w:noProof/>
          <w:sz w:val="16"/>
          <w:szCs w:val="16"/>
          <w:lang w:val="es-ES"/>
        </w:rPr>
        <w:footnoteRef/>
      </w:r>
      <w:r w:rsidRPr="00FB43AA">
        <w:rPr>
          <w:rFonts w:cs="Arial"/>
          <w:noProof/>
          <w:sz w:val="16"/>
          <w:szCs w:val="16"/>
          <w:lang w:val="es-ES"/>
        </w:rPr>
        <w:t xml:space="preserve"> CIDH, Informe de Admisibilidad No. 63/10, 24 de marzo de 2010, Petición  1119-03, Comunidad Garífuna Punta Piedra y sus miembros, </w:t>
      </w:r>
      <w:smartTag w:uri="urn:schemas-microsoft-com:office:smarttags" w:element="PersonName">
        <w:r w:rsidRPr="00FB43AA">
          <w:rPr>
            <w:rFonts w:cs="Arial"/>
            <w:noProof/>
            <w:sz w:val="16"/>
            <w:szCs w:val="16"/>
            <w:lang w:val="es-ES"/>
          </w:rPr>
          <w:t>Honduras</w:t>
        </w:r>
      </w:smartTag>
      <w:r w:rsidRPr="00FB43AA">
        <w:rPr>
          <w:rFonts w:cs="Arial"/>
          <w:noProof/>
          <w:sz w:val="16"/>
          <w:szCs w:val="16"/>
          <w:lang w:val="es-ES"/>
        </w:rPr>
        <w:t>.</w:t>
      </w:r>
    </w:p>
  </w:footnote>
  <w:footnote w:id="2">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CIDH, Audiencia Pública de fecha 7 de marzo de 2006 </w:t>
      </w:r>
      <w:r w:rsidRPr="00FB43AA">
        <w:rPr>
          <w:rFonts w:ascii="Univers" w:hAnsi="Univers" w:cs="Arial"/>
          <w:bCs/>
          <w:iCs/>
          <w:noProof/>
          <w:sz w:val="16"/>
          <w:szCs w:val="16"/>
          <w:lang w:val="es-ES"/>
        </w:rPr>
        <w:t xml:space="preserve">sobre </w:t>
      </w:r>
      <w:r w:rsidRPr="00FB43AA">
        <w:rPr>
          <w:rFonts w:ascii="Univers" w:hAnsi="Univers" w:cs="Arial"/>
          <w:noProof/>
          <w:sz w:val="16"/>
          <w:szCs w:val="16"/>
          <w:lang w:val="es-ES"/>
        </w:rPr>
        <w:t>“</w:t>
      </w:r>
      <w:r w:rsidRPr="00FB43AA">
        <w:rPr>
          <w:rFonts w:ascii="Univers" w:hAnsi="Univers" w:cs="Arial"/>
          <w:bCs/>
          <w:noProof/>
          <w:sz w:val="16"/>
          <w:szCs w:val="16"/>
          <w:shd w:val="clear" w:color="auto" w:fill="FFFFFF"/>
          <w:lang w:val="es-ES"/>
        </w:rPr>
        <w:t xml:space="preserve">Petición 1119/03 - Comunidad Garífuna de Punta Piedra, </w:t>
      </w:r>
      <w:smartTag w:uri="urn:schemas-microsoft-com:office:smarttags" w:element="PersonName">
        <w:r w:rsidRPr="00FB43AA">
          <w:rPr>
            <w:rFonts w:ascii="Univers" w:hAnsi="Univers" w:cs="Arial"/>
            <w:bCs/>
            <w:noProof/>
            <w:sz w:val="16"/>
            <w:szCs w:val="16"/>
            <w:shd w:val="clear" w:color="auto" w:fill="FFFFFF"/>
            <w:lang w:val="es-ES"/>
          </w:rPr>
          <w:t>Honduras</w:t>
        </w:r>
      </w:smartTag>
      <w:r w:rsidRPr="00FB43AA">
        <w:rPr>
          <w:rFonts w:ascii="Univers" w:hAnsi="Univers" w:cs="Arial"/>
          <w:bCs/>
          <w:noProof/>
          <w:sz w:val="16"/>
          <w:szCs w:val="16"/>
          <w:lang w:val="es-ES"/>
        </w:rPr>
        <w:t xml:space="preserve">”, </w:t>
      </w:r>
      <w:r w:rsidRPr="00FB43AA">
        <w:rPr>
          <w:rFonts w:ascii="Univers" w:hAnsi="Univers" w:cs="Arial"/>
          <w:bCs/>
          <w:iCs/>
          <w:noProof/>
          <w:sz w:val="16"/>
          <w:szCs w:val="16"/>
          <w:lang w:val="es-ES"/>
        </w:rPr>
        <w:t>124</w:t>
      </w:r>
      <w:r w:rsidRPr="00FB43AA">
        <w:rPr>
          <w:rFonts w:ascii="Univers" w:hAnsi="Univers" w:cs="Arial"/>
          <w:noProof/>
          <w:sz w:val="16"/>
          <w:szCs w:val="16"/>
          <w:lang w:val="es-ES"/>
        </w:rPr>
        <w:t>° periodo ordinario de sesiones de la CIDH.</w:t>
      </w:r>
    </w:p>
  </w:footnote>
  <w:footnote w:id="3">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En particular, la Comisión solicitó al Estado hondureño 1) Adopte las medidas necesarias para garantizar la vida y la integridad física del señor Marcos Bonifacio Castillo; 2) Concierte las medidas a adoptarse con el beneficiario y los peticionarios y, 3) Informe sobre las acciones adoptadas a fin de esclarecer judicialmente los hechos que justifican la adopción de medidas cautelares.</w:t>
      </w:r>
    </w:p>
  </w:footnote>
  <w:footnote w:id="4">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CIDH, Audiencia Pública de fecha 7 de marzo de 2006 </w:t>
      </w:r>
      <w:r w:rsidRPr="00FB43AA">
        <w:rPr>
          <w:rFonts w:ascii="Univers" w:hAnsi="Univers" w:cs="Arial"/>
          <w:bCs/>
          <w:iCs/>
          <w:noProof/>
          <w:sz w:val="16"/>
          <w:szCs w:val="16"/>
          <w:lang w:val="es-ES"/>
        </w:rPr>
        <w:t xml:space="preserve">sobre </w:t>
      </w:r>
      <w:r w:rsidRPr="00FB43AA">
        <w:rPr>
          <w:rFonts w:ascii="Univers" w:hAnsi="Univers" w:cs="Arial"/>
          <w:noProof/>
          <w:sz w:val="16"/>
          <w:szCs w:val="16"/>
          <w:lang w:val="es-ES"/>
        </w:rPr>
        <w:t>“</w:t>
      </w:r>
      <w:r w:rsidRPr="00FB43AA">
        <w:rPr>
          <w:rFonts w:ascii="Univers" w:hAnsi="Univers" w:cs="Arial"/>
          <w:bCs/>
          <w:noProof/>
          <w:sz w:val="16"/>
          <w:szCs w:val="16"/>
          <w:shd w:val="clear" w:color="auto" w:fill="FFFFFF"/>
          <w:lang w:val="es-ES"/>
        </w:rPr>
        <w:t xml:space="preserve">Petición 1119/03 - Comunidad Garífuna de Punta Piedra, </w:t>
      </w:r>
      <w:smartTag w:uri="urn:schemas-microsoft-com:office:smarttags" w:element="PersonName">
        <w:r w:rsidRPr="00FB43AA">
          <w:rPr>
            <w:rFonts w:ascii="Univers" w:hAnsi="Univers" w:cs="Arial"/>
            <w:bCs/>
            <w:noProof/>
            <w:sz w:val="16"/>
            <w:szCs w:val="16"/>
            <w:shd w:val="clear" w:color="auto" w:fill="FFFFFF"/>
            <w:lang w:val="es-ES"/>
          </w:rPr>
          <w:t>Honduras</w:t>
        </w:r>
      </w:smartTag>
      <w:r w:rsidRPr="00FB43AA">
        <w:rPr>
          <w:rFonts w:ascii="Univers" w:hAnsi="Univers" w:cs="Arial"/>
          <w:bCs/>
          <w:noProof/>
          <w:sz w:val="16"/>
          <w:szCs w:val="16"/>
          <w:lang w:val="es-ES"/>
        </w:rPr>
        <w:t xml:space="preserve">”, </w:t>
      </w:r>
      <w:r w:rsidRPr="00FB43AA">
        <w:rPr>
          <w:rFonts w:ascii="Univers" w:hAnsi="Univers" w:cs="Arial"/>
          <w:bCs/>
          <w:iCs/>
          <w:noProof/>
          <w:sz w:val="16"/>
          <w:szCs w:val="16"/>
          <w:lang w:val="es-ES"/>
        </w:rPr>
        <w:t>124</w:t>
      </w:r>
      <w:r w:rsidRPr="00FB43AA">
        <w:rPr>
          <w:rFonts w:ascii="Univers" w:hAnsi="Univers" w:cs="Arial"/>
          <w:noProof/>
          <w:sz w:val="16"/>
          <w:szCs w:val="16"/>
          <w:lang w:val="es-ES"/>
        </w:rPr>
        <w:t>° periodo ordinario de sesiones de la CIDH.</w:t>
      </w:r>
    </w:p>
  </w:footnote>
  <w:footnote w:id="5">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color w:val="000000"/>
          <w:sz w:val="16"/>
          <w:szCs w:val="16"/>
          <w:lang w:val="es-ES"/>
        </w:rPr>
        <w:footnoteRef/>
      </w:r>
      <w:r w:rsidRPr="00FB43AA">
        <w:rPr>
          <w:rFonts w:ascii="Univers" w:hAnsi="Univers" w:cs="Arial"/>
          <w:noProof/>
          <w:color w:val="000000"/>
          <w:sz w:val="16"/>
          <w:szCs w:val="16"/>
          <w:lang w:val="es-ES"/>
        </w:rPr>
        <w:t xml:space="preserve"> El artículo 43.1 del Reglamento de la CIDH establece: </w:t>
      </w:r>
      <w:r w:rsidRPr="00FB43AA">
        <w:rPr>
          <w:rFonts w:ascii="Univers" w:hAnsi="Univers" w:cs="Arial"/>
          <w:noProof/>
          <w:color w:val="000000"/>
          <w:spacing w:val="-3"/>
          <w:sz w:val="16"/>
          <w:szCs w:val="16"/>
          <w:lang w:val="es-ES"/>
        </w:rPr>
        <w:t xml:space="preserve">La Comisión deliberará sobre el fondo del caso, a cuyo efecto preparará un informe en el cual examinará los alegatos, las pruebas suministradas por las partes, y la información obtenida durante audiencias y observaciones </w:t>
      </w:r>
      <w:r w:rsidRPr="00FB43AA">
        <w:rPr>
          <w:rFonts w:ascii="Univers" w:hAnsi="Univers" w:cs="Arial"/>
          <w:i/>
          <w:iCs/>
          <w:noProof/>
          <w:color w:val="000000"/>
          <w:spacing w:val="-3"/>
          <w:sz w:val="16"/>
          <w:szCs w:val="16"/>
          <w:lang w:val="es-ES"/>
        </w:rPr>
        <w:t>in loco</w:t>
      </w:r>
      <w:r w:rsidRPr="00FB43AA">
        <w:rPr>
          <w:rFonts w:ascii="Univers" w:hAnsi="Univers" w:cs="Arial"/>
          <w:noProof/>
          <w:color w:val="000000"/>
          <w:spacing w:val="-3"/>
          <w:sz w:val="16"/>
          <w:szCs w:val="16"/>
          <w:lang w:val="es-ES"/>
        </w:rPr>
        <w:t>.  Asimismo, la Comisión podrá tener en cuenta otra información de público conocimiento.</w:t>
      </w:r>
    </w:p>
  </w:footnote>
  <w:footnote w:id="6">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Instituto Nacional de Estadística. </w:t>
      </w:r>
      <w:r w:rsidRPr="00FB43AA">
        <w:rPr>
          <w:rFonts w:ascii="Univers" w:hAnsi="Univers" w:cs="Arial"/>
          <w:i/>
          <w:noProof/>
          <w:sz w:val="16"/>
          <w:szCs w:val="16"/>
          <w:lang w:val="es-ES"/>
        </w:rPr>
        <w:t>Censo 2001. Base de datos Redatam</w:t>
      </w:r>
      <w:r w:rsidRPr="00FB43AA">
        <w:rPr>
          <w:rFonts w:ascii="Univers" w:hAnsi="Univers" w:cs="Arial"/>
          <w:noProof/>
          <w:sz w:val="16"/>
          <w:szCs w:val="16"/>
          <w:lang w:val="es-ES"/>
        </w:rPr>
        <w:t xml:space="preserve">. Disponible en: </w:t>
      </w:r>
      <w:hyperlink r:id="rId1" w:history="1">
        <w:r w:rsidRPr="00FB43AA">
          <w:rPr>
            <w:rStyle w:val="Hipervnculo"/>
            <w:rFonts w:ascii="Univers" w:hAnsi="Univers" w:cs="Arial"/>
            <w:noProof/>
            <w:sz w:val="16"/>
            <w:szCs w:val="16"/>
            <w:lang w:val="es-ES"/>
          </w:rPr>
          <w:t>http://www.ine.gob</w:t>
        </w:r>
        <w:r w:rsidRPr="00FB43AA">
          <w:rPr>
            <w:rStyle w:val="Hipervnculo"/>
            <w:rFonts w:ascii="Univers" w:hAnsi="Univers" w:cs="Arial"/>
            <w:noProof/>
            <w:sz w:val="16"/>
            <w:szCs w:val="16"/>
            <w:lang w:val="es-ES"/>
          </w:rPr>
          <w:t>.</w:t>
        </w:r>
        <w:r w:rsidRPr="00FB43AA">
          <w:rPr>
            <w:rStyle w:val="Hipervnculo"/>
            <w:rFonts w:ascii="Univers" w:hAnsi="Univers" w:cs="Arial"/>
            <w:noProof/>
            <w:sz w:val="16"/>
            <w:szCs w:val="16"/>
            <w:lang w:val="es-ES"/>
          </w:rPr>
          <w:t>hn/drupal/node/301</w:t>
        </w:r>
      </w:hyperlink>
      <w:r w:rsidRPr="00FB43AA">
        <w:rPr>
          <w:rFonts w:ascii="Univers" w:hAnsi="Univers" w:cs="Arial"/>
          <w:noProof/>
          <w:sz w:val="16"/>
          <w:szCs w:val="16"/>
          <w:lang w:val="es-ES"/>
        </w:rPr>
        <w:t xml:space="preserve">. </w:t>
      </w:r>
    </w:p>
  </w:footnote>
  <w:footnote w:id="7">
    <w:p w:rsidR="002506B6" w:rsidRPr="00FB43AA" w:rsidRDefault="002506B6" w:rsidP="005E78C0">
      <w:pPr>
        <w:spacing w:after="120"/>
        <w:ind w:firstLine="720"/>
        <w:jc w:val="both"/>
        <w:rPr>
          <w:rFonts w:cs="Arial"/>
          <w:noProof/>
          <w:sz w:val="16"/>
          <w:szCs w:val="16"/>
          <w:lang w:val="es-ES"/>
        </w:rPr>
      </w:pPr>
      <w:r w:rsidRPr="00FB43AA">
        <w:rPr>
          <w:rStyle w:val="Refdenotaalpie"/>
          <w:rFonts w:cs="Arial"/>
          <w:noProof/>
          <w:sz w:val="16"/>
          <w:szCs w:val="16"/>
          <w:lang w:val="es-ES"/>
        </w:rPr>
        <w:footnoteRef/>
      </w:r>
      <w:r w:rsidRPr="00FB43AA">
        <w:rPr>
          <w:rFonts w:cs="Arial"/>
          <w:noProof/>
          <w:sz w:val="16"/>
          <w:szCs w:val="16"/>
          <w:lang w:val="es-ES"/>
        </w:rPr>
        <w:t xml:space="preserve"> Testimonio de </w:t>
      </w:r>
      <w:smartTag w:uri="urn:schemas-microsoft-com:office:smarttags" w:element="PersonName">
        <w:r w:rsidRPr="00FB43AA">
          <w:rPr>
            <w:rFonts w:cs="Arial"/>
            <w:noProof/>
            <w:sz w:val="16"/>
            <w:szCs w:val="16"/>
            <w:lang w:val="es-ES"/>
          </w:rPr>
          <w:t>Gregoria Flores</w:t>
        </w:r>
      </w:smartTag>
      <w:r w:rsidRPr="00FB43AA">
        <w:rPr>
          <w:rFonts w:cs="Arial"/>
          <w:noProof/>
          <w:sz w:val="16"/>
          <w:szCs w:val="16"/>
          <w:lang w:val="es-ES"/>
        </w:rPr>
        <w:t xml:space="preserve"> Martínez rendido en la audiencia pública sobre fondo y eventuales reparaciones y costas celebrada ante la Corte Interamericana los días 28 y 29 de junio de 2005 en el Caso </w:t>
      </w:r>
      <w:r w:rsidRPr="00FB43AA">
        <w:rPr>
          <w:rFonts w:cs="Arial"/>
          <w:i/>
          <w:noProof/>
          <w:sz w:val="16"/>
          <w:szCs w:val="16"/>
          <w:lang w:val="es-ES"/>
        </w:rPr>
        <w:t xml:space="preserve">Alfredo Lopéz Vs </w:t>
      </w:r>
      <w:smartTag w:uri="urn:schemas-microsoft-com:office:smarttags" w:element="PersonName">
        <w:r w:rsidRPr="00FB43AA">
          <w:rPr>
            <w:rFonts w:cs="Arial"/>
            <w:i/>
            <w:noProof/>
            <w:sz w:val="16"/>
            <w:szCs w:val="16"/>
            <w:lang w:val="es-ES"/>
          </w:rPr>
          <w:t>Honduras</w:t>
        </w:r>
      </w:smartTag>
      <w:r w:rsidRPr="00FB43AA">
        <w:rPr>
          <w:rFonts w:cs="Arial"/>
          <w:i/>
          <w:noProof/>
          <w:sz w:val="16"/>
          <w:szCs w:val="16"/>
          <w:lang w:val="es-ES"/>
        </w:rPr>
        <w:t xml:space="preserve">; </w:t>
      </w:r>
      <w:r w:rsidRPr="00FB43AA">
        <w:rPr>
          <w:rFonts w:cs="Arial"/>
          <w:noProof/>
          <w:sz w:val="16"/>
          <w:szCs w:val="16"/>
          <w:lang w:val="es-ES"/>
        </w:rPr>
        <w:t xml:space="preserve">Corte IDH. </w:t>
      </w:r>
      <w:r w:rsidRPr="00FB43AA">
        <w:rPr>
          <w:rFonts w:cs="Arial"/>
          <w:i/>
          <w:noProof/>
          <w:sz w:val="16"/>
          <w:szCs w:val="16"/>
          <w:lang w:val="es-ES"/>
        </w:rPr>
        <w:t>Caso</w:t>
      </w:r>
      <w:r w:rsidRPr="00FB43AA">
        <w:rPr>
          <w:rFonts w:cs="Arial"/>
          <w:noProof/>
          <w:sz w:val="16"/>
          <w:szCs w:val="16"/>
          <w:lang w:val="es-ES"/>
        </w:rPr>
        <w:t xml:space="preserve"> </w:t>
      </w:r>
      <w:r w:rsidRPr="00FB43AA">
        <w:rPr>
          <w:rFonts w:cs="Arial"/>
          <w:i/>
          <w:noProof/>
          <w:sz w:val="16"/>
          <w:szCs w:val="16"/>
          <w:lang w:val="es-ES"/>
        </w:rPr>
        <w:t xml:space="preserve">López Álvarez Vs. </w:t>
      </w:r>
      <w:smartTag w:uri="urn:schemas-microsoft-com:office:smarttags" w:element="PersonName">
        <w:r w:rsidRPr="00FB43AA">
          <w:rPr>
            <w:rFonts w:cs="Arial"/>
            <w:i/>
            <w:noProof/>
            <w:sz w:val="16"/>
            <w:szCs w:val="16"/>
            <w:lang w:val="es-ES"/>
          </w:rPr>
          <w:t>Honduras</w:t>
        </w:r>
      </w:smartTag>
      <w:r w:rsidRPr="00FB43AA">
        <w:rPr>
          <w:rFonts w:cs="Arial"/>
          <w:noProof/>
          <w:sz w:val="16"/>
          <w:szCs w:val="16"/>
          <w:lang w:val="es-ES"/>
        </w:rPr>
        <w:t xml:space="preserve">. Sentencia de 1 de febrero de 2006. Serie C No. 141. párr. 54.1; Pobreza étnica en </w:t>
      </w:r>
      <w:smartTag w:uri="urn:schemas-microsoft-com:office:smarttags" w:element="PersonName">
        <w:r w:rsidRPr="00FB43AA">
          <w:rPr>
            <w:rFonts w:cs="Arial"/>
            <w:noProof/>
            <w:sz w:val="16"/>
            <w:szCs w:val="16"/>
            <w:lang w:val="es-ES"/>
          </w:rPr>
          <w:t>Honduras</w:t>
        </w:r>
      </w:smartTag>
      <w:r w:rsidRPr="00FB43AA">
        <w:rPr>
          <w:rFonts w:cs="Arial"/>
          <w:noProof/>
          <w:sz w:val="16"/>
          <w:szCs w:val="16"/>
          <w:lang w:val="es-ES"/>
        </w:rPr>
        <w:t xml:space="preserve">, Utta von Gleich y Ernesto Gálvez. Unidad de Pueblos Indígenas y Desarrollo Comunitario. Banco Interamericano de Desarrollo, Departamento de Desarrollo Sostenible. Washington, D.C., Septiembre de 1999. Disponible en </w:t>
      </w:r>
      <w:hyperlink r:id="rId2" w:history="1">
        <w:r w:rsidRPr="00FB43AA">
          <w:rPr>
            <w:rStyle w:val="Hipervnculo"/>
            <w:rFonts w:cs="Arial"/>
            <w:noProof/>
            <w:sz w:val="16"/>
            <w:szCs w:val="16"/>
            <w:lang w:val="es-ES"/>
          </w:rPr>
          <w:t>http://www.bvsde.pah</w:t>
        </w:r>
        <w:r w:rsidRPr="00FB43AA">
          <w:rPr>
            <w:rStyle w:val="Hipervnculo"/>
            <w:rFonts w:cs="Arial"/>
            <w:noProof/>
            <w:sz w:val="16"/>
            <w:szCs w:val="16"/>
            <w:lang w:val="es-ES"/>
          </w:rPr>
          <w:t>o</w:t>
        </w:r>
        <w:r w:rsidRPr="00FB43AA">
          <w:rPr>
            <w:rStyle w:val="Hipervnculo"/>
            <w:rFonts w:cs="Arial"/>
            <w:noProof/>
            <w:sz w:val="16"/>
            <w:szCs w:val="16"/>
            <w:lang w:val="es-ES"/>
          </w:rPr>
          <w:t>.org/bvsacd/cd47/etnica.pdf</w:t>
        </w:r>
      </w:hyperlink>
      <w:r w:rsidRPr="00FB43AA">
        <w:rPr>
          <w:rFonts w:cs="Arial"/>
          <w:noProof/>
          <w:sz w:val="16"/>
          <w:szCs w:val="16"/>
          <w:lang w:val="es-ES"/>
        </w:rPr>
        <w:t xml:space="preserve">; Presentación ante Sub-comisión para la  promoción y protección de los Derechos Humanos. Grupo de Trabajo sobre las Minorías. ONU. 10a Sesión. 1 – 5 Marzo 2004. Disponible en: </w:t>
      </w:r>
      <w:hyperlink r:id="rId3" w:history="1">
        <w:r w:rsidRPr="00FB43AA">
          <w:rPr>
            <w:rStyle w:val="Hipervnculo"/>
            <w:rFonts w:cs="Arial"/>
            <w:noProof/>
            <w:sz w:val="16"/>
            <w:szCs w:val="16"/>
            <w:lang w:val="es-ES"/>
          </w:rPr>
          <w:t>http://www2.ohchr.org/english/iss</w:t>
        </w:r>
        <w:r w:rsidRPr="00FB43AA">
          <w:rPr>
            <w:rStyle w:val="Hipervnculo"/>
            <w:rFonts w:cs="Arial"/>
            <w:noProof/>
            <w:sz w:val="16"/>
            <w:szCs w:val="16"/>
            <w:lang w:val="es-ES"/>
          </w:rPr>
          <w:t>u</w:t>
        </w:r>
        <w:r w:rsidRPr="00FB43AA">
          <w:rPr>
            <w:rStyle w:val="Hipervnculo"/>
            <w:rFonts w:cs="Arial"/>
            <w:noProof/>
            <w:sz w:val="16"/>
            <w:szCs w:val="16"/>
            <w:lang w:val="es-ES"/>
          </w:rPr>
          <w:t>es/minorities/docs/OFRANEH3a.doc</w:t>
        </w:r>
      </w:hyperlink>
      <w:r w:rsidRPr="00FB43AA">
        <w:rPr>
          <w:rFonts w:cs="Arial"/>
          <w:noProof/>
          <w:sz w:val="16"/>
          <w:szCs w:val="16"/>
          <w:lang w:val="es-ES"/>
        </w:rPr>
        <w:t xml:space="preserve">. </w:t>
      </w:r>
    </w:p>
  </w:footnote>
  <w:footnote w:id="8">
    <w:p w:rsidR="002506B6" w:rsidRPr="00FB43AA" w:rsidRDefault="002506B6" w:rsidP="005E78C0">
      <w:pPr>
        <w:spacing w:after="120"/>
        <w:ind w:firstLine="720"/>
        <w:jc w:val="both"/>
        <w:rPr>
          <w:rFonts w:cs="Arial"/>
          <w:noProof/>
          <w:sz w:val="16"/>
          <w:szCs w:val="16"/>
          <w:lang w:val="es-ES"/>
        </w:rPr>
      </w:pPr>
      <w:r w:rsidRPr="00FB43AA">
        <w:rPr>
          <w:rStyle w:val="Refdenotaalpie"/>
          <w:rFonts w:cs="Arial"/>
          <w:noProof/>
          <w:sz w:val="16"/>
          <w:szCs w:val="16"/>
          <w:lang w:val="es-ES"/>
        </w:rPr>
        <w:footnoteRef/>
      </w:r>
      <w:r w:rsidRPr="00FB43AA">
        <w:rPr>
          <w:rFonts w:cs="Arial"/>
          <w:noProof/>
          <w:sz w:val="16"/>
          <w:szCs w:val="16"/>
          <w:lang w:val="es-ES"/>
        </w:rPr>
        <w:t xml:space="preserve"> Testimonio de </w:t>
      </w:r>
      <w:smartTag w:uri="urn:schemas-microsoft-com:office:smarttags" w:element="PersonName">
        <w:r w:rsidRPr="00FB43AA">
          <w:rPr>
            <w:rFonts w:cs="Arial"/>
            <w:noProof/>
            <w:sz w:val="16"/>
            <w:szCs w:val="16"/>
            <w:lang w:val="es-ES"/>
          </w:rPr>
          <w:t>Gregoria Flores</w:t>
        </w:r>
      </w:smartTag>
      <w:r w:rsidRPr="00FB43AA">
        <w:rPr>
          <w:rFonts w:cs="Arial"/>
          <w:noProof/>
          <w:sz w:val="16"/>
          <w:szCs w:val="16"/>
          <w:lang w:val="es-ES"/>
        </w:rPr>
        <w:t xml:space="preserve"> Martínez rendido en la audiencia pública sobre fondo y eventuales reparaciones y costas celebrada ante la Corte Interamericana los días 28 y 29 de junio de 2005 en el Caso </w:t>
      </w:r>
      <w:r w:rsidRPr="00FB43AA">
        <w:rPr>
          <w:rFonts w:cs="Arial"/>
          <w:i/>
          <w:noProof/>
          <w:sz w:val="16"/>
          <w:szCs w:val="16"/>
          <w:lang w:val="es-ES"/>
        </w:rPr>
        <w:t xml:space="preserve">Alfredo Lopéz Vs. </w:t>
      </w:r>
      <w:smartTag w:uri="urn:schemas-microsoft-com:office:smarttags" w:element="PersonName">
        <w:r w:rsidRPr="00FB43AA">
          <w:rPr>
            <w:rFonts w:cs="Arial"/>
            <w:i/>
            <w:noProof/>
            <w:sz w:val="16"/>
            <w:szCs w:val="16"/>
            <w:lang w:val="es-ES"/>
          </w:rPr>
          <w:t>Honduras</w:t>
        </w:r>
      </w:smartTag>
      <w:r w:rsidRPr="00FB43AA">
        <w:rPr>
          <w:rFonts w:cs="Arial"/>
          <w:i/>
          <w:noProof/>
          <w:sz w:val="16"/>
          <w:szCs w:val="16"/>
          <w:lang w:val="es-ES"/>
        </w:rPr>
        <w:t>.</w:t>
      </w:r>
    </w:p>
  </w:footnote>
  <w:footnote w:id="9">
    <w:p w:rsidR="002506B6" w:rsidRPr="00FB43AA" w:rsidRDefault="002506B6" w:rsidP="005E78C0">
      <w:pPr>
        <w:spacing w:after="120"/>
        <w:ind w:firstLine="720"/>
        <w:jc w:val="both"/>
        <w:rPr>
          <w:rFonts w:cs="Arial"/>
          <w:noProof/>
          <w:sz w:val="16"/>
          <w:szCs w:val="16"/>
          <w:lang w:val="es-ES"/>
        </w:rPr>
      </w:pPr>
      <w:r w:rsidRPr="00FB43AA">
        <w:rPr>
          <w:rStyle w:val="Refdenotaalpie"/>
          <w:rFonts w:cs="Arial"/>
          <w:noProof/>
          <w:sz w:val="16"/>
          <w:szCs w:val="16"/>
          <w:lang w:val="es-ES"/>
        </w:rPr>
        <w:footnoteRef/>
      </w:r>
      <w:r w:rsidRPr="00FB43AA">
        <w:rPr>
          <w:rFonts w:cs="Arial"/>
          <w:noProof/>
          <w:sz w:val="16"/>
          <w:szCs w:val="16"/>
          <w:lang w:val="es-ES"/>
        </w:rPr>
        <w:t xml:space="preserve"> Véase Caribbean Central America Research Council. </w:t>
      </w:r>
      <w:r w:rsidRPr="00FB43AA">
        <w:rPr>
          <w:rFonts w:cs="Arial"/>
          <w:i/>
          <w:noProof/>
          <w:sz w:val="16"/>
          <w:szCs w:val="16"/>
          <w:lang w:val="es-ES"/>
        </w:rPr>
        <w:t xml:space="preserve">Diagnóstico del uso y tenencia de la tierra en comunidades garífunes y miskitas de </w:t>
      </w:r>
      <w:smartTag w:uri="urn:schemas-microsoft-com:office:smarttags" w:element="PersonName">
        <w:r w:rsidRPr="00FB43AA">
          <w:rPr>
            <w:rFonts w:cs="Arial"/>
            <w:i/>
            <w:noProof/>
            <w:sz w:val="16"/>
            <w:szCs w:val="16"/>
            <w:lang w:val="es-ES"/>
          </w:rPr>
          <w:t>Honduras</w:t>
        </w:r>
      </w:smartTag>
      <w:r w:rsidRPr="00FB43AA">
        <w:rPr>
          <w:rFonts w:cs="Arial"/>
          <w:i/>
          <w:noProof/>
          <w:sz w:val="16"/>
          <w:szCs w:val="16"/>
          <w:lang w:val="es-ES"/>
        </w:rPr>
        <w:t xml:space="preserve"> 2002-2003.</w:t>
      </w:r>
      <w:r w:rsidRPr="00FB43AA">
        <w:rPr>
          <w:rFonts w:cs="Arial"/>
          <w:noProof/>
          <w:sz w:val="16"/>
          <w:szCs w:val="16"/>
          <w:lang w:val="es-ES"/>
        </w:rPr>
        <w:t xml:space="preserve"> Disponible en: </w:t>
      </w:r>
      <w:hyperlink r:id="rId4" w:history="1">
        <w:r w:rsidRPr="00FB43AA">
          <w:rPr>
            <w:rStyle w:val="Hipervnculo"/>
            <w:rFonts w:cs="Arial"/>
            <w:noProof/>
            <w:sz w:val="16"/>
            <w:szCs w:val="16"/>
            <w:lang w:val="es-ES"/>
          </w:rPr>
          <w:t>http://ccarconline.or</w:t>
        </w:r>
        <w:r w:rsidRPr="00FB43AA">
          <w:rPr>
            <w:rStyle w:val="Hipervnculo"/>
            <w:rFonts w:cs="Arial"/>
            <w:noProof/>
            <w:sz w:val="16"/>
            <w:szCs w:val="16"/>
            <w:lang w:val="es-ES"/>
          </w:rPr>
          <w:t>g</w:t>
        </w:r>
        <w:r w:rsidRPr="00FB43AA">
          <w:rPr>
            <w:rStyle w:val="Hipervnculo"/>
            <w:rFonts w:cs="Arial"/>
            <w:noProof/>
            <w:sz w:val="16"/>
            <w:szCs w:val="16"/>
            <w:lang w:val="es-ES"/>
          </w:rPr>
          <w:t>/Honduraseng.htm</w:t>
        </w:r>
      </w:hyperlink>
      <w:r w:rsidRPr="00FB43AA">
        <w:rPr>
          <w:rFonts w:cs="Arial"/>
          <w:noProof/>
          <w:sz w:val="16"/>
          <w:szCs w:val="16"/>
          <w:lang w:val="es-ES"/>
        </w:rPr>
        <w:t>.</w:t>
      </w:r>
    </w:p>
  </w:footnote>
  <w:footnote w:id="10">
    <w:p w:rsidR="002506B6" w:rsidRPr="00FB43AA" w:rsidRDefault="002506B6" w:rsidP="005E78C0">
      <w:pPr>
        <w:spacing w:after="120"/>
        <w:ind w:firstLine="720"/>
        <w:jc w:val="both"/>
        <w:rPr>
          <w:rFonts w:cs="Arial"/>
          <w:noProof/>
          <w:sz w:val="16"/>
          <w:szCs w:val="16"/>
          <w:lang w:val="es-ES"/>
        </w:rPr>
      </w:pPr>
      <w:r w:rsidRPr="00FB43AA">
        <w:rPr>
          <w:rStyle w:val="Refdenotaalpie"/>
          <w:rFonts w:cs="Arial"/>
          <w:noProof/>
          <w:sz w:val="16"/>
          <w:szCs w:val="16"/>
          <w:lang w:val="es-ES"/>
        </w:rPr>
        <w:footnoteRef/>
      </w:r>
      <w:r w:rsidRPr="00FB43AA">
        <w:rPr>
          <w:rFonts w:cs="Arial"/>
          <w:noProof/>
          <w:sz w:val="16"/>
          <w:szCs w:val="16"/>
          <w:lang w:val="es-ES"/>
        </w:rPr>
        <w:t xml:space="preserve"> Testimonio de </w:t>
      </w:r>
      <w:smartTag w:uri="urn:schemas-microsoft-com:office:smarttags" w:element="PersonName">
        <w:r w:rsidRPr="00FB43AA">
          <w:rPr>
            <w:rFonts w:cs="Arial"/>
            <w:noProof/>
            <w:sz w:val="16"/>
            <w:szCs w:val="16"/>
            <w:lang w:val="es-ES"/>
          </w:rPr>
          <w:t>Gregoria Flores</w:t>
        </w:r>
      </w:smartTag>
      <w:r w:rsidRPr="00FB43AA">
        <w:rPr>
          <w:rFonts w:cs="Arial"/>
          <w:noProof/>
          <w:sz w:val="16"/>
          <w:szCs w:val="16"/>
          <w:lang w:val="es-ES"/>
        </w:rPr>
        <w:t xml:space="preserve"> Martínez rendido en la audiencia pública sobre fondo y eventuales reparaciones y costas celebrada ante la Corte Interamericana los días 28 y 29 de junio de 2005 en el Caso </w:t>
      </w:r>
      <w:r w:rsidRPr="00FB43AA">
        <w:rPr>
          <w:rFonts w:cs="Arial"/>
          <w:i/>
          <w:noProof/>
          <w:sz w:val="16"/>
          <w:szCs w:val="16"/>
          <w:lang w:val="es-ES"/>
        </w:rPr>
        <w:t xml:space="preserve">Alfredo Lopéz Vs. </w:t>
      </w:r>
      <w:smartTag w:uri="urn:schemas-microsoft-com:office:smarttags" w:element="PersonName">
        <w:r w:rsidRPr="00FB43AA">
          <w:rPr>
            <w:rFonts w:cs="Arial"/>
            <w:i/>
            <w:noProof/>
            <w:sz w:val="16"/>
            <w:szCs w:val="16"/>
            <w:lang w:val="es-ES"/>
          </w:rPr>
          <w:t>Honduras</w:t>
        </w:r>
      </w:smartTag>
      <w:r w:rsidRPr="00FB43AA">
        <w:rPr>
          <w:rFonts w:cs="Arial"/>
          <w:i/>
          <w:noProof/>
          <w:sz w:val="16"/>
          <w:szCs w:val="16"/>
          <w:lang w:val="es-ES"/>
        </w:rPr>
        <w:t>.</w:t>
      </w:r>
    </w:p>
  </w:footnote>
  <w:footnote w:id="11">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Panel de Inspección del Banco Mundial. </w:t>
      </w:r>
      <w:r w:rsidRPr="00FB43AA">
        <w:rPr>
          <w:rFonts w:ascii="Univers" w:hAnsi="Univers" w:cs="Arial"/>
          <w:i/>
          <w:noProof/>
          <w:sz w:val="16"/>
          <w:szCs w:val="16"/>
          <w:lang w:val="es-ES"/>
        </w:rPr>
        <w:t xml:space="preserve">Informe de investigación sobre Programa de Administración de Tierras de </w:t>
      </w:r>
      <w:smartTag w:uri="urn:schemas-microsoft-com:office:smarttags" w:element="PersonName">
        <w:r w:rsidRPr="00FB43AA">
          <w:rPr>
            <w:rFonts w:ascii="Univers" w:hAnsi="Univers" w:cs="Arial"/>
            <w:i/>
            <w:noProof/>
            <w:sz w:val="16"/>
            <w:szCs w:val="16"/>
            <w:lang w:val="es-ES"/>
          </w:rPr>
          <w:t>Honduras</w:t>
        </w:r>
      </w:smartTag>
      <w:r w:rsidRPr="00FB43AA">
        <w:rPr>
          <w:rFonts w:ascii="Univers" w:hAnsi="Univers" w:cs="Arial"/>
          <w:i/>
          <w:noProof/>
          <w:sz w:val="16"/>
          <w:szCs w:val="16"/>
          <w:lang w:val="es-ES"/>
        </w:rPr>
        <w:t xml:space="preserve">. </w:t>
      </w:r>
      <w:r w:rsidRPr="00FB43AA">
        <w:rPr>
          <w:rFonts w:ascii="Univers" w:hAnsi="Univers" w:cs="Arial"/>
          <w:noProof/>
          <w:sz w:val="16"/>
          <w:szCs w:val="16"/>
          <w:lang w:val="es-ES"/>
        </w:rPr>
        <w:t xml:space="preserve">Informe No. 39933-HN. 12 de junio de 2007. p. 21. Disponible en: </w:t>
      </w:r>
      <w:hyperlink r:id="rId5" w:history="1">
        <w:r w:rsidRPr="00FB43AA">
          <w:rPr>
            <w:rStyle w:val="Hipervnculo"/>
            <w:rFonts w:ascii="Univers" w:hAnsi="Univers" w:cs="Arial"/>
            <w:noProof/>
            <w:sz w:val="16"/>
            <w:szCs w:val="16"/>
            <w:lang w:val="es-ES"/>
          </w:rPr>
          <w:t>http://siteresources.worldbank.org/EXTINSPECTIONPANEL/R</w:t>
        </w:r>
        <w:r w:rsidRPr="00FB43AA">
          <w:rPr>
            <w:rStyle w:val="Hipervnculo"/>
            <w:rFonts w:ascii="Univers" w:hAnsi="Univers" w:cs="Arial"/>
            <w:noProof/>
            <w:sz w:val="16"/>
            <w:szCs w:val="16"/>
            <w:lang w:val="es-ES"/>
          </w:rPr>
          <w:t>e</w:t>
        </w:r>
        <w:r w:rsidRPr="00FB43AA">
          <w:rPr>
            <w:rStyle w:val="Hipervnculo"/>
            <w:rFonts w:ascii="Univers" w:hAnsi="Univers" w:cs="Arial"/>
            <w:noProof/>
            <w:sz w:val="16"/>
            <w:szCs w:val="16"/>
            <w:lang w:val="es-ES"/>
          </w:rPr>
          <w:t>sources/HondurasFINALINVESTIGATIONREPORTSpanishTrad.pdf</w:t>
        </w:r>
      </w:hyperlink>
      <w:r w:rsidRPr="00FB43AA">
        <w:rPr>
          <w:rFonts w:ascii="Univers" w:hAnsi="Univers" w:cs="Arial"/>
          <w:noProof/>
          <w:sz w:val="16"/>
          <w:szCs w:val="16"/>
          <w:lang w:val="es-ES"/>
        </w:rPr>
        <w:t>.</w:t>
      </w:r>
    </w:p>
  </w:footnote>
  <w:footnote w:id="12">
    <w:p w:rsidR="002506B6" w:rsidRPr="00FB43AA" w:rsidRDefault="002506B6" w:rsidP="005E78C0">
      <w:pPr>
        <w:spacing w:after="120"/>
        <w:ind w:firstLine="720"/>
        <w:jc w:val="both"/>
        <w:rPr>
          <w:rFonts w:cs="Arial"/>
          <w:noProof/>
          <w:sz w:val="16"/>
          <w:szCs w:val="16"/>
          <w:lang w:val="es-ES"/>
        </w:rPr>
      </w:pPr>
      <w:r w:rsidRPr="00FB43AA">
        <w:rPr>
          <w:rStyle w:val="Refdenotaalpie"/>
          <w:rFonts w:cs="Arial"/>
          <w:noProof/>
          <w:sz w:val="16"/>
          <w:szCs w:val="16"/>
          <w:lang w:val="es-ES"/>
        </w:rPr>
        <w:footnoteRef/>
      </w:r>
      <w:r w:rsidRPr="00FB43AA">
        <w:rPr>
          <w:rFonts w:cs="Arial"/>
          <w:noProof/>
          <w:sz w:val="16"/>
          <w:szCs w:val="16"/>
          <w:lang w:val="es-ES"/>
        </w:rPr>
        <w:t xml:space="preserve"> Panel de Inspección del Banco Mundial. </w:t>
      </w:r>
      <w:r w:rsidRPr="00FB43AA">
        <w:rPr>
          <w:rFonts w:cs="Arial"/>
          <w:i/>
          <w:noProof/>
          <w:sz w:val="16"/>
          <w:szCs w:val="16"/>
          <w:lang w:val="es-ES"/>
        </w:rPr>
        <w:t xml:space="preserve">Informe de investigación sobre Programa de Administración de Tierras de </w:t>
      </w:r>
      <w:smartTag w:uri="urn:schemas-microsoft-com:office:smarttags" w:element="PersonName">
        <w:r w:rsidRPr="00FB43AA">
          <w:rPr>
            <w:rFonts w:cs="Arial"/>
            <w:i/>
            <w:noProof/>
            <w:sz w:val="16"/>
            <w:szCs w:val="16"/>
            <w:lang w:val="es-ES"/>
          </w:rPr>
          <w:t>Honduras</w:t>
        </w:r>
      </w:smartTag>
      <w:r w:rsidRPr="00FB43AA">
        <w:rPr>
          <w:rFonts w:cs="Arial"/>
          <w:i/>
          <w:noProof/>
          <w:sz w:val="16"/>
          <w:szCs w:val="16"/>
          <w:lang w:val="es-ES"/>
        </w:rPr>
        <w:t xml:space="preserve">. </w:t>
      </w:r>
      <w:r w:rsidRPr="00FB43AA">
        <w:rPr>
          <w:rFonts w:cs="Arial"/>
          <w:noProof/>
          <w:sz w:val="16"/>
          <w:szCs w:val="16"/>
          <w:lang w:val="es-ES"/>
        </w:rPr>
        <w:t xml:space="preserve">Informe No. 39933-HN. 12 de junio de 2007. p. 21-25 Disponible en: </w:t>
      </w:r>
      <w:hyperlink r:id="rId6" w:history="1">
        <w:r w:rsidRPr="00FB43AA">
          <w:rPr>
            <w:rStyle w:val="Hipervnculo"/>
            <w:rFonts w:cs="Arial"/>
            <w:noProof/>
            <w:sz w:val="16"/>
            <w:szCs w:val="16"/>
            <w:lang w:val="es-ES"/>
          </w:rPr>
          <w:t>http://siteresources.worldbank.org/EXTINSPECTIONPANEL/Resources/HondurasFINALINVESTIGATIONREPORTSpanishTrad.pdf</w:t>
        </w:r>
      </w:hyperlink>
      <w:r w:rsidRPr="00FB43AA">
        <w:rPr>
          <w:rFonts w:cs="Arial"/>
          <w:noProof/>
          <w:sz w:val="16"/>
          <w:szCs w:val="16"/>
          <w:lang w:val="es-ES"/>
        </w:rPr>
        <w:t xml:space="preserve">. Asimismo, Corte IDH. </w:t>
      </w:r>
      <w:r w:rsidRPr="00FB43AA">
        <w:rPr>
          <w:rFonts w:cs="Arial"/>
          <w:i/>
          <w:noProof/>
          <w:sz w:val="16"/>
          <w:szCs w:val="16"/>
          <w:lang w:val="es-ES"/>
        </w:rPr>
        <w:t>Caso</w:t>
      </w:r>
      <w:r w:rsidRPr="00FB43AA">
        <w:rPr>
          <w:rFonts w:cs="Arial"/>
          <w:noProof/>
          <w:sz w:val="16"/>
          <w:szCs w:val="16"/>
          <w:lang w:val="es-ES"/>
        </w:rPr>
        <w:t xml:space="preserve"> </w:t>
      </w:r>
      <w:r w:rsidRPr="00FB43AA">
        <w:rPr>
          <w:rFonts w:cs="Arial"/>
          <w:i/>
          <w:noProof/>
          <w:sz w:val="16"/>
          <w:szCs w:val="16"/>
          <w:lang w:val="es-ES"/>
        </w:rPr>
        <w:t xml:space="preserve">López Álvarez Vs. </w:t>
      </w:r>
      <w:smartTag w:uri="urn:schemas-microsoft-com:office:smarttags" w:element="PersonName">
        <w:r w:rsidRPr="00FB43AA">
          <w:rPr>
            <w:rFonts w:cs="Arial"/>
            <w:i/>
            <w:noProof/>
            <w:sz w:val="16"/>
            <w:szCs w:val="16"/>
            <w:lang w:val="es-ES"/>
          </w:rPr>
          <w:t>Honduras</w:t>
        </w:r>
      </w:smartTag>
      <w:r w:rsidRPr="00FB43AA">
        <w:rPr>
          <w:rFonts w:cs="Arial"/>
          <w:noProof/>
          <w:sz w:val="16"/>
          <w:szCs w:val="16"/>
          <w:lang w:val="es-ES"/>
        </w:rPr>
        <w:t>. Sentencia de 1 de febrero de 2006. Serie C No. 141. párr. 54.1.</w:t>
      </w:r>
    </w:p>
  </w:footnote>
  <w:footnote w:id="13">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González, Nancie. </w:t>
      </w:r>
      <w:r w:rsidRPr="00FB43AA">
        <w:rPr>
          <w:rFonts w:ascii="Univers" w:hAnsi="Univers" w:cs="Arial"/>
          <w:i/>
          <w:noProof/>
          <w:sz w:val="16"/>
          <w:szCs w:val="16"/>
          <w:lang w:val="es-ES"/>
        </w:rPr>
        <w:t>Sojourners of the Caribbean: Ethnogenesis and Ethnohistory of the garifunas.</w:t>
      </w:r>
      <w:r w:rsidRPr="00FB43AA">
        <w:rPr>
          <w:rFonts w:ascii="Univers" w:hAnsi="Univers" w:cs="Arial"/>
          <w:noProof/>
          <w:sz w:val="16"/>
          <w:szCs w:val="16"/>
          <w:lang w:val="es-ES"/>
        </w:rPr>
        <w:t xml:space="preserve"> Universtiy of Illinois Press. Urbana and Chicago: 1988.</w:t>
      </w:r>
      <w:r w:rsidRPr="00FB43AA">
        <w:rPr>
          <w:rFonts w:ascii="Univers" w:hAnsi="Univers" w:cs="Arial"/>
          <w:i/>
          <w:noProof/>
          <w:sz w:val="16"/>
          <w:szCs w:val="16"/>
          <w:lang w:val="es-ES"/>
        </w:rPr>
        <w:t xml:space="preserve"> </w:t>
      </w:r>
      <w:r w:rsidRPr="00FB43AA">
        <w:rPr>
          <w:rFonts w:ascii="Univers" w:hAnsi="Univers" w:cs="Arial"/>
          <w:noProof/>
          <w:sz w:val="16"/>
          <w:szCs w:val="16"/>
          <w:lang w:val="es-ES"/>
        </w:rPr>
        <w:t xml:space="preserve">En: Panel de Inspección del Banco Mundial. </w:t>
      </w:r>
      <w:r w:rsidRPr="00FB43AA">
        <w:rPr>
          <w:rFonts w:ascii="Univers" w:hAnsi="Univers" w:cs="Arial"/>
          <w:i/>
          <w:noProof/>
          <w:sz w:val="16"/>
          <w:szCs w:val="16"/>
          <w:lang w:val="es-ES"/>
        </w:rPr>
        <w:t xml:space="preserve">Informe de investigación sobre Programa de Administración de Tierras de </w:t>
      </w:r>
      <w:smartTag w:uri="urn:schemas-microsoft-com:office:smarttags" w:element="PersonName">
        <w:r w:rsidRPr="00FB43AA">
          <w:rPr>
            <w:rFonts w:ascii="Univers" w:hAnsi="Univers" w:cs="Arial"/>
            <w:i/>
            <w:noProof/>
            <w:sz w:val="16"/>
            <w:szCs w:val="16"/>
            <w:lang w:val="es-ES"/>
          </w:rPr>
          <w:t>Honduras</w:t>
        </w:r>
      </w:smartTag>
      <w:r w:rsidRPr="00FB43AA">
        <w:rPr>
          <w:rFonts w:ascii="Univers" w:hAnsi="Univers" w:cs="Arial"/>
          <w:i/>
          <w:noProof/>
          <w:sz w:val="16"/>
          <w:szCs w:val="16"/>
          <w:lang w:val="es-ES"/>
        </w:rPr>
        <w:t xml:space="preserve">. </w:t>
      </w:r>
      <w:r w:rsidRPr="00FB43AA">
        <w:rPr>
          <w:rFonts w:ascii="Univers" w:hAnsi="Univers" w:cs="Arial"/>
          <w:noProof/>
          <w:sz w:val="16"/>
          <w:szCs w:val="16"/>
          <w:lang w:val="es-ES"/>
        </w:rPr>
        <w:t xml:space="preserve">Informe No. 39933-HN. 12 de junio de 2007. p. 23. Disponible en: </w:t>
      </w:r>
      <w:hyperlink r:id="rId7" w:history="1">
        <w:r w:rsidRPr="00FB43AA">
          <w:rPr>
            <w:rStyle w:val="Hipervnculo"/>
            <w:rFonts w:ascii="Univers" w:hAnsi="Univers" w:cs="Arial"/>
            <w:noProof/>
            <w:sz w:val="16"/>
            <w:szCs w:val="16"/>
            <w:lang w:val="es-ES"/>
          </w:rPr>
          <w:t>http://siteresources.worldbank.org/EXTINSPECTIONPANEL/Resources/HondurasFINALINVESTIGATIONREPORTSpanishTrad.pdf</w:t>
        </w:r>
      </w:hyperlink>
      <w:r w:rsidRPr="00FB43AA">
        <w:rPr>
          <w:rFonts w:ascii="Univers" w:hAnsi="Univers" w:cs="Arial"/>
          <w:noProof/>
          <w:sz w:val="16"/>
          <w:szCs w:val="16"/>
          <w:lang w:val="es-ES"/>
        </w:rPr>
        <w:t>.</w:t>
      </w:r>
    </w:p>
  </w:footnote>
  <w:footnote w:id="14">
    <w:p w:rsidR="002506B6" w:rsidRPr="00FB43AA" w:rsidRDefault="002506B6" w:rsidP="005E78C0">
      <w:pPr>
        <w:spacing w:after="120"/>
        <w:ind w:firstLine="720"/>
        <w:jc w:val="both"/>
        <w:rPr>
          <w:rFonts w:cs="Arial"/>
          <w:noProof/>
          <w:sz w:val="16"/>
          <w:szCs w:val="16"/>
          <w:lang w:val="es-ES"/>
        </w:rPr>
      </w:pPr>
      <w:r w:rsidRPr="00FB43AA">
        <w:rPr>
          <w:rStyle w:val="Refdenotaalpie"/>
          <w:rFonts w:cs="Arial"/>
          <w:noProof/>
          <w:sz w:val="16"/>
          <w:szCs w:val="16"/>
          <w:lang w:val="es-ES"/>
        </w:rPr>
        <w:footnoteRef/>
      </w:r>
      <w:r w:rsidRPr="00FB43AA">
        <w:rPr>
          <w:rFonts w:cs="Arial"/>
          <w:noProof/>
          <w:sz w:val="16"/>
          <w:szCs w:val="16"/>
          <w:lang w:val="es-ES"/>
        </w:rPr>
        <w:t xml:space="preserve"> De acuerdo a la UNESCO, “La lengua garífuna pertenece a la familia de lenguas arawak y ha sobrevivido a siglos de persecución y dominación lingüística. Poseen una gran riqueza de úragas, relatos que se narraban durante las veladas o las grandes reuniones. Las melodías reúnen elementos africanos y amerindios y los textos constituyen una verdadera reserva de la historia y el saber tradicional de los garífunas sobre el cultivo del manioc, la pesca, la fabricación de canoas y la construcción de casas de barro cocido. Hay también un fuerte componente satírico en las canciones que se cantan al ritmo de los tambores y se acompañan de bailes en los que participan los espectadores”. UNESCO, Obra maestra del patrimonio oral e inmaterial de la humanidad – “La lengua, la danza y la música de los garífunas”. Disponible en: </w:t>
      </w:r>
      <w:hyperlink r:id="rId8" w:history="1">
        <w:r w:rsidRPr="00FB43AA">
          <w:rPr>
            <w:rStyle w:val="Hipervnculo"/>
            <w:rFonts w:cs="Arial"/>
            <w:noProof/>
            <w:sz w:val="16"/>
            <w:szCs w:val="16"/>
            <w:lang w:val="es-ES"/>
          </w:rPr>
          <w:t>http://www.unesco.org/culture/ich/index.php?lg=ES&amp;cp=HN</w:t>
        </w:r>
      </w:hyperlink>
      <w:r w:rsidRPr="00FB43AA">
        <w:rPr>
          <w:rFonts w:cs="Arial"/>
          <w:noProof/>
          <w:sz w:val="16"/>
          <w:szCs w:val="16"/>
          <w:lang w:val="es-ES"/>
        </w:rPr>
        <w:t>.</w:t>
      </w:r>
    </w:p>
  </w:footnote>
  <w:footnote w:id="15">
    <w:p w:rsidR="002506B6" w:rsidRPr="00FB43AA" w:rsidRDefault="002506B6" w:rsidP="005E78C0">
      <w:pPr>
        <w:spacing w:after="120"/>
        <w:ind w:firstLine="720"/>
        <w:jc w:val="both"/>
        <w:rPr>
          <w:rFonts w:cs="Arial"/>
          <w:noProof/>
          <w:sz w:val="16"/>
          <w:szCs w:val="16"/>
          <w:lang w:val="es-ES"/>
        </w:rPr>
      </w:pPr>
      <w:r w:rsidRPr="00FB43AA">
        <w:rPr>
          <w:rStyle w:val="Refdenotaalpie"/>
          <w:rFonts w:cs="Arial"/>
          <w:noProof/>
          <w:sz w:val="16"/>
          <w:szCs w:val="16"/>
          <w:lang w:val="es-ES"/>
        </w:rPr>
        <w:footnoteRef/>
      </w:r>
      <w:r w:rsidRPr="00FB43AA">
        <w:rPr>
          <w:rFonts w:cs="Arial"/>
          <w:noProof/>
          <w:sz w:val="16"/>
          <w:szCs w:val="16"/>
          <w:lang w:val="es-ES"/>
        </w:rPr>
        <w:t xml:space="preserve"> Véase UNESCO, Obra maestra del patrimonio oral e inmaterial de la humanidad – “La lengua, la danza y la música de los garífunas”. Disponible en: </w:t>
      </w:r>
      <w:hyperlink r:id="rId9" w:history="1">
        <w:r w:rsidRPr="00FB43AA">
          <w:rPr>
            <w:rStyle w:val="Hipervnculo"/>
            <w:rFonts w:cs="Arial"/>
            <w:noProof/>
            <w:sz w:val="16"/>
            <w:szCs w:val="16"/>
            <w:lang w:val="es-ES"/>
          </w:rPr>
          <w:t>http://www.unesco.org/culture/ich/index.php?lg=ES&amp;cp=HN</w:t>
        </w:r>
      </w:hyperlink>
      <w:r w:rsidRPr="00FB43AA">
        <w:rPr>
          <w:rFonts w:cs="Arial"/>
          <w:noProof/>
          <w:sz w:val="16"/>
          <w:szCs w:val="16"/>
          <w:lang w:val="es-ES"/>
        </w:rPr>
        <w:t>.</w:t>
      </w:r>
    </w:p>
  </w:footnote>
  <w:footnote w:id="16">
    <w:p w:rsidR="002506B6" w:rsidRPr="00FB43AA" w:rsidRDefault="002506B6" w:rsidP="005E78C0">
      <w:pPr>
        <w:spacing w:after="120"/>
        <w:ind w:firstLine="720"/>
        <w:jc w:val="both"/>
        <w:rPr>
          <w:rFonts w:cs="Arial"/>
          <w:noProof/>
          <w:sz w:val="16"/>
          <w:szCs w:val="16"/>
          <w:lang w:val="es-ES"/>
        </w:rPr>
      </w:pPr>
      <w:r w:rsidRPr="00FB43AA">
        <w:rPr>
          <w:rStyle w:val="Refdenotaalpie"/>
          <w:rFonts w:cs="Arial"/>
          <w:noProof/>
          <w:sz w:val="16"/>
          <w:szCs w:val="16"/>
          <w:lang w:val="es-ES"/>
        </w:rPr>
        <w:footnoteRef/>
      </w:r>
      <w:r w:rsidRPr="00FB43AA">
        <w:rPr>
          <w:rFonts w:cs="Arial"/>
          <w:noProof/>
          <w:sz w:val="16"/>
          <w:szCs w:val="16"/>
          <w:lang w:val="es-ES"/>
        </w:rPr>
        <w:t xml:space="preserve"> Véase Caribbean Central America Research Council. </w:t>
      </w:r>
      <w:r w:rsidRPr="00FB43AA">
        <w:rPr>
          <w:rFonts w:cs="Arial"/>
          <w:i/>
          <w:noProof/>
          <w:sz w:val="16"/>
          <w:szCs w:val="16"/>
          <w:lang w:val="es-ES"/>
        </w:rPr>
        <w:t xml:space="preserve">Diagnóstico del uso y tenencia de la tierra en comunidades garífunes y miskitas de </w:t>
      </w:r>
      <w:smartTag w:uri="urn:schemas-microsoft-com:office:smarttags" w:element="PersonName">
        <w:r w:rsidRPr="00FB43AA">
          <w:rPr>
            <w:rFonts w:cs="Arial"/>
            <w:i/>
            <w:noProof/>
            <w:sz w:val="16"/>
            <w:szCs w:val="16"/>
            <w:lang w:val="es-ES"/>
          </w:rPr>
          <w:t>Honduras</w:t>
        </w:r>
      </w:smartTag>
      <w:r w:rsidRPr="00FB43AA">
        <w:rPr>
          <w:rFonts w:cs="Arial"/>
          <w:i/>
          <w:noProof/>
          <w:sz w:val="16"/>
          <w:szCs w:val="16"/>
          <w:lang w:val="es-ES"/>
        </w:rPr>
        <w:t xml:space="preserve"> 2002-2003.</w:t>
      </w:r>
      <w:r w:rsidRPr="00FB43AA">
        <w:rPr>
          <w:rFonts w:cs="Arial"/>
          <w:noProof/>
          <w:sz w:val="16"/>
          <w:szCs w:val="16"/>
          <w:lang w:val="es-ES"/>
        </w:rPr>
        <w:t xml:space="preserve"> Disponible en: </w:t>
      </w:r>
      <w:hyperlink r:id="rId10" w:history="1">
        <w:r w:rsidRPr="00FB43AA">
          <w:rPr>
            <w:rStyle w:val="Hipervnculo"/>
            <w:rFonts w:cs="Arial"/>
            <w:noProof/>
            <w:sz w:val="16"/>
            <w:szCs w:val="16"/>
            <w:lang w:val="es-ES"/>
          </w:rPr>
          <w:t>http://ccarconline.org/Honduraseng.htm</w:t>
        </w:r>
      </w:hyperlink>
      <w:r w:rsidRPr="00FB43AA">
        <w:rPr>
          <w:rFonts w:cs="Arial"/>
          <w:noProof/>
          <w:sz w:val="16"/>
          <w:szCs w:val="16"/>
          <w:lang w:val="es-ES"/>
        </w:rPr>
        <w:t>.</w:t>
      </w:r>
    </w:p>
  </w:footnote>
  <w:footnote w:id="17">
    <w:p w:rsidR="002506B6" w:rsidRPr="00FB43AA" w:rsidRDefault="002506B6" w:rsidP="005E78C0">
      <w:pPr>
        <w:spacing w:after="120"/>
        <w:ind w:firstLine="720"/>
        <w:jc w:val="both"/>
        <w:rPr>
          <w:rFonts w:cs="Arial"/>
          <w:noProof/>
          <w:sz w:val="16"/>
          <w:szCs w:val="16"/>
          <w:lang w:val="es-ES"/>
        </w:rPr>
      </w:pPr>
      <w:r w:rsidRPr="00FB43AA">
        <w:rPr>
          <w:rStyle w:val="Refdenotaalpie"/>
          <w:rFonts w:cs="Arial"/>
          <w:noProof/>
          <w:sz w:val="16"/>
          <w:szCs w:val="16"/>
          <w:lang w:val="es-ES"/>
        </w:rPr>
        <w:footnoteRef/>
      </w:r>
      <w:r w:rsidRPr="00FB43AA">
        <w:rPr>
          <w:rFonts w:cs="Arial"/>
          <w:noProof/>
          <w:sz w:val="16"/>
          <w:szCs w:val="16"/>
          <w:lang w:val="es-ES"/>
        </w:rPr>
        <w:t xml:space="preserve"> Corte IDH. </w:t>
      </w:r>
      <w:r w:rsidRPr="00FB43AA">
        <w:rPr>
          <w:rFonts w:cs="Arial"/>
          <w:i/>
          <w:noProof/>
          <w:sz w:val="16"/>
          <w:szCs w:val="16"/>
          <w:lang w:val="es-ES"/>
        </w:rPr>
        <w:t>Caso</w:t>
      </w:r>
      <w:r w:rsidRPr="00FB43AA">
        <w:rPr>
          <w:rFonts w:cs="Arial"/>
          <w:noProof/>
          <w:sz w:val="16"/>
          <w:szCs w:val="16"/>
          <w:lang w:val="es-ES"/>
        </w:rPr>
        <w:t xml:space="preserve"> </w:t>
      </w:r>
      <w:r w:rsidRPr="00FB43AA">
        <w:rPr>
          <w:rFonts w:cs="Arial"/>
          <w:i/>
          <w:noProof/>
          <w:sz w:val="16"/>
          <w:szCs w:val="16"/>
          <w:lang w:val="es-ES"/>
        </w:rPr>
        <w:t xml:space="preserve">López Álvarez Vs. </w:t>
      </w:r>
      <w:smartTag w:uri="urn:schemas-microsoft-com:office:smarttags" w:element="PersonName">
        <w:r w:rsidRPr="00FB43AA">
          <w:rPr>
            <w:rFonts w:cs="Arial"/>
            <w:i/>
            <w:noProof/>
            <w:sz w:val="16"/>
            <w:szCs w:val="16"/>
            <w:lang w:val="es-ES"/>
          </w:rPr>
          <w:t>Honduras</w:t>
        </w:r>
      </w:smartTag>
      <w:r w:rsidRPr="00FB43AA">
        <w:rPr>
          <w:rFonts w:cs="Arial"/>
          <w:noProof/>
          <w:sz w:val="16"/>
          <w:szCs w:val="16"/>
          <w:lang w:val="es-ES"/>
        </w:rPr>
        <w:t>. Sentencia de 1 de febrero de 2006. Serie C No. 141. párr. 54.1.</w:t>
      </w:r>
    </w:p>
  </w:footnote>
  <w:footnote w:id="18">
    <w:p w:rsidR="002506B6" w:rsidRPr="00FB43AA" w:rsidRDefault="002506B6" w:rsidP="005E78C0">
      <w:pPr>
        <w:spacing w:after="120"/>
        <w:ind w:firstLine="720"/>
        <w:jc w:val="both"/>
        <w:rPr>
          <w:sz w:val="16"/>
          <w:szCs w:val="16"/>
          <w:lang w:val="es-ES"/>
        </w:rPr>
      </w:pPr>
      <w:r w:rsidRPr="00FB43AA">
        <w:rPr>
          <w:rStyle w:val="Refdenotaalpie"/>
          <w:sz w:val="16"/>
          <w:szCs w:val="16"/>
          <w:lang w:val="es-ES"/>
        </w:rPr>
        <w:footnoteRef/>
      </w:r>
      <w:r w:rsidRPr="00FB43AA">
        <w:rPr>
          <w:sz w:val="16"/>
          <w:szCs w:val="16"/>
          <w:lang w:val="es-ES"/>
        </w:rPr>
        <w:t xml:space="preserve"> </w:t>
      </w:r>
      <w:r w:rsidRPr="00FB43AA">
        <w:rPr>
          <w:rFonts w:cs="Arial"/>
          <w:noProof/>
          <w:sz w:val="16"/>
          <w:szCs w:val="16"/>
          <w:lang w:val="es-ES"/>
        </w:rPr>
        <w:t xml:space="preserve">Anexo 1. </w:t>
      </w:r>
      <w:r w:rsidRPr="00FB43AA">
        <w:rPr>
          <w:noProof/>
          <w:sz w:val="16"/>
          <w:szCs w:val="16"/>
          <w:lang w:val="es-ES"/>
        </w:rPr>
        <w:t>Moción suscrita por los Diputados Olegario López Róchez, Erick Mauricio Rodríguez, Samuel Martínez, Jorge Leonídas García, entre otros y presentada con fecha 18 de abril de 2002 ante el Congreso Nacional. Anexo de la petición inicial de fecha 27 de octubre de 2003, recibida por la CIDH el 29 de octubre de 2003.</w:t>
      </w:r>
    </w:p>
  </w:footnote>
  <w:footnote w:id="19">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2. Mapa sobre “ubicación geográfica del terreno de la Comunidad Garífuna de Punta Piedra” elaborado por el INA el 12 de julio de 2007. Anexos del escrito presentado por el Estado el 19 de julio de 2007, durante reunión de trabajo del 128 periodo ordinario de sesiones. </w:t>
      </w:r>
    </w:p>
  </w:footnote>
  <w:footnote w:id="20">
    <w:p w:rsidR="002506B6" w:rsidRPr="00FB43AA" w:rsidRDefault="002506B6" w:rsidP="005E78C0">
      <w:pPr>
        <w:pStyle w:val="Textonotapie"/>
        <w:spacing w:after="120"/>
        <w:ind w:firstLine="720"/>
        <w:jc w:val="both"/>
        <w:rPr>
          <w:rFonts w:ascii="Univers" w:hAnsi="Univers"/>
          <w:sz w:val="16"/>
          <w:szCs w:val="16"/>
          <w:lang w:val="es-ES"/>
        </w:rPr>
      </w:pPr>
      <w:r w:rsidRPr="00FB43AA">
        <w:rPr>
          <w:rStyle w:val="Refdenotaalpie"/>
          <w:rFonts w:ascii="Univers" w:hAnsi="Univers"/>
          <w:sz w:val="16"/>
          <w:szCs w:val="16"/>
          <w:lang w:val="es-ES"/>
        </w:rPr>
        <w:footnoteRef/>
      </w:r>
      <w:r w:rsidRPr="00FB43AA">
        <w:rPr>
          <w:rFonts w:ascii="Univers" w:hAnsi="Univers"/>
          <w:sz w:val="16"/>
          <w:szCs w:val="16"/>
          <w:lang w:val="es-ES"/>
        </w:rPr>
        <w:t xml:space="preserve"> </w:t>
      </w:r>
      <w:r w:rsidRPr="00FB43AA">
        <w:rPr>
          <w:rFonts w:ascii="Univers" w:hAnsi="Univers" w:cs="Arial"/>
          <w:noProof/>
          <w:sz w:val="16"/>
          <w:szCs w:val="16"/>
          <w:lang w:val="es-ES"/>
        </w:rPr>
        <w:t xml:space="preserve">CIDH, Informe de Admisibilidad No. 63/10, 24 de marzo de 2010, Petición  1119-03, Comunidad Garífuna Punta Piedra y sus miembros, </w:t>
      </w:r>
      <w:smartTag w:uri="urn:schemas-microsoft-com:office:smarttags" w:element="PersonName">
        <w:r w:rsidRPr="00FB43AA">
          <w:rPr>
            <w:rFonts w:ascii="Univers" w:hAnsi="Univers" w:cs="Arial"/>
            <w:noProof/>
            <w:sz w:val="16"/>
            <w:szCs w:val="16"/>
            <w:lang w:val="es-ES"/>
          </w:rPr>
          <w:t>Honduras</w:t>
        </w:r>
      </w:smartTag>
      <w:r w:rsidRPr="00FB43AA">
        <w:rPr>
          <w:rFonts w:ascii="Univers" w:hAnsi="Univers" w:cs="Arial"/>
          <w:noProof/>
          <w:sz w:val="16"/>
          <w:szCs w:val="16"/>
          <w:lang w:val="es-ES"/>
        </w:rPr>
        <w:t>, párr. 32.</w:t>
      </w:r>
    </w:p>
  </w:footnote>
  <w:footnote w:id="21">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b/>
          <w:noProof/>
          <w:color w:val="FF0000"/>
          <w:sz w:val="16"/>
          <w:szCs w:val="16"/>
          <w:lang w:val="es-ES"/>
        </w:rPr>
        <w:t xml:space="preserve"> </w:t>
      </w:r>
      <w:r w:rsidRPr="00FB43AA">
        <w:rPr>
          <w:rFonts w:ascii="Univers" w:hAnsi="Univers" w:cs="Arial"/>
          <w:bCs/>
          <w:noProof/>
          <w:sz w:val="16"/>
          <w:szCs w:val="16"/>
          <w:lang w:val="es-ES"/>
        </w:rPr>
        <w:t>El testigo Doroteo Tomas afirmó al respecto lo siguiente: “[…] Los ancestros nos dejaron un documento por el terreno. […] Este documento ancestral que tenemos lo dio el gobierno en el año 1921[…]”.</w:t>
      </w:r>
      <w:r w:rsidRPr="00FB43AA">
        <w:rPr>
          <w:rFonts w:ascii="Univers" w:hAnsi="Univers" w:cs="Arial"/>
          <w:noProof/>
          <w:sz w:val="16"/>
          <w:szCs w:val="16"/>
          <w:lang w:val="es-ES"/>
        </w:rPr>
        <w:t xml:space="preserve">[CIDH, Audiencia Pública de fecha 7 de marzo de 2006 </w:t>
      </w:r>
      <w:r w:rsidRPr="00FB43AA">
        <w:rPr>
          <w:rFonts w:ascii="Univers" w:hAnsi="Univers" w:cs="Arial"/>
          <w:bCs/>
          <w:iCs/>
          <w:noProof/>
          <w:sz w:val="16"/>
          <w:szCs w:val="16"/>
          <w:lang w:val="es-ES"/>
        </w:rPr>
        <w:t xml:space="preserve">sobre </w:t>
      </w:r>
      <w:r w:rsidRPr="00FB43AA">
        <w:rPr>
          <w:rFonts w:ascii="Univers" w:hAnsi="Univers" w:cs="Arial"/>
          <w:noProof/>
          <w:sz w:val="16"/>
          <w:szCs w:val="16"/>
          <w:lang w:val="es-ES"/>
        </w:rPr>
        <w:t>“</w:t>
      </w:r>
      <w:r w:rsidRPr="00FB43AA">
        <w:rPr>
          <w:rFonts w:ascii="Univers" w:hAnsi="Univers" w:cs="Arial"/>
          <w:bCs/>
          <w:noProof/>
          <w:sz w:val="16"/>
          <w:szCs w:val="16"/>
          <w:shd w:val="clear" w:color="auto" w:fill="FFFFFF"/>
          <w:lang w:val="es-ES"/>
        </w:rPr>
        <w:t xml:space="preserve">Petición 1119/03 - Comunidad Garífuna de Punta Piedra, </w:t>
      </w:r>
      <w:smartTag w:uri="urn:schemas-microsoft-com:office:smarttags" w:element="PersonName">
        <w:r w:rsidRPr="00FB43AA">
          <w:rPr>
            <w:rFonts w:ascii="Univers" w:hAnsi="Univers" w:cs="Arial"/>
            <w:bCs/>
            <w:noProof/>
            <w:sz w:val="16"/>
            <w:szCs w:val="16"/>
            <w:shd w:val="clear" w:color="auto" w:fill="FFFFFF"/>
            <w:lang w:val="es-ES"/>
          </w:rPr>
          <w:t>Honduras</w:t>
        </w:r>
      </w:smartTag>
      <w:r w:rsidRPr="00FB43AA">
        <w:rPr>
          <w:rFonts w:ascii="Univers" w:hAnsi="Univers" w:cs="Arial"/>
          <w:bCs/>
          <w:noProof/>
          <w:sz w:val="16"/>
          <w:szCs w:val="16"/>
          <w:lang w:val="es-ES"/>
        </w:rPr>
        <w:t xml:space="preserve">”, </w:t>
      </w:r>
      <w:r w:rsidRPr="00FB43AA">
        <w:rPr>
          <w:rFonts w:ascii="Univers" w:hAnsi="Univers" w:cs="Arial"/>
          <w:bCs/>
          <w:iCs/>
          <w:noProof/>
          <w:sz w:val="16"/>
          <w:szCs w:val="16"/>
          <w:lang w:val="es-ES"/>
        </w:rPr>
        <w:t>124</w:t>
      </w:r>
      <w:r w:rsidRPr="00FB43AA">
        <w:rPr>
          <w:rFonts w:ascii="Univers" w:hAnsi="Univers" w:cs="Arial"/>
          <w:noProof/>
          <w:sz w:val="16"/>
          <w:szCs w:val="16"/>
          <w:lang w:val="es-ES"/>
        </w:rPr>
        <w:t xml:space="preserve">° periodo ordinario de sesiones de la CIDH]. Ver también, Comunicado público de OFRANEH del 12 de junio de 2007 donde se afirma que Punta Piedra cuenta con un título ejidal que data de 1921. [Anexo 3. Comunicado público de la OFRANEH del 12 de junio de 2007. Anexo del escrito de la peticionaria de 12 de junio de 2007, recibido por la CIDH el 14 de junio de 2007]. Por su parte el Estado afirmó que “el 26 de diciembre del año 1922 el Estado de </w:t>
      </w:r>
      <w:smartTag w:uri="urn:schemas-microsoft-com:office:smarttags" w:element="PersonName">
        <w:r w:rsidRPr="00FB43AA">
          <w:rPr>
            <w:rFonts w:ascii="Univers" w:hAnsi="Univers" w:cs="Arial"/>
            <w:noProof/>
            <w:sz w:val="16"/>
            <w:szCs w:val="16"/>
            <w:lang w:val="es-ES"/>
          </w:rPr>
          <w:t>Honduras</w:t>
        </w:r>
      </w:smartTag>
      <w:r w:rsidRPr="00FB43AA">
        <w:rPr>
          <w:rFonts w:ascii="Univers" w:hAnsi="Univers" w:cs="Arial"/>
          <w:noProof/>
          <w:sz w:val="16"/>
          <w:szCs w:val="16"/>
          <w:lang w:val="es-ES"/>
        </w:rPr>
        <w:t xml:space="preserve"> </w:t>
      </w:r>
      <w:r w:rsidRPr="00FB43AA">
        <w:rPr>
          <w:rFonts w:ascii="Univers" w:hAnsi="Univers" w:cs="Arial"/>
          <w:bCs/>
          <w:noProof/>
          <w:sz w:val="16"/>
          <w:szCs w:val="16"/>
          <w:lang w:val="es-ES"/>
        </w:rPr>
        <w:t>[…] otorgó a la Comunidad de Punta Piedra un título ejidal (uso y goce) sobre un terreno de 800 hectáreas y fracción</w:t>
      </w:r>
      <w:r w:rsidRPr="00FB43AA">
        <w:rPr>
          <w:rFonts w:ascii="Univers" w:hAnsi="Univers" w:cs="Arial"/>
          <w:noProof/>
          <w:sz w:val="16"/>
          <w:szCs w:val="16"/>
          <w:lang w:val="es-ES"/>
        </w:rPr>
        <w:t xml:space="preserve">”. </w:t>
      </w:r>
      <w:r w:rsidRPr="00FB43AA">
        <w:rPr>
          <w:rFonts w:ascii="Univers" w:hAnsi="Univers" w:cs="Arial"/>
          <w:bCs/>
          <w:noProof/>
          <w:sz w:val="16"/>
          <w:szCs w:val="16"/>
          <w:lang w:val="es-ES"/>
        </w:rPr>
        <w:t xml:space="preserve">Documento presentado por el Estado de </w:t>
      </w:r>
      <w:smartTag w:uri="urn:schemas-microsoft-com:office:smarttags" w:element="PersonName">
        <w:r w:rsidRPr="00FB43AA">
          <w:rPr>
            <w:rFonts w:ascii="Univers" w:hAnsi="Univers" w:cs="Arial"/>
            <w:bCs/>
            <w:noProof/>
            <w:sz w:val="16"/>
            <w:szCs w:val="16"/>
            <w:lang w:val="es-ES"/>
          </w:rPr>
          <w:t>Honduras</w:t>
        </w:r>
      </w:smartTag>
      <w:r w:rsidRPr="00FB43AA">
        <w:rPr>
          <w:rFonts w:ascii="Univers" w:hAnsi="Univers" w:cs="Arial"/>
          <w:bCs/>
          <w:noProof/>
          <w:sz w:val="16"/>
          <w:szCs w:val="16"/>
          <w:lang w:val="es-ES"/>
        </w:rPr>
        <w:t xml:space="preserve"> </w:t>
      </w:r>
      <w:r w:rsidRPr="00FB43AA">
        <w:rPr>
          <w:rFonts w:ascii="Univers" w:hAnsi="Univers" w:cs="Arial"/>
          <w:noProof/>
          <w:sz w:val="16"/>
          <w:szCs w:val="16"/>
          <w:lang w:val="es-ES"/>
        </w:rPr>
        <w:t>el 19 de julio de 2007, durante reunión de trabajo del 128</w:t>
      </w:r>
      <w:r w:rsidRPr="00FB43AA">
        <w:rPr>
          <w:rFonts w:ascii="Univers" w:hAnsi="Univers" w:cs="Arial"/>
          <w:noProof/>
          <w:sz w:val="16"/>
          <w:szCs w:val="16"/>
          <w:lang w:val="es-ES"/>
        </w:rPr>
        <w:sym w:font="Symbol" w:char="F0B0"/>
      </w:r>
      <w:r w:rsidRPr="00FB43AA">
        <w:rPr>
          <w:rFonts w:ascii="Univers" w:hAnsi="Univers" w:cs="Arial"/>
          <w:noProof/>
          <w:sz w:val="16"/>
          <w:szCs w:val="16"/>
          <w:lang w:val="es-ES"/>
        </w:rPr>
        <w:t xml:space="preserve"> periodo ordinario de sesiones</w:t>
      </w:r>
      <w:r w:rsidRPr="00FB43AA">
        <w:rPr>
          <w:rFonts w:ascii="Univers" w:hAnsi="Univers" w:cs="Arial"/>
          <w:bCs/>
          <w:noProof/>
          <w:sz w:val="16"/>
          <w:szCs w:val="16"/>
          <w:lang w:val="es-ES"/>
        </w:rPr>
        <w:t>.</w:t>
      </w:r>
    </w:p>
  </w:footnote>
  <w:footnote w:id="22">
    <w:p w:rsidR="002506B6" w:rsidRPr="00FB43AA" w:rsidRDefault="002506B6" w:rsidP="005E78C0">
      <w:pPr>
        <w:pStyle w:val="Textonotapie"/>
        <w:spacing w:after="120"/>
        <w:ind w:firstLine="720"/>
        <w:jc w:val="both"/>
        <w:rPr>
          <w:rFonts w:ascii="Univers" w:hAnsi="Univers"/>
          <w:sz w:val="16"/>
          <w:szCs w:val="16"/>
          <w:lang w:val="es-ES"/>
        </w:rPr>
      </w:pPr>
      <w:r w:rsidRPr="00FB43AA">
        <w:rPr>
          <w:rStyle w:val="Refdenotaalpie"/>
          <w:rFonts w:ascii="Univers" w:hAnsi="Univers"/>
          <w:sz w:val="16"/>
          <w:szCs w:val="16"/>
          <w:lang w:val="es-ES"/>
        </w:rPr>
        <w:footnoteRef/>
      </w:r>
      <w:r w:rsidRPr="00FB43AA">
        <w:rPr>
          <w:rFonts w:ascii="Univers" w:hAnsi="Univers"/>
          <w:sz w:val="16"/>
          <w:szCs w:val="16"/>
          <w:lang w:val="es-ES"/>
        </w:rPr>
        <w:t xml:space="preserve"> </w:t>
      </w:r>
      <w:r w:rsidRPr="00FB43AA">
        <w:rPr>
          <w:rFonts w:ascii="Univers" w:hAnsi="Univers" w:cs="Arial"/>
          <w:noProof/>
          <w:sz w:val="16"/>
          <w:szCs w:val="16"/>
          <w:lang w:val="es-ES"/>
        </w:rPr>
        <w:t>Anexo 4. “[A]creditado en las diligencias contenidas en el Expediente No. 25239 incoado con fecha OTUBRE 13 DE 1992 que la COMUNIDAD GARIFUNA “PUNTA DE PIEDRA” reune los requisitos de la Ley para ser adjudicataria de tierra en la Reforma Agraria, por este acto OTORGA: TITULO DEFINITIVO DE PROPIEDAD EN DOMINIO PLENO”. Ver en: Título definitivo de propiedad otorgado por el INA el 16 de diciembre de 1993, identificado con el Expediente No. 25239. Anexo del escrito presentado por el Estado el 19 de julio de 2007, durante reunión de trabajo del 128</w:t>
      </w:r>
      <w:r w:rsidRPr="00FB43AA">
        <w:rPr>
          <w:rFonts w:ascii="Univers" w:hAnsi="Univers" w:cs="Arial"/>
          <w:noProof/>
          <w:sz w:val="16"/>
          <w:szCs w:val="16"/>
          <w:lang w:val="es-ES"/>
        </w:rPr>
        <w:sym w:font="Symbol" w:char="F0B0"/>
      </w:r>
      <w:r w:rsidRPr="00FB43AA">
        <w:rPr>
          <w:rFonts w:ascii="Univers" w:hAnsi="Univers" w:cs="Arial"/>
          <w:noProof/>
          <w:sz w:val="16"/>
          <w:szCs w:val="16"/>
          <w:lang w:val="es-ES"/>
        </w:rPr>
        <w:t xml:space="preserve"> periodo ordinario de sesiones.</w:t>
      </w:r>
    </w:p>
  </w:footnote>
  <w:footnote w:id="23">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4. Título definitivo de propiedad otorgado por el INA el 16 de diciembre de 1993, identificado con el Expediente No. 25239. Anexo del escrito presentado por el Estado el 19 de julio de 2007, durante reunión de trabajo del 128</w:t>
      </w:r>
      <w:r w:rsidRPr="00FB43AA">
        <w:rPr>
          <w:rFonts w:ascii="Univers" w:hAnsi="Univers" w:cs="Arial"/>
          <w:noProof/>
          <w:sz w:val="16"/>
          <w:szCs w:val="16"/>
          <w:lang w:val="es-ES"/>
        </w:rPr>
        <w:sym w:font="Symbol" w:char="F0B0"/>
      </w:r>
      <w:r w:rsidRPr="00FB43AA">
        <w:rPr>
          <w:rFonts w:ascii="Univers" w:hAnsi="Univers" w:cs="Arial"/>
          <w:noProof/>
          <w:sz w:val="16"/>
          <w:szCs w:val="16"/>
          <w:lang w:val="es-ES"/>
        </w:rPr>
        <w:t xml:space="preserve"> periodo ordinario de sesiones. </w:t>
      </w:r>
    </w:p>
  </w:footnote>
  <w:footnote w:id="24">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4. Título definitivo de propiedad otorgado por el INA el 16 de diciembre de 1993, identificado con el Expediente No. 25239. Anexos del escrito presentado por el Estado el 19 de julio de 2007, durante reunión de trabajo del 128</w:t>
      </w:r>
      <w:r w:rsidRPr="00FB43AA">
        <w:rPr>
          <w:rFonts w:ascii="Univers" w:hAnsi="Univers" w:cs="Arial"/>
          <w:noProof/>
          <w:sz w:val="16"/>
          <w:szCs w:val="16"/>
          <w:lang w:val="es-ES"/>
        </w:rPr>
        <w:sym w:font="Symbol" w:char="F0B0"/>
      </w:r>
      <w:r w:rsidRPr="00FB43AA">
        <w:rPr>
          <w:rFonts w:ascii="Univers" w:hAnsi="Univers" w:cs="Arial"/>
          <w:noProof/>
          <w:sz w:val="16"/>
          <w:szCs w:val="16"/>
          <w:lang w:val="es-ES"/>
        </w:rPr>
        <w:t xml:space="preserve"> periodo ordinario de sesiones.</w:t>
      </w:r>
    </w:p>
  </w:footnote>
  <w:footnote w:id="25">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Ley para la Modernización y el Desarrollo del Sector Agrícola. Fuente: INA, Marco legal. Disponible en: </w:t>
      </w:r>
      <w:hyperlink r:id="rId11" w:history="1">
        <w:r w:rsidRPr="00FB43AA">
          <w:rPr>
            <w:rStyle w:val="Hipervnculo"/>
            <w:rFonts w:ascii="Univers" w:hAnsi="Univers" w:cs="Arial"/>
            <w:noProof/>
            <w:sz w:val="16"/>
            <w:szCs w:val="16"/>
            <w:lang w:val="es-ES"/>
          </w:rPr>
          <w:t>http://www.ina.hn/userfiles/file/nuevos/ley_para_la_modernizacion_y_desarrollo_del_sector_agricola_lmdsa.pdf</w:t>
        </w:r>
      </w:hyperlink>
      <w:r w:rsidRPr="00FB43AA">
        <w:rPr>
          <w:rFonts w:ascii="Univers" w:hAnsi="Univers" w:cs="Arial"/>
          <w:noProof/>
          <w:sz w:val="16"/>
          <w:szCs w:val="16"/>
          <w:lang w:val="es-ES"/>
        </w:rPr>
        <w:t>.</w:t>
      </w:r>
    </w:p>
  </w:footnote>
  <w:footnote w:id="26">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Según la información disponible, con arreglo a esta legislación, “entre 1993 y 2004, 36 comunidades garífunas y 6 Empresas Asociativas Campesinas garífunas en los Departamentos de Atlántida, Colón, Cortés, Gracias a Dios e Islas de la Bahía obtuvieron un título pleno de propiedad comunal”. Véase Panel de Inspección del Banco Mundial. </w:t>
      </w:r>
      <w:r w:rsidRPr="00FB43AA">
        <w:rPr>
          <w:rFonts w:ascii="Univers" w:hAnsi="Univers" w:cs="Arial"/>
          <w:i/>
          <w:noProof/>
          <w:sz w:val="16"/>
          <w:szCs w:val="16"/>
          <w:lang w:val="es-ES"/>
        </w:rPr>
        <w:t xml:space="preserve">Informe de investigación sobre Programa de Administración de Tierras de </w:t>
      </w:r>
      <w:smartTag w:uri="urn:schemas-microsoft-com:office:smarttags" w:element="PersonName">
        <w:r w:rsidRPr="00FB43AA">
          <w:rPr>
            <w:rFonts w:ascii="Univers" w:hAnsi="Univers" w:cs="Arial"/>
            <w:i/>
            <w:noProof/>
            <w:sz w:val="16"/>
            <w:szCs w:val="16"/>
            <w:lang w:val="es-ES"/>
          </w:rPr>
          <w:t>Honduras</w:t>
        </w:r>
      </w:smartTag>
      <w:r w:rsidRPr="00FB43AA">
        <w:rPr>
          <w:rFonts w:ascii="Univers" w:hAnsi="Univers" w:cs="Arial"/>
          <w:i/>
          <w:noProof/>
          <w:sz w:val="16"/>
          <w:szCs w:val="16"/>
          <w:lang w:val="es-ES"/>
        </w:rPr>
        <w:t xml:space="preserve">. </w:t>
      </w:r>
      <w:r w:rsidRPr="00FB43AA">
        <w:rPr>
          <w:rFonts w:ascii="Univers" w:hAnsi="Univers" w:cs="Arial"/>
          <w:noProof/>
          <w:sz w:val="16"/>
          <w:szCs w:val="16"/>
          <w:lang w:val="es-ES"/>
        </w:rPr>
        <w:t xml:space="preserve">Informe No. 39933-HN. Disponible en: </w:t>
      </w:r>
      <w:hyperlink r:id="rId12" w:history="1">
        <w:r w:rsidRPr="00FB43AA">
          <w:rPr>
            <w:rStyle w:val="Hipervnculo"/>
            <w:rFonts w:ascii="Univers" w:hAnsi="Univers"/>
            <w:sz w:val="16"/>
            <w:szCs w:val="16"/>
          </w:rPr>
          <w:t>http://siteresources.worldbank.org/EXTINSPECTIONPANEL/Resources/HondurasFINALINVESTIGATIONREPORTSpanishTrad.pdf</w:t>
        </w:r>
      </w:hyperlink>
      <w:r w:rsidRPr="00FB43AA">
        <w:rPr>
          <w:rFonts w:ascii="Univers" w:hAnsi="Univers" w:cs="Arial"/>
          <w:noProof/>
          <w:sz w:val="16"/>
          <w:szCs w:val="16"/>
          <w:lang w:val="es-ES"/>
        </w:rPr>
        <w:t>.</w:t>
      </w:r>
    </w:p>
  </w:footnote>
  <w:footnote w:id="27">
    <w:p w:rsidR="002506B6" w:rsidRPr="00FB43AA" w:rsidRDefault="002506B6" w:rsidP="005E78C0">
      <w:pPr>
        <w:pStyle w:val="Textonotapie"/>
        <w:spacing w:after="120"/>
        <w:ind w:firstLine="720"/>
        <w:jc w:val="both"/>
        <w:rPr>
          <w:rFonts w:ascii="Univers" w:hAnsi="Univers"/>
          <w:sz w:val="16"/>
          <w:szCs w:val="16"/>
          <w:lang w:val="es-CL"/>
        </w:rPr>
      </w:pPr>
      <w:r w:rsidRPr="00FB43AA">
        <w:rPr>
          <w:rStyle w:val="Refdenotaalpie"/>
          <w:rFonts w:ascii="Univers" w:hAnsi="Univers"/>
          <w:sz w:val="16"/>
          <w:szCs w:val="16"/>
        </w:rPr>
        <w:footnoteRef/>
      </w:r>
      <w:r w:rsidRPr="00FB43AA">
        <w:rPr>
          <w:rFonts w:ascii="Univers" w:hAnsi="Univers"/>
          <w:sz w:val="16"/>
          <w:szCs w:val="16"/>
          <w:lang w:val="es-CL"/>
        </w:rPr>
        <w:t xml:space="preserve"> “[…</w:t>
      </w:r>
      <w:proofErr w:type="gramStart"/>
      <w:r w:rsidRPr="00FB43AA">
        <w:rPr>
          <w:rFonts w:ascii="Univers" w:hAnsi="Univers"/>
          <w:sz w:val="16"/>
          <w:szCs w:val="16"/>
          <w:lang w:val="es-CL"/>
        </w:rPr>
        <w:t>]El</w:t>
      </w:r>
      <w:proofErr w:type="gramEnd"/>
      <w:r w:rsidRPr="00FB43AA">
        <w:rPr>
          <w:rFonts w:ascii="Univers" w:hAnsi="Univers"/>
          <w:sz w:val="16"/>
          <w:szCs w:val="16"/>
          <w:lang w:val="es-CL"/>
        </w:rPr>
        <w:t xml:space="preserve"> Licenciado ANIBAL DELGADO FIALLOS en la condición con que actúa declara que a raíz de la Solicitud de tierras presentada por el Patronato Pro-Mejoramiento de La Comunidad Punta de Piedra, con personalidad Jurídica número 274-96, en expediente número 10775-52147 les otorgó TITULO DEFINITIVO DE PROPIEDAD EN DOMINIO PLENO […]”. </w:t>
      </w:r>
      <w:r w:rsidRPr="00FB43AA">
        <w:rPr>
          <w:rFonts w:ascii="Univers" w:hAnsi="Univers" w:cs="Arial"/>
          <w:noProof/>
          <w:sz w:val="16"/>
          <w:szCs w:val="16"/>
          <w:lang w:val="es-ES"/>
        </w:rPr>
        <w:t>Anexo 5. Rectificación del título definitivo de propiedad en dominio pleno otorgado por el INA el 11 de enero de 2000. Anexo de la petición inicial de fecha 27 de octubre de 2003, recibida por la CIDH el 29 de octubre de 2003, y Anexos del escrito presentado por el Estado el 19 de julio de 2007, durante reunión de trabajo del 128</w:t>
      </w:r>
      <w:r w:rsidRPr="00FB43AA">
        <w:rPr>
          <w:rFonts w:ascii="Univers" w:hAnsi="Univers" w:cs="Arial"/>
          <w:noProof/>
          <w:sz w:val="16"/>
          <w:szCs w:val="16"/>
          <w:lang w:val="es-ES"/>
        </w:rPr>
        <w:sym w:font="Symbol" w:char="F0B0"/>
      </w:r>
      <w:r w:rsidRPr="00FB43AA">
        <w:rPr>
          <w:rFonts w:ascii="Univers" w:hAnsi="Univers" w:cs="Arial"/>
          <w:noProof/>
          <w:sz w:val="16"/>
          <w:szCs w:val="16"/>
          <w:lang w:val="es-ES"/>
        </w:rPr>
        <w:t xml:space="preserve"> periodo ordinario de sesiones.</w:t>
      </w:r>
    </w:p>
  </w:footnote>
  <w:footnote w:id="28">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6. Título definitivo de propiedad otorgado por el INA el 6 de diciembre de 1999, identificado con el Expediente No. 52147-10775. Anexos del escrito presentado por el Estado el 19 de julio de 2007, durante reunión de trabajo del 128</w:t>
      </w:r>
      <w:r w:rsidRPr="00FB43AA">
        <w:rPr>
          <w:rFonts w:ascii="Univers" w:hAnsi="Univers" w:cs="Arial"/>
          <w:noProof/>
          <w:sz w:val="16"/>
          <w:szCs w:val="16"/>
          <w:lang w:val="es-ES"/>
        </w:rPr>
        <w:sym w:font="Symbol" w:char="F0B0"/>
      </w:r>
      <w:r w:rsidRPr="00FB43AA">
        <w:rPr>
          <w:rFonts w:ascii="Univers" w:hAnsi="Univers" w:cs="Arial"/>
          <w:noProof/>
          <w:sz w:val="16"/>
          <w:szCs w:val="16"/>
          <w:lang w:val="es-ES"/>
        </w:rPr>
        <w:t xml:space="preserve"> periodo ordinario de sesiones. </w:t>
      </w:r>
    </w:p>
  </w:footnote>
  <w:footnote w:id="29">
    <w:p w:rsidR="002506B6" w:rsidRPr="00FB43AA" w:rsidRDefault="002506B6" w:rsidP="005E78C0">
      <w:pPr>
        <w:pStyle w:val="Textonotapie"/>
        <w:spacing w:after="120"/>
        <w:ind w:firstLine="720"/>
        <w:jc w:val="both"/>
        <w:rPr>
          <w:rFonts w:ascii="Univers" w:hAnsi="Univers"/>
          <w:sz w:val="16"/>
          <w:szCs w:val="16"/>
          <w:lang w:val="es-ES"/>
        </w:rPr>
      </w:pPr>
      <w:r w:rsidRPr="00FB43AA">
        <w:rPr>
          <w:rStyle w:val="Refdenotaalpie"/>
          <w:rFonts w:ascii="Univers" w:hAnsi="Univers"/>
          <w:sz w:val="16"/>
          <w:szCs w:val="16"/>
          <w:lang w:val="es-ES"/>
        </w:rPr>
        <w:footnoteRef/>
      </w:r>
      <w:r w:rsidRPr="00FB43AA">
        <w:rPr>
          <w:rFonts w:ascii="Univers" w:hAnsi="Univers"/>
          <w:sz w:val="16"/>
          <w:szCs w:val="16"/>
          <w:lang w:val="es-ES"/>
        </w:rPr>
        <w:t xml:space="preserve"> </w:t>
      </w:r>
      <w:r w:rsidRPr="00FB43AA">
        <w:rPr>
          <w:rFonts w:ascii="Univers" w:hAnsi="Univers" w:cs="Arial"/>
          <w:noProof/>
          <w:sz w:val="16"/>
          <w:szCs w:val="16"/>
          <w:lang w:val="es-ES"/>
        </w:rPr>
        <w:t>Anexo 6. Título definitivo de propiedad otorgado por el INA el 6 de diciembre de 1999, identificado con el Expediente No. 52147-10775. Anexos del escrito presentado por el Estado el 19 de julio de 2007, durante reunión de trabajo del 128</w:t>
      </w:r>
      <w:r w:rsidRPr="00FB43AA">
        <w:rPr>
          <w:rFonts w:ascii="Univers" w:hAnsi="Univers" w:cs="Arial"/>
          <w:noProof/>
          <w:sz w:val="16"/>
          <w:szCs w:val="16"/>
          <w:lang w:val="es-ES"/>
        </w:rPr>
        <w:sym w:font="Symbol" w:char="F0B0"/>
      </w:r>
      <w:r w:rsidRPr="00FB43AA">
        <w:rPr>
          <w:rFonts w:ascii="Univers" w:hAnsi="Univers" w:cs="Arial"/>
          <w:noProof/>
          <w:sz w:val="16"/>
          <w:szCs w:val="16"/>
          <w:lang w:val="es-ES"/>
        </w:rPr>
        <w:t xml:space="preserve"> periodo ordinario de sesiones.</w:t>
      </w:r>
    </w:p>
  </w:footnote>
  <w:footnote w:id="30">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Al respecto, el título dispone, a la letra, que: “En el predio descrito queda comprendida una superficie de CUARENTA Y SEIS HECTAREAS, DOCE AREAS CON NOVENTA Y SEIS PUNTO SESENTA Y SEIS CENTIAREAS (46 Has. 12 As. 96.66 Cas.), que por estar tituladas en dominio pleno a favor de los señores: Ambrocio Thomas Castillos, con dos (2) predios, uno de 22 Has. 65 As. 75.06 Cas. y otro de 3 Has. 61 As. 97.99 Cas y Sergia Zapata Martínez con un predio de 19 Has. 85 As. 23.61 Cas.; no forman parte de la presente adjudicación”.</w:t>
      </w:r>
      <w:r w:rsidRPr="00FB43AA">
        <w:rPr>
          <w:rFonts w:ascii="Univers" w:hAnsi="Univers" w:cs="Arial"/>
          <w:b/>
          <w:noProof/>
          <w:color w:val="FF0000"/>
          <w:sz w:val="16"/>
          <w:szCs w:val="16"/>
          <w:lang w:val="es-ES"/>
        </w:rPr>
        <w:t xml:space="preserve"> </w:t>
      </w:r>
      <w:r w:rsidRPr="00FB43AA">
        <w:rPr>
          <w:rFonts w:ascii="Univers" w:hAnsi="Univers" w:cs="Arial"/>
          <w:noProof/>
          <w:sz w:val="16"/>
          <w:szCs w:val="16"/>
          <w:lang w:val="es-ES"/>
        </w:rPr>
        <w:t>Anexo 6. Título definitivo de propiedad otorgado por el INA el 6 de diciembre de 1999, identificado con el Expediente No. 52147-10775. Anexos del escrito presentado por el Estado el 19 de julio de 2007, durante reunión de trabajo del 128</w:t>
      </w:r>
      <w:r w:rsidRPr="00FB43AA">
        <w:rPr>
          <w:rFonts w:ascii="Univers" w:hAnsi="Univers" w:cs="Arial"/>
          <w:noProof/>
          <w:sz w:val="16"/>
          <w:szCs w:val="16"/>
          <w:lang w:val="es-ES"/>
        </w:rPr>
        <w:sym w:font="Symbol" w:char="F0B0"/>
      </w:r>
      <w:r w:rsidRPr="00FB43AA">
        <w:rPr>
          <w:rFonts w:ascii="Univers" w:hAnsi="Univers" w:cs="Arial"/>
          <w:noProof/>
          <w:sz w:val="16"/>
          <w:szCs w:val="16"/>
          <w:lang w:val="es-ES"/>
        </w:rPr>
        <w:t xml:space="preserve"> periodo ordinario de sesiones. </w:t>
      </w:r>
    </w:p>
  </w:footnote>
  <w:footnote w:id="31">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Asimismo, el título establece que: “Este título de propiedad constituye un patrimonio inalienable de la comunidad beneficiaria, excepto en  los casos en que la trasferencia de dominio se haga con el propósito de construir vivienda a favor de los miembros de dicha comunidad que carezcan de ella, asimismo la transferencia de dominio que hagan los propietarios de viviendas tiene que ser a favor de miembros de la comunidad. En ambos casos tiene que haber una aprobación de la Junta Directiva del Patronato, misma que debe constar en el Instrumento de transferencia de dominio. El Patronato tendrá derecho preferente para la adquisición del dominio de las viviendas que estén en venta pero tampoco podrá vender a terceras personas naturales o jurídicas, solamente podrá hacerlo a los miembros de la comunidad Garífuna beneficiaria”. Anexo 6. Título definitivo de propiedad otorgado por el INA el 6 de diciembre de 1999, identificado con el Expediente No. 52147-10775. Anexos del escrito presentado por el Estado el 19 de julio de 2007, durante reunión de trabajo del 128</w:t>
      </w:r>
      <w:r w:rsidRPr="00FB43AA">
        <w:rPr>
          <w:rFonts w:ascii="Univers" w:hAnsi="Univers" w:cs="Arial"/>
          <w:noProof/>
          <w:sz w:val="16"/>
          <w:szCs w:val="16"/>
          <w:lang w:val="es-ES"/>
        </w:rPr>
        <w:sym w:font="Symbol" w:char="F0B0"/>
      </w:r>
      <w:r w:rsidRPr="00FB43AA">
        <w:rPr>
          <w:rFonts w:ascii="Univers" w:hAnsi="Univers" w:cs="Arial"/>
          <w:noProof/>
          <w:sz w:val="16"/>
          <w:szCs w:val="16"/>
          <w:lang w:val="es-ES"/>
        </w:rPr>
        <w:t xml:space="preserve"> periodo ordinario de sesiones.</w:t>
      </w:r>
    </w:p>
  </w:footnote>
  <w:footnote w:id="32">
    <w:p w:rsidR="002506B6" w:rsidRPr="00FB43AA" w:rsidRDefault="002506B6" w:rsidP="005E78C0">
      <w:pPr>
        <w:pStyle w:val="Textonotapie"/>
        <w:tabs>
          <w:tab w:val="left" w:pos="5220"/>
        </w:tabs>
        <w:spacing w:after="120"/>
        <w:ind w:firstLine="720"/>
        <w:jc w:val="both"/>
        <w:rPr>
          <w:rFonts w:ascii="Univers" w:hAnsi="Univers"/>
          <w:sz w:val="16"/>
          <w:szCs w:val="16"/>
          <w:lang w:val="es-CL"/>
        </w:rPr>
      </w:pPr>
      <w:r w:rsidRPr="00FB43AA">
        <w:rPr>
          <w:rStyle w:val="Refdenotaalpie"/>
          <w:rFonts w:ascii="Univers" w:hAnsi="Univers"/>
          <w:sz w:val="16"/>
          <w:szCs w:val="16"/>
        </w:rPr>
        <w:footnoteRef/>
      </w:r>
      <w:r w:rsidRPr="00FB43AA">
        <w:rPr>
          <w:rFonts w:ascii="Univers" w:hAnsi="Univers"/>
          <w:sz w:val="16"/>
          <w:szCs w:val="16"/>
          <w:lang w:val="es-CL"/>
        </w:rPr>
        <w:t xml:space="preserve"> </w:t>
      </w:r>
      <w:r w:rsidRPr="00FB43AA">
        <w:rPr>
          <w:rFonts w:ascii="Univers" w:hAnsi="Univers" w:cs="Arial"/>
          <w:noProof/>
          <w:sz w:val="16"/>
          <w:szCs w:val="16"/>
          <w:lang w:val="es-ES"/>
        </w:rPr>
        <w:t>Anexo 5. Rectificación del título definitivo de propiedad en dominio pleno otorgado por el INA el 11 de enero de 2000. Anexo de la petición inicial de fecha 27 de octubre de 2003, recibida por la CIDH el 29 de octubre de 2003, y Anexos del escrito presentado por el Estado el 19 de julio de 2007, durante reunión de trabajo del 128</w:t>
      </w:r>
      <w:r w:rsidRPr="00FB43AA">
        <w:rPr>
          <w:rFonts w:ascii="Univers" w:hAnsi="Univers" w:cs="Arial"/>
          <w:noProof/>
          <w:sz w:val="16"/>
          <w:szCs w:val="16"/>
          <w:lang w:val="es-ES"/>
        </w:rPr>
        <w:sym w:font="Symbol" w:char="F0B0"/>
      </w:r>
      <w:r w:rsidRPr="00FB43AA">
        <w:rPr>
          <w:rFonts w:ascii="Univers" w:hAnsi="Univers" w:cs="Arial"/>
          <w:noProof/>
          <w:sz w:val="16"/>
          <w:szCs w:val="16"/>
          <w:lang w:val="es-ES"/>
        </w:rPr>
        <w:t xml:space="preserve"> periodo ordinario de sesiones.</w:t>
      </w:r>
    </w:p>
  </w:footnote>
  <w:footnote w:id="33">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Según el acta de compromiso del 13 de diciembre de 2001, suscrita por autoridades estatales, “[…] con la llegada de los primeros pobladores a la comunidad que reconocemos de Río Miel, se inició un problema de tenencia de la tierra entre la comunidad de Punta Piedra y la de Río Miel […]”.  Anexo 7. Acta de compromiso del 13 de diciembre de 2001. Anexo de la petición inicial de fecha 27 de octubre de 2003, recibida por la CIDH el 29 de octubre de 2003. . </w:t>
      </w:r>
    </w:p>
  </w:footnote>
  <w:footnote w:id="34">
    <w:p w:rsidR="002506B6" w:rsidRPr="00FB43AA" w:rsidRDefault="002506B6" w:rsidP="005E78C0">
      <w:pPr>
        <w:pStyle w:val="Textonotapie"/>
        <w:spacing w:after="120"/>
        <w:ind w:firstLine="720"/>
        <w:jc w:val="both"/>
        <w:rPr>
          <w:rFonts w:ascii="Univers" w:hAnsi="Univers"/>
          <w:sz w:val="16"/>
          <w:szCs w:val="16"/>
          <w:lang w:val="es-ES"/>
        </w:rPr>
      </w:pPr>
      <w:r w:rsidRPr="00FB43AA">
        <w:rPr>
          <w:rStyle w:val="Refdenotaalpie"/>
          <w:rFonts w:ascii="Univers" w:hAnsi="Univers"/>
          <w:sz w:val="16"/>
          <w:szCs w:val="16"/>
          <w:lang w:val="es-ES"/>
        </w:rPr>
        <w:footnoteRef/>
      </w:r>
      <w:r w:rsidRPr="00FB43AA">
        <w:rPr>
          <w:rFonts w:ascii="Univers" w:hAnsi="Univers"/>
          <w:sz w:val="16"/>
          <w:szCs w:val="16"/>
          <w:lang w:val="es-ES"/>
        </w:rPr>
        <w:t xml:space="preserve"> </w:t>
      </w:r>
      <w:r w:rsidRPr="00FB43AA">
        <w:rPr>
          <w:rFonts w:ascii="Univers" w:hAnsi="Univers" w:cs="Arial"/>
          <w:noProof/>
          <w:sz w:val="16"/>
          <w:szCs w:val="16"/>
          <w:lang w:val="es-ES"/>
        </w:rPr>
        <w:t>Contestación inicial del Estado del 25 de marzo de 2004, recibida el 31 de marzo de 2004.</w:t>
      </w:r>
    </w:p>
  </w:footnote>
  <w:footnote w:id="35">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CIDH, Audiencia Pública de fecha 7 de marzo de 2006 </w:t>
      </w:r>
      <w:r w:rsidRPr="00FB43AA">
        <w:rPr>
          <w:rFonts w:ascii="Univers" w:hAnsi="Univers" w:cs="Arial"/>
          <w:bCs/>
          <w:iCs/>
          <w:noProof/>
          <w:sz w:val="16"/>
          <w:szCs w:val="16"/>
          <w:lang w:val="es-ES"/>
        </w:rPr>
        <w:t xml:space="preserve">sobre </w:t>
      </w:r>
      <w:r w:rsidRPr="00FB43AA">
        <w:rPr>
          <w:rFonts w:ascii="Univers" w:hAnsi="Univers" w:cs="Arial"/>
          <w:noProof/>
          <w:sz w:val="16"/>
          <w:szCs w:val="16"/>
          <w:lang w:val="es-ES"/>
        </w:rPr>
        <w:t>“</w:t>
      </w:r>
      <w:r w:rsidRPr="00FB43AA">
        <w:rPr>
          <w:rFonts w:ascii="Univers" w:hAnsi="Univers" w:cs="Arial"/>
          <w:bCs/>
          <w:noProof/>
          <w:sz w:val="16"/>
          <w:szCs w:val="16"/>
          <w:shd w:val="clear" w:color="auto" w:fill="FFFFFF"/>
          <w:lang w:val="es-ES"/>
        </w:rPr>
        <w:t xml:space="preserve">Petición 1119/03 - Comunidad Garífuna de Punta Piedra, </w:t>
      </w:r>
      <w:smartTag w:uri="urn:schemas-microsoft-com:office:smarttags" w:element="PersonName">
        <w:r w:rsidRPr="00FB43AA">
          <w:rPr>
            <w:rFonts w:ascii="Univers" w:hAnsi="Univers" w:cs="Arial"/>
            <w:bCs/>
            <w:noProof/>
            <w:sz w:val="16"/>
            <w:szCs w:val="16"/>
            <w:shd w:val="clear" w:color="auto" w:fill="FFFFFF"/>
            <w:lang w:val="es-ES"/>
          </w:rPr>
          <w:t>Honduras</w:t>
        </w:r>
      </w:smartTag>
      <w:r w:rsidRPr="00FB43AA">
        <w:rPr>
          <w:rFonts w:ascii="Univers" w:hAnsi="Univers" w:cs="Arial"/>
          <w:bCs/>
          <w:noProof/>
          <w:sz w:val="16"/>
          <w:szCs w:val="16"/>
          <w:lang w:val="es-ES"/>
        </w:rPr>
        <w:t xml:space="preserve">”, </w:t>
      </w:r>
      <w:r w:rsidRPr="00FB43AA">
        <w:rPr>
          <w:rFonts w:ascii="Univers" w:hAnsi="Univers" w:cs="Arial"/>
          <w:bCs/>
          <w:iCs/>
          <w:noProof/>
          <w:sz w:val="16"/>
          <w:szCs w:val="16"/>
          <w:lang w:val="es-ES"/>
        </w:rPr>
        <w:t>124</w:t>
      </w:r>
      <w:r w:rsidRPr="00FB43AA">
        <w:rPr>
          <w:rFonts w:ascii="Univers" w:hAnsi="Univers" w:cs="Arial"/>
          <w:noProof/>
          <w:sz w:val="16"/>
          <w:szCs w:val="16"/>
          <w:lang w:val="es-ES"/>
        </w:rPr>
        <w:t>° periodo ordinario de sesiones de la CIDH.</w:t>
      </w:r>
    </w:p>
  </w:footnote>
  <w:footnote w:id="36">
    <w:p w:rsidR="002506B6" w:rsidRPr="00FB43AA" w:rsidRDefault="002506B6" w:rsidP="005E78C0">
      <w:pPr>
        <w:pStyle w:val="Ttulo1"/>
        <w:spacing w:after="120"/>
        <w:ind w:firstLine="720"/>
        <w:jc w:val="both"/>
        <w:rPr>
          <w:rFonts w:ascii="Univers" w:hAnsi="Univers"/>
          <w:b w:val="0"/>
          <w:sz w:val="16"/>
          <w:szCs w:val="16"/>
          <w:lang w:val="es-ES"/>
        </w:rPr>
      </w:pPr>
      <w:r w:rsidRPr="00FB43AA">
        <w:rPr>
          <w:rStyle w:val="Refdenotaalpie"/>
          <w:rFonts w:ascii="Univers" w:hAnsi="Univers"/>
          <w:b w:val="0"/>
          <w:sz w:val="16"/>
          <w:szCs w:val="16"/>
          <w:lang w:val="es-ES"/>
        </w:rPr>
        <w:footnoteRef/>
      </w:r>
      <w:r w:rsidRPr="00FB43AA">
        <w:rPr>
          <w:rFonts w:ascii="Univers" w:hAnsi="Univers"/>
          <w:b w:val="0"/>
          <w:sz w:val="16"/>
          <w:szCs w:val="16"/>
          <w:lang w:val="es-ES"/>
        </w:rPr>
        <w:t xml:space="preserve"> Ver en La Tribuna, 22 de mayo de 2011, “</w:t>
      </w:r>
      <w:hyperlink r:id="rId13" w:history="1">
        <w:r w:rsidRPr="00FB43AA">
          <w:rPr>
            <w:rStyle w:val="Hipervnculo"/>
            <w:rFonts w:ascii="Univers" w:hAnsi="Univers"/>
            <w:b w:val="0"/>
            <w:sz w:val="16"/>
            <w:szCs w:val="16"/>
            <w:lang w:val="es-ES"/>
          </w:rPr>
          <w:t>Reserva Forestal Sierra Río Tinto: Se impulsa proceso para declararla legalmente como un parque nacional”</w:t>
        </w:r>
      </w:hyperlink>
      <w:r w:rsidRPr="00FB43AA">
        <w:rPr>
          <w:rFonts w:ascii="Univers" w:hAnsi="Univers"/>
          <w:b w:val="0"/>
          <w:sz w:val="16"/>
          <w:szCs w:val="16"/>
          <w:lang w:val="es-ES"/>
        </w:rPr>
        <w:t xml:space="preserve">. Disponible en </w:t>
      </w:r>
      <w:hyperlink r:id="rId14" w:history="1">
        <w:r w:rsidRPr="00FB43AA">
          <w:rPr>
            <w:rStyle w:val="Hipervnculo"/>
            <w:rFonts w:ascii="Univers" w:hAnsi="Univers"/>
            <w:b w:val="0"/>
            <w:sz w:val="16"/>
            <w:szCs w:val="16"/>
            <w:lang w:val="es-ES"/>
          </w:rPr>
          <w:t>http://old.latribuna.hn/2011/05/22/reserva-forestal-sierra-rio-tinto-se-impulsa-proceso-para-declararla-legalmente-como-un-parque-nacional/</w:t>
        </w:r>
      </w:hyperlink>
    </w:p>
    <w:p w:rsidR="002506B6" w:rsidRPr="00FB43AA" w:rsidRDefault="002506B6" w:rsidP="005E78C0">
      <w:pPr>
        <w:spacing w:after="120"/>
        <w:ind w:firstLine="720"/>
        <w:jc w:val="both"/>
        <w:rPr>
          <w:sz w:val="16"/>
          <w:szCs w:val="16"/>
          <w:lang w:val="es-ES"/>
        </w:rPr>
      </w:pPr>
      <w:r w:rsidRPr="00FB43AA">
        <w:rPr>
          <w:sz w:val="16"/>
          <w:szCs w:val="16"/>
          <w:lang w:val="es-ES"/>
        </w:rPr>
        <w:t xml:space="preserve">Ver también Acuerdo 007-2011 del Instituto Nacional de Conservación y Desarrollo Forestal, Áreas Protegidas y Vida Silvestre. </w:t>
      </w:r>
      <w:hyperlink r:id="rId15" w:history="1">
        <w:r w:rsidRPr="00FB43AA">
          <w:rPr>
            <w:rStyle w:val="Hipervnculo"/>
            <w:sz w:val="16"/>
            <w:szCs w:val="16"/>
            <w:lang w:val="es-ES"/>
          </w:rPr>
          <w:t>La Gaceta, Diario Oficial de la República de Honduras de fecha 5 de julio de 2011</w:t>
        </w:r>
      </w:hyperlink>
      <w:r w:rsidRPr="00FB43AA">
        <w:rPr>
          <w:sz w:val="16"/>
          <w:szCs w:val="16"/>
          <w:lang w:val="es-ES"/>
        </w:rPr>
        <w:t xml:space="preserve">. Disponible en: </w:t>
      </w:r>
      <w:hyperlink r:id="rId16" w:history="1">
        <w:r w:rsidRPr="00FB43AA">
          <w:rPr>
            <w:rStyle w:val="Hipervnculo"/>
            <w:sz w:val="16"/>
            <w:szCs w:val="16"/>
            <w:lang w:val="es-ES"/>
          </w:rPr>
          <w:t>http://www.tsc.gob.hn/leyes/Declarar%20como%20area%20protegida%20el%20Parque%20Nacional%20Sierra%20Rio%20Tinto%20Iriona%20Colon.pdf</w:t>
        </w:r>
      </w:hyperlink>
    </w:p>
  </w:footnote>
  <w:footnote w:id="37">
    <w:p w:rsidR="002506B6" w:rsidRPr="00FB43AA" w:rsidRDefault="002506B6" w:rsidP="005E78C0">
      <w:pPr>
        <w:spacing w:after="120"/>
        <w:ind w:firstLine="720"/>
        <w:jc w:val="both"/>
        <w:rPr>
          <w:sz w:val="16"/>
          <w:szCs w:val="16"/>
          <w:lang w:val="es-ES"/>
        </w:rPr>
      </w:pPr>
      <w:r w:rsidRPr="00FB43AA">
        <w:rPr>
          <w:rStyle w:val="Refdenotaalpie"/>
          <w:sz w:val="16"/>
          <w:szCs w:val="16"/>
          <w:lang w:val="es-ES"/>
        </w:rPr>
        <w:footnoteRef/>
      </w:r>
      <w:r w:rsidRPr="00FB43AA">
        <w:rPr>
          <w:sz w:val="16"/>
          <w:szCs w:val="16"/>
          <w:lang w:val="es-ES"/>
        </w:rPr>
        <w:t xml:space="preserve"> Al respecto, ver artículo 101 de la Ley de Propiedad de </w:t>
      </w:r>
      <w:smartTag w:uri="urn:schemas-microsoft-com:office:smarttags" w:element="PersonName">
        <w:r w:rsidRPr="00FB43AA">
          <w:rPr>
            <w:sz w:val="16"/>
            <w:szCs w:val="16"/>
            <w:lang w:val="es-ES"/>
          </w:rPr>
          <w:t>Honduras</w:t>
        </w:r>
      </w:smartTag>
      <w:r w:rsidRPr="00FB43AA">
        <w:rPr>
          <w:sz w:val="16"/>
          <w:szCs w:val="16"/>
          <w:lang w:val="es-ES"/>
        </w:rPr>
        <w:t xml:space="preserve">, Decreto 82 del 28 de mayo de 2004, que establece: El manejo de áreas protegidas que se encuentran dentro de tierras de estos pueblos será hecho en forma conjunta con el Estado, respetando la normativa del ordenamiento territorial que defina afectaciones de uso y titularidad por razones de interés general. Disponible en: </w:t>
      </w:r>
      <w:hyperlink r:id="rId17" w:history="1">
        <w:r w:rsidRPr="00FB43AA">
          <w:rPr>
            <w:rStyle w:val="Hipervnculo"/>
            <w:sz w:val="16"/>
            <w:szCs w:val="16"/>
          </w:rPr>
          <w:t>http://www.congresonacional.hn/index.php?option=com_wrapper&amp;view=wrapper&amp;Itemid=66</w:t>
        </w:r>
      </w:hyperlink>
      <w:r w:rsidRPr="00FB43AA">
        <w:rPr>
          <w:sz w:val="16"/>
          <w:szCs w:val="16"/>
        </w:rPr>
        <w:t>.</w:t>
      </w:r>
    </w:p>
  </w:footnote>
  <w:footnote w:id="38">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7. Acta de compromiso del 13 de diciembre de 2001. Anexo de la petición inicial de fecha 27 de octubre de 2003, recibida por la CIDH el 29 de octubre de 2003.</w:t>
      </w:r>
    </w:p>
  </w:footnote>
  <w:footnote w:id="39">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8. Informe final del levantamiento catastral del área titulada en ampliación a favor de la Comunidad Garífuna de Punta Piedra del 12 de julio de 2007. Anexo del escrito de observaciones de fondo del Estado de fecha 13 de octubre de 2010, recibido por la CIDH en la misma fecha.</w:t>
      </w:r>
    </w:p>
  </w:footnote>
  <w:footnote w:id="40">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8. Informe final del levantamiento catastral del área titulada en ampliación a favor de la Comunidad Garífuna de Punta Piedra del 12 de julio de 2007. Anexo del escrito de observaciones de fondo del Estado de fecha 13 de octubre de 2010, recibido por la CIDH en la misma fecha.</w:t>
      </w:r>
    </w:p>
  </w:footnote>
  <w:footnote w:id="41">
    <w:p w:rsidR="002506B6" w:rsidRPr="00FB43AA" w:rsidRDefault="002506B6" w:rsidP="005E78C0">
      <w:pPr>
        <w:pStyle w:val="Textonotapie"/>
        <w:spacing w:after="120"/>
        <w:ind w:firstLine="720"/>
        <w:jc w:val="both"/>
        <w:rPr>
          <w:rFonts w:ascii="Univers" w:hAnsi="Univers"/>
          <w:sz w:val="16"/>
          <w:szCs w:val="16"/>
          <w:lang w:val="es-ES"/>
        </w:rPr>
      </w:pPr>
      <w:r w:rsidRPr="00FB43AA">
        <w:rPr>
          <w:rStyle w:val="Refdenotaalpie"/>
          <w:rFonts w:ascii="Univers" w:hAnsi="Univers"/>
          <w:sz w:val="16"/>
          <w:szCs w:val="16"/>
          <w:lang w:val="es-ES"/>
        </w:rPr>
        <w:footnoteRef/>
      </w:r>
      <w:r w:rsidRPr="00FB43AA">
        <w:rPr>
          <w:rFonts w:ascii="Univers" w:hAnsi="Univers"/>
          <w:sz w:val="16"/>
          <w:szCs w:val="16"/>
          <w:lang w:val="es-ES"/>
        </w:rPr>
        <w:t xml:space="preserve"> </w:t>
      </w:r>
      <w:r w:rsidRPr="00FB43AA">
        <w:rPr>
          <w:rFonts w:ascii="Univers" w:hAnsi="Univers" w:cs="Arial"/>
          <w:noProof/>
          <w:sz w:val="16"/>
          <w:szCs w:val="16"/>
          <w:lang w:val="es-ES"/>
        </w:rPr>
        <w:t>Anexo 2. Mapa sobre “ubicación geográfica del terreno de la Comunidad Garífuna de Punta Piedra” elaborado por el INA el 12 de julio de 2007. Anexo del escrito presentado por el Estado el 19 de julio de 2007, durante reunión de trabajo del 128 periodo ordinario de sesiones.</w:t>
      </w:r>
    </w:p>
  </w:footnote>
  <w:footnote w:id="42">
    <w:p w:rsidR="002506B6" w:rsidRPr="00FB43AA" w:rsidRDefault="002506B6" w:rsidP="005E78C0">
      <w:pPr>
        <w:pStyle w:val="Textonotapie"/>
        <w:spacing w:after="120"/>
        <w:ind w:firstLine="720"/>
        <w:jc w:val="both"/>
        <w:rPr>
          <w:rFonts w:ascii="Univers" w:hAnsi="Univers"/>
          <w:sz w:val="16"/>
          <w:szCs w:val="16"/>
          <w:lang w:val="es-ES"/>
        </w:rPr>
      </w:pPr>
      <w:r w:rsidRPr="00FB43AA">
        <w:rPr>
          <w:rStyle w:val="Refdenotaalpie"/>
          <w:rFonts w:ascii="Univers" w:hAnsi="Univers"/>
          <w:sz w:val="16"/>
          <w:szCs w:val="16"/>
          <w:lang w:val="es-ES"/>
        </w:rPr>
        <w:footnoteRef/>
      </w:r>
      <w:r w:rsidRPr="00FB43AA">
        <w:rPr>
          <w:rFonts w:ascii="Univers" w:hAnsi="Univers"/>
          <w:sz w:val="16"/>
          <w:szCs w:val="16"/>
          <w:lang w:val="es-ES"/>
        </w:rPr>
        <w:t xml:space="preserve"> </w:t>
      </w:r>
      <w:r w:rsidRPr="00FB43AA">
        <w:rPr>
          <w:rFonts w:ascii="Univers" w:hAnsi="Univers" w:cs="Arial"/>
          <w:noProof/>
          <w:sz w:val="16"/>
          <w:szCs w:val="16"/>
          <w:lang w:val="es-ES"/>
        </w:rPr>
        <w:t>Escrito presentado por el Estado el 19 de julio de 2007, durante reunión de trabajo del 128 periodo ordinario de sesiones.</w:t>
      </w:r>
    </w:p>
  </w:footnote>
  <w:footnote w:id="43">
    <w:p w:rsidR="002506B6" w:rsidRPr="00FB43AA" w:rsidRDefault="002506B6" w:rsidP="005E78C0">
      <w:pPr>
        <w:pStyle w:val="Textonotapie"/>
        <w:spacing w:after="120"/>
        <w:ind w:firstLine="720"/>
        <w:jc w:val="both"/>
        <w:rPr>
          <w:rFonts w:ascii="Univers" w:hAnsi="Univers"/>
          <w:sz w:val="16"/>
          <w:szCs w:val="16"/>
          <w:lang w:val="es-ES"/>
        </w:rPr>
      </w:pPr>
      <w:r w:rsidRPr="00FB43AA">
        <w:rPr>
          <w:rStyle w:val="Refdenotaalpie"/>
          <w:rFonts w:ascii="Univers" w:hAnsi="Univers"/>
          <w:sz w:val="16"/>
          <w:szCs w:val="16"/>
          <w:lang w:val="es-ES"/>
        </w:rPr>
        <w:footnoteRef/>
      </w:r>
      <w:r w:rsidRPr="00FB43AA">
        <w:rPr>
          <w:rFonts w:ascii="Univers" w:hAnsi="Univers"/>
          <w:sz w:val="16"/>
          <w:szCs w:val="16"/>
          <w:lang w:val="es-ES"/>
        </w:rPr>
        <w:t xml:space="preserve"> </w:t>
      </w:r>
      <w:r w:rsidRPr="00FB43AA">
        <w:rPr>
          <w:rFonts w:ascii="Univers" w:hAnsi="Univers" w:cs="Arial"/>
          <w:noProof/>
          <w:sz w:val="16"/>
          <w:szCs w:val="16"/>
          <w:lang w:val="es-ES"/>
        </w:rPr>
        <w:t xml:space="preserve">Petición inicial de fecha 27 de octubre de 2003, recibida por la CIDH el 29 de octubre de 2003. </w:t>
      </w:r>
    </w:p>
  </w:footnote>
  <w:footnote w:id="44">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7. Acta de compromiso del 13 de diciembre de 2001. Anexo de la petición inicial de fecha 27 de octubre de 2003, recibida por la CIDH el 29 de octubre de 2003.</w:t>
      </w:r>
    </w:p>
  </w:footnote>
  <w:footnote w:id="45">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7. Acta de compromiso del 13 de diciembre de 2001. Anexo de la petición inicial de fecha 27 de octubre de 2003, recibida por la CIDH el 29 de octubre de 2003.</w:t>
      </w:r>
    </w:p>
  </w:footnote>
  <w:footnote w:id="46">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7. Acta de compromiso del 13 de diciembre de 2001. Anexo de la petición inicial de fecha 27 de octubre de 2003, recibida por la CIDH el 29 de octubre de 2003.</w:t>
      </w:r>
    </w:p>
  </w:footnote>
  <w:footnote w:id="47">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7. Acta de compromiso del 13 de diciembre de 2001. Anexo de la petición inicial de fecha 27 de octubre de 2003, recibida por la CIDH el 29 de octubre de 2003.</w:t>
      </w:r>
    </w:p>
  </w:footnote>
  <w:footnote w:id="48">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9. Carta enviada por la OFRANEH al Ministro Director del INA de fecha 21 de febrero de 2002. Anexo de la petición inicial de fecha 27 de octubre de 2003, recibida por la CIDH el 29 de octubre de 2003.</w:t>
      </w:r>
    </w:p>
  </w:footnote>
  <w:footnote w:id="49">
    <w:p w:rsidR="002506B6" w:rsidRPr="00FB43AA" w:rsidRDefault="002506B6" w:rsidP="005E78C0">
      <w:pPr>
        <w:pStyle w:val="Textonotapie"/>
        <w:spacing w:after="120"/>
        <w:ind w:firstLine="720"/>
        <w:jc w:val="both"/>
        <w:rPr>
          <w:rFonts w:ascii="Univers" w:hAnsi="Univers"/>
          <w:sz w:val="16"/>
          <w:szCs w:val="16"/>
          <w:lang w:val="es-ES"/>
        </w:rPr>
      </w:pPr>
      <w:r w:rsidRPr="00FB43AA">
        <w:rPr>
          <w:rStyle w:val="Refdenotaalpie"/>
          <w:rFonts w:ascii="Univers" w:hAnsi="Univers"/>
          <w:sz w:val="16"/>
          <w:szCs w:val="16"/>
          <w:lang w:val="es-ES"/>
        </w:rPr>
        <w:footnoteRef/>
      </w:r>
      <w:r w:rsidRPr="00FB43AA">
        <w:rPr>
          <w:rFonts w:ascii="Univers" w:hAnsi="Univers"/>
          <w:sz w:val="16"/>
          <w:szCs w:val="16"/>
          <w:lang w:val="es-ES"/>
        </w:rPr>
        <w:t xml:space="preserve"> </w:t>
      </w:r>
      <w:r w:rsidRPr="00FB43AA">
        <w:rPr>
          <w:rFonts w:ascii="Univers" w:hAnsi="Univers" w:cs="Arial"/>
          <w:noProof/>
          <w:sz w:val="16"/>
          <w:szCs w:val="16"/>
          <w:lang w:val="es-ES"/>
        </w:rPr>
        <w:t>Escrito de observaciones de fondo del Estado de fecha 13 de octubre de 2010, recibido por la CIDH en la misma fecha.</w:t>
      </w:r>
    </w:p>
  </w:footnote>
  <w:footnote w:id="50">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CIDH, Audiencia Pública de fecha 7 de marzo de 2006 </w:t>
      </w:r>
      <w:r w:rsidRPr="00FB43AA">
        <w:rPr>
          <w:rFonts w:ascii="Univers" w:hAnsi="Univers" w:cs="Arial"/>
          <w:bCs/>
          <w:iCs/>
          <w:noProof/>
          <w:sz w:val="16"/>
          <w:szCs w:val="16"/>
          <w:lang w:val="es-ES"/>
        </w:rPr>
        <w:t xml:space="preserve">sobre </w:t>
      </w:r>
      <w:r w:rsidRPr="00FB43AA">
        <w:rPr>
          <w:rFonts w:ascii="Univers" w:hAnsi="Univers" w:cs="Arial"/>
          <w:noProof/>
          <w:sz w:val="16"/>
          <w:szCs w:val="16"/>
          <w:lang w:val="es-ES"/>
        </w:rPr>
        <w:t>“</w:t>
      </w:r>
      <w:r w:rsidRPr="00FB43AA">
        <w:rPr>
          <w:rFonts w:ascii="Univers" w:hAnsi="Univers" w:cs="Arial"/>
          <w:bCs/>
          <w:noProof/>
          <w:sz w:val="16"/>
          <w:szCs w:val="16"/>
          <w:shd w:val="clear" w:color="auto" w:fill="FFFFFF"/>
          <w:lang w:val="es-ES"/>
        </w:rPr>
        <w:t xml:space="preserve">Petición 1119/03 - Comunidad Garífuna de Punta Piedra, </w:t>
      </w:r>
      <w:smartTag w:uri="urn:schemas-microsoft-com:office:smarttags" w:element="PersonName">
        <w:r w:rsidRPr="00FB43AA">
          <w:rPr>
            <w:rFonts w:ascii="Univers" w:hAnsi="Univers" w:cs="Arial"/>
            <w:bCs/>
            <w:noProof/>
            <w:sz w:val="16"/>
            <w:szCs w:val="16"/>
            <w:shd w:val="clear" w:color="auto" w:fill="FFFFFF"/>
            <w:lang w:val="es-ES"/>
          </w:rPr>
          <w:t>Honduras</w:t>
        </w:r>
      </w:smartTag>
      <w:r w:rsidRPr="00FB43AA">
        <w:rPr>
          <w:rFonts w:ascii="Univers" w:hAnsi="Univers" w:cs="Arial"/>
          <w:bCs/>
          <w:noProof/>
          <w:sz w:val="16"/>
          <w:szCs w:val="16"/>
          <w:lang w:val="es-ES"/>
        </w:rPr>
        <w:t xml:space="preserve">”, </w:t>
      </w:r>
      <w:r w:rsidRPr="00FB43AA">
        <w:rPr>
          <w:rFonts w:ascii="Univers" w:hAnsi="Univers" w:cs="Arial"/>
          <w:bCs/>
          <w:iCs/>
          <w:noProof/>
          <w:sz w:val="16"/>
          <w:szCs w:val="16"/>
          <w:lang w:val="es-ES"/>
        </w:rPr>
        <w:t>124</w:t>
      </w:r>
      <w:r w:rsidRPr="00FB43AA">
        <w:rPr>
          <w:rFonts w:ascii="Univers" w:hAnsi="Univers" w:cs="Arial"/>
          <w:noProof/>
          <w:sz w:val="16"/>
          <w:szCs w:val="16"/>
          <w:lang w:val="es-ES"/>
        </w:rPr>
        <w:t xml:space="preserve">° periodo ordinario de sesiones de la CIDH, </w:t>
      </w:r>
      <w:r w:rsidRPr="00FB43AA">
        <w:rPr>
          <w:rFonts w:ascii="Univers" w:hAnsi="Univers"/>
          <w:noProof/>
          <w:sz w:val="16"/>
          <w:szCs w:val="16"/>
          <w:lang w:val="es-ES"/>
        </w:rPr>
        <w:t xml:space="preserve">Testimonio de </w:t>
      </w:r>
      <w:r w:rsidRPr="00FB43AA">
        <w:rPr>
          <w:rFonts w:ascii="Univers" w:hAnsi="Univers" w:cs="Arial"/>
          <w:bCs/>
          <w:noProof/>
          <w:sz w:val="16"/>
          <w:szCs w:val="16"/>
          <w:lang w:val="es-ES"/>
        </w:rPr>
        <w:t>Edito Suazo Ávila.</w:t>
      </w:r>
    </w:p>
  </w:footnote>
  <w:footnote w:id="51">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1. Moción suscrita por los Diputados Olegario López Róchez, Erick Mauricio Rodríguez, Samuel Martínez, Jorge Leonídas García, entre otros y presentada con fecha 18 de abril de 2002 ante el Congreso Nacional. Anexo de la petición inicial de fecha 27 de octubre de 2003, recibida por la CIDH el 29 de octubre de 2003 y Anexo de escrito de observaciones de fondo del Estado de fecha 13 de octubre de 2010, recibido por la CIDH en la misma fecha.</w:t>
      </w:r>
    </w:p>
  </w:footnote>
  <w:footnote w:id="52">
    <w:p w:rsidR="002506B6" w:rsidRPr="00FB43AA" w:rsidRDefault="002506B6" w:rsidP="005E78C0">
      <w:pPr>
        <w:spacing w:after="120"/>
        <w:ind w:firstLine="720"/>
        <w:jc w:val="both"/>
        <w:rPr>
          <w:sz w:val="16"/>
          <w:szCs w:val="16"/>
          <w:lang w:val="es-ES"/>
        </w:rPr>
      </w:pPr>
      <w:r w:rsidRPr="00FB43AA">
        <w:rPr>
          <w:rStyle w:val="Refdenotaalpie"/>
          <w:sz w:val="16"/>
          <w:szCs w:val="16"/>
          <w:lang w:val="es-ES"/>
        </w:rPr>
        <w:footnoteRef/>
      </w:r>
      <w:r w:rsidRPr="00FB43AA">
        <w:rPr>
          <w:sz w:val="16"/>
          <w:szCs w:val="16"/>
          <w:lang w:val="es-ES"/>
        </w:rPr>
        <w:t xml:space="preserve"> Anexo 1. </w:t>
      </w:r>
      <w:r w:rsidRPr="00FB43AA">
        <w:rPr>
          <w:noProof/>
          <w:sz w:val="16"/>
          <w:szCs w:val="16"/>
          <w:lang w:val="es-ES"/>
        </w:rPr>
        <w:t>Moción suscrita por los Diputados Olegario López Róchez, Erick Mauricio Rodríguez, Samuel Martínez, Jorge Leonídas García, entre otros y presentada con fecha 18 de abril de 2002 ante el Congreso Nacional. Anexo de la petición inicial de fecha 27 de octubre de 2003, recibida por la CIDH el 29 de octubre de 2003.</w:t>
      </w:r>
    </w:p>
  </w:footnote>
  <w:footnote w:id="53">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10. Carta enviada por  la Comisión de Presupuesto del Congreso Nacional al INA de fecha 26 de agosto de 2002. Anexo de la contestación inicial del Estado del 25 de marzo de 2004, recibida el 31 de marzo de 2004.</w:t>
      </w:r>
    </w:p>
  </w:footnote>
  <w:footnote w:id="54">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11. Carta enviada por el Ministro Director del INA al Congreso Nacional de fecha 4 de septiembre de 2002. Anexo de la contestación inicial del Estado del 25 de marzo de 2004, recibida el 31 de marzo de 2004.</w:t>
      </w:r>
    </w:p>
  </w:footnote>
  <w:footnote w:id="55">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12. Carta enviada por el Ministro Director del INA al Congreso Nacional de fecha 2 de octubre de 2002. Anexo de la petición inicial de fecha 27 de octubre de 2003, recibida por la CIDH el 29 de octubre de 2003.</w:t>
      </w:r>
    </w:p>
  </w:footnote>
  <w:footnote w:id="56">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13. Carta enviada por el Patronato Pro-Mejoramiento de la Comunidad de Punta Piedra al Ministro Director del INA de 24 de agosto de 2002. Anexo de la petición inicial de fecha 27 de octubre de 2003, recibida por la CIDH el 29 de octubre de 2003.</w:t>
      </w:r>
    </w:p>
  </w:footnote>
  <w:footnote w:id="57">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14. Carta enviada por la OFRANEH al Congreso Nacional de fecha 1 de octubre de 2002. Anexo de la petición inicial de fecha 27 de octubre de 2003, recibida por la CIDH el 29 de octubre de 2003.</w:t>
      </w:r>
    </w:p>
  </w:footnote>
  <w:footnote w:id="58">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15. Carta enviada por el Ministro Director del INA a la OFRANEH de fecha 26 de mayo de 2003. Anexo de la contestación inicial del Estado del 25 de marzo de 2004, recibida el 31 de marzo de 2004.</w:t>
      </w:r>
    </w:p>
  </w:footnote>
  <w:footnote w:id="59">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16. Carta enviada por el Patronato Pro-Mejoramiento de la Comunidad al Ministro Director del INA de fecha 3 de septiembre de 2003. Anexo de la contestación inicial del Estado del 25 de marzo de 2004, recibida el 31 de marzo de 2004. Al respecto, consta ante la CIDH que, el 10 de septiembre de 2003, el Ministro Director del INA giró instrucciones al Jefe Regional a efectos de que se realice una investigación </w:t>
      </w:r>
      <w:r w:rsidRPr="00FB43AA">
        <w:rPr>
          <w:rFonts w:ascii="Univers" w:hAnsi="Univers" w:cs="Arial"/>
          <w:i/>
          <w:noProof/>
          <w:sz w:val="16"/>
          <w:szCs w:val="16"/>
          <w:lang w:val="es-ES"/>
        </w:rPr>
        <w:t>in situ</w:t>
      </w:r>
      <w:r w:rsidRPr="00FB43AA">
        <w:rPr>
          <w:rFonts w:ascii="Univers" w:hAnsi="Univers" w:cs="Arial"/>
          <w:noProof/>
          <w:sz w:val="16"/>
          <w:szCs w:val="16"/>
          <w:lang w:val="es-ES"/>
        </w:rPr>
        <w:t>; no obstante, no obra ante la CIDH prueba de su realización efectiva.</w:t>
      </w:r>
      <w:r w:rsidRPr="00FB43AA">
        <w:rPr>
          <w:rFonts w:ascii="Univers" w:hAnsi="Univers" w:cs="Arial"/>
          <w:b/>
          <w:noProof/>
          <w:color w:val="FF0000"/>
          <w:sz w:val="16"/>
          <w:szCs w:val="16"/>
          <w:lang w:val="es-ES"/>
        </w:rPr>
        <w:t xml:space="preserve"> </w:t>
      </w:r>
      <w:r w:rsidRPr="00FB43AA">
        <w:rPr>
          <w:rFonts w:ascii="Univers" w:hAnsi="Univers" w:cs="Arial"/>
          <w:noProof/>
          <w:sz w:val="16"/>
          <w:szCs w:val="16"/>
          <w:lang w:val="es-ES"/>
        </w:rPr>
        <w:t>Anexo 10. Comunicación dirigida por el Ministro Director del INA al Jefe Regional para el Bajo Aguan de fecha 10 de septiembre de 2003. Anexo de la contestación inicial del Estado del 25 de marzo de 2004, recibida el 31 de marzo de 2004.</w:t>
      </w:r>
    </w:p>
  </w:footnote>
  <w:footnote w:id="60">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Véase Anexo 15. Carta enviada por el Ministro Director del INA a la OFRANEH de fecha 26 de mayo de 2003. Anexo de la contestación inicial del Estado del 25 de marzo de 2004, recibida el 31 de marzo de 2004. </w:t>
      </w:r>
      <w:r w:rsidRPr="00FB43AA">
        <w:rPr>
          <w:rFonts w:ascii="Univers" w:hAnsi="Univers"/>
          <w:noProof/>
          <w:sz w:val="16"/>
          <w:szCs w:val="16"/>
          <w:lang w:val="es-ES"/>
        </w:rPr>
        <w:t xml:space="preserve">Al respecto, </w:t>
      </w:r>
      <w:r w:rsidRPr="00FB43AA">
        <w:rPr>
          <w:rFonts w:ascii="Univers" w:hAnsi="Univers" w:cs="Arial"/>
          <w:bCs/>
          <w:noProof/>
          <w:sz w:val="16"/>
          <w:szCs w:val="16"/>
          <w:lang w:val="es-ES"/>
        </w:rPr>
        <w:t>Edito Suazo Ávila, Presidente del Patronato de la Comunidad de Punta Piedra afirmó en audiencia pública ante la CIDH:</w:t>
      </w:r>
      <w:r w:rsidRPr="00FB43AA">
        <w:rPr>
          <w:rFonts w:ascii="Univers" w:hAnsi="Univers"/>
          <w:noProof/>
          <w:sz w:val="16"/>
          <w:szCs w:val="16"/>
          <w:lang w:val="es-ES"/>
        </w:rPr>
        <w:t xml:space="preserve"> “</w:t>
      </w:r>
      <w:r w:rsidRPr="00FB43AA">
        <w:rPr>
          <w:rFonts w:ascii="Univers" w:hAnsi="Univers" w:cs="Arial"/>
          <w:bCs/>
          <w:noProof/>
          <w:sz w:val="16"/>
          <w:szCs w:val="16"/>
          <w:lang w:val="es-ES"/>
        </w:rPr>
        <w:t xml:space="preserve">Le pedimos al gobierno dinero para sanear el problema, el Congreso aceptó entregar al dinero y se lo entregó a finanzas y ellos a INA para que hicieran el saneamiento, seguimos esperando por el INA y nunca llegó. Regresamos y preguntamos de nuevo y ellos dijeron que lo habían usado para pagar a sus trabajadores por eso estamos aquí hoy, por todos estos abusos”. </w:t>
      </w:r>
      <w:r w:rsidRPr="00FB43AA">
        <w:rPr>
          <w:rFonts w:ascii="Univers" w:hAnsi="Univers" w:cs="Arial"/>
          <w:noProof/>
          <w:sz w:val="16"/>
          <w:szCs w:val="16"/>
          <w:lang w:val="es-ES"/>
        </w:rPr>
        <w:t xml:space="preserve">CIDH, Audiencia Pública de fecha 7 de marzo de 2006 </w:t>
      </w:r>
      <w:r w:rsidRPr="00FB43AA">
        <w:rPr>
          <w:rFonts w:ascii="Univers" w:hAnsi="Univers" w:cs="Arial"/>
          <w:bCs/>
          <w:iCs/>
          <w:noProof/>
          <w:sz w:val="16"/>
          <w:szCs w:val="16"/>
          <w:lang w:val="es-ES"/>
        </w:rPr>
        <w:t xml:space="preserve">sobre </w:t>
      </w:r>
      <w:r w:rsidRPr="00FB43AA">
        <w:rPr>
          <w:rFonts w:ascii="Univers" w:hAnsi="Univers" w:cs="Arial"/>
          <w:noProof/>
          <w:sz w:val="16"/>
          <w:szCs w:val="16"/>
          <w:lang w:val="es-ES"/>
        </w:rPr>
        <w:t>“</w:t>
      </w:r>
      <w:r w:rsidRPr="00FB43AA">
        <w:rPr>
          <w:rFonts w:ascii="Univers" w:hAnsi="Univers" w:cs="Arial"/>
          <w:bCs/>
          <w:noProof/>
          <w:sz w:val="16"/>
          <w:szCs w:val="16"/>
          <w:shd w:val="clear" w:color="auto" w:fill="FFFFFF"/>
          <w:lang w:val="es-ES"/>
        </w:rPr>
        <w:t xml:space="preserve">Petición 1119/03 - Comunidad Garífuna de Punta Piedra, </w:t>
      </w:r>
      <w:smartTag w:uri="urn:schemas-microsoft-com:office:smarttags" w:element="PersonName">
        <w:r w:rsidRPr="00FB43AA">
          <w:rPr>
            <w:rFonts w:ascii="Univers" w:hAnsi="Univers" w:cs="Arial"/>
            <w:bCs/>
            <w:noProof/>
            <w:sz w:val="16"/>
            <w:szCs w:val="16"/>
            <w:shd w:val="clear" w:color="auto" w:fill="FFFFFF"/>
            <w:lang w:val="es-ES"/>
          </w:rPr>
          <w:t>Honduras</w:t>
        </w:r>
      </w:smartTag>
      <w:r w:rsidRPr="00FB43AA">
        <w:rPr>
          <w:rFonts w:ascii="Univers" w:hAnsi="Univers" w:cs="Arial"/>
          <w:bCs/>
          <w:noProof/>
          <w:sz w:val="16"/>
          <w:szCs w:val="16"/>
          <w:lang w:val="es-ES"/>
        </w:rPr>
        <w:t xml:space="preserve">”, </w:t>
      </w:r>
      <w:r w:rsidRPr="00FB43AA">
        <w:rPr>
          <w:rFonts w:ascii="Univers" w:hAnsi="Univers" w:cs="Arial"/>
          <w:bCs/>
          <w:iCs/>
          <w:noProof/>
          <w:sz w:val="16"/>
          <w:szCs w:val="16"/>
          <w:lang w:val="es-ES"/>
        </w:rPr>
        <w:t>124</w:t>
      </w:r>
      <w:r w:rsidRPr="00FB43AA">
        <w:rPr>
          <w:rFonts w:ascii="Univers" w:hAnsi="Univers" w:cs="Arial"/>
          <w:noProof/>
          <w:sz w:val="16"/>
          <w:szCs w:val="16"/>
          <w:lang w:val="es-ES"/>
        </w:rPr>
        <w:t>° periodo ordinario de sesiones de la CIDH</w:t>
      </w:r>
      <w:r w:rsidRPr="00FB43AA">
        <w:rPr>
          <w:rFonts w:ascii="Univers" w:hAnsi="Univers" w:cs="Arial"/>
          <w:bCs/>
          <w:noProof/>
          <w:sz w:val="16"/>
          <w:szCs w:val="16"/>
          <w:lang w:val="es-ES"/>
        </w:rPr>
        <w:t>.</w:t>
      </w:r>
      <w:r w:rsidRPr="00FB43AA">
        <w:rPr>
          <w:rStyle w:val="Refdenotaalpie"/>
          <w:rFonts w:ascii="Univers" w:hAnsi="Univers" w:cs="Arial"/>
          <w:noProof/>
          <w:sz w:val="16"/>
          <w:szCs w:val="16"/>
          <w:lang w:val="es-ES"/>
        </w:rPr>
        <w:t xml:space="preserve"> </w:t>
      </w:r>
      <w:r w:rsidRPr="00FB43AA">
        <w:rPr>
          <w:rFonts w:ascii="Univers" w:hAnsi="Univers" w:cs="Arial"/>
          <w:noProof/>
          <w:sz w:val="16"/>
          <w:szCs w:val="16"/>
          <w:lang w:val="es-ES"/>
        </w:rPr>
        <w:t xml:space="preserve"> Testimonio de </w:t>
      </w:r>
      <w:r w:rsidRPr="00FB43AA">
        <w:rPr>
          <w:rFonts w:ascii="Univers" w:hAnsi="Univers" w:cs="Arial"/>
          <w:bCs/>
          <w:noProof/>
          <w:sz w:val="16"/>
          <w:szCs w:val="16"/>
          <w:lang w:val="es-ES"/>
        </w:rPr>
        <w:t>Edito Suazo Ávila.</w:t>
      </w:r>
      <w:r w:rsidRPr="00FB43AA">
        <w:rPr>
          <w:rFonts w:ascii="Univers" w:hAnsi="Univers" w:cs="Arial"/>
          <w:noProof/>
          <w:sz w:val="16"/>
          <w:szCs w:val="16"/>
          <w:lang w:val="es-ES"/>
        </w:rPr>
        <w:t xml:space="preserve"> Asimismo, el Estado afirmó que “[…] nunca fue incorporada la partida en el presupuesto de la Institución para el saneamiento de Punta Piedra, razón por la cual dicho saneamiento no ha sido efectuado”. Contestación inicial del Estado del 25 de marzo de 2004, recibida el 31 de marzo de 2004 y escrito de observaciones de fondo del Estado de fecha 13 de octubre de 2010, recibido por la CIDH en la misma fecha. Véase también Anexo 3. Comunicado público de la OFRANEH del 12 de junio de 2007. Anexo del escrito de la peticionaria de 12 de junio de 2007, recibido por la CIDH el 14 de junio de 2007; y observaciones de fondo de la peticionaria de fecha 8 de septiembre de 2010, recibido por la CIDH el 27 de septiembre de 2010.</w:t>
      </w:r>
    </w:p>
  </w:footnote>
  <w:footnote w:id="61">
    <w:p w:rsidR="002506B6" w:rsidRPr="00FB43AA" w:rsidRDefault="002506B6" w:rsidP="005E78C0">
      <w:pPr>
        <w:pStyle w:val="Textonotapie"/>
        <w:spacing w:after="120"/>
        <w:ind w:firstLine="720"/>
        <w:jc w:val="both"/>
        <w:rPr>
          <w:rFonts w:ascii="Univers" w:hAnsi="Univers"/>
          <w:sz w:val="16"/>
          <w:szCs w:val="16"/>
          <w:lang w:val="es-ES"/>
        </w:rPr>
      </w:pPr>
      <w:r w:rsidRPr="00FB43AA">
        <w:rPr>
          <w:rStyle w:val="Refdenotaalpie"/>
          <w:rFonts w:ascii="Univers" w:hAnsi="Univers"/>
          <w:sz w:val="16"/>
          <w:szCs w:val="16"/>
          <w:lang w:val="es-ES"/>
        </w:rPr>
        <w:footnoteRef/>
      </w:r>
      <w:r w:rsidRPr="00FB43AA">
        <w:rPr>
          <w:rFonts w:ascii="Univers" w:hAnsi="Univers"/>
          <w:sz w:val="16"/>
          <w:szCs w:val="16"/>
          <w:lang w:val="es-ES"/>
        </w:rPr>
        <w:t xml:space="preserve"> </w:t>
      </w:r>
      <w:r w:rsidRPr="00FB43AA">
        <w:rPr>
          <w:rFonts w:ascii="Univers" w:hAnsi="Univers" w:cs="Arial"/>
          <w:noProof/>
          <w:sz w:val="16"/>
          <w:szCs w:val="16"/>
          <w:lang w:val="es-ES"/>
        </w:rPr>
        <w:t>Escrito de observaciones de fondo del Estado de fecha 13 de octubre de 2010, recibido por la CIDH en la misma fecha.</w:t>
      </w:r>
    </w:p>
  </w:footnote>
  <w:footnote w:id="62">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18. Memorándum presentado por la Sección de Investigaciones Agronómicas y Avalúos al Ministro Director del INA de fecha 5 de diciembre de 2006. Anexo del escrito del Estado de fecha 19 de abril de 2007, recibido por la CIDH el 23 de abril de 2007.</w:t>
      </w:r>
    </w:p>
  </w:footnote>
  <w:footnote w:id="63">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De acuerdo a la información aportada, la conformación de dicha Comisión Interinstitucional se decidió en una reunión sostenida el 20 de febrero de 2007 entre representantes del INA, SERNA, la Procuraduría General de la República, Secretaría de Gobernación, Fiscalía de Etnias y de la Comunidad de Punta Piedra. Anexo 19. Ayuda memoria del 20 de febrero de 2007 sobre “Problemática comunidad Garífuna Punta Piedra”. Anexo del escrito de observaciones de fondo del Estado de fecha 13 de octubre de 2010, recibido por la CIDH en la misma fecha.</w:t>
      </w:r>
    </w:p>
  </w:footnote>
  <w:footnote w:id="64">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20. Acta especial del 14 de marzo de 2007. Anexo del escrito del Estado de fecha 19 de abril de 2007, recibido por la CIDH el 23 de abril de 2007.</w:t>
      </w:r>
    </w:p>
  </w:footnote>
  <w:footnote w:id="65">
    <w:p w:rsidR="002506B6" w:rsidRPr="00FB43AA" w:rsidRDefault="002506B6" w:rsidP="005E78C0">
      <w:pPr>
        <w:pStyle w:val="Textonotapie"/>
        <w:spacing w:after="120"/>
        <w:ind w:firstLine="720"/>
        <w:jc w:val="both"/>
        <w:rPr>
          <w:rFonts w:ascii="Univers" w:hAnsi="Univers" w:cs="Arial"/>
          <w:b/>
          <w:noProof/>
          <w:color w:val="FF0000"/>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21. Ayuda memoria sobre seguimiento de acta de compromiso del 22 de enero de 2007. Anexo del escrito de observaciones de fondo del Estado de fecha 13 de octubre de 2010, recibido por la CIDH en la misma fecha; y Anexo 22. Acta especial de seguimiento a los compromisos adquiridos por el Gobierno de la República con OFRANEH del 8 de junio de 2007. Anexo del escrito de la peticionaria presentado el 23 de marzo de 2007.  </w:t>
      </w:r>
    </w:p>
  </w:footnote>
  <w:footnote w:id="66">
    <w:p w:rsidR="002506B6" w:rsidRPr="00FB43AA" w:rsidRDefault="002506B6" w:rsidP="005E78C0">
      <w:pPr>
        <w:pStyle w:val="Textonotapie"/>
        <w:spacing w:after="120"/>
        <w:ind w:firstLine="720"/>
        <w:jc w:val="both"/>
        <w:rPr>
          <w:rFonts w:ascii="Univers" w:hAnsi="Univers" w:cs="Arial"/>
          <w:b/>
          <w:noProof/>
          <w:color w:val="FF0000"/>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22. Acta especial de seguimiento a los compromisos adquiridos por el Gobierno de la República con OFRANEH del 8 de junio de 2007. Anexo del escrito de la peticionaria presentado el 23 de marzo de 2007. </w:t>
      </w:r>
      <w:r w:rsidRPr="00FB43AA">
        <w:rPr>
          <w:rFonts w:ascii="Univers" w:hAnsi="Univers" w:cs="Arial"/>
          <w:b/>
          <w:noProof/>
          <w:color w:val="FF0000"/>
          <w:sz w:val="16"/>
          <w:szCs w:val="16"/>
          <w:lang w:val="es-ES"/>
        </w:rPr>
        <w:t xml:space="preserve"> </w:t>
      </w:r>
    </w:p>
  </w:footnote>
  <w:footnote w:id="67">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23. Acta especial del 20 de abril de 2007. Anexo del escrito del Estado de fecha 27 de abril de 2007, recibido por la CIDH el 30 de abril de 2007.</w:t>
      </w:r>
    </w:p>
  </w:footnote>
  <w:footnote w:id="68">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24. Oficio DE-099-2007 del 7 de junio de 2007 remitido por el Viceministro del INA al Sub Procurador General y Coordinador del Grupo de Trabajo Institucional de los Derechos Humanos de la Procuraduría General de la República. Anexo del escrito del Estado de fecha 27 de junio de 2007, recibido por la CIDH en la misma fecha. </w:t>
      </w:r>
    </w:p>
  </w:footnote>
  <w:footnote w:id="69">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8. Informe final del levantamiento catastral del área titulada en ampliación a favor de la Comunidad Garífuna de Punta Piedra del 12 de julio de 2007. Anexo del escrito de observaciones de fondo del Estado de fecha 13 de octubre de 2010, recibido por la CIDH en la misma fecha.</w:t>
      </w:r>
    </w:p>
  </w:footnote>
  <w:footnote w:id="70">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8. Informe final del levantamiento catastral del área titulada en ampliación a favor de la Comunidad Garífuna de Punta Piedra del 12 de julio de 2007. Anexo del escrito de observaciones de fondo del Estado de fecha 13 de octubre de 2010, recibido por la CIDH en la misma fecha.</w:t>
      </w:r>
    </w:p>
  </w:footnote>
  <w:footnote w:id="71">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25. Informe de Avalúo dirigido por el Investigador Agronómico al Ministro Director del INA del 23 de julio de 2007. Anexo del escrito de observaciones de fondo del Estado de fecha 22 de agosto de 2011.</w:t>
      </w:r>
    </w:p>
  </w:footnote>
  <w:footnote w:id="72">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Escrito del Estado de fecha 18 de febrero de 2011. Por su parte, en  su nota del 3 de enero de 2011, la peticionaria indicó que: “</w:t>
      </w:r>
      <w:r w:rsidRPr="00FB43AA">
        <w:rPr>
          <w:rFonts w:ascii="Univers" w:hAnsi="Univers" w:cs="Arial"/>
          <w:noProof/>
          <w:sz w:val="16"/>
          <w:szCs w:val="16"/>
          <w:lang w:val="es-ES"/>
        </w:rPr>
        <w:sym w:font="Symbol" w:char="F05B"/>
      </w:r>
      <w:r w:rsidRPr="00FB43AA">
        <w:rPr>
          <w:rFonts w:ascii="Univers" w:hAnsi="Univers" w:cs="Arial"/>
          <w:noProof/>
          <w:sz w:val="16"/>
          <w:szCs w:val="16"/>
          <w:lang w:val="es-ES"/>
        </w:rPr>
        <w:t>…</w:t>
      </w:r>
      <w:r w:rsidRPr="00FB43AA">
        <w:rPr>
          <w:rFonts w:ascii="Univers" w:hAnsi="Univers" w:cs="Arial"/>
          <w:noProof/>
          <w:sz w:val="16"/>
          <w:szCs w:val="16"/>
          <w:lang w:val="es-ES"/>
        </w:rPr>
        <w:sym w:font="Symbol" w:char="F05D"/>
      </w:r>
      <w:r w:rsidRPr="00FB43AA">
        <w:rPr>
          <w:rFonts w:ascii="Univers" w:hAnsi="Univers" w:cs="Arial"/>
          <w:noProof/>
          <w:sz w:val="16"/>
          <w:szCs w:val="16"/>
          <w:lang w:val="es-ES"/>
        </w:rPr>
        <w:t xml:space="preserve"> en el 2007 se intent</w:t>
      </w:r>
      <w:r w:rsidRPr="00FB43AA">
        <w:rPr>
          <w:rFonts w:ascii="Univers" w:hAnsi="Univers" w:cs="Arial"/>
          <w:noProof/>
          <w:sz w:val="16"/>
          <w:szCs w:val="16"/>
          <w:lang w:val="es-ES"/>
        </w:rPr>
        <w:sym w:font="Symbol" w:char="F05B"/>
      </w:r>
      <w:r w:rsidRPr="00FB43AA">
        <w:rPr>
          <w:rFonts w:ascii="Univers" w:hAnsi="Univers" w:cs="Arial"/>
          <w:noProof/>
          <w:sz w:val="16"/>
          <w:szCs w:val="16"/>
          <w:lang w:val="es-ES"/>
        </w:rPr>
        <w:t>ó</w:t>
      </w:r>
      <w:r w:rsidRPr="00FB43AA">
        <w:rPr>
          <w:rFonts w:ascii="Univers" w:hAnsi="Univers" w:cs="Arial"/>
          <w:noProof/>
          <w:sz w:val="16"/>
          <w:szCs w:val="16"/>
          <w:lang w:val="es-ES"/>
        </w:rPr>
        <w:sym w:font="Symbol" w:char="F05D"/>
      </w:r>
      <w:r w:rsidRPr="00FB43AA">
        <w:rPr>
          <w:rFonts w:ascii="Univers" w:hAnsi="Univers" w:cs="Arial"/>
          <w:noProof/>
          <w:sz w:val="16"/>
          <w:szCs w:val="16"/>
          <w:lang w:val="es-ES"/>
        </w:rPr>
        <w:t xml:space="preserve"> de nuevo solucionar la situación, lográndose efectuar un nuevo avalúo, el que fue presentado a la Secretaría de Finanzas en diciembre del 2007, el cual no fue aprobado”.</w:t>
      </w:r>
    </w:p>
  </w:footnote>
  <w:footnote w:id="73">
    <w:p w:rsidR="002506B6" w:rsidRPr="00FB43AA" w:rsidRDefault="002506B6" w:rsidP="005E78C0">
      <w:pPr>
        <w:pStyle w:val="Textonotapie"/>
        <w:spacing w:after="120"/>
        <w:ind w:firstLine="720"/>
        <w:jc w:val="both"/>
        <w:rPr>
          <w:rFonts w:ascii="Univers" w:hAnsi="Univers"/>
          <w:noProof/>
          <w:sz w:val="16"/>
          <w:szCs w:val="16"/>
          <w:lang w:val="es-ES"/>
        </w:rPr>
      </w:pPr>
      <w:r w:rsidRPr="00FB43AA">
        <w:rPr>
          <w:rStyle w:val="Refdenotaalpie"/>
          <w:rFonts w:ascii="Univers" w:hAnsi="Univers"/>
          <w:noProof/>
          <w:sz w:val="16"/>
          <w:szCs w:val="16"/>
          <w:lang w:val="es-ES"/>
        </w:rPr>
        <w:footnoteRef/>
      </w:r>
      <w:r w:rsidRPr="00FB43AA">
        <w:rPr>
          <w:rFonts w:ascii="Univers" w:hAnsi="Univers"/>
          <w:noProof/>
          <w:sz w:val="16"/>
          <w:szCs w:val="16"/>
          <w:lang w:val="es-ES"/>
        </w:rPr>
        <w:t xml:space="preserve"> Al respecto, e</w:t>
      </w:r>
      <w:r w:rsidRPr="00FB43AA">
        <w:rPr>
          <w:rFonts w:ascii="Univers" w:hAnsi="Univers" w:cs="Arial"/>
          <w:noProof/>
          <w:sz w:val="16"/>
          <w:szCs w:val="16"/>
          <w:lang w:val="es-ES"/>
        </w:rPr>
        <w:t xml:space="preserve">n el comunicado público sobre estos hechos, la OFRANEH señaló que: “El conflicto se ha dilatado durante quince años, exacerbando las relaciones raciales y fomentando la violencia, sin que hasta la fecha el Estado de </w:t>
      </w:r>
      <w:smartTag w:uri="urn:schemas-microsoft-com:office:smarttags" w:element="PersonName">
        <w:r w:rsidRPr="00FB43AA">
          <w:rPr>
            <w:rFonts w:ascii="Univers" w:hAnsi="Univers" w:cs="Arial"/>
            <w:noProof/>
            <w:sz w:val="16"/>
            <w:szCs w:val="16"/>
            <w:lang w:val="es-ES"/>
          </w:rPr>
          <w:t>Honduras</w:t>
        </w:r>
      </w:smartTag>
      <w:r w:rsidRPr="00FB43AA">
        <w:rPr>
          <w:rFonts w:ascii="Univers" w:hAnsi="Univers" w:cs="Arial"/>
          <w:noProof/>
          <w:sz w:val="16"/>
          <w:szCs w:val="16"/>
          <w:lang w:val="es-ES"/>
        </w:rPr>
        <w:t xml:space="preserve"> haya tomado las medidas pertinentes para solucionar la problemática territorial que aqueja a esa comunidad garífuna. Mientras los días pasan y la sangre corre”. Anexo 3. Comunicado público de la OFRANEH del 12 de junio de 2007. Anexo del escrito de la peticionaria de 12 de junio de 2007, recibido por la CIDH el 14 de junio de 2007.</w:t>
      </w:r>
    </w:p>
  </w:footnote>
  <w:footnote w:id="74">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7. Acta de compromiso del 13 de diciembre de 2001. Anexo de la petición inicial de fecha 27 de octubre de 2003, recibida por la CIDH el 29 de octubre de 2003.</w:t>
      </w:r>
    </w:p>
  </w:footnote>
  <w:footnote w:id="75">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CIDH, Audiencia Pública de fecha 7 de marzo de 2006 </w:t>
      </w:r>
      <w:r w:rsidRPr="00FB43AA">
        <w:rPr>
          <w:rFonts w:ascii="Univers" w:hAnsi="Univers" w:cs="Arial"/>
          <w:bCs/>
          <w:iCs/>
          <w:noProof/>
          <w:sz w:val="16"/>
          <w:szCs w:val="16"/>
          <w:lang w:val="es-ES"/>
        </w:rPr>
        <w:t xml:space="preserve">sobre </w:t>
      </w:r>
      <w:r w:rsidRPr="00FB43AA">
        <w:rPr>
          <w:rFonts w:ascii="Univers" w:hAnsi="Univers" w:cs="Arial"/>
          <w:noProof/>
          <w:sz w:val="16"/>
          <w:szCs w:val="16"/>
          <w:lang w:val="es-ES"/>
        </w:rPr>
        <w:t>“</w:t>
      </w:r>
      <w:r w:rsidRPr="00FB43AA">
        <w:rPr>
          <w:rFonts w:ascii="Univers" w:hAnsi="Univers" w:cs="Arial"/>
          <w:bCs/>
          <w:noProof/>
          <w:sz w:val="16"/>
          <w:szCs w:val="16"/>
          <w:shd w:val="clear" w:color="auto" w:fill="FFFFFF"/>
          <w:lang w:val="es-ES"/>
        </w:rPr>
        <w:t xml:space="preserve">Petición 1119/03 - Comunidad Garífuna de Punta Piedra, </w:t>
      </w:r>
      <w:smartTag w:uri="urn:schemas-microsoft-com:office:smarttags" w:element="PersonName">
        <w:r w:rsidRPr="00FB43AA">
          <w:rPr>
            <w:rFonts w:ascii="Univers" w:hAnsi="Univers" w:cs="Arial"/>
            <w:bCs/>
            <w:noProof/>
            <w:sz w:val="16"/>
            <w:szCs w:val="16"/>
            <w:shd w:val="clear" w:color="auto" w:fill="FFFFFF"/>
            <w:lang w:val="es-ES"/>
          </w:rPr>
          <w:t>Honduras</w:t>
        </w:r>
      </w:smartTag>
      <w:r w:rsidRPr="00FB43AA">
        <w:rPr>
          <w:rFonts w:ascii="Univers" w:hAnsi="Univers" w:cs="Arial"/>
          <w:bCs/>
          <w:noProof/>
          <w:sz w:val="16"/>
          <w:szCs w:val="16"/>
          <w:lang w:val="es-ES"/>
        </w:rPr>
        <w:t xml:space="preserve">”, </w:t>
      </w:r>
      <w:r w:rsidRPr="00FB43AA">
        <w:rPr>
          <w:rFonts w:ascii="Univers" w:hAnsi="Univers" w:cs="Arial"/>
          <w:bCs/>
          <w:iCs/>
          <w:noProof/>
          <w:sz w:val="16"/>
          <w:szCs w:val="16"/>
          <w:lang w:val="es-ES"/>
        </w:rPr>
        <w:t>124</w:t>
      </w:r>
      <w:r w:rsidRPr="00FB43AA">
        <w:rPr>
          <w:rFonts w:ascii="Univers" w:hAnsi="Univers" w:cs="Arial"/>
          <w:noProof/>
          <w:sz w:val="16"/>
          <w:szCs w:val="16"/>
          <w:lang w:val="es-ES"/>
        </w:rPr>
        <w:t>° periodo ordinario de sesiones de la CIDH.</w:t>
      </w:r>
    </w:p>
  </w:footnote>
  <w:footnote w:id="76">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w:t>
      </w:r>
      <w:r w:rsidRPr="00FB43AA">
        <w:rPr>
          <w:rFonts w:ascii="Univers" w:hAnsi="Univers"/>
          <w:noProof/>
          <w:sz w:val="16"/>
          <w:szCs w:val="16"/>
          <w:lang w:val="es-ES"/>
        </w:rPr>
        <w:t xml:space="preserve">Al respecto, fueron aportadas las declaraciones de Marcos Bonifacio Castillo, miembro de la Comunidad Garífuna testigo de lo ocurrido, quien indicó que Félix Ordóñez fue asesinado por residentes de Río Miel. Asimismo, afirmó que Félix Ordóñez “ya había recibido amenazas […], y el problema que tenían era por un terreno ya que le habían tomado parte del terreno a don Félix. Don Félix denuncio este problema a la fiscalía”. </w:t>
      </w:r>
      <w:r w:rsidRPr="00FB43AA">
        <w:rPr>
          <w:rFonts w:ascii="Univers" w:hAnsi="Univers" w:cs="Arial"/>
          <w:noProof/>
          <w:sz w:val="16"/>
          <w:szCs w:val="16"/>
          <w:lang w:val="es-ES"/>
        </w:rPr>
        <w:t>Anexo 26. Declaraciones de Marcos Bonifacio Castillo. Anexos del escrito presentado por la peticionaria el 19 de julio de 2007, durante reunión de trabajo del 128 periodo ordinario de sesiones.</w:t>
      </w:r>
    </w:p>
  </w:footnote>
  <w:footnote w:id="77">
    <w:p w:rsidR="002506B6" w:rsidRPr="00FB43AA" w:rsidRDefault="002506B6" w:rsidP="005E78C0">
      <w:pPr>
        <w:spacing w:after="120"/>
        <w:ind w:firstLine="720"/>
        <w:jc w:val="both"/>
        <w:rPr>
          <w:rFonts w:cs="Arial"/>
          <w:noProof/>
          <w:sz w:val="16"/>
          <w:szCs w:val="16"/>
          <w:lang w:val="es-ES"/>
        </w:rPr>
      </w:pPr>
      <w:r w:rsidRPr="00FB43AA">
        <w:rPr>
          <w:rStyle w:val="Refdenotaalpie"/>
          <w:rFonts w:cs="Arial"/>
          <w:noProof/>
          <w:sz w:val="16"/>
          <w:szCs w:val="16"/>
          <w:lang w:val="es-ES"/>
        </w:rPr>
        <w:footnoteRef/>
      </w:r>
      <w:r w:rsidRPr="00FB43AA">
        <w:rPr>
          <w:rFonts w:cs="Arial"/>
          <w:noProof/>
          <w:sz w:val="16"/>
          <w:szCs w:val="16"/>
          <w:lang w:val="es-ES"/>
        </w:rPr>
        <w:t xml:space="preserve"> En la oportunidad indicó que “[…] los ladinos de esa zona han llegado a invadir terrenos que nos pertenece a nosotros y eso que este problema desde hace 15 años hecho tal que ya tiene conocimiento la Corte Interamericana pero el problema es que está siendo objeto de amenazas por dicho conflicto”</w:t>
      </w:r>
      <w:r w:rsidRPr="00FB43AA">
        <w:rPr>
          <w:rFonts w:cs="Arial"/>
          <w:noProof/>
          <w:sz w:val="16"/>
          <w:szCs w:val="16"/>
          <w:lang w:val="es-ES"/>
        </w:rPr>
        <w:sym w:font="Symbol" w:char="F05B"/>
      </w:r>
      <w:r w:rsidRPr="00FB43AA">
        <w:rPr>
          <w:rFonts w:cs="Arial"/>
          <w:noProof/>
          <w:sz w:val="16"/>
          <w:szCs w:val="16"/>
          <w:lang w:val="es-ES"/>
        </w:rPr>
        <w:t>sic</w:t>
      </w:r>
      <w:r w:rsidRPr="00FB43AA">
        <w:rPr>
          <w:rFonts w:cs="Arial"/>
          <w:noProof/>
          <w:sz w:val="16"/>
          <w:szCs w:val="16"/>
          <w:lang w:val="es-ES"/>
        </w:rPr>
        <w:sym w:font="Symbol" w:char="F05D"/>
      </w:r>
      <w:r w:rsidRPr="00FB43AA">
        <w:rPr>
          <w:rFonts w:cs="Arial"/>
          <w:noProof/>
          <w:sz w:val="16"/>
          <w:szCs w:val="16"/>
          <w:lang w:val="es-ES"/>
        </w:rPr>
        <w:t>. Anexo 27. Denuncia No. 0801-2010-12292, presentada el 13 de abril de 2010. Anexo del escrito de la peticionaria de fecha 19 de julio de 2010, recibido por la CIDH el 6 de agosto de 2010.</w:t>
      </w:r>
    </w:p>
  </w:footnote>
  <w:footnote w:id="78">
    <w:p w:rsidR="002506B6" w:rsidRPr="00FB43AA" w:rsidRDefault="002506B6" w:rsidP="005E78C0">
      <w:pPr>
        <w:spacing w:after="120"/>
        <w:ind w:firstLine="720"/>
        <w:jc w:val="both"/>
        <w:rPr>
          <w:rFonts w:cs="Arial"/>
          <w:noProof/>
          <w:sz w:val="16"/>
          <w:szCs w:val="16"/>
          <w:lang w:val="es-ES"/>
        </w:rPr>
      </w:pPr>
      <w:r w:rsidRPr="00FB43AA">
        <w:rPr>
          <w:rStyle w:val="Refdenotaalpie"/>
          <w:rFonts w:cs="Arial"/>
          <w:noProof/>
          <w:sz w:val="16"/>
          <w:szCs w:val="16"/>
          <w:lang w:val="es-ES"/>
        </w:rPr>
        <w:footnoteRef/>
      </w:r>
      <w:r w:rsidRPr="00FB43AA">
        <w:rPr>
          <w:rFonts w:cs="Arial"/>
          <w:noProof/>
          <w:sz w:val="16"/>
          <w:szCs w:val="16"/>
          <w:lang w:val="es-ES"/>
        </w:rPr>
        <w:t xml:space="preserve"> Anexo 27. Denuncia No. 0801-2010-12292, presentada el 13 de abril de 2010. Anexo del escrito de la peticionaria de fecha 19 de julio de 2010, recibido por la CIDH el 6 de agosto de 2010.</w:t>
      </w:r>
    </w:p>
  </w:footnote>
  <w:footnote w:id="79">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Escrito del Estado de fecha 18 de febrero de 2011.</w:t>
      </w:r>
    </w:p>
  </w:footnote>
  <w:footnote w:id="80">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Al respecto véase Anexo 28. Nota de OFRANEH al Director del Programa de Apoyo a los Pueblos Indígenas y Negros, PAPIN, del 5 de octubre de 2006. Anexo del escrito de la peticionaria del 13 de octubre de 2006, recibido por la CIDH el 31 de octubre de 2006; y Anexo 29. Acta de entendimiento entre la OFRANEH y autoridades del Gobierno de </w:t>
      </w:r>
      <w:smartTag w:uri="urn:schemas-microsoft-com:office:smarttags" w:element="PersonName">
        <w:r w:rsidRPr="00FB43AA">
          <w:rPr>
            <w:rFonts w:ascii="Univers" w:hAnsi="Univers" w:cs="Arial"/>
            <w:noProof/>
            <w:sz w:val="16"/>
            <w:szCs w:val="16"/>
            <w:lang w:val="es-ES"/>
          </w:rPr>
          <w:t>Honduras</w:t>
        </w:r>
      </w:smartTag>
      <w:r w:rsidRPr="00FB43AA">
        <w:rPr>
          <w:rFonts w:ascii="Univers" w:hAnsi="Univers" w:cs="Arial"/>
          <w:noProof/>
          <w:sz w:val="16"/>
          <w:szCs w:val="16"/>
          <w:lang w:val="es-ES"/>
        </w:rPr>
        <w:t xml:space="preserve"> del 28 de septiembre de 2006, punto relativo al “Programa Administración de Tierras de </w:t>
      </w:r>
      <w:smartTag w:uri="urn:schemas-microsoft-com:office:smarttags" w:element="PersonName">
        <w:r w:rsidRPr="00FB43AA">
          <w:rPr>
            <w:rFonts w:ascii="Univers" w:hAnsi="Univers" w:cs="Arial"/>
            <w:noProof/>
            <w:sz w:val="16"/>
            <w:szCs w:val="16"/>
            <w:lang w:val="es-ES"/>
          </w:rPr>
          <w:t>Honduras</w:t>
        </w:r>
      </w:smartTag>
      <w:r w:rsidRPr="00FB43AA">
        <w:rPr>
          <w:rFonts w:ascii="Univers" w:hAnsi="Univers" w:cs="Arial"/>
          <w:noProof/>
          <w:sz w:val="16"/>
          <w:szCs w:val="16"/>
          <w:lang w:val="es-ES"/>
        </w:rPr>
        <w:t xml:space="preserve"> (PATH)”. Anexo del escrito de la peticionaria de fecha 16 de octubre de 2006, recibido por la CIDH el 31 de octubre de 2006.</w:t>
      </w:r>
    </w:p>
  </w:footnote>
  <w:footnote w:id="81">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2. Mapa sobre “ubicación geográfica del terreno de la Comunidad Garífuna de Punta Piedra” elaborado por el INA el 12 de julio de 2007. Anexos del escrito presentado por el Estado el 19 de julio de 2007, durante reunión de trabajo del 128 periodo ordinario de sesiones.</w:t>
      </w:r>
    </w:p>
  </w:footnote>
  <w:footnote w:id="82">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7. Acta de compromiso del 13 de diciembre de 2001. Anexo de la petición inicial de fecha 27 de octubre de 2003, recibida por la CIDH el 29 de octubre de 2003.</w:t>
      </w:r>
    </w:p>
  </w:footnote>
  <w:footnote w:id="83">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Anexo 30. Comunicación dirigida por el asesor de la Dirección Ejecutiva del INA al Ministro Director del INA de fecha 23 de junio de 2010. Anexo del escrito de observaciones de fondo de la peticionaria de fecha 8 de septiembre de 2010, recibido por la CIDH el 27 de septiembre de 2010.</w:t>
      </w:r>
    </w:p>
  </w:footnote>
  <w:footnote w:id="84">
    <w:p w:rsidR="002506B6" w:rsidRPr="00FB43AA" w:rsidRDefault="002506B6" w:rsidP="005E78C0">
      <w:pPr>
        <w:spacing w:after="120"/>
        <w:ind w:firstLine="720"/>
        <w:jc w:val="both"/>
        <w:rPr>
          <w:rFonts w:cs="Arial"/>
          <w:noProof/>
          <w:sz w:val="16"/>
          <w:szCs w:val="16"/>
          <w:lang w:val="es-ES"/>
        </w:rPr>
      </w:pPr>
      <w:r w:rsidRPr="00FB43AA">
        <w:rPr>
          <w:rStyle w:val="Refdenotaalpie"/>
          <w:rFonts w:cs="Arial"/>
          <w:noProof/>
          <w:sz w:val="16"/>
          <w:szCs w:val="16"/>
          <w:lang w:val="es-ES"/>
        </w:rPr>
        <w:footnoteRef/>
      </w:r>
      <w:r w:rsidRPr="00FB43AA">
        <w:rPr>
          <w:rFonts w:cs="Arial"/>
          <w:noProof/>
          <w:sz w:val="16"/>
          <w:szCs w:val="16"/>
          <w:lang w:val="es-ES"/>
        </w:rPr>
        <w:t xml:space="preserve"> Corte I.D.H., </w:t>
      </w:r>
      <w:r w:rsidRPr="00FB43AA">
        <w:rPr>
          <w:rFonts w:cs="Arial"/>
          <w:i/>
          <w:iCs/>
          <w:noProof/>
          <w:sz w:val="16"/>
          <w:szCs w:val="16"/>
          <w:lang w:val="es-ES"/>
        </w:rPr>
        <w:t>Caso de la Comunidad Mayagna (Sumo) Awas Tingni.</w:t>
      </w:r>
      <w:r w:rsidRPr="00FB43AA">
        <w:rPr>
          <w:rFonts w:cs="Arial"/>
          <w:noProof/>
          <w:sz w:val="16"/>
          <w:szCs w:val="16"/>
          <w:lang w:val="es-ES"/>
        </w:rPr>
        <w:t xml:space="preserve"> Sentencia de 31 de agosto de 2001. Serie C No. 79, párrs. 148-149, y 151;</w:t>
      </w:r>
      <w:r w:rsidRPr="00FB43AA">
        <w:rPr>
          <w:rFonts w:cs="Arial"/>
          <w:i/>
          <w:noProof/>
          <w:sz w:val="16"/>
          <w:szCs w:val="16"/>
          <w:lang w:val="es-ES"/>
        </w:rPr>
        <w:t xml:space="preserve"> Caso Comunidad Indígena Sawhoyamaxa Vs. Paraguay. fondo, Reparaciones y Costas. </w:t>
      </w:r>
      <w:r w:rsidRPr="00FB43AA">
        <w:rPr>
          <w:rFonts w:cs="Arial"/>
          <w:noProof/>
          <w:sz w:val="16"/>
          <w:szCs w:val="16"/>
          <w:lang w:val="es-ES"/>
        </w:rPr>
        <w:t xml:space="preserve">Sentencia de 29 de marzo de 2006. Serie C No. 146, párrs. 118-121 y 131; y </w:t>
      </w:r>
      <w:r w:rsidRPr="00FB43AA">
        <w:rPr>
          <w:rFonts w:cs="Arial"/>
          <w:i/>
          <w:noProof/>
          <w:sz w:val="16"/>
          <w:szCs w:val="16"/>
          <w:lang w:val="es-ES"/>
        </w:rPr>
        <w:t xml:space="preserve">Caso de la Comunidad Indígena Yakye Axa Vs. Paraguay. fondo, Reparaciones y Costas. </w:t>
      </w:r>
      <w:r w:rsidRPr="00FB43AA">
        <w:rPr>
          <w:rFonts w:cs="Arial"/>
          <w:noProof/>
          <w:sz w:val="16"/>
          <w:szCs w:val="16"/>
          <w:lang w:val="es-ES"/>
        </w:rPr>
        <w:t>Sentencia de 17 de junio de 2005. Serie C No. 125, párrs. 124, 131, 135-137, y 154.</w:t>
      </w:r>
    </w:p>
  </w:footnote>
  <w:footnote w:id="85">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CIDH, Informe No. 40/04, Caso 12.053, Comunidades Indígenas Mayas del Distrito de Toledo (Belice), 12 de octubre de 2004, párr. 151. Véase </w:t>
      </w:r>
      <w:r w:rsidRPr="00FB43AA">
        <w:rPr>
          <w:rFonts w:ascii="Univers" w:hAnsi="Univers" w:cs="Arial"/>
          <w:i/>
          <w:noProof/>
          <w:sz w:val="16"/>
          <w:szCs w:val="16"/>
          <w:lang w:val="es-ES"/>
        </w:rPr>
        <w:t xml:space="preserve">inter alia </w:t>
      </w:r>
      <w:r w:rsidRPr="00FB43AA">
        <w:rPr>
          <w:rFonts w:ascii="Univers" w:hAnsi="Univers" w:cs="Arial"/>
          <w:noProof/>
          <w:sz w:val="16"/>
          <w:szCs w:val="16"/>
          <w:lang w:val="es-ES"/>
        </w:rPr>
        <w:t xml:space="preserve">CIDH, Informe No. 75/02, Caso 11.140, Mary y Carrie Dann (Estados Unidos), 27 de diciembre de 2002, párr. 130; y CIDH, </w:t>
      </w:r>
      <w:r w:rsidRPr="00FB43AA">
        <w:rPr>
          <w:rFonts w:ascii="Univers" w:hAnsi="Univers" w:cs="Arial"/>
          <w:i/>
          <w:noProof/>
          <w:sz w:val="16"/>
          <w:szCs w:val="16"/>
          <w:lang w:val="es-ES"/>
        </w:rPr>
        <w:t>Informe de Seguimiento – Acceso a la Justicia e Inclusión Social: El camino hacia el fortalecimiento de la Democracia en Bolivia</w:t>
      </w:r>
      <w:r w:rsidRPr="00FB43AA">
        <w:rPr>
          <w:rFonts w:ascii="Univers" w:hAnsi="Univers" w:cs="Arial"/>
          <w:noProof/>
          <w:sz w:val="16"/>
          <w:szCs w:val="16"/>
          <w:lang w:val="es-ES"/>
        </w:rPr>
        <w:t>. Doc. OEA/Ser/L/V/II.135, Doc. 40, 7 de agosto de 2009, párr. 160.</w:t>
      </w:r>
    </w:p>
  </w:footnote>
  <w:footnote w:id="86">
    <w:p w:rsidR="002506B6" w:rsidRPr="00FB43AA" w:rsidRDefault="002506B6" w:rsidP="005E78C0">
      <w:pPr>
        <w:pStyle w:val="Textonotapie"/>
        <w:tabs>
          <w:tab w:val="left" w:pos="0"/>
          <w:tab w:val="left" w:pos="720"/>
        </w:tabs>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Corte I.D.H. </w:t>
      </w:r>
      <w:r w:rsidRPr="00FB43AA">
        <w:rPr>
          <w:rFonts w:ascii="Univers" w:hAnsi="Univers" w:cs="Arial"/>
          <w:i/>
          <w:noProof/>
          <w:sz w:val="16"/>
          <w:szCs w:val="16"/>
          <w:lang w:val="es-ES"/>
        </w:rPr>
        <w:t xml:space="preserve">Caso de la Comunidad Mayagna (Sumo) Awas Tingni Vs. </w:t>
      </w:r>
      <w:smartTag w:uri="urn:schemas-microsoft-com:office:smarttags" w:element="PersonName">
        <w:r w:rsidRPr="00FB43AA">
          <w:rPr>
            <w:rFonts w:ascii="Univers" w:hAnsi="Univers" w:cs="Arial"/>
            <w:i/>
            <w:noProof/>
            <w:sz w:val="16"/>
            <w:szCs w:val="16"/>
            <w:lang w:val="es-ES"/>
          </w:rPr>
          <w:t>Nicaragua</w:t>
        </w:r>
      </w:smartTag>
      <w:r w:rsidRPr="00FB43AA">
        <w:rPr>
          <w:rFonts w:ascii="Univers" w:hAnsi="Univers" w:cs="Arial"/>
          <w:noProof/>
          <w:sz w:val="16"/>
          <w:szCs w:val="16"/>
          <w:lang w:val="es-ES"/>
        </w:rPr>
        <w:t xml:space="preserve">. Sentencia de 31 de agosto de 2001. Serie C No. 79. párr. 149. </w:t>
      </w:r>
      <w:r w:rsidRPr="00FB43AA">
        <w:rPr>
          <w:rFonts w:ascii="Univers" w:hAnsi="Univers" w:cs="Arial"/>
          <w:i/>
          <w:noProof/>
          <w:sz w:val="16"/>
          <w:szCs w:val="16"/>
          <w:lang w:val="es-ES"/>
        </w:rPr>
        <w:t>Caso Comunidad Indígena Yakye Axa Vs. Paraguay</w:t>
      </w:r>
      <w:r w:rsidRPr="00FB43AA">
        <w:rPr>
          <w:rFonts w:ascii="Univers" w:hAnsi="Univers" w:cs="Arial"/>
          <w:noProof/>
          <w:sz w:val="16"/>
          <w:szCs w:val="16"/>
          <w:lang w:val="es-ES"/>
        </w:rPr>
        <w:t xml:space="preserve">. Fondo Reparaciones y Costas. Sentencia 17 de junio de 2005. Serie C No. 125, párr. 131; </w:t>
      </w:r>
      <w:r w:rsidRPr="00FB43AA">
        <w:rPr>
          <w:rFonts w:ascii="Univers" w:hAnsi="Univers" w:cs="Arial"/>
          <w:i/>
          <w:noProof/>
          <w:sz w:val="16"/>
          <w:szCs w:val="16"/>
          <w:lang w:val="es-ES"/>
        </w:rPr>
        <w:t>Caso Comunidad Indígena Sawhoyamaxa Vs. Paraguay</w:t>
      </w:r>
      <w:r w:rsidRPr="00FB43AA">
        <w:rPr>
          <w:rFonts w:ascii="Univers" w:hAnsi="Univers" w:cs="Arial"/>
          <w:noProof/>
          <w:sz w:val="16"/>
          <w:szCs w:val="16"/>
          <w:lang w:val="es-ES"/>
        </w:rPr>
        <w:t xml:space="preserve">. Fondo, Reparaciones y Costas. Sentencia de 29 de marzo de 2006. Serie C No. 146. párr. 118; </w:t>
      </w:r>
      <w:r w:rsidRPr="00FB43AA">
        <w:rPr>
          <w:rFonts w:ascii="Univers" w:hAnsi="Univers" w:cs="Arial"/>
          <w:i/>
          <w:noProof/>
          <w:sz w:val="16"/>
          <w:szCs w:val="16"/>
          <w:lang w:val="es-ES"/>
        </w:rPr>
        <w:t>Caso Comunidad Indígena Xákmok Kásek. Vs. Paraguay</w:t>
      </w:r>
      <w:r w:rsidRPr="00FB43AA">
        <w:rPr>
          <w:rFonts w:ascii="Univers" w:hAnsi="Univers" w:cs="Arial"/>
          <w:noProof/>
          <w:sz w:val="16"/>
          <w:szCs w:val="16"/>
          <w:lang w:val="es-ES"/>
        </w:rPr>
        <w:t xml:space="preserve">. Fondo, Reparaciones y Costas. Sentencia de 24 de agosto de 2010 Serie C No. 214, párrs. 85-87; </w:t>
      </w:r>
      <w:r w:rsidRPr="00FB43AA">
        <w:rPr>
          <w:rFonts w:ascii="Univers" w:hAnsi="Univers" w:cs="Arial"/>
          <w:i/>
          <w:noProof/>
          <w:sz w:val="16"/>
          <w:szCs w:val="16"/>
          <w:lang w:val="es-ES"/>
        </w:rPr>
        <w:t>Caso del Pueblo Saramaka. Vs. Surinam</w:t>
      </w:r>
      <w:r w:rsidRPr="00FB43AA">
        <w:rPr>
          <w:rFonts w:ascii="Univers" w:hAnsi="Univers" w:cs="Arial"/>
          <w:noProof/>
          <w:sz w:val="16"/>
          <w:szCs w:val="16"/>
          <w:lang w:val="es-ES"/>
        </w:rPr>
        <w:t xml:space="preserve">. Excepciones Preliminares, Fondo, Reparaciones y Costas. Sentencia de 28 de noviembre de 2007. Serie C No. 172, párr. 85; </w:t>
      </w:r>
      <w:r w:rsidRPr="00FB43AA">
        <w:rPr>
          <w:rFonts w:ascii="Univers" w:hAnsi="Univers" w:cs="Arial"/>
          <w:i/>
          <w:noProof/>
          <w:sz w:val="16"/>
          <w:szCs w:val="16"/>
          <w:lang w:val="es-ES"/>
        </w:rPr>
        <w:t>Caso Pueblo Indígena Kichwa de Sarayaku Vs. Ecuador</w:t>
      </w:r>
      <w:r w:rsidRPr="00FB43AA">
        <w:rPr>
          <w:rFonts w:ascii="Univers" w:hAnsi="Univers" w:cs="Arial"/>
          <w:noProof/>
          <w:sz w:val="16"/>
          <w:szCs w:val="16"/>
          <w:lang w:val="es-ES"/>
        </w:rPr>
        <w:t>. Fondo y reparaciones. Sentencia de 27 de junio de 2012. Serie C No. 245, párr. 145.</w:t>
      </w:r>
    </w:p>
  </w:footnote>
  <w:footnote w:id="87">
    <w:p w:rsidR="002506B6" w:rsidRPr="00FB43AA" w:rsidRDefault="002506B6" w:rsidP="005E78C0">
      <w:pPr>
        <w:pStyle w:val="Textonotapie"/>
        <w:tabs>
          <w:tab w:val="left" w:pos="0"/>
          <w:tab w:val="left" w:pos="360"/>
          <w:tab w:val="left" w:pos="720"/>
        </w:tabs>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CIDH, Informe No. 75/02, Caso 11.140, Mary y Carrie Dann (Estados Unidos), 27 de diciembre de 2002, párr. 128; Corte I.D.H. </w:t>
      </w:r>
      <w:r w:rsidRPr="00FB43AA">
        <w:rPr>
          <w:rFonts w:ascii="Univers" w:hAnsi="Univers" w:cs="Arial"/>
          <w:i/>
          <w:noProof/>
          <w:sz w:val="16"/>
          <w:szCs w:val="16"/>
          <w:lang w:val="es-ES"/>
        </w:rPr>
        <w:t xml:space="preserve">Caso de la Comunidad Mayagna (Sumo) Awas Tingni Vs. </w:t>
      </w:r>
      <w:smartTag w:uri="urn:schemas-microsoft-com:office:smarttags" w:element="PersonName">
        <w:r w:rsidRPr="00FB43AA">
          <w:rPr>
            <w:rFonts w:ascii="Univers" w:hAnsi="Univers" w:cs="Arial"/>
            <w:i/>
            <w:noProof/>
            <w:sz w:val="16"/>
            <w:szCs w:val="16"/>
            <w:lang w:val="es-ES"/>
          </w:rPr>
          <w:t>Nicaragua</w:t>
        </w:r>
      </w:smartTag>
      <w:r w:rsidRPr="00FB43AA">
        <w:rPr>
          <w:rFonts w:ascii="Univers" w:hAnsi="Univers" w:cs="Arial"/>
          <w:noProof/>
          <w:sz w:val="16"/>
          <w:szCs w:val="16"/>
          <w:lang w:val="es-ES"/>
        </w:rPr>
        <w:t xml:space="preserve">. Sentencia de 31 de agosto de 2001. Serie C No. 79. párr. 149. Véase también Corte I.D.H., </w:t>
      </w:r>
      <w:r w:rsidRPr="00FB43AA">
        <w:rPr>
          <w:rFonts w:ascii="Univers" w:hAnsi="Univers" w:cs="Arial"/>
          <w:i/>
          <w:noProof/>
          <w:sz w:val="16"/>
          <w:szCs w:val="16"/>
          <w:lang w:val="es-ES"/>
        </w:rPr>
        <w:t>Caso Comunidad Indígena Sawhoyamaxa Vs. Paraguay</w:t>
      </w:r>
      <w:r w:rsidRPr="00FB43AA">
        <w:rPr>
          <w:rFonts w:ascii="Univers" w:hAnsi="Univers" w:cs="Arial"/>
          <w:noProof/>
          <w:sz w:val="16"/>
          <w:szCs w:val="16"/>
          <w:lang w:val="es-ES"/>
        </w:rPr>
        <w:t>. Fondo, Reparaciones y Costas. Sentencia de 29 de marzo de 2006. Serie C No. 146, párr. 222.</w:t>
      </w:r>
    </w:p>
  </w:footnote>
  <w:footnote w:id="88">
    <w:p w:rsidR="002506B6" w:rsidRPr="00FB43AA" w:rsidRDefault="002506B6" w:rsidP="005E78C0">
      <w:pPr>
        <w:pStyle w:val="Textonotapie"/>
        <w:tabs>
          <w:tab w:val="left" w:pos="0"/>
          <w:tab w:val="left" w:pos="360"/>
          <w:tab w:val="left" w:pos="720"/>
        </w:tabs>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CIDH, </w:t>
      </w:r>
      <w:r w:rsidRPr="00FB43AA">
        <w:rPr>
          <w:rFonts w:ascii="Univers" w:hAnsi="Univers" w:cs="Arial"/>
          <w:i/>
          <w:noProof/>
          <w:sz w:val="16"/>
          <w:szCs w:val="16"/>
          <w:lang w:val="es-ES"/>
        </w:rPr>
        <w:t>Informe de Seguimiento – Acceso a la Justicia e Inclusión Social: El camino hacia el fortalecimiento de la Democracia en Bolivia</w:t>
      </w:r>
      <w:r w:rsidRPr="00FB43AA">
        <w:rPr>
          <w:rFonts w:ascii="Univers" w:hAnsi="Univers" w:cs="Arial"/>
          <w:noProof/>
          <w:sz w:val="16"/>
          <w:szCs w:val="16"/>
          <w:lang w:val="es-ES"/>
        </w:rPr>
        <w:t xml:space="preserve">. Doc. OEA/Ser/L/V/II.135, Doc. 40, 7 de agosto de 2009, párr. 156. </w:t>
      </w:r>
      <w:r w:rsidRPr="00FB43AA">
        <w:rPr>
          <w:rFonts w:ascii="Univers" w:hAnsi="Univers" w:cs="Arial"/>
          <w:noProof/>
          <w:color w:val="000000"/>
          <w:sz w:val="16"/>
          <w:szCs w:val="16"/>
          <w:lang w:val="es-ES"/>
        </w:rPr>
        <w:t xml:space="preserve">Corte IDH. </w:t>
      </w:r>
      <w:r w:rsidRPr="00FB43AA">
        <w:rPr>
          <w:rFonts w:ascii="Univers" w:hAnsi="Univers" w:cs="Arial"/>
          <w:bCs/>
          <w:i/>
          <w:noProof/>
          <w:color w:val="000000"/>
          <w:sz w:val="16"/>
          <w:szCs w:val="16"/>
          <w:lang w:val="es-ES"/>
        </w:rPr>
        <w:t xml:space="preserve">Caso de la Comunidad Mayagna (Sumo) Awas Tingni Vs. </w:t>
      </w:r>
      <w:smartTag w:uri="urn:schemas-microsoft-com:office:smarttags" w:element="PersonName">
        <w:r w:rsidRPr="00FB43AA">
          <w:rPr>
            <w:rFonts w:ascii="Univers" w:hAnsi="Univers" w:cs="Arial"/>
            <w:bCs/>
            <w:i/>
            <w:noProof/>
            <w:color w:val="000000"/>
            <w:sz w:val="16"/>
            <w:szCs w:val="16"/>
            <w:lang w:val="es-ES"/>
          </w:rPr>
          <w:t>Nicaragua</w:t>
        </w:r>
      </w:smartTag>
      <w:r w:rsidRPr="00FB43AA">
        <w:rPr>
          <w:rFonts w:ascii="Univers" w:hAnsi="Univers" w:cs="Arial"/>
          <w:bCs/>
          <w:noProof/>
          <w:color w:val="000000"/>
          <w:sz w:val="16"/>
          <w:szCs w:val="16"/>
          <w:lang w:val="es-ES"/>
        </w:rPr>
        <w:t xml:space="preserve">. </w:t>
      </w:r>
      <w:r w:rsidRPr="00FB43AA">
        <w:rPr>
          <w:rFonts w:ascii="Univers" w:hAnsi="Univers" w:cs="Arial"/>
          <w:noProof/>
          <w:color w:val="000000"/>
          <w:sz w:val="16"/>
          <w:szCs w:val="16"/>
          <w:lang w:val="es-ES"/>
        </w:rPr>
        <w:t>Fondo, Reparaciones y Costas. Sentencia de 31 de agosto de 2001. Serie C No. 79</w:t>
      </w:r>
      <w:r w:rsidRPr="00FB43AA">
        <w:rPr>
          <w:rFonts w:ascii="Univers" w:hAnsi="Univers" w:cs="Arial"/>
          <w:noProof/>
          <w:sz w:val="16"/>
          <w:szCs w:val="16"/>
          <w:lang w:val="es-ES"/>
        </w:rPr>
        <w:t xml:space="preserve">, párr. 148. </w:t>
      </w:r>
      <w:r w:rsidRPr="00FB43AA">
        <w:rPr>
          <w:rFonts w:ascii="Univers" w:hAnsi="Univers" w:cs="Arial"/>
          <w:noProof/>
          <w:color w:val="000000"/>
          <w:sz w:val="16"/>
          <w:szCs w:val="16"/>
          <w:lang w:val="es-ES"/>
        </w:rPr>
        <w:t xml:space="preserve">Corte IDH. </w:t>
      </w:r>
      <w:r w:rsidRPr="00FB43AA">
        <w:rPr>
          <w:rFonts w:ascii="Univers" w:hAnsi="Univers" w:cs="Arial"/>
          <w:bCs/>
          <w:i/>
          <w:noProof/>
          <w:color w:val="000000"/>
          <w:sz w:val="16"/>
          <w:szCs w:val="16"/>
          <w:lang w:val="es-ES"/>
        </w:rPr>
        <w:t>Caso Comunidad Indígena Yakye Axa Vs. Paraguay</w:t>
      </w:r>
      <w:r w:rsidRPr="00FB43AA">
        <w:rPr>
          <w:rFonts w:ascii="Univers" w:hAnsi="Univers" w:cs="Arial"/>
          <w:bCs/>
          <w:noProof/>
          <w:color w:val="000000"/>
          <w:sz w:val="16"/>
          <w:szCs w:val="16"/>
          <w:lang w:val="es-ES"/>
        </w:rPr>
        <w:t xml:space="preserve">. </w:t>
      </w:r>
      <w:r w:rsidRPr="00FB43AA">
        <w:rPr>
          <w:rFonts w:ascii="Univers" w:hAnsi="Univers" w:cs="Arial"/>
          <w:noProof/>
          <w:color w:val="000000"/>
          <w:sz w:val="16"/>
          <w:szCs w:val="16"/>
          <w:lang w:val="es-ES"/>
        </w:rPr>
        <w:t xml:space="preserve">Fondo, Reparaciones y Costas. Sentencia 17 de junio de 2005. Serie C No. 125, párr. 137. Corte IDH. </w:t>
      </w:r>
      <w:r w:rsidRPr="00FB43AA">
        <w:rPr>
          <w:rFonts w:ascii="Univers" w:hAnsi="Univers" w:cs="Arial"/>
          <w:bCs/>
          <w:i/>
          <w:noProof/>
          <w:color w:val="000000"/>
          <w:sz w:val="16"/>
          <w:szCs w:val="16"/>
          <w:lang w:val="es-ES"/>
        </w:rPr>
        <w:t>Caso Comunidad Indígena Sawhoyamaxa Vs. Paraguay</w:t>
      </w:r>
      <w:r w:rsidRPr="00FB43AA">
        <w:rPr>
          <w:rFonts w:ascii="Univers" w:hAnsi="Univers" w:cs="Arial"/>
          <w:bCs/>
          <w:noProof/>
          <w:color w:val="000000"/>
          <w:sz w:val="16"/>
          <w:szCs w:val="16"/>
          <w:lang w:val="es-ES"/>
        </w:rPr>
        <w:t xml:space="preserve">. </w:t>
      </w:r>
      <w:r w:rsidRPr="00FB43AA">
        <w:rPr>
          <w:rFonts w:ascii="Univers" w:hAnsi="Univers" w:cs="Arial"/>
          <w:noProof/>
          <w:color w:val="000000"/>
          <w:sz w:val="16"/>
          <w:szCs w:val="16"/>
          <w:lang w:val="es-ES"/>
        </w:rPr>
        <w:t>Fondo, Reparaciones y Costas. Sentencia de 29 de marzo de 2006. Serie C No. 146, párrs. 118, 121.</w:t>
      </w:r>
    </w:p>
  </w:footnote>
  <w:footnote w:id="89">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CIDH, </w:t>
      </w:r>
      <w:r w:rsidRPr="00FB43AA">
        <w:rPr>
          <w:rFonts w:ascii="Univers" w:hAnsi="Univers" w:cs="Arial"/>
          <w:i/>
          <w:noProof/>
          <w:sz w:val="16"/>
          <w:szCs w:val="16"/>
          <w:lang w:val="es-ES"/>
        </w:rPr>
        <w:t>Derechos de los pueblos indígenas y tribales sobre sus tierras ancestrales y recursos naturales. Normas y jurisprudencia del Sistema Interamericano de Derechos Humanos</w:t>
      </w:r>
      <w:r w:rsidRPr="00FB43AA">
        <w:rPr>
          <w:rFonts w:ascii="Univers" w:hAnsi="Univers" w:cs="Arial"/>
          <w:noProof/>
          <w:sz w:val="16"/>
          <w:szCs w:val="16"/>
          <w:lang w:val="es-ES"/>
        </w:rPr>
        <w:t>. OEA/Ser.L/V/II.Doc.56/09, 30 de diciembre de 2009, párr. 43.</w:t>
      </w:r>
    </w:p>
  </w:footnote>
  <w:footnote w:id="90">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Corte IDH. Caso Pueblo Indígena Kichwa de Sarayaku Vs. Ecuador. Fondo y reparaciones. Sentencia de 27 de junio de 2012. Serie C No. 245. párr. 231.</w:t>
      </w:r>
    </w:p>
  </w:footnote>
  <w:footnote w:id="91">
    <w:p w:rsidR="002506B6" w:rsidRPr="00FB43AA" w:rsidRDefault="002506B6" w:rsidP="005E78C0">
      <w:pPr>
        <w:pStyle w:val="Textonotapie"/>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Al respecto, véase CIDH, Demanda presentada ante la Corte IDH en el Caso de la Comunidad Mayagna (Sumo) Awas Tingni Vs. </w:t>
      </w:r>
      <w:smartTag w:uri="urn:schemas-microsoft-com:office:smarttags" w:element="PersonName">
        <w:r w:rsidRPr="00FB43AA">
          <w:rPr>
            <w:rFonts w:ascii="Univers" w:hAnsi="Univers" w:cs="Arial"/>
            <w:noProof/>
            <w:sz w:val="16"/>
            <w:szCs w:val="16"/>
            <w:lang w:val="es-ES"/>
          </w:rPr>
          <w:t>Nicaragua</w:t>
        </w:r>
      </w:smartTag>
      <w:r w:rsidRPr="00FB43AA">
        <w:rPr>
          <w:rFonts w:ascii="Univers" w:hAnsi="Univers" w:cs="Arial"/>
          <w:noProof/>
          <w:sz w:val="16"/>
          <w:szCs w:val="16"/>
          <w:lang w:val="es-ES"/>
        </w:rPr>
        <w:t>, 4 de junio de 1998; CIDH, Demanda presentada ante la Corte IDH en el Caso Comunidad Indígena Yakye Axa Vs. Paraguay, 17 de marzo de 2003; CIDH, Informe No. 40/04, Caso 12.053, Comunidades Indígenas Mayas del Distrito de Toledo v. Belice, 12 de octubre de 2004; CIDH, Demanda presentada ante la Corte IDH en el Caso Comunidad Indígena Sawhoyamaxa Vs. Paraguay, de febrero de 2005; CIDH, Demanda presentada ante la Corte IDH en el Caso del Pueblo Saramaka. Vs. Surinam, 23 de junio de 2006; CIDH, Demanda presentada ante la Corte IDH en el Caso Comunidad Indígena Xákmok Kásek. Vs. Paraguay, 3 de julio de 2009; CIDH, Demanda presentada ante la Corte IDH en el caso del Pueblo Kichwa de Sarayaku y sus miembros Vs. Ecuador, 26 de abril de 2010.</w:t>
      </w:r>
    </w:p>
  </w:footnote>
  <w:footnote w:id="92">
    <w:p w:rsidR="002506B6" w:rsidRPr="00FB43AA" w:rsidRDefault="002506B6" w:rsidP="005E78C0">
      <w:pPr>
        <w:tabs>
          <w:tab w:val="left" w:pos="720"/>
        </w:tabs>
        <w:spacing w:after="120"/>
        <w:ind w:firstLine="720"/>
        <w:jc w:val="both"/>
        <w:rPr>
          <w:rFonts w:cs="Arial"/>
          <w:noProof/>
          <w:sz w:val="16"/>
          <w:szCs w:val="16"/>
          <w:lang w:val="es-ES"/>
        </w:rPr>
      </w:pPr>
      <w:r w:rsidRPr="00FB43AA">
        <w:rPr>
          <w:rStyle w:val="Refdenotaalpie"/>
          <w:rFonts w:cs="Arial"/>
          <w:noProof/>
          <w:sz w:val="16"/>
          <w:szCs w:val="16"/>
          <w:lang w:val="es-ES"/>
        </w:rPr>
        <w:footnoteRef/>
      </w:r>
      <w:r w:rsidRPr="00FB43AA">
        <w:rPr>
          <w:rFonts w:cs="Arial"/>
          <w:noProof/>
          <w:sz w:val="16"/>
          <w:szCs w:val="16"/>
          <w:lang w:val="es-ES"/>
        </w:rPr>
        <w:t xml:space="preserve"> Constitución Política de </w:t>
      </w:r>
      <w:smartTag w:uri="urn:schemas-microsoft-com:office:smarttags" w:element="PersonName">
        <w:r w:rsidRPr="00FB43AA">
          <w:rPr>
            <w:rFonts w:cs="Arial"/>
            <w:noProof/>
            <w:sz w:val="16"/>
            <w:szCs w:val="16"/>
            <w:lang w:val="es-ES"/>
          </w:rPr>
          <w:t>Honduras</w:t>
        </w:r>
      </w:smartTag>
      <w:r w:rsidRPr="00FB43AA">
        <w:rPr>
          <w:rFonts w:cs="Arial"/>
          <w:noProof/>
          <w:sz w:val="16"/>
          <w:szCs w:val="16"/>
          <w:lang w:val="es-ES"/>
        </w:rPr>
        <w:t>, Artículo 173.- El Estado preservará y estimulará las culturas nativas, así como las genuinas expresiones del folclore nacional, el arte popular y las artesanías.</w:t>
      </w:r>
    </w:p>
  </w:footnote>
  <w:footnote w:id="93">
    <w:p w:rsidR="002506B6" w:rsidRPr="00FB43AA" w:rsidRDefault="002506B6" w:rsidP="005E78C0">
      <w:pPr>
        <w:pStyle w:val="Textonotapie"/>
        <w:tabs>
          <w:tab w:val="left" w:pos="720"/>
        </w:tabs>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El artículo 92 de la Ley de Modernización y Desarrollo del Sector Agrario, Decreto 31-92, dispone la gratuidad del otorgamiento de títulos a las comunidades étnicas: “Las comunidades étnicas que acrediten la ocupación de las tierras donde estén asentadas, por el término no menor de tres años indicado en el Artículo 15 reformado de esta Ley, recibirán los títulos de propiedad en dominio pleno completamente gratis, extendidos por el Instituto Nacional Agrario en el plazo estipulado en el Artículo 15 referido". </w:t>
      </w:r>
    </w:p>
  </w:footnote>
  <w:footnote w:id="94">
    <w:p w:rsidR="002506B6" w:rsidRPr="00FB43AA" w:rsidRDefault="002506B6" w:rsidP="005E78C0">
      <w:pPr>
        <w:pStyle w:val="Textonotapie"/>
        <w:tabs>
          <w:tab w:val="left" w:pos="720"/>
        </w:tabs>
        <w:spacing w:after="120"/>
        <w:ind w:firstLine="720"/>
        <w:jc w:val="both"/>
        <w:rPr>
          <w:rFonts w:ascii="Univers" w:hAnsi="Univers" w:cs="Arial"/>
          <w:noProof/>
          <w:sz w:val="16"/>
          <w:szCs w:val="16"/>
          <w:lang w:val="es-ES"/>
        </w:rPr>
      </w:pPr>
      <w:r w:rsidRPr="00FB43AA">
        <w:rPr>
          <w:rStyle w:val="Refdenotaalpie"/>
          <w:rFonts w:ascii="Univers" w:hAnsi="Univers" w:cs="Arial"/>
          <w:noProof/>
          <w:sz w:val="16"/>
          <w:szCs w:val="16"/>
          <w:lang w:val="es-ES"/>
        </w:rPr>
        <w:footnoteRef/>
      </w:r>
      <w:r w:rsidRPr="00FB43AA">
        <w:rPr>
          <w:rFonts w:ascii="Univers" w:hAnsi="Univers" w:cs="Arial"/>
          <w:noProof/>
          <w:sz w:val="16"/>
          <w:szCs w:val="16"/>
          <w:lang w:val="es-ES"/>
        </w:rPr>
        <w:t xml:space="preserve"> Ley de Propiedad, Decreto 82-2004 de 29 de junio del 2004. Artículo 100.</w:t>
      </w:r>
    </w:p>
  </w:footnote>
  <w:footnote w:id="95">
    <w:p w:rsidR="002506B6" w:rsidRPr="00FB43AA" w:rsidRDefault="002506B6" w:rsidP="005E78C0">
      <w:pPr>
        <w:tabs>
          <w:tab w:val="left" w:pos="720"/>
        </w:tabs>
        <w:spacing w:after="120"/>
        <w:ind w:firstLine="720"/>
        <w:jc w:val="both"/>
        <w:rPr>
          <w:rFonts w:cs="Arial"/>
          <w:noProof/>
          <w:sz w:val="16"/>
          <w:szCs w:val="16"/>
          <w:lang w:val="es-ES"/>
        </w:rPr>
      </w:pPr>
      <w:r w:rsidRPr="00FB43AA">
        <w:rPr>
          <w:rStyle w:val="Refdenotaalpie"/>
          <w:rFonts w:cs="Arial"/>
          <w:noProof/>
          <w:sz w:val="16"/>
          <w:szCs w:val="16"/>
          <w:lang w:val="es-ES"/>
        </w:rPr>
        <w:footnoteRef/>
      </w:r>
      <w:r w:rsidRPr="00FB43AA">
        <w:rPr>
          <w:rFonts w:cs="Arial"/>
          <w:noProof/>
          <w:sz w:val="16"/>
          <w:szCs w:val="16"/>
          <w:lang w:val="es-ES"/>
        </w:rPr>
        <w:t xml:space="preserve"> Ley de Propiedad, Decreto 82-2004 de 29 de junio del 2004. Artículo 93.</w:t>
      </w:r>
    </w:p>
  </w:footnote>
  <w:footnote w:id="96">
    <w:p w:rsidR="002506B6" w:rsidRPr="00FB43AA" w:rsidRDefault="002506B6" w:rsidP="005E78C0">
      <w:pPr>
        <w:pStyle w:val="Textonotapie"/>
        <w:tabs>
          <w:tab w:val="left" w:pos="720"/>
        </w:tabs>
        <w:spacing w:after="120"/>
        <w:ind w:firstLine="720"/>
        <w:jc w:val="both"/>
        <w:rPr>
          <w:rFonts w:ascii="Univers" w:hAnsi="Univers"/>
          <w:noProof/>
          <w:sz w:val="16"/>
          <w:szCs w:val="16"/>
          <w:lang w:val="es-ES"/>
        </w:rPr>
      </w:pPr>
      <w:r w:rsidRPr="00FB43AA">
        <w:rPr>
          <w:rStyle w:val="Refdenotaalpie"/>
          <w:rFonts w:ascii="Univers" w:hAnsi="Univers"/>
          <w:noProof/>
          <w:sz w:val="16"/>
          <w:szCs w:val="16"/>
          <w:lang w:val="es-ES"/>
        </w:rPr>
        <w:footnoteRef/>
      </w:r>
      <w:r w:rsidRPr="00FB43AA">
        <w:rPr>
          <w:rFonts w:ascii="Univers" w:hAnsi="Univers"/>
          <w:noProof/>
          <w:sz w:val="16"/>
          <w:szCs w:val="16"/>
          <w:lang w:val="es-ES"/>
        </w:rPr>
        <w:t xml:space="preserve"> </w:t>
      </w:r>
      <w:r w:rsidRPr="00FB43AA">
        <w:rPr>
          <w:rFonts w:ascii="Univers" w:hAnsi="Univers" w:cs="Arial"/>
          <w:noProof/>
          <w:sz w:val="16"/>
          <w:szCs w:val="16"/>
          <w:lang w:val="es-ES"/>
        </w:rPr>
        <w:t xml:space="preserve">CIDH, </w:t>
      </w:r>
      <w:r w:rsidRPr="00FB43AA">
        <w:rPr>
          <w:rFonts w:ascii="Univers" w:hAnsi="Univers" w:cs="Arial"/>
          <w:i/>
          <w:noProof/>
          <w:sz w:val="16"/>
          <w:szCs w:val="16"/>
          <w:lang w:val="es-ES"/>
        </w:rPr>
        <w:t>Derechos de los pueblos indígenas y tribales sobre sus tierras ancestrales y recursos naturales. Normas y jurisprudencia del Sistema Interamericano de Derechos Humanos</w:t>
      </w:r>
      <w:r w:rsidRPr="00FB43AA">
        <w:rPr>
          <w:rFonts w:ascii="Univers" w:hAnsi="Univers" w:cs="Arial"/>
          <w:noProof/>
          <w:sz w:val="16"/>
          <w:szCs w:val="16"/>
          <w:lang w:val="es-ES"/>
        </w:rPr>
        <w:t>. OEA/Ser.L/V/II.Doc.56/09, 30 de diciembre, 2009, párr. 86.</w:t>
      </w:r>
    </w:p>
  </w:footnote>
  <w:footnote w:id="97">
    <w:p w:rsidR="002506B6" w:rsidRPr="00FB43AA" w:rsidRDefault="002506B6" w:rsidP="005E78C0">
      <w:pPr>
        <w:pStyle w:val="Textonotapie"/>
        <w:tabs>
          <w:tab w:val="left" w:pos="720"/>
        </w:tabs>
        <w:spacing w:after="120"/>
        <w:ind w:firstLine="720"/>
        <w:jc w:val="both"/>
        <w:rPr>
          <w:rFonts w:ascii="Univers" w:hAnsi="Univers"/>
          <w:noProof/>
          <w:sz w:val="16"/>
          <w:szCs w:val="16"/>
          <w:lang w:val="es-ES"/>
        </w:rPr>
      </w:pPr>
      <w:r w:rsidRPr="00FB43AA">
        <w:rPr>
          <w:rStyle w:val="Refdenotaalpie"/>
          <w:rFonts w:ascii="Univers" w:hAnsi="Univers"/>
          <w:noProof/>
          <w:sz w:val="16"/>
          <w:szCs w:val="16"/>
          <w:lang w:val="es-ES"/>
        </w:rPr>
        <w:footnoteRef/>
      </w:r>
      <w:r w:rsidRPr="00FB43AA">
        <w:rPr>
          <w:rFonts w:ascii="Univers" w:hAnsi="Univers"/>
          <w:noProof/>
          <w:sz w:val="16"/>
          <w:szCs w:val="16"/>
          <w:lang w:val="es-ES"/>
        </w:rPr>
        <w:t xml:space="preserve"> CIDH, </w:t>
      </w:r>
      <w:r w:rsidRPr="00FB43AA">
        <w:rPr>
          <w:rFonts w:ascii="Univers" w:hAnsi="Univers"/>
          <w:i/>
          <w:noProof/>
          <w:sz w:val="16"/>
          <w:szCs w:val="16"/>
          <w:lang w:val="es-ES"/>
        </w:rPr>
        <w:t>Informe sobre la Situación de los Derechos Humanos en Brasil</w:t>
      </w:r>
      <w:r w:rsidRPr="00FB43AA">
        <w:rPr>
          <w:rFonts w:ascii="Univers" w:hAnsi="Univers"/>
          <w:noProof/>
          <w:sz w:val="16"/>
          <w:szCs w:val="16"/>
          <w:lang w:val="es-ES"/>
        </w:rPr>
        <w:t>. Doc. OEA/Ser.L/V/II.97, Doc. 29 rev. 1, 29 de septiembre de 1997, párr. 33.</w:t>
      </w:r>
    </w:p>
  </w:footnote>
  <w:footnote w:id="98">
    <w:p w:rsidR="002506B6" w:rsidRPr="00FB43AA" w:rsidRDefault="002506B6" w:rsidP="005E78C0">
      <w:pPr>
        <w:pStyle w:val="Textonotapie"/>
        <w:tabs>
          <w:tab w:val="left" w:pos="0"/>
          <w:tab w:val="left" w:pos="720"/>
        </w:tabs>
        <w:spacing w:after="120"/>
        <w:ind w:firstLine="720"/>
        <w:jc w:val="both"/>
        <w:rPr>
          <w:rFonts w:ascii="Univers" w:hAnsi="Univers"/>
          <w:noProof/>
          <w:sz w:val="16"/>
          <w:szCs w:val="16"/>
          <w:lang w:val="es-ES"/>
        </w:rPr>
      </w:pPr>
      <w:r w:rsidRPr="00FB43AA">
        <w:rPr>
          <w:rStyle w:val="Refdenotaalpie"/>
          <w:rFonts w:ascii="Univers" w:hAnsi="Univers"/>
          <w:noProof/>
          <w:sz w:val="16"/>
          <w:szCs w:val="16"/>
          <w:lang w:val="es-ES"/>
        </w:rPr>
        <w:footnoteRef/>
      </w:r>
      <w:r w:rsidRPr="00FB43AA">
        <w:rPr>
          <w:rFonts w:ascii="Univers" w:hAnsi="Univers" w:cs="Arial"/>
          <w:noProof/>
          <w:sz w:val="16"/>
          <w:szCs w:val="16"/>
          <w:lang w:val="es-ES"/>
        </w:rPr>
        <w:t xml:space="preserve"> CIDH, </w:t>
      </w:r>
      <w:r w:rsidRPr="00FB43AA">
        <w:rPr>
          <w:rFonts w:ascii="Univers" w:hAnsi="Univers" w:cs="Arial"/>
          <w:i/>
          <w:iCs/>
          <w:noProof/>
          <w:sz w:val="16"/>
          <w:szCs w:val="16"/>
          <w:lang w:val="es-ES"/>
        </w:rPr>
        <w:t xml:space="preserve">Democracia y Derechos Humanos en Venezuela. </w:t>
      </w:r>
      <w:r w:rsidRPr="00FB43AA">
        <w:rPr>
          <w:rFonts w:ascii="Univers" w:hAnsi="Univers" w:cs="Arial"/>
          <w:noProof/>
          <w:sz w:val="16"/>
          <w:szCs w:val="16"/>
          <w:lang w:val="es-ES"/>
        </w:rPr>
        <w:t>Doc. OEA/Ser.L/V/II, Doc. 54, 30 de diciembre de 2009, párr. 1137 – Recomendación 2. CIDH, Derechos de los pueblos indígenas y tribales sobre sus tierras ancestrales y recursos naturales. Normas y jurisprudencia del Sistema Interamericano de Derechos Humanos. OEA/Ser.L/V/II.Doc.56/09, 30 de diciembre de 2009, párr. 113.</w:t>
      </w:r>
    </w:p>
  </w:footnote>
  <w:footnote w:id="99">
    <w:p w:rsidR="002506B6" w:rsidRPr="00FB43AA" w:rsidRDefault="002506B6" w:rsidP="005E78C0">
      <w:pPr>
        <w:pStyle w:val="Textonotapie"/>
        <w:tabs>
          <w:tab w:val="left" w:pos="0"/>
          <w:tab w:val="left" w:pos="720"/>
        </w:tabs>
        <w:spacing w:after="120"/>
        <w:ind w:firstLine="720"/>
        <w:jc w:val="both"/>
        <w:rPr>
          <w:rFonts w:ascii="Univers" w:hAnsi="Univers"/>
          <w:noProof/>
          <w:sz w:val="16"/>
          <w:szCs w:val="16"/>
          <w:lang w:val="es-ES"/>
        </w:rPr>
      </w:pPr>
      <w:r w:rsidRPr="00FB43AA">
        <w:rPr>
          <w:rStyle w:val="Refdenotaalpie"/>
          <w:rFonts w:ascii="Univers" w:hAnsi="Univers"/>
          <w:noProof/>
          <w:sz w:val="16"/>
          <w:szCs w:val="16"/>
          <w:lang w:val="es-ES"/>
        </w:rPr>
        <w:footnoteRef/>
      </w:r>
      <w:r w:rsidRPr="00FB43AA">
        <w:rPr>
          <w:rFonts w:ascii="Univers" w:hAnsi="Univers" w:cs="Arial"/>
          <w:noProof/>
          <w:sz w:val="16"/>
          <w:szCs w:val="16"/>
          <w:lang w:val="es-ES"/>
        </w:rPr>
        <w:t xml:space="preserve"> CIDH, </w:t>
      </w:r>
      <w:r w:rsidRPr="00FB43AA">
        <w:rPr>
          <w:rFonts w:ascii="Univers" w:hAnsi="Univers" w:cs="Arial"/>
          <w:i/>
          <w:noProof/>
          <w:sz w:val="16"/>
          <w:szCs w:val="16"/>
          <w:lang w:val="es-ES"/>
        </w:rPr>
        <w:t>Derechos de los pueblos indígenas y tribales sobre sus tierras ancestrales y recursos naturales. Normas y jurisprudencia del Sistema Interamericano de Derechos Humanos</w:t>
      </w:r>
      <w:r w:rsidRPr="00FB43AA">
        <w:rPr>
          <w:rFonts w:ascii="Univers" w:hAnsi="Univers" w:cs="Arial"/>
          <w:noProof/>
          <w:sz w:val="16"/>
          <w:szCs w:val="16"/>
          <w:lang w:val="es-ES"/>
        </w:rPr>
        <w:t>. OEA/Ser.L/V/II.Doc.56/09, 30 de diciembre de 2009, párr. 114.</w:t>
      </w:r>
    </w:p>
  </w:footnote>
  <w:footnote w:id="100">
    <w:p w:rsidR="002506B6" w:rsidRPr="00FB43AA" w:rsidRDefault="002506B6" w:rsidP="005E78C0">
      <w:pPr>
        <w:pStyle w:val="Textonotapie"/>
        <w:tabs>
          <w:tab w:val="left" w:pos="0"/>
          <w:tab w:val="left" w:pos="720"/>
        </w:tabs>
        <w:spacing w:after="120"/>
        <w:ind w:firstLine="720"/>
        <w:jc w:val="both"/>
        <w:rPr>
          <w:rFonts w:ascii="Univers" w:hAnsi="Univers"/>
          <w:noProof/>
          <w:sz w:val="16"/>
          <w:szCs w:val="16"/>
          <w:lang w:val="es-ES"/>
        </w:rPr>
      </w:pPr>
      <w:r w:rsidRPr="00FB43AA">
        <w:rPr>
          <w:rStyle w:val="Refdenotaalpie"/>
          <w:rFonts w:ascii="Univers" w:hAnsi="Univers"/>
          <w:noProof/>
          <w:sz w:val="16"/>
          <w:szCs w:val="16"/>
          <w:lang w:val="es-ES"/>
        </w:rPr>
        <w:footnoteRef/>
      </w:r>
      <w:r w:rsidRPr="00FB43AA">
        <w:rPr>
          <w:rFonts w:ascii="Univers" w:hAnsi="Univers" w:cs="Arial"/>
          <w:noProof/>
          <w:sz w:val="16"/>
          <w:szCs w:val="16"/>
          <w:lang w:val="es-ES"/>
        </w:rPr>
        <w:t xml:space="preserve"> CIDH, </w:t>
      </w:r>
      <w:r w:rsidRPr="00FB43AA">
        <w:rPr>
          <w:rFonts w:ascii="Univers" w:hAnsi="Univers" w:cs="Arial"/>
          <w:i/>
          <w:iCs/>
          <w:noProof/>
          <w:sz w:val="16"/>
          <w:szCs w:val="16"/>
          <w:lang w:val="es-ES"/>
        </w:rPr>
        <w:t>Informe sobre la Situación de los Derechos Humanos en Brasil</w:t>
      </w:r>
      <w:r w:rsidRPr="00FB43AA">
        <w:rPr>
          <w:rFonts w:ascii="Univers" w:hAnsi="Univers" w:cs="Arial"/>
          <w:noProof/>
          <w:sz w:val="16"/>
          <w:szCs w:val="16"/>
          <w:lang w:val="es-ES"/>
        </w:rPr>
        <w:t xml:space="preserve">. Doc. OEA/Ser.L/V/II.97, Doc. 29 rev. 1, 29 de septiembre de 1997, Capítulo VI, párrs. 33, 40.  CIDH, </w:t>
      </w:r>
      <w:r w:rsidRPr="00FB43AA">
        <w:rPr>
          <w:rFonts w:ascii="Univers" w:hAnsi="Univers" w:cs="Arial"/>
          <w:i/>
          <w:noProof/>
          <w:sz w:val="16"/>
          <w:szCs w:val="16"/>
          <w:lang w:val="es-ES"/>
        </w:rPr>
        <w:t>Derechos de los pueblos indígenas y tribales sobre sus tierras ancestrales y recursos naturales. Normas y jurisprudencia del Sistema Interamericano de Derechos Humanos</w:t>
      </w:r>
      <w:r w:rsidRPr="00FB43AA">
        <w:rPr>
          <w:rFonts w:ascii="Univers" w:hAnsi="Univers" w:cs="Arial"/>
          <w:noProof/>
          <w:sz w:val="16"/>
          <w:szCs w:val="16"/>
          <w:lang w:val="es-ES"/>
        </w:rPr>
        <w:t>. OEA/Ser.L/V/II.Doc.56/09, 30 de diciembre, 2009, párr. 114.</w:t>
      </w:r>
    </w:p>
  </w:footnote>
  <w:footnote w:id="101">
    <w:p w:rsidR="002506B6" w:rsidRPr="00FB43AA" w:rsidRDefault="002506B6" w:rsidP="005E78C0">
      <w:pPr>
        <w:pStyle w:val="Textonotapie"/>
        <w:tabs>
          <w:tab w:val="left" w:pos="360"/>
          <w:tab w:val="left" w:pos="720"/>
        </w:tabs>
        <w:spacing w:after="120"/>
        <w:ind w:firstLine="720"/>
        <w:jc w:val="both"/>
        <w:rPr>
          <w:rFonts w:ascii="Univers" w:hAnsi="Univers"/>
          <w:noProof/>
          <w:sz w:val="16"/>
          <w:szCs w:val="16"/>
          <w:lang w:val="es-ES"/>
        </w:rPr>
      </w:pPr>
      <w:r w:rsidRPr="00FB43AA">
        <w:rPr>
          <w:rStyle w:val="Refdenotaalpie"/>
          <w:rFonts w:ascii="Univers" w:hAnsi="Univers"/>
          <w:noProof/>
          <w:sz w:val="16"/>
          <w:szCs w:val="16"/>
          <w:lang w:val="es-ES"/>
        </w:rPr>
        <w:footnoteRef/>
      </w:r>
      <w:r w:rsidRPr="00FB43AA">
        <w:rPr>
          <w:rFonts w:ascii="Univers" w:hAnsi="Univers"/>
          <w:noProof/>
          <w:sz w:val="16"/>
          <w:szCs w:val="16"/>
          <w:lang w:val="es-ES"/>
        </w:rPr>
        <w:t xml:space="preserve"> </w:t>
      </w:r>
      <w:r w:rsidRPr="00FB43AA">
        <w:rPr>
          <w:rFonts w:ascii="Univers" w:hAnsi="Univers"/>
          <w:noProof/>
          <w:color w:val="000000"/>
          <w:sz w:val="16"/>
          <w:szCs w:val="16"/>
          <w:lang w:val="es-ES"/>
        </w:rPr>
        <w:t xml:space="preserve">Corte IDH. </w:t>
      </w:r>
      <w:r w:rsidRPr="00FB43AA">
        <w:rPr>
          <w:rFonts w:ascii="Univers" w:hAnsi="Univers"/>
          <w:bCs/>
          <w:i/>
          <w:noProof/>
          <w:color w:val="000000"/>
          <w:sz w:val="16"/>
          <w:szCs w:val="16"/>
          <w:lang w:val="es-ES"/>
        </w:rPr>
        <w:t>Caso Comunidad Indígena Sawhoyamaxa Vs. Paraguay</w:t>
      </w:r>
      <w:r w:rsidRPr="00FB43AA">
        <w:rPr>
          <w:rFonts w:ascii="Univers" w:hAnsi="Univers"/>
          <w:bCs/>
          <w:noProof/>
          <w:color w:val="000000"/>
          <w:sz w:val="16"/>
          <w:szCs w:val="16"/>
          <w:lang w:val="es-ES"/>
        </w:rPr>
        <w:t xml:space="preserve">. </w:t>
      </w:r>
      <w:r w:rsidRPr="00FB43AA">
        <w:rPr>
          <w:rFonts w:ascii="Univers" w:hAnsi="Univers"/>
          <w:noProof/>
          <w:color w:val="000000"/>
          <w:sz w:val="16"/>
          <w:szCs w:val="16"/>
          <w:lang w:val="es-ES"/>
        </w:rPr>
        <w:t>Fondo, Reparaciones y Costas. Sentencia de 29 de marzo de 2006. Serie C No. 146, párr. 120.</w:t>
      </w:r>
    </w:p>
  </w:footnote>
  <w:footnote w:id="102">
    <w:p w:rsidR="002506B6" w:rsidRPr="00FB43AA" w:rsidRDefault="002506B6" w:rsidP="005E78C0">
      <w:pPr>
        <w:pStyle w:val="Textonotapie"/>
        <w:tabs>
          <w:tab w:val="left" w:pos="360"/>
          <w:tab w:val="left" w:pos="720"/>
        </w:tabs>
        <w:spacing w:after="120"/>
        <w:ind w:firstLine="720"/>
        <w:jc w:val="both"/>
        <w:rPr>
          <w:rFonts w:ascii="Univers" w:hAnsi="Univers"/>
          <w:noProof/>
          <w:sz w:val="16"/>
          <w:szCs w:val="16"/>
          <w:lang w:val="es-ES"/>
        </w:rPr>
      </w:pPr>
      <w:r w:rsidRPr="00FB43AA">
        <w:rPr>
          <w:rStyle w:val="Refdenotaalpie"/>
          <w:rFonts w:ascii="Univers" w:hAnsi="Univers"/>
          <w:noProof/>
          <w:sz w:val="16"/>
          <w:szCs w:val="16"/>
          <w:lang w:val="es-ES"/>
        </w:rPr>
        <w:footnoteRef/>
      </w:r>
      <w:r w:rsidRPr="00FB43AA">
        <w:rPr>
          <w:rFonts w:ascii="Univers" w:hAnsi="Univers"/>
          <w:noProof/>
          <w:sz w:val="16"/>
          <w:szCs w:val="16"/>
          <w:lang w:val="es-ES"/>
        </w:rPr>
        <w:t xml:space="preserve"> </w:t>
      </w:r>
      <w:r w:rsidRPr="00FB43AA">
        <w:rPr>
          <w:rFonts w:ascii="Univers" w:hAnsi="Univers"/>
          <w:noProof/>
          <w:color w:val="000000"/>
          <w:sz w:val="16"/>
          <w:szCs w:val="16"/>
          <w:lang w:val="es-ES"/>
        </w:rPr>
        <w:t xml:space="preserve">Corte IDH. </w:t>
      </w:r>
      <w:r w:rsidRPr="00FB43AA">
        <w:rPr>
          <w:rFonts w:ascii="Univers" w:hAnsi="Univers"/>
          <w:bCs/>
          <w:i/>
          <w:noProof/>
          <w:color w:val="000000"/>
          <w:sz w:val="16"/>
          <w:szCs w:val="16"/>
          <w:lang w:val="es-ES"/>
        </w:rPr>
        <w:t>Caso Comunidad Indígena Sawhoyamaxa Vs. Paraguay</w:t>
      </w:r>
      <w:r w:rsidRPr="00FB43AA">
        <w:rPr>
          <w:rFonts w:ascii="Univers" w:hAnsi="Univers"/>
          <w:bCs/>
          <w:noProof/>
          <w:color w:val="000000"/>
          <w:sz w:val="16"/>
          <w:szCs w:val="16"/>
          <w:lang w:val="es-ES"/>
        </w:rPr>
        <w:t xml:space="preserve">. </w:t>
      </w:r>
      <w:r w:rsidRPr="00FB43AA">
        <w:rPr>
          <w:rFonts w:ascii="Univers" w:hAnsi="Univers"/>
          <w:noProof/>
          <w:color w:val="000000"/>
          <w:sz w:val="16"/>
          <w:szCs w:val="16"/>
          <w:lang w:val="es-ES"/>
        </w:rPr>
        <w:t>Fondo, Reparaciones y Costas. Sentencia de 29 de marzo de 2006. Serie C No. 146, párr. 120.</w:t>
      </w:r>
    </w:p>
  </w:footnote>
  <w:footnote w:id="103">
    <w:p w:rsidR="002506B6" w:rsidRPr="00FB43AA" w:rsidRDefault="002506B6" w:rsidP="005E78C0">
      <w:pPr>
        <w:pStyle w:val="Textonotapie"/>
        <w:tabs>
          <w:tab w:val="left" w:pos="360"/>
          <w:tab w:val="left" w:pos="720"/>
        </w:tabs>
        <w:spacing w:after="120"/>
        <w:ind w:firstLine="720"/>
        <w:jc w:val="both"/>
        <w:rPr>
          <w:rFonts w:ascii="Univers" w:hAnsi="Univers"/>
          <w:noProof/>
          <w:sz w:val="16"/>
          <w:szCs w:val="16"/>
          <w:lang w:val="es-ES"/>
        </w:rPr>
      </w:pPr>
      <w:r w:rsidRPr="00FB43AA">
        <w:rPr>
          <w:rStyle w:val="Refdenotaalpie"/>
          <w:rFonts w:ascii="Univers" w:hAnsi="Univers"/>
          <w:noProof/>
          <w:sz w:val="16"/>
          <w:szCs w:val="16"/>
          <w:lang w:val="es-ES"/>
        </w:rPr>
        <w:footnoteRef/>
      </w:r>
      <w:r w:rsidRPr="00FB43AA">
        <w:rPr>
          <w:rFonts w:ascii="Univers" w:hAnsi="Univers"/>
          <w:noProof/>
          <w:sz w:val="16"/>
          <w:szCs w:val="16"/>
          <w:lang w:val="es-ES"/>
        </w:rPr>
        <w:t xml:space="preserve"> </w:t>
      </w:r>
      <w:r w:rsidRPr="00FB43AA">
        <w:rPr>
          <w:rFonts w:ascii="Univers" w:hAnsi="Univers"/>
          <w:noProof/>
          <w:color w:val="000000"/>
          <w:sz w:val="16"/>
          <w:szCs w:val="16"/>
          <w:lang w:val="es-ES"/>
        </w:rPr>
        <w:t xml:space="preserve">Corte IDH. </w:t>
      </w:r>
      <w:r w:rsidRPr="00FB43AA">
        <w:rPr>
          <w:rFonts w:ascii="Univers" w:hAnsi="Univers"/>
          <w:bCs/>
          <w:i/>
          <w:noProof/>
          <w:color w:val="000000"/>
          <w:sz w:val="16"/>
          <w:szCs w:val="16"/>
          <w:lang w:val="es-ES"/>
        </w:rPr>
        <w:t>Caso Comunidad Indígena Sawhoyamaxa Vs. Paraguay</w:t>
      </w:r>
      <w:r w:rsidRPr="00FB43AA">
        <w:rPr>
          <w:rFonts w:ascii="Univers" w:hAnsi="Univers"/>
          <w:bCs/>
          <w:noProof/>
          <w:color w:val="000000"/>
          <w:sz w:val="16"/>
          <w:szCs w:val="16"/>
          <w:lang w:val="es-ES"/>
        </w:rPr>
        <w:t xml:space="preserve">. </w:t>
      </w:r>
      <w:r w:rsidRPr="00FB43AA">
        <w:rPr>
          <w:rFonts w:ascii="Univers" w:hAnsi="Univers"/>
          <w:noProof/>
          <w:color w:val="000000"/>
          <w:sz w:val="16"/>
          <w:szCs w:val="16"/>
          <w:lang w:val="es-ES"/>
        </w:rPr>
        <w:t>Fondo, Reparaciones y Costas. Sentencia de 29 de marzo de 2006. Serie C No. 146, párr. 131.</w:t>
      </w:r>
    </w:p>
  </w:footnote>
  <w:footnote w:id="104">
    <w:p w:rsidR="002506B6" w:rsidRPr="00FB43AA" w:rsidRDefault="002506B6" w:rsidP="005E78C0">
      <w:pPr>
        <w:pStyle w:val="Textonotapie"/>
        <w:tabs>
          <w:tab w:val="left" w:pos="720"/>
        </w:tabs>
        <w:spacing w:after="120"/>
        <w:ind w:firstLine="720"/>
        <w:jc w:val="both"/>
        <w:rPr>
          <w:rFonts w:ascii="Univers" w:hAnsi="Univers"/>
          <w:noProof/>
          <w:sz w:val="16"/>
          <w:szCs w:val="16"/>
          <w:lang w:val="es-ES"/>
        </w:rPr>
      </w:pPr>
      <w:r w:rsidRPr="00FB43AA">
        <w:rPr>
          <w:rStyle w:val="Refdenotaalpie"/>
          <w:rFonts w:ascii="Univers" w:hAnsi="Univers"/>
          <w:noProof/>
          <w:sz w:val="16"/>
          <w:szCs w:val="16"/>
          <w:lang w:val="es-ES"/>
        </w:rPr>
        <w:footnoteRef/>
      </w:r>
      <w:r w:rsidRPr="00FB43AA">
        <w:rPr>
          <w:rFonts w:ascii="Univers" w:hAnsi="Univers"/>
          <w:noProof/>
          <w:sz w:val="16"/>
          <w:szCs w:val="16"/>
          <w:lang w:val="es-ES"/>
        </w:rPr>
        <w:t xml:space="preserve"> Véase </w:t>
      </w:r>
      <w:r w:rsidRPr="00FB43AA">
        <w:rPr>
          <w:rFonts w:ascii="Univers" w:hAnsi="Univers"/>
          <w:i/>
          <w:noProof/>
          <w:sz w:val="16"/>
          <w:szCs w:val="16"/>
          <w:lang w:val="es-ES"/>
        </w:rPr>
        <w:t xml:space="preserve">inter alia </w:t>
      </w:r>
      <w:r w:rsidRPr="00FB43AA">
        <w:rPr>
          <w:rFonts w:ascii="Univers" w:hAnsi="Univers"/>
          <w:noProof/>
          <w:sz w:val="16"/>
          <w:szCs w:val="16"/>
          <w:lang w:val="es-ES"/>
        </w:rPr>
        <w:t xml:space="preserve">CIDH, Informe No. 75/02, Caso 11.140, Mary y Carrie Dann (Estados Unidos), 27 de diciembre de 2002, párr. 130; CIDH, Informe No. 40/04, Caso 12.053, Comunidades Indígenas Mayas del Distrito de Toledo (Belice), 12 de octubre de 2004, párr. 151. </w:t>
      </w:r>
      <w:r w:rsidRPr="00FB43AA">
        <w:rPr>
          <w:rFonts w:ascii="Univers" w:hAnsi="Univers"/>
          <w:noProof/>
          <w:color w:val="000000"/>
          <w:sz w:val="16"/>
          <w:szCs w:val="16"/>
          <w:lang w:val="es-ES"/>
        </w:rPr>
        <w:t xml:space="preserve">Corte IDH. </w:t>
      </w:r>
      <w:r w:rsidRPr="00FB43AA">
        <w:rPr>
          <w:rFonts w:ascii="Univers" w:hAnsi="Univers"/>
          <w:bCs/>
          <w:i/>
          <w:noProof/>
          <w:color w:val="000000"/>
          <w:sz w:val="16"/>
          <w:szCs w:val="16"/>
          <w:lang w:val="es-ES"/>
        </w:rPr>
        <w:t>Caso Comunidad Indígena Sawhoyamaxa Vs. Paraguay</w:t>
      </w:r>
      <w:r w:rsidRPr="00FB43AA">
        <w:rPr>
          <w:rFonts w:ascii="Univers" w:hAnsi="Univers"/>
          <w:bCs/>
          <w:noProof/>
          <w:color w:val="000000"/>
          <w:sz w:val="16"/>
          <w:szCs w:val="16"/>
          <w:lang w:val="es-ES"/>
        </w:rPr>
        <w:t xml:space="preserve">. </w:t>
      </w:r>
      <w:r w:rsidRPr="00FB43AA">
        <w:rPr>
          <w:rFonts w:ascii="Univers" w:hAnsi="Univers"/>
          <w:noProof/>
          <w:color w:val="000000"/>
          <w:sz w:val="16"/>
          <w:szCs w:val="16"/>
          <w:lang w:val="es-ES"/>
        </w:rPr>
        <w:t>Fondo, Reparaciones y Costas. Sentencia de 29 de marzo de 2006. Serie C No. 146, párr.120</w:t>
      </w:r>
      <w:r w:rsidRPr="00FB43AA">
        <w:rPr>
          <w:rFonts w:ascii="Univers" w:hAnsi="Univers"/>
          <w:noProof/>
          <w:sz w:val="16"/>
          <w:szCs w:val="16"/>
          <w:lang w:val="es-ES"/>
        </w:rPr>
        <w:t xml:space="preserve">. Este enfoque interpretativo se respalda en los términos de otros instrumentos internacionales, que indican las actitudes internacionales hacia el rol de los sistemas tradicionales de tenencia de la tierra en los sistemas modernos de protección de los derechos humanos;  por ejemplo, artículo 14.1 del Convenio 169, y artículo 27 del Pacto Internacional de Derechos Civiles y Políticos, ratificado por </w:t>
      </w:r>
      <w:smartTag w:uri="urn:schemas-microsoft-com:office:smarttags" w:element="PersonName">
        <w:r w:rsidRPr="00FB43AA">
          <w:rPr>
            <w:rFonts w:ascii="Univers" w:hAnsi="Univers"/>
            <w:noProof/>
            <w:sz w:val="16"/>
            <w:szCs w:val="16"/>
            <w:lang w:val="es-ES"/>
          </w:rPr>
          <w:t>Honduras</w:t>
        </w:r>
      </w:smartTag>
      <w:r w:rsidRPr="00FB43AA">
        <w:rPr>
          <w:rFonts w:ascii="Univers" w:hAnsi="Univers"/>
          <w:noProof/>
          <w:sz w:val="16"/>
          <w:szCs w:val="16"/>
          <w:lang w:val="es-ES"/>
        </w:rPr>
        <w:t xml:space="preserve"> el 25 de agosto de 1997. Al respecto, el Comité de Derechos Humanos ha explicado que “la cultura se manifiesta de muchas formas, inclusive un modo particular de vida relacionado con el uso de recursos terrestres, especialmente en el caso de los pueblos indígenas” [Comité de Derechos Humanos, Observación General No. 23: Los derechos de las minorías (Art. 27 del PIDCP), 08/04/94, Doc. ONU CCPR/C/21/Rev. 1/Add.5, párrafo 7; citado en CIDH, Informe No. 75/02, Caso 11.140, Mary y Carrie Dann (Estados Unidos), 27 de diciembre de 2002, párr. 130, nota al pie No. 97]. Por ello, la protección de los derechos culturales de un pueblo indígena puede incluir la protección de modos de relacionamiento con el territorio a través de actividades tradicionales tales como la pesca o la caza [Comité de Derechos Humanos, Observación General No. 23: Los derechos de las minorías (Art. 27 del PIDCP), 08/04/94, Doc. ONU CCPR/C/21/Rev. 1/Add.5, párrafo 7; citado en CIDH, Informe No. 75/02, Caso 11.140, Mary y Carrie Dann (Estados Unidos), 27 de diciembre de 2002, párr. 130, nota al pie No. 97], en la medida en que la caza, pesca y recolección son un elemento esencial de la cultura indígena [</w:t>
      </w:r>
      <w:r w:rsidRPr="00FB43AA">
        <w:rPr>
          <w:rFonts w:ascii="Univers" w:hAnsi="Univers"/>
          <w:noProof/>
          <w:color w:val="000000"/>
          <w:sz w:val="16"/>
          <w:szCs w:val="16"/>
          <w:lang w:val="es-ES"/>
        </w:rPr>
        <w:t xml:space="preserve">Corte IDH. </w:t>
      </w:r>
      <w:r w:rsidRPr="00FB43AA">
        <w:rPr>
          <w:rFonts w:ascii="Univers" w:hAnsi="Univers"/>
          <w:bCs/>
          <w:noProof/>
          <w:color w:val="000000"/>
          <w:sz w:val="16"/>
          <w:szCs w:val="16"/>
          <w:lang w:val="es-ES"/>
        </w:rPr>
        <w:t xml:space="preserve">Caso </w:t>
      </w:r>
      <w:r w:rsidRPr="00FB43AA">
        <w:rPr>
          <w:rFonts w:ascii="Univers" w:hAnsi="Univers"/>
          <w:bCs/>
          <w:i/>
          <w:noProof/>
          <w:color w:val="000000"/>
          <w:sz w:val="16"/>
          <w:szCs w:val="16"/>
          <w:lang w:val="es-ES"/>
        </w:rPr>
        <w:t>Comunidad Indígena Yakye Axa Vs. Paraguay</w:t>
      </w:r>
      <w:r w:rsidRPr="00FB43AA">
        <w:rPr>
          <w:rFonts w:ascii="Univers" w:hAnsi="Univers"/>
          <w:bCs/>
          <w:noProof/>
          <w:color w:val="000000"/>
          <w:sz w:val="16"/>
          <w:szCs w:val="16"/>
          <w:lang w:val="es-ES"/>
        </w:rPr>
        <w:t xml:space="preserve">. </w:t>
      </w:r>
      <w:r w:rsidRPr="00FB43AA">
        <w:rPr>
          <w:rFonts w:ascii="Univers" w:hAnsi="Univers"/>
          <w:noProof/>
          <w:color w:val="000000"/>
          <w:sz w:val="16"/>
          <w:szCs w:val="16"/>
          <w:lang w:val="es-ES"/>
        </w:rPr>
        <w:t>Fondo, Reparaciones y Costas. Sentencia 17 de junio de 2005. Serie C No. 125, párr. 140]</w:t>
      </w:r>
      <w:r w:rsidRPr="00FB43AA">
        <w:rPr>
          <w:rFonts w:ascii="Univers" w:hAnsi="Univers"/>
          <w:noProof/>
          <w:sz w:val="16"/>
          <w:szCs w:val="16"/>
          <w:lang w:val="es-ES"/>
        </w:rPr>
        <w:t xml:space="preserve">. </w:t>
      </w:r>
      <w:r w:rsidRPr="00FB43AA">
        <w:rPr>
          <w:rFonts w:ascii="Univers" w:hAnsi="Univers" w:cs="Verdana"/>
          <w:noProof/>
          <w:sz w:val="16"/>
          <w:szCs w:val="16"/>
          <w:lang w:val="es-ES"/>
        </w:rPr>
        <w:t>Esta noción compleja del derecho de propiedad indígena aparece también reflejada en la Declaración de Naciones Unidas, en virtud de la cual “l</w:t>
      </w:r>
      <w:r w:rsidRPr="00FB43AA">
        <w:rPr>
          <w:rFonts w:ascii="Univers" w:hAnsi="Univers"/>
          <w:noProof/>
          <w:sz w:val="16"/>
          <w:szCs w:val="16"/>
          <w:lang w:val="es-ES"/>
        </w:rPr>
        <w:t xml:space="preserve">os pueblos indígenas tienen derecho a poseer, utilizar, desarrollar y controlar las tierras, territorios y recursos que poseen en razón de la propiedad tradicional u otra forma tradicional de ocupación o utilización, así como aquellos que hayan adquirido de otra forma” [Declaración de Naciones Unidas, </w:t>
      </w:r>
      <w:r w:rsidRPr="00FB43AA">
        <w:rPr>
          <w:rFonts w:ascii="Univers" w:hAnsi="Univers"/>
          <w:i/>
          <w:noProof/>
          <w:sz w:val="16"/>
          <w:szCs w:val="16"/>
          <w:lang w:val="es-ES"/>
        </w:rPr>
        <w:t xml:space="preserve">supra </w:t>
      </w:r>
      <w:r w:rsidRPr="00FB43AA">
        <w:rPr>
          <w:rFonts w:ascii="Univers" w:hAnsi="Univers"/>
          <w:noProof/>
          <w:sz w:val="16"/>
          <w:szCs w:val="16"/>
          <w:lang w:val="es-ES"/>
        </w:rPr>
        <w:t>nota 1, art. 26.2].</w:t>
      </w:r>
    </w:p>
  </w:footnote>
  <w:footnote w:id="105">
    <w:p w:rsidR="002506B6" w:rsidRPr="00FB43AA" w:rsidRDefault="002506B6" w:rsidP="005E78C0">
      <w:pPr>
        <w:pStyle w:val="Textonotapie"/>
        <w:spacing w:after="120"/>
        <w:ind w:firstLine="720"/>
        <w:jc w:val="both"/>
        <w:rPr>
          <w:rFonts w:ascii="Univers" w:hAnsi="Univers"/>
          <w:noProof/>
          <w:sz w:val="16"/>
          <w:szCs w:val="16"/>
          <w:lang w:val="es-ES"/>
        </w:rPr>
      </w:pPr>
      <w:r w:rsidRPr="00FB43AA">
        <w:rPr>
          <w:rStyle w:val="Refdenotaalpie"/>
          <w:rFonts w:ascii="Univers" w:hAnsi="Univers"/>
          <w:noProof/>
          <w:sz w:val="16"/>
          <w:szCs w:val="16"/>
          <w:lang w:val="es-ES"/>
        </w:rPr>
        <w:footnoteRef/>
      </w:r>
      <w:r w:rsidRPr="00FB43AA">
        <w:rPr>
          <w:rFonts w:ascii="Univers" w:hAnsi="Univers"/>
          <w:noProof/>
          <w:sz w:val="16"/>
          <w:szCs w:val="16"/>
          <w:lang w:val="es-ES"/>
        </w:rPr>
        <w:t xml:space="preserve"> CIDH, </w:t>
      </w:r>
      <w:r w:rsidRPr="00FB43AA">
        <w:rPr>
          <w:rFonts w:ascii="Univers" w:hAnsi="Univers"/>
          <w:i/>
          <w:noProof/>
          <w:sz w:val="16"/>
          <w:szCs w:val="16"/>
          <w:lang w:val="es-ES"/>
        </w:rPr>
        <w:t>Acceso a la Justicia e Inclusión Social: El camino hacia el fortalecimiento de la Democracia en Bolivia</w:t>
      </w:r>
      <w:r w:rsidRPr="00FB43AA">
        <w:rPr>
          <w:rFonts w:ascii="Univers" w:hAnsi="Univers"/>
          <w:noProof/>
          <w:sz w:val="16"/>
          <w:szCs w:val="16"/>
          <w:lang w:val="es-ES"/>
        </w:rPr>
        <w:t>. Doc. OEA/Ser.L/V/II, Doc. 34, 28 de junio de 2007, párr. 231.</w:t>
      </w:r>
    </w:p>
  </w:footnote>
  <w:footnote w:id="106">
    <w:p w:rsidR="002506B6" w:rsidRPr="00FB43AA" w:rsidRDefault="002506B6" w:rsidP="005E78C0">
      <w:pPr>
        <w:pStyle w:val="Textonotapie"/>
        <w:spacing w:after="120"/>
        <w:ind w:firstLine="720"/>
        <w:jc w:val="both"/>
        <w:rPr>
          <w:rFonts w:ascii="Univers" w:hAnsi="Univers"/>
          <w:noProof/>
          <w:sz w:val="16"/>
          <w:szCs w:val="16"/>
          <w:lang w:val="es-ES"/>
        </w:rPr>
      </w:pPr>
      <w:r w:rsidRPr="00FB43AA">
        <w:rPr>
          <w:rStyle w:val="Refdenotaalpie"/>
          <w:rFonts w:ascii="Univers" w:hAnsi="Univers"/>
          <w:noProof/>
          <w:sz w:val="16"/>
          <w:szCs w:val="16"/>
          <w:lang w:val="es-ES"/>
        </w:rPr>
        <w:footnoteRef/>
      </w:r>
      <w:r w:rsidRPr="00FB43AA">
        <w:rPr>
          <w:rFonts w:ascii="Univers" w:hAnsi="Univers"/>
          <w:noProof/>
          <w:sz w:val="16"/>
          <w:szCs w:val="16"/>
          <w:lang w:val="es-ES"/>
        </w:rPr>
        <w:t xml:space="preserve"> Véase </w:t>
      </w:r>
      <w:r w:rsidRPr="00FB43AA">
        <w:rPr>
          <w:rFonts w:ascii="Univers" w:hAnsi="Univers"/>
          <w:i/>
          <w:noProof/>
          <w:sz w:val="16"/>
          <w:szCs w:val="16"/>
          <w:lang w:val="es-ES"/>
        </w:rPr>
        <w:t>inter alia</w:t>
      </w:r>
      <w:r w:rsidRPr="00FB43AA">
        <w:rPr>
          <w:rFonts w:ascii="Univers" w:hAnsi="Univers"/>
          <w:noProof/>
          <w:sz w:val="16"/>
          <w:szCs w:val="16"/>
          <w:lang w:val="es-ES"/>
        </w:rPr>
        <w:t xml:space="preserve">, Corte IDH. </w:t>
      </w:r>
      <w:r w:rsidRPr="00FB43AA">
        <w:rPr>
          <w:rFonts w:ascii="Univers" w:hAnsi="Univers"/>
          <w:i/>
          <w:iCs/>
          <w:noProof/>
          <w:sz w:val="16"/>
          <w:szCs w:val="16"/>
          <w:lang w:val="es-ES"/>
        </w:rPr>
        <w:t>Caso del Pueblo Saramaka Vs. Surinam</w:t>
      </w:r>
      <w:r w:rsidRPr="00FB43AA">
        <w:rPr>
          <w:rFonts w:ascii="Univers" w:hAnsi="Univers"/>
          <w:noProof/>
          <w:sz w:val="16"/>
          <w:szCs w:val="16"/>
          <w:lang w:val="es-ES"/>
        </w:rPr>
        <w:t xml:space="preserve">. Excepciones Preliminares, Fondo, Reparaciones y Costas. Sentencia de 28 de noviembre de 2007. Serie C No. 172, párr. 96; CIDH, Alegatos ante la Corte Interamericana de Derechos Humanos en el caso de Awas Tingni v. </w:t>
      </w:r>
      <w:smartTag w:uri="urn:schemas-microsoft-com:office:smarttags" w:element="PersonName">
        <w:r w:rsidRPr="00FB43AA">
          <w:rPr>
            <w:rFonts w:ascii="Univers" w:hAnsi="Univers"/>
            <w:noProof/>
            <w:sz w:val="16"/>
            <w:szCs w:val="16"/>
            <w:lang w:val="es-ES"/>
          </w:rPr>
          <w:t>Nicaragua</w:t>
        </w:r>
      </w:smartTag>
      <w:r w:rsidRPr="00FB43AA">
        <w:rPr>
          <w:rFonts w:ascii="Univers" w:hAnsi="Univers"/>
          <w:noProof/>
          <w:sz w:val="16"/>
          <w:szCs w:val="16"/>
          <w:lang w:val="es-ES"/>
        </w:rPr>
        <w:t xml:space="preserve">. Referidos en: Corte IDH. </w:t>
      </w:r>
      <w:r w:rsidRPr="00FB43AA">
        <w:rPr>
          <w:rFonts w:ascii="Univers" w:hAnsi="Univers"/>
          <w:i/>
          <w:iCs/>
          <w:noProof/>
          <w:sz w:val="16"/>
          <w:szCs w:val="16"/>
          <w:lang w:val="es-ES"/>
        </w:rPr>
        <w:t xml:space="preserve">Caso de la Comunidad Mayagna (Sumo) Awas Tingni Vs. </w:t>
      </w:r>
      <w:smartTag w:uri="urn:schemas-microsoft-com:office:smarttags" w:element="PersonName">
        <w:r w:rsidRPr="00FB43AA">
          <w:rPr>
            <w:rFonts w:ascii="Univers" w:hAnsi="Univers"/>
            <w:i/>
            <w:iCs/>
            <w:noProof/>
            <w:sz w:val="16"/>
            <w:szCs w:val="16"/>
            <w:lang w:val="es-ES"/>
          </w:rPr>
          <w:t>Nicaragua</w:t>
        </w:r>
      </w:smartTag>
      <w:r w:rsidRPr="00FB43AA">
        <w:rPr>
          <w:rFonts w:ascii="Univers" w:hAnsi="Univers"/>
          <w:noProof/>
          <w:sz w:val="16"/>
          <w:szCs w:val="16"/>
          <w:lang w:val="es-ES"/>
        </w:rPr>
        <w:t>. Fondo, Reparaciones y Costas. Sentencia de 31 de agosto de 2001. Serie C No. 79, párr. 140(a); CIDH, Informe No. 40/04, Caso 12.053, Comunidades Indígenas Mayas del Distrito de Toledo (Belice), 12 de octubre de 2004, párr. 115.</w:t>
      </w:r>
    </w:p>
  </w:footnote>
  <w:footnote w:id="107">
    <w:p w:rsidR="002506B6" w:rsidRPr="00FB43AA" w:rsidRDefault="002506B6" w:rsidP="005E78C0">
      <w:pPr>
        <w:tabs>
          <w:tab w:val="left" w:pos="720"/>
        </w:tabs>
        <w:autoSpaceDE w:val="0"/>
        <w:autoSpaceDN w:val="0"/>
        <w:adjustRightInd w:val="0"/>
        <w:spacing w:after="120"/>
        <w:ind w:firstLine="720"/>
        <w:jc w:val="both"/>
        <w:rPr>
          <w:rFonts w:cs="Verdana"/>
          <w:noProof/>
          <w:sz w:val="16"/>
          <w:szCs w:val="16"/>
          <w:lang w:val="es-ES"/>
        </w:rPr>
      </w:pPr>
      <w:r w:rsidRPr="00FB43AA">
        <w:rPr>
          <w:rStyle w:val="Refdenotaalpie"/>
          <w:noProof/>
          <w:sz w:val="16"/>
          <w:szCs w:val="16"/>
          <w:lang w:val="es-ES"/>
        </w:rPr>
        <w:footnoteRef/>
      </w:r>
      <w:r w:rsidRPr="00FB43AA">
        <w:rPr>
          <w:noProof/>
          <w:sz w:val="16"/>
          <w:szCs w:val="16"/>
          <w:lang w:val="es-ES"/>
        </w:rPr>
        <w:t xml:space="preserve"> Corte I.D.H., </w:t>
      </w:r>
      <w:r w:rsidRPr="00FB43AA">
        <w:rPr>
          <w:i/>
          <w:noProof/>
          <w:sz w:val="16"/>
          <w:szCs w:val="16"/>
          <w:lang w:val="es-ES"/>
        </w:rPr>
        <w:t xml:space="preserve">Caso de la Comunidad Mayagna (Sumo) Awas Tingni Vs. </w:t>
      </w:r>
      <w:smartTag w:uri="urn:schemas-microsoft-com:office:smarttags" w:element="PersonName">
        <w:r w:rsidRPr="00FB43AA">
          <w:rPr>
            <w:i/>
            <w:noProof/>
            <w:sz w:val="16"/>
            <w:szCs w:val="16"/>
            <w:lang w:val="es-ES"/>
          </w:rPr>
          <w:t>Nicaragua</w:t>
        </w:r>
      </w:smartTag>
      <w:r w:rsidRPr="00FB43AA">
        <w:rPr>
          <w:noProof/>
          <w:sz w:val="16"/>
          <w:szCs w:val="16"/>
          <w:lang w:val="es-ES"/>
        </w:rPr>
        <w:t xml:space="preserve">, Fondo, Reparaciones y Costas. Sentencia de 31 de agosto de 2001. Serie C No. 79, párr. 151; Corte I.D.H. </w:t>
      </w:r>
      <w:r w:rsidRPr="00FB43AA">
        <w:rPr>
          <w:i/>
          <w:noProof/>
          <w:sz w:val="16"/>
          <w:szCs w:val="16"/>
          <w:lang w:val="es-ES"/>
        </w:rPr>
        <w:t xml:space="preserve">Caso Comunidad Indígena Sawhoyamaxa Vs. Paraguay. </w:t>
      </w:r>
      <w:r w:rsidRPr="00FB43AA">
        <w:rPr>
          <w:noProof/>
          <w:sz w:val="16"/>
          <w:szCs w:val="16"/>
          <w:lang w:val="es-ES"/>
        </w:rPr>
        <w:t xml:space="preserve">Fondo, Reparaciones y Costas. Sentencia de 29 de marzo de 2006. Serie C No. 146, párr. 128. Corte I.D.H. </w:t>
      </w:r>
      <w:r w:rsidRPr="00FB43AA">
        <w:rPr>
          <w:i/>
          <w:noProof/>
          <w:sz w:val="16"/>
          <w:szCs w:val="16"/>
          <w:lang w:val="es-ES"/>
        </w:rPr>
        <w:t>Caso Comunidad Indígena Xákmok Kásek. Vs. Paraguay</w:t>
      </w:r>
      <w:r w:rsidRPr="00FB43AA">
        <w:rPr>
          <w:noProof/>
          <w:sz w:val="16"/>
          <w:szCs w:val="16"/>
          <w:lang w:val="es-ES"/>
        </w:rPr>
        <w:t>. Fondo, Reparaciones y Costas. Sentencia de 24 de agosto de 2010 Serie C No. 214, párr. 109.</w:t>
      </w:r>
    </w:p>
  </w:footnote>
  <w:footnote w:id="108">
    <w:p w:rsidR="002506B6" w:rsidRPr="00FB43AA" w:rsidRDefault="002506B6" w:rsidP="005E78C0">
      <w:pPr>
        <w:pStyle w:val="Textonotapie"/>
        <w:tabs>
          <w:tab w:val="left" w:pos="0"/>
          <w:tab w:val="left" w:pos="720"/>
        </w:tabs>
        <w:spacing w:after="120"/>
        <w:ind w:firstLine="720"/>
        <w:jc w:val="both"/>
        <w:rPr>
          <w:rFonts w:ascii="Univers" w:hAnsi="Univers"/>
          <w:noProof/>
          <w:sz w:val="16"/>
          <w:szCs w:val="16"/>
          <w:lang w:val="es-ES"/>
        </w:rPr>
      </w:pPr>
      <w:r w:rsidRPr="00FB43AA">
        <w:rPr>
          <w:rStyle w:val="Refdenotaalpie"/>
          <w:rFonts w:ascii="Univers" w:hAnsi="Univers"/>
          <w:noProof/>
          <w:sz w:val="16"/>
          <w:szCs w:val="16"/>
          <w:lang w:val="es-ES"/>
        </w:rPr>
        <w:footnoteRef/>
      </w:r>
      <w:r w:rsidRPr="00FB43AA">
        <w:rPr>
          <w:rFonts w:ascii="Univers" w:hAnsi="Univers" w:cs="Arial"/>
          <w:noProof/>
          <w:sz w:val="16"/>
          <w:szCs w:val="16"/>
          <w:lang w:val="es-ES"/>
        </w:rPr>
        <w:t xml:space="preserve"> CIDH, Demanda presentada ante la Corte IDH en el caso del Pueblo Kichwa de Sarayaku y sus miembros Vs. Ecuador, 26 de abril de 2010, párr 125. CIDH, Informe No. 40/04, Caso 12.053, Comunidades Indígenas Mayas del Distrito de Toledo (Belice), 12 de octubre de 2004, párr. 142 y 153.</w:t>
      </w:r>
    </w:p>
  </w:footnote>
  <w:footnote w:id="109">
    <w:p w:rsidR="002506B6" w:rsidRPr="00FB43AA" w:rsidRDefault="002506B6" w:rsidP="005E78C0">
      <w:pPr>
        <w:pStyle w:val="Textonotapie"/>
        <w:tabs>
          <w:tab w:val="left" w:pos="720"/>
        </w:tabs>
        <w:spacing w:after="120"/>
        <w:ind w:firstLine="720"/>
        <w:jc w:val="both"/>
        <w:rPr>
          <w:rFonts w:ascii="Univers" w:hAnsi="Univers"/>
          <w:noProof/>
          <w:sz w:val="16"/>
          <w:szCs w:val="16"/>
          <w:lang w:val="es-ES"/>
        </w:rPr>
      </w:pPr>
      <w:r w:rsidRPr="00FB43AA">
        <w:rPr>
          <w:rStyle w:val="Refdenotaalpie"/>
          <w:rFonts w:ascii="Univers" w:hAnsi="Univers"/>
          <w:noProof/>
          <w:sz w:val="16"/>
          <w:szCs w:val="16"/>
          <w:lang w:val="es-ES"/>
        </w:rPr>
        <w:footnoteRef/>
      </w:r>
      <w:r w:rsidRPr="00FB43AA">
        <w:rPr>
          <w:rFonts w:ascii="Univers" w:hAnsi="Univers"/>
          <w:noProof/>
          <w:sz w:val="16"/>
          <w:szCs w:val="16"/>
          <w:lang w:val="es-ES"/>
        </w:rPr>
        <w:t xml:space="preserve"> Corte IDH, </w:t>
      </w:r>
      <w:r w:rsidRPr="00FB43AA">
        <w:rPr>
          <w:rFonts w:ascii="Univers" w:hAnsi="Univers"/>
          <w:i/>
          <w:iCs/>
          <w:noProof/>
          <w:sz w:val="16"/>
          <w:szCs w:val="16"/>
          <w:lang w:val="es-ES"/>
        </w:rPr>
        <w:t>Caso de la Comunidad Indígena Xákmok Kásek Vs. Paraguay</w:t>
      </w:r>
      <w:r w:rsidRPr="00FB43AA">
        <w:rPr>
          <w:rFonts w:ascii="Univers" w:hAnsi="Univers"/>
          <w:noProof/>
          <w:sz w:val="16"/>
          <w:szCs w:val="16"/>
          <w:lang w:val="es-ES"/>
        </w:rPr>
        <w:t>. Fondo, Reparaciones y Costas. Sentencia de 24 de agosto de 2010, Serie C No. 214, párr. 143.</w:t>
      </w:r>
    </w:p>
  </w:footnote>
  <w:footnote w:id="110">
    <w:p w:rsidR="002506B6" w:rsidRPr="00FB43AA" w:rsidRDefault="002506B6" w:rsidP="005E78C0">
      <w:pPr>
        <w:pStyle w:val="Textonotapie"/>
        <w:tabs>
          <w:tab w:val="left" w:pos="720"/>
        </w:tabs>
        <w:spacing w:after="120"/>
        <w:ind w:firstLine="720"/>
        <w:jc w:val="both"/>
        <w:rPr>
          <w:rFonts w:ascii="Univers" w:hAnsi="Univers"/>
          <w:noProof/>
          <w:sz w:val="16"/>
          <w:szCs w:val="16"/>
          <w:lang w:val="es-ES"/>
        </w:rPr>
      </w:pPr>
      <w:r w:rsidRPr="00FB43AA">
        <w:rPr>
          <w:rStyle w:val="Refdenotaalpie"/>
          <w:rFonts w:ascii="Univers" w:hAnsi="Univers"/>
          <w:noProof/>
          <w:sz w:val="16"/>
          <w:szCs w:val="16"/>
          <w:lang w:val="es-ES"/>
        </w:rPr>
        <w:footnoteRef/>
      </w:r>
      <w:r w:rsidRPr="00FB43AA">
        <w:rPr>
          <w:rFonts w:ascii="Univers" w:hAnsi="Univers"/>
          <w:noProof/>
          <w:sz w:val="16"/>
          <w:szCs w:val="16"/>
          <w:lang w:val="es-ES"/>
        </w:rPr>
        <w:t xml:space="preserve"> Corte IDH. </w:t>
      </w:r>
      <w:r w:rsidRPr="00FB43AA">
        <w:rPr>
          <w:rFonts w:ascii="Univers" w:hAnsi="Univers"/>
          <w:i/>
          <w:iCs/>
          <w:noProof/>
          <w:sz w:val="16"/>
          <w:szCs w:val="16"/>
          <w:lang w:val="es-ES"/>
        </w:rPr>
        <w:t>Caso del Pueblo Saramaka Vs. Surinam</w:t>
      </w:r>
      <w:r w:rsidRPr="00FB43AA">
        <w:rPr>
          <w:rFonts w:ascii="Univers" w:hAnsi="Univers"/>
          <w:noProof/>
          <w:sz w:val="16"/>
          <w:szCs w:val="16"/>
          <w:lang w:val="es-ES"/>
        </w:rPr>
        <w:t xml:space="preserve">. Excepciones Preliminares, Fondo, Reparaciones y Costas. Sentencia de 28 de noviembre de 2007. Serie C No. 172, párr. 115.  </w:t>
      </w:r>
    </w:p>
  </w:footnote>
  <w:footnote w:id="111">
    <w:p w:rsidR="002506B6" w:rsidRPr="00FB43AA" w:rsidRDefault="002506B6" w:rsidP="005E78C0">
      <w:pPr>
        <w:tabs>
          <w:tab w:val="left" w:pos="720"/>
        </w:tabs>
        <w:spacing w:after="120"/>
        <w:ind w:firstLine="720"/>
        <w:jc w:val="both"/>
        <w:rPr>
          <w:noProof/>
          <w:sz w:val="16"/>
          <w:szCs w:val="16"/>
          <w:lang w:val="es-ES"/>
        </w:rPr>
      </w:pPr>
      <w:r w:rsidRPr="00FB43AA">
        <w:rPr>
          <w:rStyle w:val="Refdenotaalpie"/>
          <w:noProof/>
          <w:sz w:val="16"/>
          <w:szCs w:val="16"/>
          <w:lang w:val="es-ES"/>
        </w:rPr>
        <w:footnoteRef/>
      </w:r>
      <w:r w:rsidRPr="00FB43AA">
        <w:rPr>
          <w:rFonts w:cs="Arial"/>
          <w:noProof/>
          <w:sz w:val="16"/>
          <w:szCs w:val="16"/>
          <w:lang w:val="es-ES"/>
        </w:rPr>
        <w:t xml:space="preserve"> </w:t>
      </w:r>
      <w:r w:rsidRPr="00FB43AA">
        <w:rPr>
          <w:rFonts w:cs="Arial"/>
          <w:i/>
          <w:iCs/>
          <w:noProof/>
          <w:sz w:val="16"/>
          <w:szCs w:val="16"/>
          <w:lang w:val="es-ES"/>
        </w:rPr>
        <w:t>Caso de la Comunidad Mayagna (Sumo) Awas Tingni.</w:t>
      </w:r>
      <w:r w:rsidRPr="00FB43AA">
        <w:rPr>
          <w:rFonts w:cs="Arial"/>
          <w:noProof/>
          <w:sz w:val="16"/>
          <w:szCs w:val="16"/>
          <w:lang w:val="es-ES"/>
        </w:rPr>
        <w:t xml:space="preserve"> Sentencia de 31 de agosto de 2001. Serie C No. 79, párr. 149. Véase también en: Corte I.D.H., </w:t>
      </w:r>
      <w:r w:rsidRPr="00FB43AA">
        <w:rPr>
          <w:rFonts w:cs="Arial"/>
          <w:i/>
          <w:iCs/>
          <w:noProof/>
          <w:sz w:val="16"/>
          <w:szCs w:val="16"/>
          <w:lang w:val="es-ES"/>
        </w:rPr>
        <w:t>Caso Comunidad Indígena Sawhoyamaxa</w:t>
      </w:r>
      <w:r w:rsidRPr="00FB43AA">
        <w:rPr>
          <w:rFonts w:cs="Arial"/>
          <w:noProof/>
          <w:sz w:val="16"/>
          <w:szCs w:val="16"/>
          <w:lang w:val="es-ES"/>
        </w:rPr>
        <w:t xml:space="preserve">. Sentencia de 29 de marzo de 2006. Serie C No. 146, párr. 222. </w:t>
      </w:r>
    </w:p>
  </w:footnote>
  <w:footnote w:id="112">
    <w:p w:rsidR="002506B6" w:rsidRPr="00FB43AA" w:rsidRDefault="002506B6" w:rsidP="005E78C0">
      <w:pPr>
        <w:pStyle w:val="Textonotapie"/>
        <w:spacing w:after="120"/>
        <w:ind w:firstLine="720"/>
        <w:jc w:val="both"/>
        <w:rPr>
          <w:rFonts w:ascii="Univers" w:hAnsi="Univers"/>
          <w:noProof/>
          <w:sz w:val="16"/>
          <w:szCs w:val="16"/>
          <w:lang w:val="es-ES"/>
        </w:rPr>
      </w:pPr>
      <w:r w:rsidRPr="00FB43AA">
        <w:rPr>
          <w:rStyle w:val="Refdenotaalpie"/>
          <w:rFonts w:ascii="Univers" w:hAnsi="Univers"/>
          <w:noProof/>
          <w:sz w:val="16"/>
          <w:szCs w:val="16"/>
          <w:lang w:val="es-ES"/>
        </w:rPr>
        <w:footnoteRef/>
      </w:r>
      <w:r w:rsidRPr="00FB43AA">
        <w:rPr>
          <w:rFonts w:ascii="Univers" w:hAnsi="Univers"/>
          <w:noProof/>
          <w:sz w:val="16"/>
          <w:szCs w:val="16"/>
          <w:lang w:val="es-ES"/>
        </w:rPr>
        <w:t xml:space="preserve"> </w:t>
      </w:r>
      <w:r w:rsidRPr="00FB43AA">
        <w:rPr>
          <w:rFonts w:ascii="Univers" w:hAnsi="Univers" w:cs="Arial"/>
          <w:noProof/>
          <w:sz w:val="16"/>
          <w:szCs w:val="16"/>
          <w:lang w:val="es-ES"/>
        </w:rPr>
        <w:t>Ley de Propiedad decreto 82-2004 de 15 de junio de 2004. Artículo 96.</w:t>
      </w:r>
    </w:p>
  </w:footnote>
  <w:footnote w:id="113">
    <w:p w:rsidR="002506B6" w:rsidRPr="00FB43AA" w:rsidRDefault="002506B6" w:rsidP="005E78C0">
      <w:pPr>
        <w:pStyle w:val="Textonotapie"/>
        <w:spacing w:after="120"/>
        <w:ind w:firstLine="720"/>
        <w:jc w:val="both"/>
        <w:rPr>
          <w:rFonts w:ascii="Univers" w:hAnsi="Univers"/>
          <w:noProof/>
          <w:sz w:val="16"/>
          <w:szCs w:val="16"/>
          <w:lang w:val="es-ES"/>
        </w:rPr>
      </w:pPr>
      <w:r w:rsidRPr="00FB43AA">
        <w:rPr>
          <w:rStyle w:val="Refdenotaalpie"/>
          <w:rFonts w:ascii="Univers" w:hAnsi="Univers"/>
          <w:noProof/>
          <w:sz w:val="16"/>
          <w:szCs w:val="16"/>
          <w:lang w:val="es-ES"/>
        </w:rPr>
        <w:footnoteRef/>
      </w:r>
      <w:r w:rsidRPr="00FB43AA">
        <w:rPr>
          <w:rFonts w:ascii="Univers" w:hAnsi="Univers"/>
          <w:noProof/>
          <w:sz w:val="16"/>
          <w:szCs w:val="16"/>
          <w:lang w:val="es-ES"/>
        </w:rPr>
        <w:t xml:space="preserve"> </w:t>
      </w:r>
      <w:r w:rsidRPr="00FB43AA">
        <w:rPr>
          <w:rFonts w:ascii="Univers" w:hAnsi="Univers" w:cs="Arial"/>
          <w:noProof/>
          <w:sz w:val="16"/>
          <w:szCs w:val="16"/>
          <w:lang w:val="es-ES"/>
        </w:rPr>
        <w:t>Ley de Propiedad decreto 82-2004 de 15 de junio de 2004. Artículo 97.</w:t>
      </w:r>
    </w:p>
  </w:footnote>
  <w:footnote w:id="114">
    <w:p w:rsidR="002506B6" w:rsidRPr="00FB43AA" w:rsidRDefault="002506B6" w:rsidP="005E78C0">
      <w:pPr>
        <w:tabs>
          <w:tab w:val="left" w:pos="720"/>
        </w:tabs>
        <w:spacing w:after="120"/>
        <w:ind w:firstLine="720"/>
        <w:jc w:val="both"/>
        <w:rPr>
          <w:noProof/>
          <w:sz w:val="16"/>
          <w:szCs w:val="16"/>
          <w:lang w:val="es-ES"/>
        </w:rPr>
      </w:pPr>
      <w:r w:rsidRPr="00FB43AA">
        <w:rPr>
          <w:rStyle w:val="Refdenotaalpie"/>
          <w:noProof/>
          <w:sz w:val="16"/>
          <w:szCs w:val="16"/>
          <w:lang w:val="es-ES"/>
        </w:rPr>
        <w:footnoteRef/>
      </w:r>
      <w:r w:rsidRPr="00FB43AA">
        <w:rPr>
          <w:rFonts w:cs="Arial"/>
          <w:noProof/>
          <w:sz w:val="16"/>
          <w:szCs w:val="16"/>
          <w:lang w:val="es-ES"/>
        </w:rPr>
        <w:t xml:space="preserve"> Ley de Propiedad decreto 82-2004 de 15 de junio de 2004. Artículos 98 y 99. </w:t>
      </w:r>
    </w:p>
  </w:footnote>
  <w:footnote w:id="115">
    <w:p w:rsidR="002506B6" w:rsidRPr="00FB43AA" w:rsidRDefault="002506B6" w:rsidP="005E78C0">
      <w:pPr>
        <w:widowControl w:val="0"/>
        <w:autoSpaceDE w:val="0"/>
        <w:autoSpaceDN w:val="0"/>
        <w:adjustRightInd w:val="0"/>
        <w:spacing w:after="120"/>
        <w:ind w:firstLine="720"/>
        <w:jc w:val="both"/>
        <w:rPr>
          <w:noProof/>
          <w:sz w:val="16"/>
          <w:szCs w:val="16"/>
          <w:lang w:val="es-ES"/>
        </w:rPr>
      </w:pPr>
      <w:r w:rsidRPr="00FB43AA">
        <w:rPr>
          <w:rStyle w:val="Refdenotaalpie"/>
          <w:noProof/>
          <w:sz w:val="16"/>
          <w:szCs w:val="16"/>
          <w:lang w:val="es-ES"/>
        </w:rPr>
        <w:footnoteRef/>
      </w:r>
      <w:r w:rsidRPr="00FB43AA">
        <w:rPr>
          <w:noProof/>
          <w:sz w:val="16"/>
          <w:szCs w:val="16"/>
          <w:lang w:val="es-ES"/>
        </w:rPr>
        <w:t xml:space="preserve"> Véase </w:t>
      </w:r>
      <w:r w:rsidRPr="00FB43AA">
        <w:rPr>
          <w:i/>
          <w:noProof/>
          <w:sz w:val="16"/>
          <w:szCs w:val="16"/>
          <w:lang w:val="es-ES"/>
        </w:rPr>
        <w:t>inter alia</w:t>
      </w:r>
      <w:r w:rsidRPr="00FB43AA">
        <w:rPr>
          <w:noProof/>
          <w:sz w:val="16"/>
          <w:szCs w:val="16"/>
          <w:lang w:val="es-ES"/>
        </w:rPr>
        <w:t xml:space="preserve">  Corte IDH. </w:t>
      </w:r>
      <w:r w:rsidRPr="00FB43AA">
        <w:rPr>
          <w:i/>
          <w:noProof/>
          <w:sz w:val="16"/>
          <w:szCs w:val="16"/>
          <w:lang w:val="es-ES"/>
        </w:rPr>
        <w:t xml:space="preserve">Caso Velásquez Rodríguez Vs. </w:t>
      </w:r>
      <w:smartTag w:uri="urn:schemas-microsoft-com:office:smarttags" w:element="PersonName">
        <w:r w:rsidRPr="00FB43AA">
          <w:rPr>
            <w:i/>
            <w:noProof/>
            <w:sz w:val="16"/>
            <w:szCs w:val="16"/>
            <w:lang w:val="es-ES"/>
          </w:rPr>
          <w:t>Honduras</w:t>
        </w:r>
      </w:smartTag>
      <w:r w:rsidRPr="00FB43AA">
        <w:rPr>
          <w:noProof/>
          <w:sz w:val="16"/>
          <w:szCs w:val="16"/>
          <w:lang w:val="es-ES"/>
        </w:rPr>
        <w:t xml:space="preserve">. Excepciones Preliminares. Sentencia de 26 de junio de 1987. Serie C No.1, párr. 91; </w:t>
      </w:r>
      <w:r w:rsidRPr="00FB43AA">
        <w:rPr>
          <w:i/>
          <w:noProof/>
          <w:sz w:val="16"/>
          <w:szCs w:val="16"/>
          <w:lang w:val="es-ES"/>
        </w:rPr>
        <w:t>Masacre de las Dos Erres Vs. Guatemala</w:t>
      </w:r>
      <w:r w:rsidRPr="00FB43AA">
        <w:rPr>
          <w:noProof/>
          <w:sz w:val="16"/>
          <w:szCs w:val="16"/>
          <w:lang w:val="es-ES"/>
        </w:rPr>
        <w:t xml:space="preserve">, Excepción Preliminar, Fondo, Reparaciones y Costas. Sentencia de 24 de noviembre de 2009. Serie C No. 211, párr. 104; </w:t>
      </w:r>
      <w:r w:rsidRPr="00FB43AA">
        <w:rPr>
          <w:i/>
          <w:noProof/>
          <w:sz w:val="16"/>
          <w:szCs w:val="16"/>
          <w:lang w:val="es-ES"/>
        </w:rPr>
        <w:t>Caso Chitay Nech y otros Vs. Guatemala</w:t>
      </w:r>
      <w:r w:rsidRPr="00FB43AA">
        <w:rPr>
          <w:noProof/>
          <w:sz w:val="16"/>
          <w:szCs w:val="16"/>
          <w:lang w:val="es-ES"/>
        </w:rPr>
        <w:t xml:space="preserve">, Excepciones Preliminares, Fondo, Reparaciones y Costas. Sentencia de 25 de mayo de 2010. Serie C No. 212, párr. 190; y </w:t>
      </w:r>
      <w:r w:rsidRPr="00FB43AA">
        <w:rPr>
          <w:i/>
          <w:noProof/>
          <w:sz w:val="16"/>
          <w:szCs w:val="16"/>
          <w:lang w:val="es-ES"/>
        </w:rPr>
        <w:t>Caso Comunidad Indígena Xákmok Kásek. Vs. Paraguay</w:t>
      </w:r>
      <w:r w:rsidRPr="00FB43AA">
        <w:rPr>
          <w:noProof/>
          <w:sz w:val="16"/>
          <w:szCs w:val="16"/>
          <w:lang w:val="es-ES"/>
        </w:rPr>
        <w:t>. Fondo, Reparaciones y Costas. Sentencia de 24 de agosto de 2010 Serie C No. 214, párr. 139.</w:t>
      </w:r>
    </w:p>
  </w:footnote>
  <w:footnote w:id="116">
    <w:p w:rsidR="002506B6" w:rsidRPr="00FB43AA" w:rsidRDefault="002506B6" w:rsidP="005E78C0">
      <w:pPr>
        <w:pStyle w:val="Textonotapie"/>
        <w:spacing w:after="120"/>
        <w:ind w:firstLine="720"/>
        <w:jc w:val="both"/>
        <w:rPr>
          <w:rFonts w:ascii="Univers" w:hAnsi="Univers"/>
          <w:noProof/>
          <w:sz w:val="16"/>
          <w:szCs w:val="16"/>
          <w:lang w:val="es-ES"/>
        </w:rPr>
      </w:pPr>
      <w:r w:rsidRPr="00FB43AA">
        <w:rPr>
          <w:rStyle w:val="Refdenotaalpie"/>
          <w:rFonts w:ascii="Univers" w:hAnsi="Univers"/>
          <w:noProof/>
          <w:sz w:val="16"/>
          <w:szCs w:val="16"/>
          <w:lang w:val="es-ES"/>
        </w:rPr>
        <w:footnoteRef/>
      </w:r>
      <w:r w:rsidRPr="00FB43AA">
        <w:rPr>
          <w:rFonts w:ascii="Univers" w:hAnsi="Univers"/>
          <w:noProof/>
          <w:sz w:val="16"/>
          <w:szCs w:val="16"/>
          <w:lang w:val="es-ES"/>
        </w:rPr>
        <w:t xml:space="preserve"> Véase </w:t>
      </w:r>
      <w:r w:rsidRPr="00FB43AA">
        <w:rPr>
          <w:rFonts w:ascii="Univers" w:hAnsi="Univers"/>
          <w:i/>
          <w:noProof/>
          <w:sz w:val="16"/>
          <w:szCs w:val="16"/>
          <w:lang w:val="es-ES"/>
        </w:rPr>
        <w:t>inter alia</w:t>
      </w:r>
      <w:r w:rsidRPr="00FB43AA">
        <w:rPr>
          <w:rFonts w:ascii="Univers" w:hAnsi="Univers"/>
          <w:noProof/>
          <w:sz w:val="16"/>
          <w:szCs w:val="16"/>
          <w:lang w:val="es-ES"/>
        </w:rPr>
        <w:t xml:space="preserve">  Corte IDH. </w:t>
      </w:r>
      <w:r w:rsidRPr="00FB43AA">
        <w:rPr>
          <w:rFonts w:ascii="Univers" w:hAnsi="Univers"/>
          <w:i/>
          <w:noProof/>
          <w:sz w:val="16"/>
          <w:szCs w:val="16"/>
          <w:lang w:val="es-ES"/>
        </w:rPr>
        <w:t>Caso Castillo Páez Vs. Perú</w:t>
      </w:r>
      <w:r w:rsidRPr="00FB43AA">
        <w:rPr>
          <w:rFonts w:ascii="Univers" w:hAnsi="Univers"/>
          <w:noProof/>
          <w:sz w:val="16"/>
          <w:szCs w:val="16"/>
          <w:lang w:val="es-ES"/>
        </w:rPr>
        <w:t xml:space="preserve">. Fondo. Sentencia de 3 de noviembre de 1997. Serie C No. 34, párr. 82; </w:t>
      </w:r>
      <w:r w:rsidRPr="00FB43AA">
        <w:rPr>
          <w:rFonts w:ascii="Univers" w:hAnsi="Univers"/>
          <w:i/>
          <w:noProof/>
          <w:sz w:val="16"/>
          <w:szCs w:val="16"/>
          <w:lang w:val="es-ES"/>
        </w:rPr>
        <w:t>Caso Escher y otros Vs. Brasil</w:t>
      </w:r>
      <w:r w:rsidRPr="00FB43AA">
        <w:rPr>
          <w:rFonts w:ascii="Univers" w:hAnsi="Univers"/>
          <w:noProof/>
          <w:sz w:val="16"/>
          <w:szCs w:val="16"/>
          <w:lang w:val="es-ES"/>
        </w:rPr>
        <w:t>. Excepciones Preliminares, Fondo, Reparaciones y Costas. Sentencia de 6 de julio de 2009. Serie C No. 200, párr. 195, y Caso Usón Ramírez Vs. Venezuela Excepción Preliminar, Fondo, Reparaciones y Costas. Sentencia de 20 de noviembre de 2009. Serie C No. 207, párr. 128.</w:t>
      </w:r>
    </w:p>
  </w:footnote>
  <w:footnote w:id="117">
    <w:p w:rsidR="002506B6" w:rsidRPr="00FB43AA" w:rsidRDefault="002506B6" w:rsidP="005E78C0">
      <w:pPr>
        <w:pStyle w:val="Textonotapie"/>
        <w:spacing w:after="120"/>
        <w:ind w:firstLine="720"/>
        <w:jc w:val="both"/>
        <w:rPr>
          <w:rFonts w:ascii="Univers" w:hAnsi="Univers"/>
          <w:noProof/>
          <w:sz w:val="16"/>
          <w:szCs w:val="16"/>
          <w:lang w:val="es-ES"/>
        </w:rPr>
      </w:pPr>
      <w:r w:rsidRPr="00FB43AA">
        <w:rPr>
          <w:rStyle w:val="Refdenotaalpie"/>
          <w:rFonts w:ascii="Univers" w:hAnsi="Univers"/>
          <w:noProof/>
          <w:sz w:val="16"/>
          <w:szCs w:val="16"/>
          <w:lang w:val="es-ES"/>
        </w:rPr>
        <w:footnoteRef/>
      </w:r>
      <w:r w:rsidRPr="00FB43AA">
        <w:rPr>
          <w:rFonts w:ascii="Univers" w:hAnsi="Univers"/>
          <w:noProof/>
          <w:sz w:val="16"/>
          <w:szCs w:val="16"/>
          <w:lang w:val="es-ES"/>
        </w:rPr>
        <w:t xml:space="preserve"> Véase </w:t>
      </w:r>
      <w:r w:rsidRPr="00FB43AA">
        <w:rPr>
          <w:rFonts w:ascii="Univers" w:hAnsi="Univers"/>
          <w:i/>
          <w:noProof/>
          <w:sz w:val="16"/>
          <w:szCs w:val="16"/>
          <w:lang w:val="es-ES"/>
        </w:rPr>
        <w:t>inter alia</w:t>
      </w:r>
      <w:r w:rsidRPr="00FB43AA">
        <w:rPr>
          <w:rFonts w:ascii="Univers" w:hAnsi="Univers"/>
          <w:noProof/>
          <w:sz w:val="16"/>
          <w:szCs w:val="16"/>
          <w:lang w:val="es-ES"/>
        </w:rPr>
        <w:t xml:space="preserve">  Corte IDH. </w:t>
      </w:r>
      <w:r w:rsidRPr="00FB43AA">
        <w:rPr>
          <w:rFonts w:ascii="Univers" w:hAnsi="Univers"/>
          <w:i/>
          <w:noProof/>
          <w:sz w:val="16"/>
          <w:szCs w:val="16"/>
          <w:lang w:val="es-ES"/>
        </w:rPr>
        <w:t>Caso Palamara Iribarne Vs. Chile</w:t>
      </w:r>
      <w:r w:rsidRPr="00FB43AA">
        <w:rPr>
          <w:rFonts w:ascii="Univers" w:hAnsi="Univers"/>
          <w:noProof/>
          <w:sz w:val="16"/>
          <w:szCs w:val="16"/>
          <w:lang w:val="es-ES"/>
        </w:rPr>
        <w:t xml:space="preserve">. Fondo, Reparaciones y Costas. Sentencia de 22 de noviembre de 2005. Serie C No. 162, párr. 183, y </w:t>
      </w:r>
      <w:r w:rsidRPr="00FB43AA">
        <w:rPr>
          <w:rFonts w:ascii="Univers" w:hAnsi="Univers"/>
          <w:i/>
          <w:noProof/>
          <w:sz w:val="16"/>
          <w:szCs w:val="16"/>
          <w:lang w:val="es-ES"/>
        </w:rPr>
        <w:t>Caso Usón Ramírez Vs. Venezuela</w:t>
      </w:r>
      <w:r w:rsidRPr="00FB43AA">
        <w:rPr>
          <w:rFonts w:ascii="Univers" w:hAnsi="Univers"/>
          <w:noProof/>
          <w:sz w:val="16"/>
          <w:szCs w:val="16"/>
          <w:lang w:val="es-ES"/>
        </w:rPr>
        <w:t>, Excepción Preliminar, Fondo, Reparaciones y Costas. Sentencia de 20 de noviembre de 2009. Serie C No. 207, párr. 128.</w:t>
      </w:r>
    </w:p>
  </w:footnote>
  <w:footnote w:id="118">
    <w:p w:rsidR="002506B6" w:rsidRPr="00FB43AA" w:rsidRDefault="002506B6" w:rsidP="005E78C0">
      <w:pPr>
        <w:pStyle w:val="Textonotapie"/>
        <w:tabs>
          <w:tab w:val="left" w:pos="0"/>
          <w:tab w:val="left" w:pos="720"/>
        </w:tabs>
        <w:spacing w:after="120"/>
        <w:ind w:firstLine="720"/>
        <w:jc w:val="both"/>
        <w:rPr>
          <w:rFonts w:ascii="Univers" w:hAnsi="Univers"/>
          <w:noProof/>
          <w:sz w:val="16"/>
          <w:szCs w:val="16"/>
          <w:lang w:val="es-ES"/>
        </w:rPr>
      </w:pPr>
      <w:r w:rsidRPr="00FB43AA">
        <w:rPr>
          <w:rStyle w:val="Refdenotaalpie"/>
          <w:rFonts w:ascii="Univers" w:hAnsi="Univers"/>
          <w:noProof/>
          <w:sz w:val="16"/>
          <w:szCs w:val="16"/>
          <w:lang w:val="es-ES"/>
        </w:rPr>
        <w:footnoteRef/>
      </w:r>
      <w:r w:rsidRPr="00FB43AA">
        <w:rPr>
          <w:rFonts w:ascii="Univers" w:hAnsi="Univers" w:cs="Arial"/>
          <w:noProof/>
          <w:sz w:val="16"/>
          <w:szCs w:val="16"/>
          <w:lang w:val="es-ES"/>
        </w:rPr>
        <w:t xml:space="preserve"> Corte IDH. </w:t>
      </w:r>
      <w:r w:rsidRPr="00FB43AA">
        <w:rPr>
          <w:rFonts w:ascii="Univers" w:hAnsi="Univers" w:cs="Arial"/>
          <w:i/>
          <w:noProof/>
          <w:sz w:val="16"/>
          <w:szCs w:val="16"/>
          <w:lang w:val="es-ES"/>
        </w:rPr>
        <w:t>Caso Comunidad Indígena Yakye Axa Vs. Paraguay</w:t>
      </w:r>
      <w:r w:rsidRPr="00FB43AA">
        <w:rPr>
          <w:rFonts w:ascii="Univers" w:hAnsi="Univers" w:cs="Arial"/>
          <w:noProof/>
          <w:sz w:val="16"/>
          <w:szCs w:val="16"/>
          <w:lang w:val="es-ES"/>
        </w:rPr>
        <w:t xml:space="preserve">. Fondo, Reparaciones y Costas. Sentencia de 17 de junio de 2005. Serie C No. 125, párr. 63. Corte IDH. </w:t>
      </w:r>
      <w:r w:rsidRPr="00FB43AA">
        <w:rPr>
          <w:rFonts w:ascii="Univers" w:hAnsi="Univers" w:cs="Arial"/>
          <w:i/>
          <w:noProof/>
          <w:sz w:val="16"/>
          <w:szCs w:val="16"/>
          <w:lang w:val="es-ES"/>
        </w:rPr>
        <w:t>Caso Comunidad Indígena Sawhoyamaxa Vs. Paraguay</w:t>
      </w:r>
      <w:r w:rsidRPr="00FB43AA">
        <w:rPr>
          <w:rFonts w:ascii="Univers" w:hAnsi="Univers" w:cs="Arial"/>
          <w:noProof/>
          <w:sz w:val="16"/>
          <w:szCs w:val="16"/>
          <w:lang w:val="es-ES"/>
        </w:rPr>
        <w:t>. Fondo, Reparaciones y Costas. Sentencia de 29 de marzo de 2006. Serie C No. 146, párrs. 82, 83.</w:t>
      </w:r>
    </w:p>
  </w:footnote>
  <w:footnote w:id="119">
    <w:p w:rsidR="002506B6" w:rsidRPr="00FB43AA" w:rsidRDefault="002506B6" w:rsidP="005E78C0">
      <w:pPr>
        <w:pStyle w:val="Textonotapie"/>
        <w:tabs>
          <w:tab w:val="left" w:pos="0"/>
          <w:tab w:val="left" w:pos="720"/>
        </w:tabs>
        <w:spacing w:after="120"/>
        <w:ind w:firstLine="720"/>
        <w:jc w:val="both"/>
        <w:rPr>
          <w:rFonts w:ascii="Univers" w:hAnsi="Univers"/>
          <w:noProof/>
          <w:sz w:val="16"/>
          <w:szCs w:val="16"/>
          <w:lang w:val="es-ES"/>
        </w:rPr>
      </w:pPr>
      <w:r w:rsidRPr="00FB43AA">
        <w:rPr>
          <w:rStyle w:val="Refdenotaalpie"/>
          <w:rFonts w:ascii="Univers" w:hAnsi="Univers"/>
          <w:noProof/>
          <w:sz w:val="16"/>
          <w:szCs w:val="16"/>
          <w:lang w:val="es-ES"/>
        </w:rPr>
        <w:footnoteRef/>
      </w:r>
      <w:r w:rsidRPr="00FB43AA">
        <w:rPr>
          <w:rFonts w:ascii="Univers" w:hAnsi="Univers" w:cs="Arial"/>
          <w:noProof/>
          <w:sz w:val="16"/>
          <w:szCs w:val="16"/>
          <w:lang w:val="es-ES"/>
        </w:rPr>
        <w:t xml:space="preserve"> </w:t>
      </w:r>
      <w:r w:rsidRPr="00FB43AA">
        <w:rPr>
          <w:rFonts w:ascii="Univers" w:hAnsi="Univers" w:cs="Arial"/>
          <w:noProof/>
          <w:color w:val="000000"/>
          <w:sz w:val="16"/>
          <w:szCs w:val="16"/>
          <w:lang w:val="es-ES"/>
        </w:rPr>
        <w:t xml:space="preserve">Corte IDH. </w:t>
      </w:r>
      <w:r w:rsidRPr="00FB43AA">
        <w:rPr>
          <w:rFonts w:ascii="Univers" w:hAnsi="Univers" w:cs="Arial"/>
          <w:bCs/>
          <w:i/>
          <w:noProof/>
          <w:color w:val="000000"/>
          <w:sz w:val="16"/>
          <w:szCs w:val="16"/>
          <w:lang w:val="es-ES"/>
        </w:rPr>
        <w:t xml:space="preserve">Caso de la Comunidad Mayagna (Sumo) Awas Tingni Vs. </w:t>
      </w:r>
      <w:smartTag w:uri="urn:schemas-microsoft-com:office:smarttags" w:element="PersonName">
        <w:r w:rsidRPr="00FB43AA">
          <w:rPr>
            <w:rFonts w:ascii="Univers" w:hAnsi="Univers" w:cs="Arial"/>
            <w:bCs/>
            <w:i/>
            <w:noProof/>
            <w:color w:val="000000"/>
            <w:sz w:val="16"/>
            <w:szCs w:val="16"/>
            <w:lang w:val="es-ES"/>
          </w:rPr>
          <w:t>Nicaragua</w:t>
        </w:r>
      </w:smartTag>
      <w:r w:rsidRPr="00FB43AA">
        <w:rPr>
          <w:rFonts w:ascii="Univers" w:hAnsi="Univers" w:cs="Arial"/>
          <w:bCs/>
          <w:noProof/>
          <w:color w:val="000000"/>
          <w:sz w:val="16"/>
          <w:szCs w:val="16"/>
          <w:lang w:val="es-ES"/>
        </w:rPr>
        <w:t xml:space="preserve">. </w:t>
      </w:r>
      <w:r w:rsidRPr="00FB43AA">
        <w:rPr>
          <w:rFonts w:ascii="Univers" w:hAnsi="Univers" w:cs="Arial"/>
          <w:noProof/>
          <w:color w:val="000000"/>
          <w:sz w:val="16"/>
          <w:szCs w:val="16"/>
          <w:lang w:val="es-ES"/>
        </w:rPr>
        <w:t xml:space="preserve">Fondo, Reparaciones y Costas. Sentencia de 31 de agosto de 2001. Serie C No. 79, párr. 138. </w:t>
      </w:r>
      <w:r w:rsidRPr="00FB43AA">
        <w:rPr>
          <w:rFonts w:ascii="Univers" w:hAnsi="Univers" w:cs="Arial"/>
          <w:i/>
          <w:noProof/>
          <w:sz w:val="16"/>
          <w:szCs w:val="16"/>
          <w:lang w:val="es-ES"/>
        </w:rPr>
        <w:t>Caso Comunidad Indígena Yakye Axa Vs. Paraguay</w:t>
      </w:r>
      <w:r w:rsidRPr="00FB43AA">
        <w:rPr>
          <w:rFonts w:ascii="Univers" w:hAnsi="Univers" w:cs="Arial"/>
          <w:noProof/>
          <w:sz w:val="16"/>
          <w:szCs w:val="16"/>
          <w:lang w:val="es-ES"/>
        </w:rPr>
        <w:t xml:space="preserve">. Fondo, Reparaciones y Costas. Sentencia de 17 de junio de 2005. Serie C No. 125, párr. 143. CIDH, </w:t>
      </w:r>
      <w:r w:rsidRPr="00FB43AA">
        <w:rPr>
          <w:rFonts w:ascii="Univers" w:hAnsi="Univers" w:cs="Arial"/>
          <w:i/>
          <w:noProof/>
          <w:sz w:val="16"/>
          <w:szCs w:val="16"/>
          <w:lang w:val="es-ES"/>
        </w:rPr>
        <w:t>Derechos de los pueblos indígenas y tribales sobre sus tierras ancestrales y recursos naturales. Normas y jurisprudencia del Sistema Interamericano de Derechos Humanos.</w:t>
      </w:r>
      <w:r w:rsidRPr="00FB43AA">
        <w:rPr>
          <w:rFonts w:ascii="Univers" w:hAnsi="Univers" w:cs="Arial"/>
          <w:noProof/>
          <w:sz w:val="16"/>
          <w:szCs w:val="16"/>
          <w:lang w:val="es-ES"/>
        </w:rPr>
        <w:t xml:space="preserve"> OEA/Ser.L/V/II.Doc.56/09, 30 de diciembre, 2009, párr. 335.</w:t>
      </w:r>
    </w:p>
  </w:footnote>
  <w:footnote w:id="120">
    <w:p w:rsidR="002506B6" w:rsidRPr="00FB43AA" w:rsidRDefault="002506B6" w:rsidP="005E78C0">
      <w:pPr>
        <w:pStyle w:val="Textonotapie"/>
        <w:tabs>
          <w:tab w:val="left" w:pos="0"/>
          <w:tab w:val="left" w:pos="720"/>
        </w:tabs>
        <w:spacing w:after="120"/>
        <w:ind w:firstLine="720"/>
        <w:jc w:val="both"/>
        <w:rPr>
          <w:rFonts w:ascii="Univers" w:hAnsi="Univers"/>
          <w:noProof/>
          <w:sz w:val="16"/>
          <w:szCs w:val="16"/>
          <w:lang w:val="es-ES"/>
        </w:rPr>
      </w:pPr>
      <w:r w:rsidRPr="00FB43AA">
        <w:rPr>
          <w:rStyle w:val="Refdenotaalpie"/>
          <w:rFonts w:ascii="Univers" w:hAnsi="Univers"/>
          <w:noProof/>
          <w:sz w:val="16"/>
          <w:szCs w:val="16"/>
          <w:lang w:val="es-ES"/>
        </w:rPr>
        <w:footnoteRef/>
      </w:r>
      <w:r w:rsidRPr="00FB43AA">
        <w:rPr>
          <w:rFonts w:ascii="Univers" w:hAnsi="Univers" w:cs="Arial"/>
          <w:noProof/>
          <w:sz w:val="16"/>
          <w:szCs w:val="16"/>
          <w:lang w:val="es-ES"/>
        </w:rPr>
        <w:t xml:space="preserve"> Corte IDH. </w:t>
      </w:r>
      <w:r w:rsidRPr="00FB43AA">
        <w:rPr>
          <w:rFonts w:ascii="Univers" w:hAnsi="Univers" w:cs="Arial"/>
          <w:i/>
          <w:iCs/>
          <w:noProof/>
          <w:sz w:val="16"/>
          <w:szCs w:val="16"/>
          <w:lang w:val="es-ES"/>
        </w:rPr>
        <w:t>Caso Comunidad Indígena Yakye Axa Vs. Paraguay</w:t>
      </w:r>
      <w:r w:rsidRPr="00FB43AA">
        <w:rPr>
          <w:rFonts w:ascii="Univers" w:hAnsi="Univers" w:cs="Arial"/>
          <w:noProof/>
          <w:sz w:val="16"/>
          <w:szCs w:val="16"/>
          <w:lang w:val="es-ES"/>
        </w:rPr>
        <w:t xml:space="preserve">. Fondo, Reparaciones y Costas. Sentencia de 17 de junio de 2005. Serie C No. 125, párr. 62. </w:t>
      </w:r>
      <w:r w:rsidRPr="00FB43AA">
        <w:rPr>
          <w:rFonts w:ascii="Univers" w:hAnsi="Univers" w:cs="Arial"/>
          <w:i/>
          <w:iCs/>
          <w:noProof/>
          <w:sz w:val="16"/>
          <w:szCs w:val="16"/>
          <w:lang w:val="es-ES"/>
        </w:rPr>
        <w:t>Caso Comunidad Indígena Sawhoyamaxa Vs. Paraguay</w:t>
      </w:r>
      <w:r w:rsidRPr="00FB43AA">
        <w:rPr>
          <w:rFonts w:ascii="Univers" w:hAnsi="Univers" w:cs="Arial"/>
          <w:noProof/>
          <w:sz w:val="16"/>
          <w:szCs w:val="16"/>
          <w:lang w:val="es-ES"/>
        </w:rPr>
        <w:t>. Fondo, Reparaciones y Costas. Sentencia de 29 de marzo de 2006. Serie C No. 146, párrs. 82, 83.</w:t>
      </w:r>
    </w:p>
  </w:footnote>
  <w:footnote w:id="121">
    <w:p w:rsidR="002506B6" w:rsidRPr="00FB43AA" w:rsidRDefault="002506B6" w:rsidP="005E78C0">
      <w:pPr>
        <w:pStyle w:val="Textonotapie"/>
        <w:tabs>
          <w:tab w:val="left" w:pos="0"/>
          <w:tab w:val="left" w:pos="360"/>
          <w:tab w:val="left" w:pos="720"/>
        </w:tabs>
        <w:spacing w:after="120"/>
        <w:ind w:firstLine="720"/>
        <w:jc w:val="both"/>
        <w:rPr>
          <w:rFonts w:ascii="Univers" w:hAnsi="Univers"/>
          <w:noProof/>
          <w:sz w:val="16"/>
          <w:szCs w:val="16"/>
          <w:lang w:val="es-ES"/>
        </w:rPr>
      </w:pPr>
      <w:r w:rsidRPr="00FB43AA">
        <w:rPr>
          <w:rStyle w:val="Refdenotaalpie"/>
          <w:rFonts w:ascii="Univers" w:hAnsi="Univers"/>
          <w:noProof/>
          <w:sz w:val="16"/>
          <w:szCs w:val="16"/>
          <w:lang w:val="es-ES"/>
        </w:rPr>
        <w:footnoteRef/>
      </w:r>
      <w:r w:rsidRPr="00FB43AA">
        <w:rPr>
          <w:rFonts w:ascii="Univers" w:hAnsi="Univers" w:cs="Arial"/>
          <w:noProof/>
          <w:sz w:val="16"/>
          <w:szCs w:val="16"/>
          <w:lang w:val="es-ES"/>
        </w:rPr>
        <w:t xml:space="preserve"> </w:t>
      </w:r>
      <w:r w:rsidRPr="00FB43AA">
        <w:rPr>
          <w:rFonts w:ascii="Univers" w:hAnsi="Univers" w:cs="Arial"/>
          <w:noProof/>
          <w:color w:val="000000"/>
          <w:sz w:val="16"/>
          <w:szCs w:val="16"/>
          <w:lang w:val="es-ES"/>
        </w:rPr>
        <w:t xml:space="preserve">Corte IDH. </w:t>
      </w:r>
      <w:r w:rsidRPr="00FB43AA">
        <w:rPr>
          <w:rFonts w:ascii="Univers" w:hAnsi="Univers" w:cs="Arial"/>
          <w:bCs/>
          <w:i/>
          <w:noProof/>
          <w:color w:val="000000"/>
          <w:sz w:val="16"/>
          <w:szCs w:val="16"/>
          <w:lang w:val="es-ES"/>
        </w:rPr>
        <w:t xml:space="preserve">Caso de la Comunidad Mayagna (Sumo) Awas Tingni Vs. </w:t>
      </w:r>
      <w:smartTag w:uri="urn:schemas-microsoft-com:office:smarttags" w:element="PersonName">
        <w:r w:rsidRPr="00FB43AA">
          <w:rPr>
            <w:rFonts w:ascii="Univers" w:hAnsi="Univers" w:cs="Arial"/>
            <w:bCs/>
            <w:i/>
            <w:noProof/>
            <w:color w:val="000000"/>
            <w:sz w:val="16"/>
            <w:szCs w:val="16"/>
            <w:lang w:val="es-ES"/>
          </w:rPr>
          <w:t>Nicaragua</w:t>
        </w:r>
      </w:smartTag>
      <w:r w:rsidRPr="00FB43AA">
        <w:rPr>
          <w:rFonts w:ascii="Univers" w:hAnsi="Univers" w:cs="Arial"/>
          <w:bCs/>
          <w:noProof/>
          <w:color w:val="000000"/>
          <w:sz w:val="16"/>
          <w:szCs w:val="16"/>
          <w:lang w:val="es-ES"/>
        </w:rPr>
        <w:t xml:space="preserve">. </w:t>
      </w:r>
      <w:r w:rsidRPr="00FB43AA">
        <w:rPr>
          <w:rFonts w:ascii="Univers" w:hAnsi="Univers" w:cs="Arial"/>
          <w:noProof/>
          <w:color w:val="000000"/>
          <w:sz w:val="16"/>
          <w:szCs w:val="16"/>
          <w:lang w:val="es-ES"/>
        </w:rPr>
        <w:t>Fondo, Reparaciones y Costas. Sentencia de 31 de agosto de 2001. Serie C No. 79, párr. 115.</w:t>
      </w:r>
    </w:p>
  </w:footnote>
  <w:footnote w:id="122">
    <w:p w:rsidR="002506B6" w:rsidRPr="00FB43AA" w:rsidRDefault="002506B6" w:rsidP="005E78C0">
      <w:pPr>
        <w:pStyle w:val="Textonotapie"/>
        <w:tabs>
          <w:tab w:val="left" w:pos="0"/>
          <w:tab w:val="left" w:pos="360"/>
          <w:tab w:val="left" w:pos="720"/>
        </w:tabs>
        <w:spacing w:after="120"/>
        <w:ind w:firstLine="720"/>
        <w:jc w:val="both"/>
        <w:rPr>
          <w:rFonts w:ascii="Univers" w:hAnsi="Univers"/>
          <w:noProof/>
          <w:sz w:val="16"/>
          <w:szCs w:val="16"/>
          <w:lang w:val="es-ES"/>
        </w:rPr>
      </w:pPr>
      <w:r w:rsidRPr="00FB43AA">
        <w:rPr>
          <w:rStyle w:val="Refdenotaalpie"/>
          <w:rFonts w:ascii="Univers" w:hAnsi="Univers"/>
          <w:noProof/>
          <w:sz w:val="16"/>
          <w:szCs w:val="16"/>
          <w:lang w:val="es-ES"/>
        </w:rPr>
        <w:footnoteRef/>
      </w:r>
      <w:r w:rsidRPr="00FB43AA">
        <w:rPr>
          <w:rFonts w:ascii="Univers" w:hAnsi="Univers" w:cs="Arial"/>
          <w:noProof/>
          <w:sz w:val="16"/>
          <w:szCs w:val="16"/>
          <w:lang w:val="es-ES"/>
        </w:rPr>
        <w:t xml:space="preserve"> </w:t>
      </w:r>
      <w:r w:rsidRPr="00FB43AA">
        <w:rPr>
          <w:rFonts w:ascii="Univers" w:hAnsi="Univers" w:cs="Arial"/>
          <w:noProof/>
          <w:color w:val="000000"/>
          <w:sz w:val="16"/>
          <w:szCs w:val="16"/>
          <w:lang w:val="es-ES"/>
        </w:rPr>
        <w:t xml:space="preserve">Corte IDH. </w:t>
      </w:r>
      <w:r w:rsidRPr="00FB43AA">
        <w:rPr>
          <w:rFonts w:ascii="Univers" w:hAnsi="Univers" w:cs="Arial"/>
          <w:bCs/>
          <w:i/>
          <w:noProof/>
          <w:color w:val="000000"/>
          <w:sz w:val="16"/>
          <w:szCs w:val="16"/>
          <w:lang w:val="es-ES"/>
        </w:rPr>
        <w:t xml:space="preserve">Caso de la Comunidad Mayagna (Sumo) Awas Tingni Vs. </w:t>
      </w:r>
      <w:smartTag w:uri="urn:schemas-microsoft-com:office:smarttags" w:element="PersonName">
        <w:r w:rsidRPr="00FB43AA">
          <w:rPr>
            <w:rFonts w:ascii="Univers" w:hAnsi="Univers" w:cs="Arial"/>
            <w:bCs/>
            <w:i/>
            <w:noProof/>
            <w:color w:val="000000"/>
            <w:sz w:val="16"/>
            <w:szCs w:val="16"/>
            <w:lang w:val="es-ES"/>
          </w:rPr>
          <w:t>Nicaragua</w:t>
        </w:r>
      </w:smartTag>
      <w:r w:rsidRPr="00FB43AA">
        <w:rPr>
          <w:rFonts w:ascii="Univers" w:hAnsi="Univers" w:cs="Arial"/>
          <w:bCs/>
          <w:noProof/>
          <w:color w:val="000000"/>
          <w:sz w:val="16"/>
          <w:szCs w:val="16"/>
          <w:lang w:val="es-ES"/>
        </w:rPr>
        <w:t xml:space="preserve">. </w:t>
      </w:r>
      <w:r w:rsidRPr="00FB43AA">
        <w:rPr>
          <w:rFonts w:ascii="Univers" w:hAnsi="Univers" w:cs="Arial"/>
          <w:noProof/>
          <w:color w:val="000000"/>
          <w:sz w:val="16"/>
          <w:szCs w:val="16"/>
          <w:lang w:val="es-ES"/>
        </w:rPr>
        <w:t>Fondo, Reparaciones y Costas. Sentencia de 31 de agosto de 2001. Serie C No. 79, párrs. 122, 123.</w:t>
      </w:r>
    </w:p>
  </w:footnote>
  <w:footnote w:id="123">
    <w:p w:rsidR="002506B6" w:rsidRPr="00FB43AA" w:rsidRDefault="002506B6" w:rsidP="005E78C0">
      <w:pPr>
        <w:pStyle w:val="Textonotapie"/>
        <w:tabs>
          <w:tab w:val="left" w:pos="0"/>
          <w:tab w:val="left" w:pos="360"/>
          <w:tab w:val="left" w:pos="720"/>
        </w:tabs>
        <w:spacing w:after="120"/>
        <w:ind w:firstLine="720"/>
        <w:jc w:val="both"/>
        <w:rPr>
          <w:rFonts w:ascii="Univers" w:hAnsi="Univers"/>
          <w:noProof/>
          <w:sz w:val="16"/>
          <w:szCs w:val="16"/>
          <w:lang w:val="es-ES"/>
        </w:rPr>
      </w:pPr>
      <w:r w:rsidRPr="00FB43AA">
        <w:rPr>
          <w:rStyle w:val="Refdenotaalpie"/>
          <w:rFonts w:ascii="Univers" w:hAnsi="Univers"/>
          <w:noProof/>
          <w:sz w:val="16"/>
          <w:szCs w:val="16"/>
          <w:lang w:val="es-ES"/>
        </w:rPr>
        <w:footnoteRef/>
      </w:r>
      <w:r w:rsidRPr="00FB43AA">
        <w:rPr>
          <w:rFonts w:ascii="Univers" w:hAnsi="Univers" w:cs="Arial"/>
          <w:noProof/>
          <w:sz w:val="16"/>
          <w:szCs w:val="16"/>
          <w:lang w:val="es-ES"/>
        </w:rPr>
        <w:t xml:space="preserve"> Corte IDH. </w:t>
      </w:r>
      <w:r w:rsidRPr="00FB43AA">
        <w:rPr>
          <w:rFonts w:ascii="Univers" w:hAnsi="Univers" w:cs="Arial"/>
          <w:i/>
          <w:noProof/>
          <w:sz w:val="16"/>
          <w:szCs w:val="16"/>
          <w:lang w:val="es-ES"/>
        </w:rPr>
        <w:t>Caso de la Comunidad Indígena Xákmok Kásek Vs. Paraguay</w:t>
      </w:r>
      <w:r w:rsidRPr="00FB43AA">
        <w:rPr>
          <w:rFonts w:ascii="Univers" w:hAnsi="Univers" w:cs="Arial"/>
          <w:noProof/>
          <w:sz w:val="16"/>
          <w:szCs w:val="16"/>
          <w:lang w:val="es-ES"/>
        </w:rPr>
        <w:t>. Fondo, Reparaciones y Costas. Sentencia de 24 de agosto de 2010, Serie C No. 214, párr. 140.</w:t>
      </w:r>
    </w:p>
  </w:footnote>
  <w:footnote w:id="124">
    <w:p w:rsidR="002506B6" w:rsidRPr="00FB43AA" w:rsidRDefault="002506B6" w:rsidP="005E78C0">
      <w:pPr>
        <w:spacing w:after="120"/>
        <w:ind w:firstLine="720"/>
        <w:jc w:val="both"/>
        <w:rPr>
          <w:sz w:val="16"/>
          <w:szCs w:val="16"/>
        </w:rPr>
      </w:pPr>
      <w:r w:rsidRPr="00FB43AA">
        <w:rPr>
          <w:rStyle w:val="Refdenotaalpie"/>
          <w:sz w:val="16"/>
          <w:szCs w:val="16"/>
        </w:rPr>
        <w:footnoteRef/>
      </w:r>
      <w:r w:rsidRPr="00FB43AA">
        <w:rPr>
          <w:sz w:val="16"/>
          <w:szCs w:val="16"/>
          <w:lang w:val="es-ES_tradnl"/>
        </w:rPr>
        <w:t xml:space="preserve"> Véase artículos 64 a 78 de la </w:t>
      </w:r>
      <w:r w:rsidRPr="00FB43AA">
        <w:rPr>
          <w:sz w:val="16"/>
          <w:szCs w:val="16"/>
          <w:lang w:val="es-ES"/>
        </w:rPr>
        <w:t>Ley de Reforma Agraria, modificado mediante la Ley para la Modernización y el Desarrollo del Sector Agrícola.</w:t>
      </w:r>
    </w:p>
  </w:footnote>
  <w:footnote w:id="125">
    <w:p w:rsidR="002506B6" w:rsidRPr="00FB43AA" w:rsidRDefault="002506B6" w:rsidP="005E78C0">
      <w:pPr>
        <w:pStyle w:val="Textonotapie"/>
        <w:spacing w:after="120"/>
        <w:ind w:firstLine="720"/>
        <w:jc w:val="both"/>
        <w:rPr>
          <w:rFonts w:ascii="Univers" w:hAnsi="Univers"/>
          <w:noProof/>
          <w:sz w:val="16"/>
          <w:szCs w:val="16"/>
          <w:lang w:val="es-ES"/>
        </w:rPr>
      </w:pPr>
      <w:r w:rsidRPr="00FB43AA">
        <w:rPr>
          <w:rStyle w:val="Refdenotaalpie"/>
          <w:rFonts w:ascii="Univers" w:hAnsi="Univers"/>
          <w:noProof/>
          <w:sz w:val="16"/>
          <w:szCs w:val="16"/>
          <w:lang w:val="es-ES"/>
        </w:rPr>
        <w:footnoteRef/>
      </w:r>
      <w:r w:rsidRPr="00FB43AA">
        <w:rPr>
          <w:rFonts w:ascii="Univers" w:hAnsi="Univers"/>
          <w:noProof/>
          <w:sz w:val="16"/>
          <w:szCs w:val="16"/>
          <w:lang w:val="es-ES"/>
        </w:rPr>
        <w:t xml:space="preserve"> Corte IDH. </w:t>
      </w:r>
      <w:r w:rsidRPr="00FB43AA">
        <w:rPr>
          <w:rFonts w:ascii="Univers" w:hAnsi="Univers"/>
          <w:i/>
          <w:noProof/>
          <w:sz w:val="16"/>
          <w:szCs w:val="16"/>
          <w:lang w:val="es-ES"/>
        </w:rPr>
        <w:t>Caso Comunidad Indígena Yakye Axa Vs. Paraguay.</w:t>
      </w:r>
      <w:r w:rsidRPr="00FB43AA">
        <w:rPr>
          <w:rFonts w:ascii="Univers" w:hAnsi="Univers"/>
          <w:noProof/>
          <w:sz w:val="16"/>
          <w:szCs w:val="16"/>
          <w:lang w:val="es-ES"/>
        </w:rPr>
        <w:t xml:space="preserve"> Fondo Reparaciones y Costas. Sentencia 17 de junio de 2005. Serie C No. 125</w:t>
      </w:r>
      <w:r w:rsidRPr="00FB43AA">
        <w:rPr>
          <w:rFonts w:ascii="Univers" w:hAnsi="Univers" w:cs="Arial"/>
          <w:noProof/>
          <w:sz w:val="16"/>
          <w:szCs w:val="16"/>
          <w:lang w:val="es-ES"/>
        </w:rPr>
        <w:t xml:space="preserve">, párr. 97; </w:t>
      </w:r>
      <w:r w:rsidRPr="00FB43AA">
        <w:rPr>
          <w:rFonts w:ascii="Univers" w:hAnsi="Univers" w:cs="Arial"/>
          <w:i/>
          <w:noProof/>
          <w:sz w:val="16"/>
          <w:szCs w:val="16"/>
          <w:lang w:val="es-ES"/>
        </w:rPr>
        <w:t>Caso Comunidad Indígena Sawhoyamaxa Vs. Paraguay</w:t>
      </w:r>
      <w:r w:rsidRPr="00FB43AA">
        <w:rPr>
          <w:rFonts w:ascii="Univers" w:hAnsi="Univers" w:cs="Arial"/>
          <w:noProof/>
          <w:sz w:val="16"/>
          <w:szCs w:val="16"/>
          <w:lang w:val="es-ES"/>
        </w:rPr>
        <w:t xml:space="preserve">. Fondo, Reparaciones y Costas. Sentencia de 29 de marzo de 2006. Serie C No. 146, párr. 104; y </w:t>
      </w:r>
      <w:r w:rsidRPr="00FB43AA">
        <w:rPr>
          <w:rFonts w:ascii="Univers" w:hAnsi="Univers" w:cs="Arial"/>
          <w:i/>
          <w:noProof/>
          <w:sz w:val="16"/>
          <w:szCs w:val="16"/>
          <w:lang w:val="es-ES"/>
        </w:rPr>
        <w:t>Caso Comunidad Indígena Xákmok Kásek. Vs. Paraguay</w:t>
      </w:r>
      <w:r w:rsidRPr="00FB43AA">
        <w:rPr>
          <w:rFonts w:ascii="Univers" w:hAnsi="Univers" w:cs="Arial"/>
          <w:noProof/>
          <w:sz w:val="16"/>
          <w:szCs w:val="16"/>
          <w:lang w:val="es-ES"/>
        </w:rPr>
        <w:t>. Fondo, Reparaciones y Costas. Sentencia de 24 de agosto de 2010 Serie C No. 214, párrs. 151-152.</w:t>
      </w:r>
    </w:p>
  </w:footnote>
  <w:footnote w:id="126">
    <w:p w:rsidR="002506B6" w:rsidRPr="00FB43AA" w:rsidRDefault="002506B6" w:rsidP="005E78C0">
      <w:pPr>
        <w:spacing w:after="120"/>
        <w:ind w:firstLine="720"/>
        <w:jc w:val="both"/>
        <w:rPr>
          <w:sz w:val="16"/>
          <w:szCs w:val="16"/>
          <w:lang w:val="es-ES_tradnl"/>
        </w:rPr>
      </w:pPr>
      <w:r w:rsidRPr="00FB43AA">
        <w:rPr>
          <w:rStyle w:val="Refdenotaalpie"/>
          <w:sz w:val="16"/>
          <w:szCs w:val="16"/>
          <w:lang w:val="es-ES_tradnl"/>
        </w:rPr>
        <w:footnoteRef/>
      </w:r>
      <w:r w:rsidRPr="00FB43AA">
        <w:rPr>
          <w:rFonts w:cs="Arial"/>
          <w:sz w:val="16"/>
          <w:szCs w:val="16"/>
          <w:lang w:val="pt-BR"/>
        </w:rPr>
        <w:t xml:space="preserve"> Corte I.D.H., </w:t>
      </w:r>
      <w:r w:rsidRPr="00FB43AA">
        <w:rPr>
          <w:rFonts w:cs="Arial"/>
          <w:i/>
          <w:iCs/>
          <w:sz w:val="16"/>
          <w:szCs w:val="16"/>
          <w:lang w:val="pt-BR"/>
        </w:rPr>
        <w:t xml:space="preserve">Caso </w:t>
      </w:r>
      <w:proofErr w:type="spellStart"/>
      <w:r w:rsidRPr="00FB43AA">
        <w:rPr>
          <w:rFonts w:cs="Arial"/>
          <w:i/>
          <w:iCs/>
          <w:sz w:val="16"/>
          <w:szCs w:val="16"/>
          <w:lang w:val="pt-BR"/>
        </w:rPr>
        <w:t>Tibi</w:t>
      </w:r>
      <w:proofErr w:type="spellEnd"/>
      <w:r w:rsidRPr="00FB43AA">
        <w:rPr>
          <w:rFonts w:cs="Arial"/>
          <w:i/>
          <w:iCs/>
          <w:sz w:val="16"/>
          <w:szCs w:val="16"/>
          <w:lang w:val="pt-BR"/>
        </w:rPr>
        <w:t xml:space="preserve"> Vs. </w:t>
      </w:r>
      <w:proofErr w:type="spellStart"/>
      <w:r w:rsidRPr="00FB43AA">
        <w:rPr>
          <w:rFonts w:cs="Arial"/>
          <w:i/>
          <w:iCs/>
          <w:sz w:val="16"/>
          <w:szCs w:val="16"/>
          <w:lang w:val="pt-BR"/>
        </w:rPr>
        <w:t>Ecuador</w:t>
      </w:r>
      <w:proofErr w:type="spellEnd"/>
      <w:r w:rsidRPr="00FB43AA">
        <w:rPr>
          <w:rFonts w:cs="Arial"/>
          <w:sz w:val="16"/>
          <w:szCs w:val="16"/>
          <w:lang w:val="pt-BR"/>
        </w:rPr>
        <w:t xml:space="preserve">. </w:t>
      </w:r>
      <w:r w:rsidRPr="00FB43AA">
        <w:rPr>
          <w:rFonts w:cs="Arial"/>
          <w:sz w:val="16"/>
          <w:szCs w:val="16"/>
          <w:lang w:val="es-ES_tradnl"/>
        </w:rPr>
        <w:t xml:space="preserve">Sentencia de 7 de septiembre de 2004. Serie C No. 114. párr. 130; </w:t>
      </w:r>
      <w:r w:rsidRPr="00FB43AA">
        <w:rPr>
          <w:rFonts w:cs="Arial"/>
          <w:iCs/>
          <w:sz w:val="16"/>
          <w:szCs w:val="16"/>
          <w:lang w:val="es-ES_tradnl"/>
        </w:rPr>
        <w:t>Caso “Cinco Pensionistas”.</w:t>
      </w:r>
      <w:r w:rsidRPr="00FB43AA">
        <w:rPr>
          <w:rFonts w:cs="Arial"/>
          <w:sz w:val="16"/>
          <w:szCs w:val="16"/>
          <w:lang w:val="es-ES_tradnl"/>
        </w:rPr>
        <w:t xml:space="preserve"> Sentencia de 28 de febrero de 2003. Serie C No. 98, párr. 126.</w:t>
      </w:r>
    </w:p>
  </w:footnote>
  <w:footnote w:id="127">
    <w:p w:rsidR="002506B6" w:rsidRPr="00FB43AA" w:rsidRDefault="002506B6" w:rsidP="005E78C0">
      <w:pPr>
        <w:spacing w:after="120"/>
        <w:ind w:firstLine="720"/>
        <w:jc w:val="both"/>
        <w:rPr>
          <w:sz w:val="16"/>
          <w:szCs w:val="16"/>
          <w:lang w:val="es-ES_tradnl"/>
        </w:rPr>
      </w:pPr>
      <w:r w:rsidRPr="00FB43AA">
        <w:rPr>
          <w:rStyle w:val="Refdenotaalpie"/>
          <w:sz w:val="16"/>
          <w:szCs w:val="16"/>
          <w:lang w:val="es-ES_tradnl"/>
        </w:rPr>
        <w:footnoteRef/>
      </w:r>
      <w:r w:rsidRPr="00FB43AA">
        <w:rPr>
          <w:sz w:val="16"/>
          <w:szCs w:val="16"/>
          <w:lang w:val="es-ES_tradnl"/>
        </w:rPr>
        <w:t xml:space="preserve"> Corte I.D.H., </w:t>
      </w:r>
      <w:r w:rsidRPr="00FB43AA">
        <w:rPr>
          <w:i/>
          <w:sz w:val="16"/>
          <w:szCs w:val="16"/>
          <w:lang w:val="es-ES_tradnl"/>
        </w:rPr>
        <w:t xml:space="preserve">Caso Barrios Altos Vs. Perú. </w:t>
      </w:r>
      <w:r w:rsidRPr="00FB43AA">
        <w:rPr>
          <w:sz w:val="16"/>
          <w:szCs w:val="16"/>
          <w:lang w:val="es-ES_tradnl"/>
        </w:rPr>
        <w:t>Sentencia de 14 de marzo de 2001. Serie C No. 75, párr. 43.</w:t>
      </w:r>
    </w:p>
  </w:footnote>
  <w:footnote w:id="128">
    <w:p w:rsidR="002506B6" w:rsidRPr="00FB43AA" w:rsidRDefault="002506B6" w:rsidP="005E78C0">
      <w:pPr>
        <w:pStyle w:val="Textonotapie"/>
        <w:spacing w:after="120"/>
        <w:ind w:firstLine="720"/>
        <w:jc w:val="both"/>
        <w:rPr>
          <w:rFonts w:ascii="Univers" w:hAnsi="Univers"/>
          <w:sz w:val="16"/>
          <w:szCs w:val="16"/>
          <w:lang w:val="es-ES_tradnl"/>
        </w:rPr>
      </w:pPr>
      <w:r w:rsidRPr="00FB43AA">
        <w:rPr>
          <w:rStyle w:val="Refdenotaalpie"/>
          <w:rFonts w:ascii="Univers" w:hAnsi="Univers"/>
          <w:sz w:val="16"/>
          <w:szCs w:val="16"/>
          <w:lang w:val="es-ES_tradnl"/>
        </w:rPr>
        <w:footnoteRef/>
      </w:r>
      <w:r w:rsidRPr="00FB43AA">
        <w:rPr>
          <w:rStyle w:val="Refdenotaalpie"/>
          <w:rFonts w:ascii="Univers" w:hAnsi="Univers"/>
          <w:sz w:val="16"/>
          <w:szCs w:val="16"/>
          <w:lang w:val="es-ES_tradnl"/>
        </w:rPr>
        <w:t xml:space="preserve"> </w:t>
      </w:r>
      <w:r w:rsidRPr="00FB43AA">
        <w:rPr>
          <w:rFonts w:ascii="Univers" w:hAnsi="Univers"/>
          <w:sz w:val="16"/>
          <w:szCs w:val="16"/>
          <w:lang w:val="es-ES_tradnl"/>
        </w:rPr>
        <w:t xml:space="preserve">Corte I.D.H., </w:t>
      </w:r>
      <w:r w:rsidRPr="00FB43AA">
        <w:rPr>
          <w:rFonts w:ascii="Univers" w:hAnsi="Univers"/>
          <w:i/>
          <w:sz w:val="16"/>
          <w:szCs w:val="16"/>
          <w:lang w:val="es-ES_tradnl"/>
        </w:rPr>
        <w:t xml:space="preserve">Caso </w:t>
      </w:r>
      <w:proofErr w:type="spellStart"/>
      <w:r w:rsidRPr="00FB43AA">
        <w:rPr>
          <w:rFonts w:ascii="Univers" w:hAnsi="Univers"/>
          <w:i/>
          <w:sz w:val="16"/>
          <w:szCs w:val="16"/>
          <w:lang w:val="es-ES_tradnl"/>
        </w:rPr>
        <w:t>Kawas</w:t>
      </w:r>
      <w:proofErr w:type="spellEnd"/>
      <w:r w:rsidRPr="00FB43AA">
        <w:rPr>
          <w:rFonts w:ascii="Univers" w:hAnsi="Univers"/>
          <w:i/>
          <w:sz w:val="16"/>
          <w:szCs w:val="16"/>
          <w:lang w:val="es-ES_tradnl"/>
        </w:rPr>
        <w:t xml:space="preserve"> Fernández Vs. </w:t>
      </w:r>
      <w:smartTag w:uri="urn:schemas-microsoft-com:office:smarttags" w:element="PersonName">
        <w:r w:rsidRPr="00FB43AA">
          <w:rPr>
            <w:rFonts w:ascii="Univers" w:hAnsi="Univers"/>
            <w:i/>
            <w:sz w:val="16"/>
            <w:szCs w:val="16"/>
            <w:lang w:val="es-ES_tradnl"/>
          </w:rPr>
          <w:t>Honduras</w:t>
        </w:r>
      </w:smartTag>
      <w:r w:rsidRPr="00FB43AA">
        <w:rPr>
          <w:rFonts w:ascii="Univers" w:hAnsi="Univers"/>
          <w:sz w:val="16"/>
          <w:szCs w:val="16"/>
          <w:lang w:val="es-ES_tradnl"/>
        </w:rPr>
        <w:t xml:space="preserve">. Fondo, Reparaciones y Costas. Sentencia de 3 de abril de 2009 Serie C No. 196, párr. 101. </w:t>
      </w:r>
    </w:p>
  </w:footnote>
  <w:footnote w:id="129">
    <w:p w:rsidR="002506B6" w:rsidRPr="00FB43AA" w:rsidRDefault="002506B6" w:rsidP="005E78C0">
      <w:pPr>
        <w:pStyle w:val="Textonotapie"/>
        <w:tabs>
          <w:tab w:val="left" w:pos="0"/>
          <w:tab w:val="left" w:pos="720"/>
        </w:tabs>
        <w:spacing w:after="120"/>
        <w:ind w:firstLine="720"/>
        <w:jc w:val="both"/>
        <w:rPr>
          <w:rFonts w:ascii="Univers" w:hAnsi="Univers"/>
          <w:sz w:val="16"/>
          <w:szCs w:val="16"/>
          <w:lang w:val="es-ES_tradnl"/>
        </w:rPr>
      </w:pPr>
      <w:r w:rsidRPr="00FB43AA">
        <w:rPr>
          <w:rStyle w:val="Refdenotaalpie"/>
          <w:rFonts w:ascii="Univers" w:hAnsi="Univers"/>
          <w:sz w:val="16"/>
          <w:szCs w:val="16"/>
          <w:lang w:val="es-ES_tradnl"/>
        </w:rPr>
        <w:footnoteRef/>
      </w:r>
      <w:r w:rsidRPr="00FB43AA">
        <w:rPr>
          <w:rStyle w:val="Refdenotaalpie"/>
          <w:rFonts w:ascii="Univers" w:hAnsi="Univers"/>
          <w:sz w:val="16"/>
          <w:szCs w:val="16"/>
          <w:lang w:val="es-ES_tradnl"/>
        </w:rPr>
        <w:t xml:space="preserve"> </w:t>
      </w:r>
      <w:r w:rsidRPr="00FB43AA">
        <w:rPr>
          <w:rFonts w:ascii="Univers" w:hAnsi="Univers" w:cs="Arial"/>
          <w:sz w:val="16"/>
          <w:szCs w:val="16"/>
          <w:lang w:val="es-ES_tradnl"/>
        </w:rPr>
        <w:t xml:space="preserve">Corte I.D.H., </w:t>
      </w:r>
      <w:r w:rsidRPr="00FB43AA">
        <w:rPr>
          <w:rFonts w:ascii="Univers" w:hAnsi="Univers" w:cs="Arial"/>
          <w:i/>
          <w:sz w:val="16"/>
          <w:szCs w:val="16"/>
          <w:lang w:val="es-ES_tradnl"/>
        </w:rPr>
        <w:t xml:space="preserve">Caso Velásquez Rodríguez Vs. </w:t>
      </w:r>
      <w:smartTag w:uri="urn:schemas-microsoft-com:office:smarttags" w:element="PersonName">
        <w:r w:rsidRPr="00FB43AA">
          <w:rPr>
            <w:rFonts w:ascii="Univers" w:hAnsi="Univers" w:cs="Arial"/>
            <w:i/>
            <w:sz w:val="16"/>
            <w:szCs w:val="16"/>
            <w:lang w:val="es-ES_tradnl"/>
          </w:rPr>
          <w:t>Honduras</w:t>
        </w:r>
      </w:smartTag>
      <w:r w:rsidRPr="00FB43AA">
        <w:rPr>
          <w:rFonts w:ascii="Univers" w:hAnsi="Univers" w:cs="Arial"/>
          <w:sz w:val="16"/>
          <w:szCs w:val="16"/>
          <w:lang w:val="es-ES_tradnl"/>
        </w:rPr>
        <w:t xml:space="preserve">. Sentencia de 29 de julio de 1988. Serie C No. 4, párr. 177; Corte I.D.H., </w:t>
      </w:r>
      <w:r w:rsidRPr="00FB43AA">
        <w:rPr>
          <w:rFonts w:ascii="Univers" w:hAnsi="Univers" w:cs="Arial"/>
          <w:bCs/>
          <w:i/>
          <w:sz w:val="16"/>
          <w:szCs w:val="16"/>
          <w:lang w:val="es-ES_tradnl"/>
        </w:rPr>
        <w:t xml:space="preserve">Caso Cantoral </w:t>
      </w:r>
      <w:proofErr w:type="spellStart"/>
      <w:r w:rsidRPr="00FB43AA">
        <w:rPr>
          <w:rFonts w:ascii="Univers" w:hAnsi="Univers" w:cs="Arial"/>
          <w:bCs/>
          <w:i/>
          <w:sz w:val="16"/>
          <w:szCs w:val="16"/>
          <w:lang w:val="es-ES_tradnl"/>
        </w:rPr>
        <w:t>Huamaní</w:t>
      </w:r>
      <w:proofErr w:type="spellEnd"/>
      <w:r w:rsidRPr="00FB43AA">
        <w:rPr>
          <w:rFonts w:ascii="Univers" w:hAnsi="Univers" w:cs="Arial"/>
          <w:bCs/>
          <w:i/>
          <w:sz w:val="16"/>
          <w:szCs w:val="16"/>
          <w:lang w:val="es-ES_tradnl"/>
        </w:rPr>
        <w:t xml:space="preserve"> y García Santa Cruz Vs. Perú.</w:t>
      </w:r>
      <w:r w:rsidRPr="00FB43AA">
        <w:rPr>
          <w:rFonts w:ascii="Univers" w:hAnsi="Univers" w:cs="Arial"/>
          <w:bCs/>
          <w:sz w:val="16"/>
          <w:szCs w:val="16"/>
          <w:lang w:val="es-ES_tradnl"/>
        </w:rPr>
        <w:t xml:space="preserve"> </w:t>
      </w:r>
      <w:r w:rsidRPr="00FB43AA">
        <w:rPr>
          <w:rFonts w:ascii="Univers" w:hAnsi="Univers" w:cs="Arial"/>
          <w:sz w:val="16"/>
          <w:szCs w:val="16"/>
          <w:lang w:val="es-ES_tradnl"/>
        </w:rPr>
        <w:t xml:space="preserve">Excepción Preliminar, Fondo, Reparaciones y Costas. Sentencia de 10 de julio de 2007. Serie C No. 167, párr. 131; y Corte I.D.H., </w:t>
      </w:r>
      <w:r w:rsidRPr="00FB43AA">
        <w:rPr>
          <w:rFonts w:ascii="Univers" w:hAnsi="Univers" w:cs="Arial"/>
          <w:bCs/>
          <w:i/>
          <w:sz w:val="16"/>
          <w:szCs w:val="16"/>
          <w:lang w:val="es-ES_tradnl"/>
        </w:rPr>
        <w:t>Caso Zambrano Vélez y otros Vs. Ecuador.</w:t>
      </w:r>
      <w:r w:rsidRPr="00FB43AA">
        <w:rPr>
          <w:rFonts w:ascii="Univers" w:hAnsi="Univers" w:cs="Arial"/>
          <w:bCs/>
          <w:sz w:val="16"/>
          <w:szCs w:val="16"/>
          <w:lang w:val="es-ES_tradnl"/>
        </w:rPr>
        <w:t xml:space="preserve"> </w:t>
      </w:r>
      <w:r w:rsidRPr="00FB43AA">
        <w:rPr>
          <w:rFonts w:ascii="Univers" w:hAnsi="Univers" w:cs="Arial"/>
          <w:sz w:val="16"/>
          <w:szCs w:val="16"/>
          <w:lang w:val="es-ES_tradnl"/>
        </w:rPr>
        <w:t xml:space="preserve">Fondo, Reparaciones y Costas. Sentencia de 4 de julio de 2007. Serie C No. 166, párr. 120. </w:t>
      </w:r>
    </w:p>
  </w:footnote>
  <w:footnote w:id="130">
    <w:p w:rsidR="002506B6" w:rsidRPr="00FB43AA" w:rsidRDefault="002506B6" w:rsidP="005E78C0">
      <w:pPr>
        <w:pStyle w:val="Textonotapie"/>
        <w:tabs>
          <w:tab w:val="left" w:pos="0"/>
          <w:tab w:val="left" w:pos="720"/>
        </w:tabs>
        <w:spacing w:after="120"/>
        <w:ind w:firstLine="720"/>
        <w:jc w:val="both"/>
        <w:rPr>
          <w:rFonts w:ascii="Univers" w:hAnsi="Univers"/>
          <w:sz w:val="16"/>
          <w:szCs w:val="16"/>
          <w:lang w:val="es-ES_tradnl"/>
        </w:rPr>
      </w:pPr>
      <w:r w:rsidRPr="00FB43AA">
        <w:rPr>
          <w:rStyle w:val="Refdenotaalpie"/>
          <w:rFonts w:ascii="Univers" w:hAnsi="Univers"/>
          <w:sz w:val="16"/>
          <w:szCs w:val="16"/>
          <w:lang w:val="es-ES_tradnl"/>
        </w:rPr>
        <w:footnoteRef/>
      </w:r>
      <w:r w:rsidRPr="00FB43AA">
        <w:rPr>
          <w:rStyle w:val="Refdenotaalpie"/>
          <w:rFonts w:ascii="Univers" w:hAnsi="Univers"/>
          <w:sz w:val="16"/>
          <w:szCs w:val="16"/>
          <w:lang w:val="es-ES_tradnl"/>
        </w:rPr>
        <w:t xml:space="preserve"> </w:t>
      </w:r>
      <w:r w:rsidRPr="00FB43AA">
        <w:rPr>
          <w:rFonts w:ascii="Univers" w:hAnsi="Univers" w:cs="Arial"/>
          <w:sz w:val="16"/>
          <w:szCs w:val="16"/>
          <w:lang w:val="es-ES_tradnl"/>
        </w:rPr>
        <w:t xml:space="preserve">Corte I.D.H. </w:t>
      </w:r>
      <w:r w:rsidRPr="00FB43AA">
        <w:rPr>
          <w:rFonts w:ascii="Univers" w:hAnsi="Univers" w:cs="Arial"/>
          <w:bCs/>
          <w:i/>
          <w:sz w:val="16"/>
          <w:szCs w:val="16"/>
          <w:lang w:val="es-ES_tradnl"/>
        </w:rPr>
        <w:t>Caso García Prieto y otros Vs. El Salvador.</w:t>
      </w:r>
      <w:r w:rsidRPr="00FB43AA">
        <w:rPr>
          <w:rFonts w:ascii="Univers" w:hAnsi="Univers" w:cs="Arial"/>
          <w:bCs/>
          <w:sz w:val="16"/>
          <w:szCs w:val="16"/>
          <w:lang w:val="es-ES_tradnl"/>
        </w:rPr>
        <w:t xml:space="preserve"> </w:t>
      </w:r>
      <w:r w:rsidRPr="00FB43AA">
        <w:rPr>
          <w:rFonts w:ascii="Univers" w:hAnsi="Univers" w:cs="Arial"/>
          <w:sz w:val="16"/>
          <w:szCs w:val="16"/>
          <w:lang w:val="es-ES_tradnl"/>
        </w:rPr>
        <w:t xml:space="preserve">Excepción Preliminar, Fondo, Reparaciones y Costas. Sentencia de 20 de noviembre de 2007. Serie C No. 168, párr. 101; Corte I.D.H., </w:t>
      </w:r>
      <w:r w:rsidRPr="00FB43AA">
        <w:rPr>
          <w:rFonts w:ascii="Univers" w:hAnsi="Univers" w:cs="Arial"/>
          <w:i/>
          <w:sz w:val="16"/>
          <w:szCs w:val="16"/>
          <w:lang w:val="es-ES_tradnl"/>
        </w:rPr>
        <w:t xml:space="preserve">Caso de los Hermanos Gómez </w:t>
      </w:r>
      <w:proofErr w:type="spellStart"/>
      <w:r w:rsidRPr="00FB43AA">
        <w:rPr>
          <w:rFonts w:ascii="Univers" w:hAnsi="Univers" w:cs="Arial"/>
          <w:i/>
          <w:sz w:val="16"/>
          <w:szCs w:val="16"/>
          <w:lang w:val="es-ES_tradnl"/>
        </w:rPr>
        <w:t>Paquiyauri</w:t>
      </w:r>
      <w:proofErr w:type="spellEnd"/>
      <w:r w:rsidRPr="00FB43AA">
        <w:rPr>
          <w:rFonts w:ascii="Univers" w:hAnsi="Univers" w:cs="Arial"/>
          <w:i/>
          <w:sz w:val="16"/>
          <w:szCs w:val="16"/>
          <w:lang w:val="es-ES_tradnl"/>
        </w:rPr>
        <w:t xml:space="preserve"> Vs. Perú</w:t>
      </w:r>
      <w:r w:rsidRPr="00FB43AA">
        <w:rPr>
          <w:rFonts w:ascii="Univers" w:hAnsi="Univers" w:cs="Arial"/>
          <w:sz w:val="16"/>
          <w:szCs w:val="16"/>
          <w:lang w:val="es-ES_tradnl"/>
        </w:rPr>
        <w:t xml:space="preserve">. Sentencia de 8 de julio de 2004. Serie C No. 110, </w:t>
      </w:r>
      <w:proofErr w:type="spellStart"/>
      <w:r w:rsidRPr="00FB43AA">
        <w:rPr>
          <w:rFonts w:ascii="Univers" w:hAnsi="Univers" w:cs="Arial"/>
          <w:sz w:val="16"/>
          <w:szCs w:val="16"/>
          <w:lang w:val="es-ES_tradnl"/>
        </w:rPr>
        <w:t>párrs</w:t>
      </w:r>
      <w:proofErr w:type="spellEnd"/>
      <w:r w:rsidRPr="00FB43AA">
        <w:rPr>
          <w:rFonts w:ascii="Univers" w:hAnsi="Univers" w:cs="Arial"/>
          <w:sz w:val="16"/>
          <w:szCs w:val="16"/>
          <w:lang w:val="es-ES_tradnl"/>
        </w:rPr>
        <w:t xml:space="preserve">. 146; Corte I.D.H., </w:t>
      </w:r>
      <w:r w:rsidRPr="00FB43AA">
        <w:rPr>
          <w:rFonts w:ascii="Univers" w:hAnsi="Univers" w:cs="Arial"/>
          <w:bCs/>
          <w:i/>
          <w:sz w:val="16"/>
          <w:szCs w:val="16"/>
          <w:lang w:val="es-ES_tradnl"/>
        </w:rPr>
        <w:t xml:space="preserve">Caso Cantoral </w:t>
      </w:r>
      <w:proofErr w:type="spellStart"/>
      <w:r w:rsidRPr="00FB43AA">
        <w:rPr>
          <w:rFonts w:ascii="Univers" w:hAnsi="Univers" w:cs="Arial"/>
          <w:bCs/>
          <w:i/>
          <w:sz w:val="16"/>
          <w:szCs w:val="16"/>
          <w:lang w:val="es-ES_tradnl"/>
        </w:rPr>
        <w:t>Huamaní</w:t>
      </w:r>
      <w:proofErr w:type="spellEnd"/>
      <w:r w:rsidRPr="00FB43AA">
        <w:rPr>
          <w:rFonts w:ascii="Univers" w:hAnsi="Univers" w:cs="Arial"/>
          <w:bCs/>
          <w:i/>
          <w:sz w:val="16"/>
          <w:szCs w:val="16"/>
          <w:lang w:val="es-ES_tradnl"/>
        </w:rPr>
        <w:t xml:space="preserve"> y García Santa Cruz Vs. Perú.</w:t>
      </w:r>
      <w:r w:rsidRPr="00FB43AA">
        <w:rPr>
          <w:rFonts w:ascii="Univers" w:hAnsi="Univers" w:cs="Arial"/>
          <w:bCs/>
          <w:sz w:val="16"/>
          <w:szCs w:val="16"/>
          <w:lang w:val="es-ES_tradnl"/>
        </w:rPr>
        <w:t xml:space="preserve"> </w:t>
      </w:r>
      <w:r w:rsidRPr="00FB43AA">
        <w:rPr>
          <w:rFonts w:ascii="Univers" w:hAnsi="Univers" w:cs="Arial"/>
          <w:sz w:val="16"/>
          <w:szCs w:val="16"/>
          <w:lang w:val="es-ES_tradnl"/>
        </w:rPr>
        <w:t xml:space="preserve">Excepción Preliminar, Fondo, Reparaciones y Costas. Sentencia de 10 de julio de 2007. Serie C No. 167, párr. 130. </w:t>
      </w:r>
      <w:r w:rsidRPr="00FB43AA">
        <w:rPr>
          <w:rFonts w:ascii="Univers" w:hAnsi="Univers" w:cs="Arial"/>
          <w:i/>
          <w:sz w:val="16"/>
          <w:szCs w:val="16"/>
          <w:lang w:val="es-ES_tradn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6B6" w:rsidRDefault="002506B6" w:rsidP="00AC7F93">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2506B6" w:rsidRDefault="002506B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6B6" w:rsidRPr="0002787F" w:rsidRDefault="002506B6" w:rsidP="00AC7F93">
    <w:pPr>
      <w:pStyle w:val="Encabezado"/>
      <w:framePr w:wrap="around" w:vAnchor="text" w:hAnchor="margin" w:xAlign="center" w:y="1"/>
      <w:rPr>
        <w:rStyle w:val="Nmerodepgina"/>
        <w:sz w:val="20"/>
      </w:rPr>
    </w:pPr>
    <w:r w:rsidRPr="0002787F">
      <w:rPr>
        <w:rStyle w:val="Nmerodepgina"/>
        <w:sz w:val="20"/>
      </w:rPr>
      <w:fldChar w:fldCharType="begin"/>
    </w:r>
    <w:r w:rsidRPr="0002787F">
      <w:rPr>
        <w:rStyle w:val="Nmerodepgina"/>
        <w:sz w:val="20"/>
      </w:rPr>
      <w:instrText xml:space="preserve">PAGE  </w:instrText>
    </w:r>
    <w:r w:rsidRPr="0002787F">
      <w:rPr>
        <w:rStyle w:val="Nmerodepgina"/>
        <w:sz w:val="20"/>
      </w:rPr>
      <w:fldChar w:fldCharType="separate"/>
    </w:r>
    <w:r w:rsidR="007E37C1">
      <w:rPr>
        <w:rStyle w:val="Nmerodepgina"/>
        <w:noProof/>
        <w:sz w:val="20"/>
      </w:rPr>
      <w:t>32</w:t>
    </w:r>
    <w:r w:rsidRPr="0002787F">
      <w:rPr>
        <w:rStyle w:val="Nmerodepgina"/>
        <w:sz w:val="20"/>
      </w:rPr>
      <w:fldChar w:fldCharType="end"/>
    </w:r>
  </w:p>
  <w:p w:rsidR="002506B6" w:rsidRDefault="002506B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17C6"/>
    <w:multiLevelType w:val="hybridMultilevel"/>
    <w:tmpl w:val="FCE0DEDA"/>
    <w:lvl w:ilvl="0" w:tplc="C78E2154">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06D4154E"/>
    <w:multiLevelType w:val="hybridMultilevel"/>
    <w:tmpl w:val="89668DA4"/>
    <w:lvl w:ilvl="0" w:tplc="9D28F026">
      <w:start w:val="2"/>
      <w:numFmt w:val="decimal"/>
      <w:lvlText w:val="%1."/>
      <w:lvlJc w:val="left"/>
      <w:pPr>
        <w:tabs>
          <w:tab w:val="num" w:pos="1440"/>
        </w:tabs>
        <w:ind w:left="1440" w:hanging="360"/>
      </w:pPr>
      <w:rPr>
        <w:rFonts w:hint="default"/>
      </w:rPr>
    </w:lvl>
    <w:lvl w:ilvl="1" w:tplc="00190409" w:tentative="1">
      <w:start w:val="1"/>
      <w:numFmt w:val="lowerLetter"/>
      <w:lvlText w:val="%2."/>
      <w:lvlJc w:val="left"/>
      <w:pPr>
        <w:tabs>
          <w:tab w:val="num" w:pos="2160"/>
        </w:tabs>
        <w:ind w:left="2160" w:hanging="360"/>
      </w:pPr>
    </w:lvl>
    <w:lvl w:ilvl="2" w:tplc="001B0409" w:tentative="1">
      <w:start w:val="1"/>
      <w:numFmt w:val="lowerRoman"/>
      <w:lvlText w:val="%3."/>
      <w:lvlJc w:val="right"/>
      <w:pPr>
        <w:tabs>
          <w:tab w:val="num" w:pos="2880"/>
        </w:tabs>
        <w:ind w:left="2880" w:hanging="180"/>
      </w:pPr>
    </w:lvl>
    <w:lvl w:ilvl="3" w:tplc="000F0409" w:tentative="1">
      <w:start w:val="1"/>
      <w:numFmt w:val="decimal"/>
      <w:lvlText w:val="%4."/>
      <w:lvlJc w:val="left"/>
      <w:pPr>
        <w:tabs>
          <w:tab w:val="num" w:pos="3600"/>
        </w:tabs>
        <w:ind w:left="3600" w:hanging="360"/>
      </w:pPr>
    </w:lvl>
    <w:lvl w:ilvl="4" w:tplc="00190409" w:tentative="1">
      <w:start w:val="1"/>
      <w:numFmt w:val="lowerLetter"/>
      <w:lvlText w:val="%5."/>
      <w:lvlJc w:val="left"/>
      <w:pPr>
        <w:tabs>
          <w:tab w:val="num" w:pos="4320"/>
        </w:tabs>
        <w:ind w:left="4320" w:hanging="360"/>
      </w:pPr>
    </w:lvl>
    <w:lvl w:ilvl="5" w:tplc="001B0409" w:tentative="1">
      <w:start w:val="1"/>
      <w:numFmt w:val="lowerRoman"/>
      <w:lvlText w:val="%6."/>
      <w:lvlJc w:val="right"/>
      <w:pPr>
        <w:tabs>
          <w:tab w:val="num" w:pos="5040"/>
        </w:tabs>
        <w:ind w:left="5040" w:hanging="180"/>
      </w:pPr>
    </w:lvl>
    <w:lvl w:ilvl="6" w:tplc="000F0409" w:tentative="1">
      <w:start w:val="1"/>
      <w:numFmt w:val="decimal"/>
      <w:lvlText w:val="%7."/>
      <w:lvlJc w:val="left"/>
      <w:pPr>
        <w:tabs>
          <w:tab w:val="num" w:pos="5760"/>
        </w:tabs>
        <w:ind w:left="5760" w:hanging="360"/>
      </w:pPr>
    </w:lvl>
    <w:lvl w:ilvl="7" w:tplc="00190409" w:tentative="1">
      <w:start w:val="1"/>
      <w:numFmt w:val="lowerLetter"/>
      <w:lvlText w:val="%8."/>
      <w:lvlJc w:val="left"/>
      <w:pPr>
        <w:tabs>
          <w:tab w:val="num" w:pos="6480"/>
        </w:tabs>
        <w:ind w:left="6480" w:hanging="360"/>
      </w:pPr>
    </w:lvl>
    <w:lvl w:ilvl="8" w:tplc="001B0409" w:tentative="1">
      <w:start w:val="1"/>
      <w:numFmt w:val="lowerRoman"/>
      <w:lvlText w:val="%9."/>
      <w:lvlJc w:val="right"/>
      <w:pPr>
        <w:tabs>
          <w:tab w:val="num" w:pos="7200"/>
        </w:tabs>
        <w:ind w:left="7200" w:hanging="180"/>
      </w:pPr>
    </w:lvl>
  </w:abstractNum>
  <w:abstractNum w:abstractNumId="2">
    <w:nsid w:val="0B056B80"/>
    <w:multiLevelType w:val="hybridMultilevel"/>
    <w:tmpl w:val="A63CD496"/>
    <w:lvl w:ilvl="0" w:tplc="23106B16">
      <w:start w:val="8"/>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3FE20E2"/>
    <w:multiLevelType w:val="multilevel"/>
    <w:tmpl w:val="86EEE430"/>
    <w:lvl w:ilvl="0">
      <w:start w:val="1"/>
      <w:numFmt w:val="decimal"/>
      <w:lvlText w:val="%1."/>
      <w:lvlJc w:val="left"/>
      <w:pPr>
        <w:tabs>
          <w:tab w:val="num" w:pos="900"/>
        </w:tabs>
        <w:ind w:left="900" w:hanging="360"/>
      </w:pPr>
      <w:rPr>
        <w:rFonts w:ascii="Univers" w:hAnsi="Univers" w:hint="default"/>
        <w:b w:val="0"/>
        <w:sz w:val="20"/>
        <w:szCs w:val="20"/>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ascii="Univers" w:hAnsi="Univers" w:hint="default"/>
        <w:b/>
        <w:i w:val="0"/>
        <w:sz w:val="20"/>
        <w:szCs w:val="20"/>
      </w:rPr>
    </w:lvl>
    <w:lvl w:ilvl="4">
      <w:start w:val="1"/>
      <w:numFmt w:val="lowerLetter"/>
      <w:lvlText w:val="%5)"/>
      <w:lvlJc w:val="left"/>
      <w:pPr>
        <w:tabs>
          <w:tab w:val="num" w:pos="4680"/>
        </w:tabs>
        <w:ind w:left="4680" w:hanging="72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4">
    <w:nsid w:val="18FF3237"/>
    <w:multiLevelType w:val="hybridMultilevel"/>
    <w:tmpl w:val="B16E3B46"/>
    <w:lvl w:ilvl="0" w:tplc="A21C7830">
      <w:start w:val="10"/>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BE14B2F"/>
    <w:multiLevelType w:val="multilevel"/>
    <w:tmpl w:val="C1743204"/>
    <w:lvl w:ilvl="0">
      <w:start w:val="1"/>
      <w:numFmt w:val="decimal"/>
      <w:lvlText w:val="%1."/>
      <w:lvlJc w:val="left"/>
      <w:pPr>
        <w:tabs>
          <w:tab w:val="num" w:pos="900"/>
        </w:tabs>
        <w:ind w:left="900" w:hanging="360"/>
      </w:pPr>
      <w:rPr>
        <w:rFonts w:ascii="Univers" w:hAnsi="Univers" w:hint="default"/>
        <w:b w:val="0"/>
        <w:sz w:val="20"/>
        <w:szCs w:val="20"/>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rPr>
        <w:rFonts w:ascii="Univers" w:hAnsi="Univers" w:hint="default"/>
        <w:b/>
        <w:i w:val="0"/>
        <w:sz w:val="20"/>
        <w:szCs w:val="20"/>
      </w:rPr>
    </w:lvl>
    <w:lvl w:ilvl="4">
      <w:start w:val="1"/>
      <w:numFmt w:val="lowerLetter"/>
      <w:lvlText w:val="%5)"/>
      <w:lvlJc w:val="left"/>
      <w:pPr>
        <w:tabs>
          <w:tab w:val="num" w:pos="4680"/>
        </w:tabs>
        <w:ind w:left="4680" w:hanging="720"/>
      </w:pPr>
      <w:rPr>
        <w:rFonts w:hint="default"/>
      </w:r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
    <w:nsid w:val="24EE7881"/>
    <w:multiLevelType w:val="multilevel"/>
    <w:tmpl w:val="3878B278"/>
    <w:lvl w:ilvl="0">
      <w:start w:val="1"/>
      <w:numFmt w:val="decimal"/>
      <w:lvlText w:val="%1."/>
      <w:lvlJc w:val="left"/>
      <w:pPr>
        <w:tabs>
          <w:tab w:val="num" w:pos="900"/>
        </w:tabs>
        <w:ind w:left="900" w:hanging="360"/>
      </w:pPr>
      <w:rPr>
        <w:rFonts w:ascii="Univers" w:hAnsi="Univers" w:hint="default"/>
        <w:b w:val="0"/>
        <w:sz w:val="20"/>
        <w:szCs w:val="20"/>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rPr>
        <w:rFonts w:ascii="Univers" w:hAnsi="Univers" w:hint="default"/>
        <w:b/>
        <w:i w:val="0"/>
        <w:sz w:val="20"/>
        <w:szCs w:val="20"/>
      </w:rPr>
    </w:lvl>
    <w:lvl w:ilvl="4">
      <w:start w:val="1"/>
      <w:numFmt w:val="lowerLetter"/>
      <w:lvlText w:val="%5)"/>
      <w:lvlJc w:val="left"/>
      <w:pPr>
        <w:tabs>
          <w:tab w:val="num" w:pos="4680"/>
        </w:tabs>
        <w:ind w:left="4680" w:hanging="720"/>
      </w:pPr>
      <w:rPr>
        <w:rFonts w:hint="default"/>
      </w:r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7">
    <w:nsid w:val="274D78AF"/>
    <w:multiLevelType w:val="multilevel"/>
    <w:tmpl w:val="86EEE430"/>
    <w:lvl w:ilvl="0">
      <w:start w:val="1"/>
      <w:numFmt w:val="decimal"/>
      <w:lvlText w:val="%1."/>
      <w:lvlJc w:val="left"/>
      <w:pPr>
        <w:tabs>
          <w:tab w:val="num" w:pos="900"/>
        </w:tabs>
        <w:ind w:left="900" w:hanging="360"/>
      </w:pPr>
      <w:rPr>
        <w:rFonts w:ascii="Univers" w:hAnsi="Univers" w:hint="default"/>
        <w:b w:val="0"/>
        <w:sz w:val="20"/>
        <w:szCs w:val="20"/>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ascii="Univers" w:hAnsi="Univers" w:hint="default"/>
        <w:b/>
        <w:i w:val="0"/>
        <w:sz w:val="20"/>
        <w:szCs w:val="20"/>
      </w:rPr>
    </w:lvl>
    <w:lvl w:ilvl="4">
      <w:start w:val="1"/>
      <w:numFmt w:val="lowerLetter"/>
      <w:lvlText w:val="%5)"/>
      <w:lvlJc w:val="left"/>
      <w:pPr>
        <w:tabs>
          <w:tab w:val="num" w:pos="4680"/>
        </w:tabs>
        <w:ind w:left="4680" w:hanging="72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8">
    <w:nsid w:val="2F5E5E29"/>
    <w:multiLevelType w:val="hybridMultilevel"/>
    <w:tmpl w:val="97040546"/>
    <w:lvl w:ilvl="0" w:tplc="329CEFD0">
      <w:start w:val="9"/>
      <w:numFmt w:val="bullet"/>
      <w:lvlText w:val="-"/>
      <w:lvlJc w:val="left"/>
      <w:pPr>
        <w:tabs>
          <w:tab w:val="num" w:pos="900"/>
        </w:tabs>
        <w:ind w:left="900" w:hanging="360"/>
      </w:pPr>
      <w:rPr>
        <w:rFonts w:ascii="Univers" w:eastAsia="Times New Roman" w:hAnsi="Univers" w:cs="Symbol" w:hint="default"/>
      </w:rPr>
    </w:lvl>
    <w:lvl w:ilvl="1" w:tplc="04090003" w:tentative="1">
      <w:start w:val="1"/>
      <w:numFmt w:val="bullet"/>
      <w:lvlText w:val="o"/>
      <w:lvlJc w:val="left"/>
      <w:pPr>
        <w:tabs>
          <w:tab w:val="num" w:pos="1620"/>
        </w:tabs>
        <w:ind w:left="1620" w:hanging="360"/>
      </w:pPr>
      <w:rPr>
        <w:rFonts w:ascii="Courier New" w:hAnsi="Courier New" w:cs="Arial"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Arial"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Arial"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9">
    <w:nsid w:val="2FFE5971"/>
    <w:multiLevelType w:val="hybridMultilevel"/>
    <w:tmpl w:val="EB6E6764"/>
    <w:lvl w:ilvl="0" w:tplc="FBC20DB4">
      <w:start w:val="1"/>
      <w:numFmt w:val="upperLetter"/>
      <w:lvlText w:val="%1."/>
      <w:lvlJc w:val="left"/>
      <w:pPr>
        <w:tabs>
          <w:tab w:val="num" w:pos="1440"/>
        </w:tabs>
        <w:ind w:left="1440" w:hanging="720"/>
      </w:pPr>
      <w:rPr>
        <w:rFonts w:hint="default"/>
      </w:rPr>
    </w:lvl>
    <w:lvl w:ilvl="1" w:tplc="2EC237D2">
      <w:start w:val="1"/>
      <w:numFmt w:val="decimal"/>
      <w:lvlText w:val="%2."/>
      <w:lvlJc w:val="left"/>
      <w:pPr>
        <w:tabs>
          <w:tab w:val="num" w:pos="1800"/>
        </w:tabs>
        <w:ind w:left="1800" w:hanging="360"/>
      </w:pPr>
      <w:rPr>
        <w:rFonts w:ascii="Univers" w:hAnsi="Univers" w:hint="default"/>
        <w:b/>
        <w:i w:val="0"/>
        <w:sz w:val="20"/>
        <w:szCs w:val="2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354A1E88"/>
    <w:multiLevelType w:val="multilevel"/>
    <w:tmpl w:val="05643FA8"/>
    <w:lvl w:ilvl="0">
      <w:start w:val="1"/>
      <w:numFmt w:val="decimal"/>
      <w:lvlText w:val="%1."/>
      <w:lvlJc w:val="left"/>
      <w:pPr>
        <w:tabs>
          <w:tab w:val="num" w:pos="900"/>
        </w:tabs>
        <w:ind w:left="900" w:hanging="360"/>
      </w:pPr>
      <w:rPr>
        <w:rFonts w:ascii="Univers" w:hAnsi="Univers" w:hint="default"/>
        <w:b w:val="0"/>
        <w:sz w:val="20"/>
        <w:szCs w:val="20"/>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rPr>
        <w:rFonts w:ascii="Univers" w:hAnsi="Univers" w:hint="default"/>
        <w:b w:val="0"/>
        <w:i w:val="0"/>
        <w:sz w:val="20"/>
        <w:szCs w:val="20"/>
      </w:rPr>
    </w:lvl>
    <w:lvl w:ilvl="4">
      <w:start w:val="1"/>
      <w:numFmt w:val="lowerLetter"/>
      <w:lvlText w:val="%5)"/>
      <w:lvlJc w:val="left"/>
      <w:pPr>
        <w:tabs>
          <w:tab w:val="num" w:pos="4680"/>
        </w:tabs>
        <w:ind w:left="4680" w:hanging="720"/>
      </w:pPr>
      <w:rPr>
        <w:rFonts w:hint="default"/>
      </w:r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1">
    <w:nsid w:val="3D7C73EF"/>
    <w:multiLevelType w:val="hybridMultilevel"/>
    <w:tmpl w:val="C1323F92"/>
    <w:lvl w:ilvl="0" w:tplc="9082716A">
      <w:start w:val="1"/>
      <w:numFmt w:val="decimal"/>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5A7E0328">
      <w:start w:val="1"/>
      <w:numFmt w:val="lowerLetter"/>
      <w:lvlText w:val="%3)"/>
      <w:lvlJc w:val="left"/>
      <w:pPr>
        <w:tabs>
          <w:tab w:val="num" w:pos="2700"/>
        </w:tabs>
        <w:ind w:left="2700" w:hanging="360"/>
      </w:pPr>
      <w:rPr>
        <w:rFonts w:cs="Times New Roman" w:hint="default"/>
      </w:rPr>
    </w:lvl>
    <w:lvl w:ilvl="3" w:tplc="458EBBD4">
      <w:start w:val="1"/>
      <w:numFmt w:val="lowerLetter"/>
      <w:lvlText w:val="%4)"/>
      <w:lvlJc w:val="left"/>
      <w:pPr>
        <w:tabs>
          <w:tab w:val="num" w:pos="3600"/>
        </w:tabs>
        <w:ind w:left="3600" w:hanging="720"/>
      </w:pPr>
      <w:rPr>
        <w:rFonts w:cs="Times New Roman" w:hint="default"/>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nsid w:val="3DCB44BB"/>
    <w:multiLevelType w:val="multilevel"/>
    <w:tmpl w:val="8196F056"/>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3">
    <w:nsid w:val="4DBD09E5"/>
    <w:multiLevelType w:val="hybridMultilevel"/>
    <w:tmpl w:val="8A4E45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34015E6"/>
    <w:multiLevelType w:val="hybridMultilevel"/>
    <w:tmpl w:val="3A7AC57C"/>
    <w:lvl w:ilvl="0" w:tplc="72C8E9AE">
      <w:start w:val="9"/>
      <w:numFmt w:val="lowerLetter"/>
      <w:lvlText w:val="%1)"/>
      <w:lvlJc w:val="left"/>
      <w:pPr>
        <w:tabs>
          <w:tab w:val="num" w:pos="2880"/>
        </w:tabs>
        <w:ind w:left="2880" w:hanging="360"/>
      </w:pPr>
      <w:rPr>
        <w:rFonts w:hint="default"/>
      </w:rPr>
    </w:lvl>
    <w:lvl w:ilvl="1" w:tplc="AD24F0E2">
      <w:start w:val="2"/>
      <w:numFmt w:val="lowerRoman"/>
      <w:lvlText w:val="%2)"/>
      <w:lvlJc w:val="left"/>
      <w:pPr>
        <w:tabs>
          <w:tab w:val="num" w:pos="3960"/>
        </w:tabs>
        <w:ind w:left="3960" w:hanging="720"/>
      </w:pPr>
      <w:rPr>
        <w:rFonts w:hint="default"/>
      </w:r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15">
    <w:nsid w:val="55927C7D"/>
    <w:multiLevelType w:val="multilevel"/>
    <w:tmpl w:val="3148F238"/>
    <w:lvl w:ilvl="0">
      <w:start w:val="1"/>
      <w:numFmt w:val="decimal"/>
      <w:lvlText w:val="%1."/>
      <w:lvlJc w:val="left"/>
      <w:pPr>
        <w:tabs>
          <w:tab w:val="num" w:pos="900"/>
        </w:tabs>
        <w:ind w:left="900" w:hanging="360"/>
      </w:pPr>
      <w:rPr>
        <w:rFonts w:ascii="Univers" w:hAnsi="Univers" w:hint="default"/>
        <w:b w:val="0"/>
        <w:sz w:val="20"/>
        <w:szCs w:val="20"/>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ascii="Univers" w:hAnsi="Univers" w:hint="default"/>
        <w:b w:val="0"/>
        <w:i w:val="0"/>
        <w:sz w:val="20"/>
        <w:szCs w:val="20"/>
      </w:rPr>
    </w:lvl>
    <w:lvl w:ilvl="4">
      <w:start w:val="1"/>
      <w:numFmt w:val="lowerLetter"/>
      <w:lvlText w:val="%5)"/>
      <w:lvlJc w:val="left"/>
      <w:pPr>
        <w:tabs>
          <w:tab w:val="num" w:pos="4680"/>
        </w:tabs>
        <w:ind w:left="4680" w:hanging="72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6">
    <w:nsid w:val="56C76505"/>
    <w:multiLevelType w:val="multilevel"/>
    <w:tmpl w:val="3F36485A"/>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588826F1"/>
    <w:multiLevelType w:val="hybridMultilevel"/>
    <w:tmpl w:val="59465FD6"/>
    <w:lvl w:ilvl="0" w:tplc="2B50058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8D939C1"/>
    <w:multiLevelType w:val="hybridMultilevel"/>
    <w:tmpl w:val="BDCEFCCC"/>
    <w:lvl w:ilvl="0" w:tplc="8D488528">
      <w:start w:val="1"/>
      <w:numFmt w:val="lowerRoman"/>
      <w:lvlText w:val="%1)"/>
      <w:lvlJc w:val="left"/>
      <w:pPr>
        <w:ind w:left="1080" w:hanging="360"/>
      </w:pPr>
      <w:rPr>
        <w:rFonts w:ascii="Univers" w:hAnsi="Univers" w:cs="Times New Roman" w:hint="default"/>
        <w:b w:val="0"/>
        <w:bCs w:val="0"/>
        <w:i w:val="0"/>
        <w:iCs w:val="0"/>
        <w:sz w:val="20"/>
        <w:szCs w:val="20"/>
      </w:rPr>
    </w:lvl>
    <w:lvl w:ilvl="1" w:tplc="04090019">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9">
    <w:nsid w:val="5B7C7CDA"/>
    <w:multiLevelType w:val="hybridMultilevel"/>
    <w:tmpl w:val="7A6AD154"/>
    <w:lvl w:ilvl="0" w:tplc="485E8ADC">
      <w:start w:val="1"/>
      <w:numFmt w:val="decimal"/>
      <w:lvlText w:val="%1."/>
      <w:lvlJc w:val="left"/>
      <w:pPr>
        <w:tabs>
          <w:tab w:val="num" w:pos="3240"/>
        </w:tabs>
        <w:ind w:left="3240" w:hanging="720"/>
      </w:pPr>
      <w:rPr>
        <w:rFonts w:cs="Dotum" w:hint="default"/>
      </w:rPr>
    </w:lvl>
    <w:lvl w:ilvl="1" w:tplc="4FACF6FE">
      <w:start w:val="1"/>
      <w:numFmt w:val="lowerLetter"/>
      <w:lvlText w:val="%2)"/>
      <w:lvlJc w:val="left"/>
      <w:pPr>
        <w:tabs>
          <w:tab w:val="num" w:pos="3600"/>
        </w:tabs>
        <w:ind w:left="3600" w:hanging="720"/>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0">
    <w:nsid w:val="608B725A"/>
    <w:multiLevelType w:val="hybridMultilevel"/>
    <w:tmpl w:val="3F36485A"/>
    <w:lvl w:ilvl="0" w:tplc="86169CDA">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60D109CD"/>
    <w:multiLevelType w:val="hybridMultilevel"/>
    <w:tmpl w:val="DA72FFA6"/>
    <w:lvl w:ilvl="0" w:tplc="00B0C15E">
      <w:start w:val="9"/>
      <w:numFmt w:val="lowerLetter"/>
      <w:lvlText w:val="%1)"/>
      <w:lvlJc w:val="left"/>
      <w:pPr>
        <w:tabs>
          <w:tab w:val="num" w:pos="2355"/>
        </w:tabs>
        <w:ind w:left="2355" w:hanging="915"/>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nsid w:val="63CD6FE6"/>
    <w:multiLevelType w:val="hybridMultilevel"/>
    <w:tmpl w:val="8AF8ACFE"/>
    <w:lvl w:ilvl="0" w:tplc="378E97A2">
      <w:start w:val="216"/>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3132A70C">
      <w:start w:val="1"/>
      <w:numFmt w:val="lowerLetter"/>
      <w:lvlText w:val="%4)"/>
      <w:lvlJc w:val="left"/>
      <w:pPr>
        <w:tabs>
          <w:tab w:val="num" w:pos="3060"/>
        </w:tabs>
        <w:ind w:left="3060" w:hanging="54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64707268"/>
    <w:multiLevelType w:val="hybridMultilevel"/>
    <w:tmpl w:val="5EFE8C44"/>
    <w:lvl w:ilvl="0" w:tplc="8D22BB74">
      <w:start w:val="1"/>
      <w:numFmt w:val="decimal"/>
      <w:lvlText w:val="%1."/>
      <w:lvlJc w:val="left"/>
      <w:pPr>
        <w:tabs>
          <w:tab w:val="num" w:pos="1080"/>
        </w:tabs>
        <w:ind w:left="1080" w:hanging="720"/>
      </w:pPr>
      <w:rPr>
        <w:rFonts w:cs="Times New Roman" w:hint="default"/>
        <w:color w:val="auto"/>
      </w:rPr>
    </w:lvl>
    <w:lvl w:ilvl="1" w:tplc="1C78A016">
      <w:start w:val="1"/>
      <w:numFmt w:val="bullet"/>
      <w:lvlText w:val=""/>
      <w:lvlJc w:val="left"/>
      <w:pPr>
        <w:tabs>
          <w:tab w:val="num" w:pos="1440"/>
        </w:tabs>
        <w:ind w:left="1440" w:hanging="360"/>
      </w:pPr>
      <w:rPr>
        <w:rFonts w:ascii="Symbol" w:hAnsi="Symbol" w:hint="default"/>
        <w:color w:val="auto"/>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66DB3268"/>
    <w:multiLevelType w:val="multilevel"/>
    <w:tmpl w:val="74DC99E2"/>
    <w:lvl w:ilvl="0">
      <w:start w:val="9"/>
      <w:numFmt w:val="lowerLetter"/>
      <w:lvlText w:val="%1)"/>
      <w:lvlJc w:val="left"/>
      <w:pPr>
        <w:tabs>
          <w:tab w:val="num" w:pos="2340"/>
        </w:tabs>
        <w:ind w:left="2340" w:hanging="360"/>
      </w:pPr>
      <w:rPr>
        <w:rFonts w:hint="default"/>
      </w:rPr>
    </w:lvl>
    <w:lvl w:ilvl="1">
      <w:start w:val="1"/>
      <w:numFmt w:val="lowerRoman"/>
      <w:lvlText w:val="%2)"/>
      <w:lvlJc w:val="left"/>
      <w:pPr>
        <w:tabs>
          <w:tab w:val="num" w:pos="3420"/>
        </w:tabs>
        <w:ind w:left="3420" w:hanging="720"/>
      </w:pPr>
      <w:rPr>
        <w:rFonts w:hint="default"/>
        <w:b w:val="0"/>
        <w:i w:val="0"/>
      </w:rPr>
    </w:lvl>
    <w:lvl w:ilvl="2">
      <w:start w:val="1"/>
      <w:numFmt w:val="lowerRoman"/>
      <w:lvlText w:val="%3."/>
      <w:lvlJc w:val="right"/>
      <w:pPr>
        <w:tabs>
          <w:tab w:val="num" w:pos="3780"/>
        </w:tabs>
        <w:ind w:left="3780" w:hanging="180"/>
      </w:pPr>
      <w:rPr>
        <w:rFonts w:hint="default"/>
      </w:rPr>
    </w:lvl>
    <w:lvl w:ilvl="3">
      <w:start w:val="1"/>
      <w:numFmt w:val="decimal"/>
      <w:lvlText w:val="%4."/>
      <w:lvlJc w:val="left"/>
      <w:pPr>
        <w:tabs>
          <w:tab w:val="num" w:pos="4500"/>
        </w:tabs>
        <w:ind w:left="4500" w:hanging="360"/>
      </w:pPr>
      <w:rPr>
        <w:rFonts w:hint="default"/>
      </w:rPr>
    </w:lvl>
    <w:lvl w:ilvl="4">
      <w:start w:val="1"/>
      <w:numFmt w:val="lowerLetter"/>
      <w:lvlText w:val="%5."/>
      <w:lvlJc w:val="left"/>
      <w:pPr>
        <w:tabs>
          <w:tab w:val="num" w:pos="5220"/>
        </w:tabs>
        <w:ind w:left="5220" w:hanging="360"/>
      </w:pPr>
      <w:rPr>
        <w:rFonts w:hint="default"/>
      </w:rPr>
    </w:lvl>
    <w:lvl w:ilvl="5">
      <w:start w:val="1"/>
      <w:numFmt w:val="lowerRoman"/>
      <w:lvlText w:val="%6."/>
      <w:lvlJc w:val="right"/>
      <w:pPr>
        <w:tabs>
          <w:tab w:val="num" w:pos="5940"/>
        </w:tabs>
        <w:ind w:left="5940" w:hanging="180"/>
      </w:pPr>
      <w:rPr>
        <w:rFonts w:hint="default"/>
      </w:rPr>
    </w:lvl>
    <w:lvl w:ilvl="6">
      <w:start w:val="1"/>
      <w:numFmt w:val="decimal"/>
      <w:lvlText w:val="%7."/>
      <w:lvlJc w:val="left"/>
      <w:pPr>
        <w:tabs>
          <w:tab w:val="num" w:pos="6660"/>
        </w:tabs>
        <w:ind w:left="6660" w:hanging="360"/>
      </w:pPr>
      <w:rPr>
        <w:rFonts w:hint="default"/>
      </w:rPr>
    </w:lvl>
    <w:lvl w:ilvl="7">
      <w:start w:val="1"/>
      <w:numFmt w:val="lowerLetter"/>
      <w:lvlText w:val="%8."/>
      <w:lvlJc w:val="left"/>
      <w:pPr>
        <w:tabs>
          <w:tab w:val="num" w:pos="7380"/>
        </w:tabs>
        <w:ind w:left="7380" w:hanging="360"/>
      </w:pPr>
      <w:rPr>
        <w:rFonts w:hint="default"/>
      </w:rPr>
    </w:lvl>
    <w:lvl w:ilvl="8">
      <w:start w:val="1"/>
      <w:numFmt w:val="lowerRoman"/>
      <w:lvlText w:val="%9."/>
      <w:lvlJc w:val="right"/>
      <w:pPr>
        <w:tabs>
          <w:tab w:val="num" w:pos="8100"/>
        </w:tabs>
        <w:ind w:left="8100" w:hanging="180"/>
      </w:pPr>
      <w:rPr>
        <w:rFonts w:hint="default"/>
      </w:rPr>
    </w:lvl>
  </w:abstractNum>
  <w:abstractNum w:abstractNumId="25">
    <w:nsid w:val="6707569A"/>
    <w:multiLevelType w:val="multilevel"/>
    <w:tmpl w:val="766A4D8C"/>
    <w:lvl w:ilvl="0">
      <w:start w:val="1"/>
      <w:numFmt w:val="decimal"/>
      <w:lvlText w:val="%1."/>
      <w:lvlJc w:val="left"/>
      <w:pPr>
        <w:tabs>
          <w:tab w:val="num" w:pos="900"/>
        </w:tabs>
        <w:ind w:left="900" w:hanging="360"/>
      </w:pPr>
      <w:rPr>
        <w:rFonts w:ascii="Univers" w:hAnsi="Univers" w:hint="default"/>
        <w:b w:val="0"/>
        <w:sz w:val="20"/>
        <w:szCs w:val="20"/>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rPr>
        <w:rFonts w:ascii="Univers" w:hAnsi="Univers" w:hint="default"/>
        <w:b/>
        <w:i w:val="0"/>
        <w:sz w:val="20"/>
        <w:szCs w:val="20"/>
      </w:rPr>
    </w:lvl>
    <w:lvl w:ilvl="4">
      <w:start w:val="1"/>
      <w:numFmt w:val="lowerLetter"/>
      <w:lvlText w:val="%5)"/>
      <w:lvlJc w:val="left"/>
      <w:pPr>
        <w:tabs>
          <w:tab w:val="num" w:pos="4680"/>
        </w:tabs>
        <w:ind w:left="4680" w:hanging="720"/>
      </w:pPr>
      <w:rPr>
        <w:rFonts w:hint="default"/>
      </w:r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6">
    <w:nsid w:val="71B57656"/>
    <w:multiLevelType w:val="hybridMultilevel"/>
    <w:tmpl w:val="6DAE14C0"/>
    <w:lvl w:ilvl="0" w:tplc="83806080">
      <w:start w:val="1"/>
      <w:numFmt w:val="decimal"/>
      <w:pStyle w:val="PrrafodeSentencia"/>
      <w:lvlText w:val="%1."/>
      <w:lvlJc w:val="left"/>
      <w:pPr>
        <w:tabs>
          <w:tab w:val="num" w:pos="720"/>
        </w:tabs>
        <w:ind w:left="720" w:hanging="360"/>
      </w:pPr>
      <w:rPr>
        <w:rFonts w:cs="Times New Roman" w:hint="default"/>
      </w:rPr>
    </w:lvl>
    <w:lvl w:ilvl="1" w:tplc="CE8A1910">
      <w:start w:val="1"/>
      <w:numFmt w:val="lowerLetter"/>
      <w:lvlText w:val="(%2)"/>
      <w:lvlJc w:val="left"/>
      <w:pPr>
        <w:tabs>
          <w:tab w:val="num" w:pos="1440"/>
        </w:tabs>
        <w:ind w:left="1440" w:hanging="360"/>
      </w:pPr>
      <w:rPr>
        <w:rFonts w:ascii="Univers" w:hAnsi="Univers" w:cs="Times New Roman" w:hint="default"/>
        <w:b w:val="0"/>
        <w:i w:val="0"/>
        <w:sz w:val="20"/>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71B90687"/>
    <w:multiLevelType w:val="hybridMultilevel"/>
    <w:tmpl w:val="4726CDC4"/>
    <w:lvl w:ilvl="0" w:tplc="2B50058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3832784"/>
    <w:multiLevelType w:val="hybridMultilevel"/>
    <w:tmpl w:val="4D669838"/>
    <w:lvl w:ilvl="0" w:tplc="0409000F">
      <w:start w:val="1"/>
      <w:numFmt w:val="decimal"/>
      <w:lvlText w:val="%1."/>
      <w:lvlJc w:val="left"/>
      <w:pPr>
        <w:tabs>
          <w:tab w:val="num" w:pos="720"/>
        </w:tabs>
        <w:ind w:left="720" w:hanging="360"/>
      </w:pPr>
    </w:lvl>
    <w:lvl w:ilvl="1" w:tplc="3BBC224A">
      <w:start w:val="164"/>
      <w:numFmt w:val="decimal"/>
      <w:lvlText w:val="%2."/>
      <w:lvlJc w:val="left"/>
      <w:pPr>
        <w:tabs>
          <w:tab w:val="num" w:pos="1530"/>
        </w:tabs>
        <w:ind w:left="1530" w:hanging="45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3E7315F"/>
    <w:multiLevelType w:val="hybridMultilevel"/>
    <w:tmpl w:val="F408880A"/>
    <w:lvl w:ilvl="0" w:tplc="FCD05D56">
      <w:start w:val="1"/>
      <w:numFmt w:val="upperRoman"/>
      <w:lvlText w:val="%1."/>
      <w:lvlJc w:val="left"/>
      <w:pPr>
        <w:tabs>
          <w:tab w:val="num" w:pos="1080"/>
        </w:tabs>
        <w:ind w:left="1080" w:hanging="720"/>
      </w:pPr>
      <w:rPr>
        <w:rFonts w:hint="default"/>
      </w:rPr>
    </w:lvl>
    <w:lvl w:ilvl="1" w:tplc="59BACF50">
      <w:start w:val="1"/>
      <w:numFmt w:val="upperLetter"/>
      <w:lvlText w:val="%2."/>
      <w:lvlJc w:val="left"/>
      <w:pPr>
        <w:tabs>
          <w:tab w:val="num" w:pos="1440"/>
        </w:tabs>
        <w:ind w:left="1440" w:hanging="360"/>
      </w:pPr>
      <w:rPr>
        <w:rFonts w:hint="default"/>
      </w:rPr>
    </w:lvl>
    <w:lvl w:ilvl="2" w:tplc="C50C1056">
      <w:start w:val="1"/>
      <w:numFmt w:val="upperLetter"/>
      <w:lvlText w:val="%3."/>
      <w:lvlJc w:val="left"/>
      <w:pPr>
        <w:tabs>
          <w:tab w:val="num" w:pos="2340"/>
        </w:tabs>
        <w:ind w:left="2340" w:hanging="360"/>
      </w:pPr>
      <w:rPr>
        <w:rFonts w:ascii="Univers" w:hAnsi="Univers" w:hint="default"/>
        <w:b w:val="0"/>
        <w:i w:val="0"/>
        <w:sz w:val="20"/>
      </w:rPr>
    </w:lvl>
    <w:lvl w:ilvl="3" w:tplc="485E8ADC">
      <w:start w:val="1"/>
      <w:numFmt w:val="decimal"/>
      <w:lvlText w:val="%4."/>
      <w:lvlJc w:val="left"/>
      <w:pPr>
        <w:tabs>
          <w:tab w:val="num" w:pos="3240"/>
        </w:tabs>
        <w:ind w:left="3240" w:hanging="720"/>
      </w:pPr>
      <w:rPr>
        <w:rFonts w:cs="Dotum" w:hint="default"/>
      </w:rPr>
    </w:lvl>
    <w:lvl w:ilvl="4" w:tplc="088C5C2E">
      <w:start w:val="1"/>
      <w:numFmt w:val="lowerLetter"/>
      <w:lvlText w:val="%5)"/>
      <w:lvlJc w:val="left"/>
      <w:pPr>
        <w:tabs>
          <w:tab w:val="num" w:pos="3960"/>
        </w:tabs>
        <w:ind w:left="3960" w:hanging="720"/>
      </w:pPr>
      <w:rPr>
        <w:rFonts w:hint="default"/>
      </w:r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9"/>
  </w:num>
  <w:num w:numId="3">
    <w:abstractNumId w:val="19"/>
  </w:num>
  <w:num w:numId="4">
    <w:abstractNumId w:val="14"/>
  </w:num>
  <w:num w:numId="5">
    <w:abstractNumId w:val="24"/>
  </w:num>
  <w:num w:numId="6">
    <w:abstractNumId w:val="21"/>
  </w:num>
  <w:num w:numId="7">
    <w:abstractNumId w:val="11"/>
  </w:num>
  <w:num w:numId="8">
    <w:abstractNumId w:val="18"/>
  </w:num>
  <w:num w:numId="9">
    <w:abstractNumId w:val="9"/>
  </w:num>
  <w:num w:numId="10">
    <w:abstractNumId w:val="22"/>
  </w:num>
  <w:num w:numId="11">
    <w:abstractNumId w:val="13"/>
  </w:num>
  <w:num w:numId="12">
    <w:abstractNumId w:val="28"/>
  </w:num>
  <w:num w:numId="13">
    <w:abstractNumId w:val="26"/>
  </w:num>
  <w:num w:numId="14">
    <w:abstractNumId w:val="1"/>
  </w:num>
  <w:num w:numId="15">
    <w:abstractNumId w:val="4"/>
  </w:num>
  <w:num w:numId="16">
    <w:abstractNumId w:val="8"/>
  </w:num>
  <w:num w:numId="17">
    <w:abstractNumId w:val="2"/>
  </w:num>
  <w:num w:numId="18">
    <w:abstractNumId w:val="5"/>
  </w:num>
  <w:num w:numId="19">
    <w:abstractNumId w:val="10"/>
  </w:num>
  <w:num w:numId="20">
    <w:abstractNumId w:val="6"/>
  </w:num>
  <w:num w:numId="21">
    <w:abstractNumId w:val="0"/>
  </w:num>
  <w:num w:numId="22">
    <w:abstractNumId w:val="25"/>
  </w:num>
  <w:num w:numId="23">
    <w:abstractNumId w:val="15"/>
  </w:num>
  <w:num w:numId="24">
    <w:abstractNumId w:val="27"/>
  </w:num>
  <w:num w:numId="25">
    <w:abstractNumId w:val="17"/>
  </w:num>
  <w:num w:numId="26">
    <w:abstractNumId w:val="20"/>
  </w:num>
  <w:num w:numId="27">
    <w:abstractNumId w:val="23"/>
  </w:num>
  <w:num w:numId="28">
    <w:abstractNumId w:val="7"/>
  </w:num>
  <w:num w:numId="29">
    <w:abstractNumId w:val="16"/>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C7F93"/>
    <w:rsid w:val="000009DC"/>
    <w:rsid w:val="000015D8"/>
    <w:rsid w:val="00003599"/>
    <w:rsid w:val="00003A17"/>
    <w:rsid w:val="00003A31"/>
    <w:rsid w:val="00004CB8"/>
    <w:rsid w:val="000068BC"/>
    <w:rsid w:val="00006FF9"/>
    <w:rsid w:val="00007644"/>
    <w:rsid w:val="000104A8"/>
    <w:rsid w:val="0001114E"/>
    <w:rsid w:val="00013A91"/>
    <w:rsid w:val="00014F59"/>
    <w:rsid w:val="000157A4"/>
    <w:rsid w:val="00015ABF"/>
    <w:rsid w:val="00016987"/>
    <w:rsid w:val="00020D99"/>
    <w:rsid w:val="00020FF6"/>
    <w:rsid w:val="00023AF6"/>
    <w:rsid w:val="00024811"/>
    <w:rsid w:val="0002560C"/>
    <w:rsid w:val="0002618A"/>
    <w:rsid w:val="00026274"/>
    <w:rsid w:val="000270E6"/>
    <w:rsid w:val="00034277"/>
    <w:rsid w:val="00035FB4"/>
    <w:rsid w:val="000402D4"/>
    <w:rsid w:val="00041A9E"/>
    <w:rsid w:val="000421FF"/>
    <w:rsid w:val="00042A98"/>
    <w:rsid w:val="000435EF"/>
    <w:rsid w:val="0004395A"/>
    <w:rsid w:val="00044245"/>
    <w:rsid w:val="00045D21"/>
    <w:rsid w:val="000461B3"/>
    <w:rsid w:val="0004659F"/>
    <w:rsid w:val="0004720E"/>
    <w:rsid w:val="000472C8"/>
    <w:rsid w:val="0004748B"/>
    <w:rsid w:val="000477B3"/>
    <w:rsid w:val="00052C60"/>
    <w:rsid w:val="000535E3"/>
    <w:rsid w:val="00054269"/>
    <w:rsid w:val="000552AC"/>
    <w:rsid w:val="000560B5"/>
    <w:rsid w:val="0005696E"/>
    <w:rsid w:val="00057DB6"/>
    <w:rsid w:val="00057FC9"/>
    <w:rsid w:val="00061FAE"/>
    <w:rsid w:val="000629A2"/>
    <w:rsid w:val="00063CE2"/>
    <w:rsid w:val="00064D35"/>
    <w:rsid w:val="00065C7F"/>
    <w:rsid w:val="00070123"/>
    <w:rsid w:val="000705BC"/>
    <w:rsid w:val="00070FB1"/>
    <w:rsid w:val="00071B4D"/>
    <w:rsid w:val="0007314D"/>
    <w:rsid w:val="000738A3"/>
    <w:rsid w:val="00075679"/>
    <w:rsid w:val="00076923"/>
    <w:rsid w:val="000771F9"/>
    <w:rsid w:val="00077392"/>
    <w:rsid w:val="000778C8"/>
    <w:rsid w:val="00080295"/>
    <w:rsid w:val="0008177A"/>
    <w:rsid w:val="00081D40"/>
    <w:rsid w:val="000820A0"/>
    <w:rsid w:val="00082EBA"/>
    <w:rsid w:val="000832C1"/>
    <w:rsid w:val="00084AA7"/>
    <w:rsid w:val="00085C80"/>
    <w:rsid w:val="00085DFC"/>
    <w:rsid w:val="00085E8B"/>
    <w:rsid w:val="00085EAC"/>
    <w:rsid w:val="00087256"/>
    <w:rsid w:val="00091104"/>
    <w:rsid w:val="0009153A"/>
    <w:rsid w:val="0009202B"/>
    <w:rsid w:val="00092422"/>
    <w:rsid w:val="00092488"/>
    <w:rsid w:val="00092631"/>
    <w:rsid w:val="000927D9"/>
    <w:rsid w:val="000960B9"/>
    <w:rsid w:val="0009648E"/>
    <w:rsid w:val="00096644"/>
    <w:rsid w:val="000A162A"/>
    <w:rsid w:val="000A18CE"/>
    <w:rsid w:val="000A21E9"/>
    <w:rsid w:val="000A7470"/>
    <w:rsid w:val="000A753B"/>
    <w:rsid w:val="000A7A61"/>
    <w:rsid w:val="000B1004"/>
    <w:rsid w:val="000B3107"/>
    <w:rsid w:val="000B37E4"/>
    <w:rsid w:val="000B387F"/>
    <w:rsid w:val="000B5222"/>
    <w:rsid w:val="000B57F4"/>
    <w:rsid w:val="000B66D3"/>
    <w:rsid w:val="000B6A49"/>
    <w:rsid w:val="000B742E"/>
    <w:rsid w:val="000C10E2"/>
    <w:rsid w:val="000C1779"/>
    <w:rsid w:val="000C2E3A"/>
    <w:rsid w:val="000C462E"/>
    <w:rsid w:val="000C4636"/>
    <w:rsid w:val="000C5393"/>
    <w:rsid w:val="000C5886"/>
    <w:rsid w:val="000C5A5F"/>
    <w:rsid w:val="000C5E7C"/>
    <w:rsid w:val="000C6404"/>
    <w:rsid w:val="000C74BD"/>
    <w:rsid w:val="000D11B0"/>
    <w:rsid w:val="000D2D2A"/>
    <w:rsid w:val="000D4752"/>
    <w:rsid w:val="000D4FF9"/>
    <w:rsid w:val="000D5BF9"/>
    <w:rsid w:val="000D65FD"/>
    <w:rsid w:val="000D6663"/>
    <w:rsid w:val="000D67DB"/>
    <w:rsid w:val="000D70FC"/>
    <w:rsid w:val="000D7461"/>
    <w:rsid w:val="000E0362"/>
    <w:rsid w:val="000E03F6"/>
    <w:rsid w:val="000E18E1"/>
    <w:rsid w:val="000E35F0"/>
    <w:rsid w:val="000E3A4C"/>
    <w:rsid w:val="000E4DFA"/>
    <w:rsid w:val="000E4E7C"/>
    <w:rsid w:val="000E58CD"/>
    <w:rsid w:val="000E62B6"/>
    <w:rsid w:val="000E6483"/>
    <w:rsid w:val="000E6595"/>
    <w:rsid w:val="000E7C72"/>
    <w:rsid w:val="000F3A08"/>
    <w:rsid w:val="000F3CB2"/>
    <w:rsid w:val="000F4D9F"/>
    <w:rsid w:val="000F7F96"/>
    <w:rsid w:val="0010019E"/>
    <w:rsid w:val="0010088A"/>
    <w:rsid w:val="00100F3F"/>
    <w:rsid w:val="001029FF"/>
    <w:rsid w:val="00103281"/>
    <w:rsid w:val="00103420"/>
    <w:rsid w:val="00103A73"/>
    <w:rsid w:val="00104A02"/>
    <w:rsid w:val="00112B3A"/>
    <w:rsid w:val="00113423"/>
    <w:rsid w:val="001137A7"/>
    <w:rsid w:val="00114255"/>
    <w:rsid w:val="00115372"/>
    <w:rsid w:val="0011662F"/>
    <w:rsid w:val="00116830"/>
    <w:rsid w:val="00117B00"/>
    <w:rsid w:val="00117C15"/>
    <w:rsid w:val="00121FDB"/>
    <w:rsid w:val="00122F9D"/>
    <w:rsid w:val="001234B3"/>
    <w:rsid w:val="00123521"/>
    <w:rsid w:val="00124027"/>
    <w:rsid w:val="00124623"/>
    <w:rsid w:val="001264F4"/>
    <w:rsid w:val="00132E1D"/>
    <w:rsid w:val="00133F0C"/>
    <w:rsid w:val="001343ED"/>
    <w:rsid w:val="00140B26"/>
    <w:rsid w:val="00141632"/>
    <w:rsid w:val="001427BF"/>
    <w:rsid w:val="0014391E"/>
    <w:rsid w:val="001457ED"/>
    <w:rsid w:val="00145FEA"/>
    <w:rsid w:val="00146CA7"/>
    <w:rsid w:val="00147173"/>
    <w:rsid w:val="00152A82"/>
    <w:rsid w:val="00153C7C"/>
    <w:rsid w:val="001540B7"/>
    <w:rsid w:val="00154D09"/>
    <w:rsid w:val="00155751"/>
    <w:rsid w:val="00155D3B"/>
    <w:rsid w:val="00157B11"/>
    <w:rsid w:val="00164956"/>
    <w:rsid w:val="0016567E"/>
    <w:rsid w:val="001656BD"/>
    <w:rsid w:val="001657A4"/>
    <w:rsid w:val="00165CF9"/>
    <w:rsid w:val="00166159"/>
    <w:rsid w:val="00166F5A"/>
    <w:rsid w:val="001676B8"/>
    <w:rsid w:val="00170489"/>
    <w:rsid w:val="00171F84"/>
    <w:rsid w:val="00175A0F"/>
    <w:rsid w:val="00175E8F"/>
    <w:rsid w:val="00176081"/>
    <w:rsid w:val="0017664E"/>
    <w:rsid w:val="00176955"/>
    <w:rsid w:val="001777B1"/>
    <w:rsid w:val="0017797B"/>
    <w:rsid w:val="00177C92"/>
    <w:rsid w:val="00181C6B"/>
    <w:rsid w:val="00181DBE"/>
    <w:rsid w:val="00185BDA"/>
    <w:rsid w:val="00187187"/>
    <w:rsid w:val="00187612"/>
    <w:rsid w:val="00187FC3"/>
    <w:rsid w:val="00193312"/>
    <w:rsid w:val="00193451"/>
    <w:rsid w:val="00194579"/>
    <w:rsid w:val="00194596"/>
    <w:rsid w:val="00194E80"/>
    <w:rsid w:val="001A0612"/>
    <w:rsid w:val="001A1F23"/>
    <w:rsid w:val="001A439C"/>
    <w:rsid w:val="001A5572"/>
    <w:rsid w:val="001A5DBC"/>
    <w:rsid w:val="001A70C2"/>
    <w:rsid w:val="001A7934"/>
    <w:rsid w:val="001B12BC"/>
    <w:rsid w:val="001B2BBA"/>
    <w:rsid w:val="001B2FBF"/>
    <w:rsid w:val="001B51B7"/>
    <w:rsid w:val="001B580C"/>
    <w:rsid w:val="001B58A1"/>
    <w:rsid w:val="001B69C1"/>
    <w:rsid w:val="001C0B7A"/>
    <w:rsid w:val="001C1A5D"/>
    <w:rsid w:val="001C287C"/>
    <w:rsid w:val="001C2F8D"/>
    <w:rsid w:val="001C3D57"/>
    <w:rsid w:val="001C3D70"/>
    <w:rsid w:val="001C4305"/>
    <w:rsid w:val="001C4325"/>
    <w:rsid w:val="001C4396"/>
    <w:rsid w:val="001C598F"/>
    <w:rsid w:val="001C6F04"/>
    <w:rsid w:val="001C7320"/>
    <w:rsid w:val="001D0785"/>
    <w:rsid w:val="001D361A"/>
    <w:rsid w:val="001D3F98"/>
    <w:rsid w:val="001D44A4"/>
    <w:rsid w:val="001D4E9D"/>
    <w:rsid w:val="001D76AC"/>
    <w:rsid w:val="001D7916"/>
    <w:rsid w:val="001E086B"/>
    <w:rsid w:val="001E187C"/>
    <w:rsid w:val="001E27D5"/>
    <w:rsid w:val="001E3897"/>
    <w:rsid w:val="001E42B3"/>
    <w:rsid w:val="001E477F"/>
    <w:rsid w:val="001E5AF2"/>
    <w:rsid w:val="001E789D"/>
    <w:rsid w:val="001F045D"/>
    <w:rsid w:val="001F2DA1"/>
    <w:rsid w:val="001F3211"/>
    <w:rsid w:val="001F3583"/>
    <w:rsid w:val="001F35E6"/>
    <w:rsid w:val="001F4857"/>
    <w:rsid w:val="001F6C51"/>
    <w:rsid w:val="001F773E"/>
    <w:rsid w:val="001F7D89"/>
    <w:rsid w:val="002003B1"/>
    <w:rsid w:val="0020044D"/>
    <w:rsid w:val="002007C1"/>
    <w:rsid w:val="002016F2"/>
    <w:rsid w:val="00201CED"/>
    <w:rsid w:val="00201D4C"/>
    <w:rsid w:val="00202508"/>
    <w:rsid w:val="002034EB"/>
    <w:rsid w:val="0020360B"/>
    <w:rsid w:val="0020375F"/>
    <w:rsid w:val="00205A7B"/>
    <w:rsid w:val="002116E5"/>
    <w:rsid w:val="0021730E"/>
    <w:rsid w:val="00217387"/>
    <w:rsid w:val="00217AC9"/>
    <w:rsid w:val="00220A24"/>
    <w:rsid w:val="002218F3"/>
    <w:rsid w:val="00221D07"/>
    <w:rsid w:val="00222615"/>
    <w:rsid w:val="00222A44"/>
    <w:rsid w:val="00222E31"/>
    <w:rsid w:val="002230D7"/>
    <w:rsid w:val="00223488"/>
    <w:rsid w:val="00223D7B"/>
    <w:rsid w:val="00223EEF"/>
    <w:rsid w:val="00224813"/>
    <w:rsid w:val="00224AE0"/>
    <w:rsid w:val="00224D99"/>
    <w:rsid w:val="00225D13"/>
    <w:rsid w:val="00225F2E"/>
    <w:rsid w:val="002324A1"/>
    <w:rsid w:val="00232CD2"/>
    <w:rsid w:val="00234445"/>
    <w:rsid w:val="00234E19"/>
    <w:rsid w:val="00236975"/>
    <w:rsid w:val="00240465"/>
    <w:rsid w:val="002427FE"/>
    <w:rsid w:val="00245279"/>
    <w:rsid w:val="00246E6D"/>
    <w:rsid w:val="00246FA6"/>
    <w:rsid w:val="002506B6"/>
    <w:rsid w:val="0025358C"/>
    <w:rsid w:val="00253C5E"/>
    <w:rsid w:val="00257C53"/>
    <w:rsid w:val="00261261"/>
    <w:rsid w:val="00261C91"/>
    <w:rsid w:val="00262091"/>
    <w:rsid w:val="002621D6"/>
    <w:rsid w:val="00263885"/>
    <w:rsid w:val="0026572F"/>
    <w:rsid w:val="00265F35"/>
    <w:rsid w:val="00270E4E"/>
    <w:rsid w:val="00273718"/>
    <w:rsid w:val="00274C7A"/>
    <w:rsid w:val="00275CCD"/>
    <w:rsid w:val="0027687C"/>
    <w:rsid w:val="00276F03"/>
    <w:rsid w:val="00277F09"/>
    <w:rsid w:val="00282513"/>
    <w:rsid w:val="00282777"/>
    <w:rsid w:val="00284785"/>
    <w:rsid w:val="002849AE"/>
    <w:rsid w:val="002855A8"/>
    <w:rsid w:val="002860A4"/>
    <w:rsid w:val="00287A6C"/>
    <w:rsid w:val="00290033"/>
    <w:rsid w:val="002927CF"/>
    <w:rsid w:val="002927EC"/>
    <w:rsid w:val="00292A0C"/>
    <w:rsid w:val="0029549E"/>
    <w:rsid w:val="0029560E"/>
    <w:rsid w:val="00297461"/>
    <w:rsid w:val="002A0542"/>
    <w:rsid w:val="002A0AA0"/>
    <w:rsid w:val="002A139D"/>
    <w:rsid w:val="002A1667"/>
    <w:rsid w:val="002A231C"/>
    <w:rsid w:val="002A27A2"/>
    <w:rsid w:val="002A2F98"/>
    <w:rsid w:val="002A3519"/>
    <w:rsid w:val="002A4959"/>
    <w:rsid w:val="002A544E"/>
    <w:rsid w:val="002A5574"/>
    <w:rsid w:val="002A6C8C"/>
    <w:rsid w:val="002A770C"/>
    <w:rsid w:val="002A7818"/>
    <w:rsid w:val="002A7D65"/>
    <w:rsid w:val="002A7DF1"/>
    <w:rsid w:val="002A7DFE"/>
    <w:rsid w:val="002B02BF"/>
    <w:rsid w:val="002B0B84"/>
    <w:rsid w:val="002B1CF6"/>
    <w:rsid w:val="002B3419"/>
    <w:rsid w:val="002B3EFC"/>
    <w:rsid w:val="002B3F61"/>
    <w:rsid w:val="002B4124"/>
    <w:rsid w:val="002B53D0"/>
    <w:rsid w:val="002B62D4"/>
    <w:rsid w:val="002B6B1F"/>
    <w:rsid w:val="002C1C9F"/>
    <w:rsid w:val="002C6B0E"/>
    <w:rsid w:val="002D1AE3"/>
    <w:rsid w:val="002D1B12"/>
    <w:rsid w:val="002D4560"/>
    <w:rsid w:val="002D4CAE"/>
    <w:rsid w:val="002D5012"/>
    <w:rsid w:val="002D5350"/>
    <w:rsid w:val="002D6BD8"/>
    <w:rsid w:val="002D7616"/>
    <w:rsid w:val="002E0943"/>
    <w:rsid w:val="002E0F59"/>
    <w:rsid w:val="002E3FE9"/>
    <w:rsid w:val="002E4A9F"/>
    <w:rsid w:val="002E54B6"/>
    <w:rsid w:val="002E629D"/>
    <w:rsid w:val="002E703E"/>
    <w:rsid w:val="002F0AFB"/>
    <w:rsid w:val="002F2779"/>
    <w:rsid w:val="002F2BEC"/>
    <w:rsid w:val="002F30B2"/>
    <w:rsid w:val="002F355C"/>
    <w:rsid w:val="002F3F6F"/>
    <w:rsid w:val="002F5804"/>
    <w:rsid w:val="0030082F"/>
    <w:rsid w:val="0030508E"/>
    <w:rsid w:val="003105A0"/>
    <w:rsid w:val="00311B9B"/>
    <w:rsid w:val="00311D6B"/>
    <w:rsid w:val="00314816"/>
    <w:rsid w:val="0031699E"/>
    <w:rsid w:val="00317075"/>
    <w:rsid w:val="00317473"/>
    <w:rsid w:val="0032034E"/>
    <w:rsid w:val="00320833"/>
    <w:rsid w:val="00320F15"/>
    <w:rsid w:val="00321155"/>
    <w:rsid w:val="0032204B"/>
    <w:rsid w:val="00322057"/>
    <w:rsid w:val="003221A1"/>
    <w:rsid w:val="003233CE"/>
    <w:rsid w:val="0032402C"/>
    <w:rsid w:val="00324A69"/>
    <w:rsid w:val="003257C8"/>
    <w:rsid w:val="00325AB4"/>
    <w:rsid w:val="00326361"/>
    <w:rsid w:val="00326807"/>
    <w:rsid w:val="00327045"/>
    <w:rsid w:val="003310F5"/>
    <w:rsid w:val="00331281"/>
    <w:rsid w:val="00332A2C"/>
    <w:rsid w:val="00333B96"/>
    <w:rsid w:val="003341FB"/>
    <w:rsid w:val="003343EA"/>
    <w:rsid w:val="00334E59"/>
    <w:rsid w:val="00335C63"/>
    <w:rsid w:val="00336C7A"/>
    <w:rsid w:val="00336F9C"/>
    <w:rsid w:val="00337888"/>
    <w:rsid w:val="00340E0F"/>
    <w:rsid w:val="00341A61"/>
    <w:rsid w:val="00342C18"/>
    <w:rsid w:val="00343511"/>
    <w:rsid w:val="00345CF3"/>
    <w:rsid w:val="00346D1D"/>
    <w:rsid w:val="00347277"/>
    <w:rsid w:val="00347337"/>
    <w:rsid w:val="003518CA"/>
    <w:rsid w:val="0035270E"/>
    <w:rsid w:val="003535C9"/>
    <w:rsid w:val="003546DE"/>
    <w:rsid w:val="00354B03"/>
    <w:rsid w:val="00354DE8"/>
    <w:rsid w:val="00357547"/>
    <w:rsid w:val="00357A5B"/>
    <w:rsid w:val="00360DBC"/>
    <w:rsid w:val="00361422"/>
    <w:rsid w:val="003614F9"/>
    <w:rsid w:val="00362F48"/>
    <w:rsid w:val="003634D1"/>
    <w:rsid w:val="003652ED"/>
    <w:rsid w:val="00366848"/>
    <w:rsid w:val="00367748"/>
    <w:rsid w:val="00370DA3"/>
    <w:rsid w:val="00371031"/>
    <w:rsid w:val="003731FD"/>
    <w:rsid w:val="003737D9"/>
    <w:rsid w:val="0038035D"/>
    <w:rsid w:val="00383D69"/>
    <w:rsid w:val="003858F6"/>
    <w:rsid w:val="00385F59"/>
    <w:rsid w:val="00387F46"/>
    <w:rsid w:val="00391125"/>
    <w:rsid w:val="00391DE7"/>
    <w:rsid w:val="00393594"/>
    <w:rsid w:val="0039441E"/>
    <w:rsid w:val="00394CDB"/>
    <w:rsid w:val="0039531C"/>
    <w:rsid w:val="00395A52"/>
    <w:rsid w:val="003971D7"/>
    <w:rsid w:val="003A0EA2"/>
    <w:rsid w:val="003A160D"/>
    <w:rsid w:val="003A1EF1"/>
    <w:rsid w:val="003A269B"/>
    <w:rsid w:val="003A3CA3"/>
    <w:rsid w:val="003A4306"/>
    <w:rsid w:val="003A4BD5"/>
    <w:rsid w:val="003A59B2"/>
    <w:rsid w:val="003A5B5A"/>
    <w:rsid w:val="003A7093"/>
    <w:rsid w:val="003A7C1F"/>
    <w:rsid w:val="003B0B56"/>
    <w:rsid w:val="003B0BCD"/>
    <w:rsid w:val="003B1098"/>
    <w:rsid w:val="003B30F9"/>
    <w:rsid w:val="003B3DDE"/>
    <w:rsid w:val="003B76DA"/>
    <w:rsid w:val="003C012B"/>
    <w:rsid w:val="003C052A"/>
    <w:rsid w:val="003C0B34"/>
    <w:rsid w:val="003C184B"/>
    <w:rsid w:val="003C1B45"/>
    <w:rsid w:val="003C1BAB"/>
    <w:rsid w:val="003C1E95"/>
    <w:rsid w:val="003C3713"/>
    <w:rsid w:val="003C38B5"/>
    <w:rsid w:val="003C7B4A"/>
    <w:rsid w:val="003D04D3"/>
    <w:rsid w:val="003D17FF"/>
    <w:rsid w:val="003D2E84"/>
    <w:rsid w:val="003D3277"/>
    <w:rsid w:val="003D43A6"/>
    <w:rsid w:val="003D4B62"/>
    <w:rsid w:val="003D5415"/>
    <w:rsid w:val="003D6111"/>
    <w:rsid w:val="003D699C"/>
    <w:rsid w:val="003D6F55"/>
    <w:rsid w:val="003D7BAA"/>
    <w:rsid w:val="003E1006"/>
    <w:rsid w:val="003E1199"/>
    <w:rsid w:val="003E2098"/>
    <w:rsid w:val="003E237D"/>
    <w:rsid w:val="003E2B5B"/>
    <w:rsid w:val="003E3810"/>
    <w:rsid w:val="003E5086"/>
    <w:rsid w:val="003E79B9"/>
    <w:rsid w:val="003F0F45"/>
    <w:rsid w:val="003F213C"/>
    <w:rsid w:val="003F2912"/>
    <w:rsid w:val="003F4644"/>
    <w:rsid w:val="003F5345"/>
    <w:rsid w:val="003F58FB"/>
    <w:rsid w:val="003F6392"/>
    <w:rsid w:val="00401D5E"/>
    <w:rsid w:val="00402967"/>
    <w:rsid w:val="00402B8E"/>
    <w:rsid w:val="00402E69"/>
    <w:rsid w:val="00405494"/>
    <w:rsid w:val="004061F7"/>
    <w:rsid w:val="00406830"/>
    <w:rsid w:val="00407AB7"/>
    <w:rsid w:val="00410201"/>
    <w:rsid w:val="00412B1E"/>
    <w:rsid w:val="004139B6"/>
    <w:rsid w:val="00414947"/>
    <w:rsid w:val="00414F52"/>
    <w:rsid w:val="004168A2"/>
    <w:rsid w:val="00416FC0"/>
    <w:rsid w:val="00417AC3"/>
    <w:rsid w:val="00417EAB"/>
    <w:rsid w:val="00420565"/>
    <w:rsid w:val="004207B8"/>
    <w:rsid w:val="0042172B"/>
    <w:rsid w:val="00423382"/>
    <w:rsid w:val="00424CF3"/>
    <w:rsid w:val="00424FA3"/>
    <w:rsid w:val="004261F0"/>
    <w:rsid w:val="0042658F"/>
    <w:rsid w:val="004265B8"/>
    <w:rsid w:val="00431BA6"/>
    <w:rsid w:val="00431F26"/>
    <w:rsid w:val="00434B04"/>
    <w:rsid w:val="00435819"/>
    <w:rsid w:val="004372ED"/>
    <w:rsid w:val="00440F05"/>
    <w:rsid w:val="00441467"/>
    <w:rsid w:val="004424FD"/>
    <w:rsid w:val="00442F2E"/>
    <w:rsid w:val="00443759"/>
    <w:rsid w:val="00444872"/>
    <w:rsid w:val="00446DB8"/>
    <w:rsid w:val="00453D5E"/>
    <w:rsid w:val="00454493"/>
    <w:rsid w:val="00454C71"/>
    <w:rsid w:val="00454E87"/>
    <w:rsid w:val="00455BFF"/>
    <w:rsid w:val="004566DE"/>
    <w:rsid w:val="00456A8F"/>
    <w:rsid w:val="00456DA6"/>
    <w:rsid w:val="0045782A"/>
    <w:rsid w:val="004606FC"/>
    <w:rsid w:val="004620ED"/>
    <w:rsid w:val="00462477"/>
    <w:rsid w:val="004633E7"/>
    <w:rsid w:val="0046453A"/>
    <w:rsid w:val="00464C90"/>
    <w:rsid w:val="00466560"/>
    <w:rsid w:val="00466D81"/>
    <w:rsid w:val="004678FB"/>
    <w:rsid w:val="00467ECA"/>
    <w:rsid w:val="00470D6D"/>
    <w:rsid w:val="0047155D"/>
    <w:rsid w:val="004716C4"/>
    <w:rsid w:val="00471FBD"/>
    <w:rsid w:val="004722A7"/>
    <w:rsid w:val="004728EE"/>
    <w:rsid w:val="00473541"/>
    <w:rsid w:val="00473E11"/>
    <w:rsid w:val="00473E3D"/>
    <w:rsid w:val="00474B8F"/>
    <w:rsid w:val="00475D80"/>
    <w:rsid w:val="00485358"/>
    <w:rsid w:val="00485C01"/>
    <w:rsid w:val="00485C94"/>
    <w:rsid w:val="00485F84"/>
    <w:rsid w:val="00486B4B"/>
    <w:rsid w:val="0048709E"/>
    <w:rsid w:val="0048716C"/>
    <w:rsid w:val="00490331"/>
    <w:rsid w:val="0049086B"/>
    <w:rsid w:val="00491258"/>
    <w:rsid w:val="00491658"/>
    <w:rsid w:val="00492BDE"/>
    <w:rsid w:val="00495609"/>
    <w:rsid w:val="00497BED"/>
    <w:rsid w:val="00497DE0"/>
    <w:rsid w:val="004A0823"/>
    <w:rsid w:val="004A2638"/>
    <w:rsid w:val="004A3744"/>
    <w:rsid w:val="004A4E3C"/>
    <w:rsid w:val="004A5520"/>
    <w:rsid w:val="004A593C"/>
    <w:rsid w:val="004A6EA3"/>
    <w:rsid w:val="004A7522"/>
    <w:rsid w:val="004B1470"/>
    <w:rsid w:val="004B1F63"/>
    <w:rsid w:val="004B2522"/>
    <w:rsid w:val="004B4F3B"/>
    <w:rsid w:val="004B53F7"/>
    <w:rsid w:val="004B584F"/>
    <w:rsid w:val="004B7D80"/>
    <w:rsid w:val="004C024D"/>
    <w:rsid w:val="004C1679"/>
    <w:rsid w:val="004C17A2"/>
    <w:rsid w:val="004C26BD"/>
    <w:rsid w:val="004C3A72"/>
    <w:rsid w:val="004C49D2"/>
    <w:rsid w:val="004C6A3A"/>
    <w:rsid w:val="004D050B"/>
    <w:rsid w:val="004D0966"/>
    <w:rsid w:val="004D0FFF"/>
    <w:rsid w:val="004D313E"/>
    <w:rsid w:val="004D3862"/>
    <w:rsid w:val="004D4F39"/>
    <w:rsid w:val="004D6DF8"/>
    <w:rsid w:val="004D7CD8"/>
    <w:rsid w:val="004E0DA2"/>
    <w:rsid w:val="004E1430"/>
    <w:rsid w:val="004E2ABB"/>
    <w:rsid w:val="004F008E"/>
    <w:rsid w:val="004F04FD"/>
    <w:rsid w:val="004F18A5"/>
    <w:rsid w:val="004F220E"/>
    <w:rsid w:val="004F229B"/>
    <w:rsid w:val="004F2CD4"/>
    <w:rsid w:val="004F373E"/>
    <w:rsid w:val="004F38C0"/>
    <w:rsid w:val="004F419C"/>
    <w:rsid w:val="004F5389"/>
    <w:rsid w:val="004F5570"/>
    <w:rsid w:val="004F74A7"/>
    <w:rsid w:val="005010E2"/>
    <w:rsid w:val="005024B3"/>
    <w:rsid w:val="005024E7"/>
    <w:rsid w:val="005026D0"/>
    <w:rsid w:val="005034FF"/>
    <w:rsid w:val="00504AB0"/>
    <w:rsid w:val="005065E7"/>
    <w:rsid w:val="00506E26"/>
    <w:rsid w:val="0051034F"/>
    <w:rsid w:val="00510ED8"/>
    <w:rsid w:val="00511DFA"/>
    <w:rsid w:val="00511FED"/>
    <w:rsid w:val="005132B4"/>
    <w:rsid w:val="005133EE"/>
    <w:rsid w:val="00513EC4"/>
    <w:rsid w:val="00514066"/>
    <w:rsid w:val="00515643"/>
    <w:rsid w:val="005162A1"/>
    <w:rsid w:val="00517A1E"/>
    <w:rsid w:val="00523671"/>
    <w:rsid w:val="0052378B"/>
    <w:rsid w:val="00523CA6"/>
    <w:rsid w:val="005246BC"/>
    <w:rsid w:val="0052489F"/>
    <w:rsid w:val="00524952"/>
    <w:rsid w:val="00525897"/>
    <w:rsid w:val="00526000"/>
    <w:rsid w:val="00526DAD"/>
    <w:rsid w:val="00530AD6"/>
    <w:rsid w:val="00533A49"/>
    <w:rsid w:val="00534108"/>
    <w:rsid w:val="005359C7"/>
    <w:rsid w:val="00536BC9"/>
    <w:rsid w:val="00536C51"/>
    <w:rsid w:val="00536DA6"/>
    <w:rsid w:val="00537A8F"/>
    <w:rsid w:val="00543B2A"/>
    <w:rsid w:val="00545457"/>
    <w:rsid w:val="005465E4"/>
    <w:rsid w:val="005475AA"/>
    <w:rsid w:val="0054776D"/>
    <w:rsid w:val="00547AE2"/>
    <w:rsid w:val="0055225C"/>
    <w:rsid w:val="00553372"/>
    <w:rsid w:val="00554176"/>
    <w:rsid w:val="00554503"/>
    <w:rsid w:val="0055475B"/>
    <w:rsid w:val="00555041"/>
    <w:rsid w:val="00556457"/>
    <w:rsid w:val="00557283"/>
    <w:rsid w:val="00560836"/>
    <w:rsid w:val="00560AC5"/>
    <w:rsid w:val="00560F5C"/>
    <w:rsid w:val="00561A36"/>
    <w:rsid w:val="00562B0A"/>
    <w:rsid w:val="005643EE"/>
    <w:rsid w:val="0056535C"/>
    <w:rsid w:val="00565A44"/>
    <w:rsid w:val="005671E9"/>
    <w:rsid w:val="00571DF9"/>
    <w:rsid w:val="00573194"/>
    <w:rsid w:val="0057366E"/>
    <w:rsid w:val="00574427"/>
    <w:rsid w:val="005751E5"/>
    <w:rsid w:val="00575E36"/>
    <w:rsid w:val="005762D5"/>
    <w:rsid w:val="00576A15"/>
    <w:rsid w:val="00576FBA"/>
    <w:rsid w:val="00581171"/>
    <w:rsid w:val="00581741"/>
    <w:rsid w:val="0058212D"/>
    <w:rsid w:val="00582D63"/>
    <w:rsid w:val="00583EBA"/>
    <w:rsid w:val="00583FAC"/>
    <w:rsid w:val="005842B8"/>
    <w:rsid w:val="00584546"/>
    <w:rsid w:val="00584D7F"/>
    <w:rsid w:val="00585CDA"/>
    <w:rsid w:val="005864F5"/>
    <w:rsid w:val="00590352"/>
    <w:rsid w:val="00590F22"/>
    <w:rsid w:val="00590F71"/>
    <w:rsid w:val="00594FBE"/>
    <w:rsid w:val="0059522B"/>
    <w:rsid w:val="00596B63"/>
    <w:rsid w:val="00596BA3"/>
    <w:rsid w:val="00597118"/>
    <w:rsid w:val="005A2294"/>
    <w:rsid w:val="005A257B"/>
    <w:rsid w:val="005A30F6"/>
    <w:rsid w:val="005A327C"/>
    <w:rsid w:val="005A4D3C"/>
    <w:rsid w:val="005A5838"/>
    <w:rsid w:val="005A7BB4"/>
    <w:rsid w:val="005B1B2A"/>
    <w:rsid w:val="005B2E3F"/>
    <w:rsid w:val="005B625B"/>
    <w:rsid w:val="005B6F49"/>
    <w:rsid w:val="005B7259"/>
    <w:rsid w:val="005C33B9"/>
    <w:rsid w:val="005C39CD"/>
    <w:rsid w:val="005C593B"/>
    <w:rsid w:val="005C5AD7"/>
    <w:rsid w:val="005C796B"/>
    <w:rsid w:val="005D1A9C"/>
    <w:rsid w:val="005D23A9"/>
    <w:rsid w:val="005D2C55"/>
    <w:rsid w:val="005D2F31"/>
    <w:rsid w:val="005D5BB1"/>
    <w:rsid w:val="005D611B"/>
    <w:rsid w:val="005D64CE"/>
    <w:rsid w:val="005D6FE6"/>
    <w:rsid w:val="005D777E"/>
    <w:rsid w:val="005D79A8"/>
    <w:rsid w:val="005E00C0"/>
    <w:rsid w:val="005E09EB"/>
    <w:rsid w:val="005E2578"/>
    <w:rsid w:val="005E4821"/>
    <w:rsid w:val="005E6386"/>
    <w:rsid w:val="005E6DA5"/>
    <w:rsid w:val="005E78C0"/>
    <w:rsid w:val="005E7BF5"/>
    <w:rsid w:val="005F06E2"/>
    <w:rsid w:val="005F1E41"/>
    <w:rsid w:val="005F4C11"/>
    <w:rsid w:val="0060035D"/>
    <w:rsid w:val="00600B19"/>
    <w:rsid w:val="006015CD"/>
    <w:rsid w:val="006031A2"/>
    <w:rsid w:val="0060344A"/>
    <w:rsid w:val="006039AA"/>
    <w:rsid w:val="0060567C"/>
    <w:rsid w:val="00606E3A"/>
    <w:rsid w:val="00607593"/>
    <w:rsid w:val="00607929"/>
    <w:rsid w:val="00610944"/>
    <w:rsid w:val="00611440"/>
    <w:rsid w:val="00613BFC"/>
    <w:rsid w:val="00613D77"/>
    <w:rsid w:val="006147F8"/>
    <w:rsid w:val="0061522D"/>
    <w:rsid w:val="00617AA6"/>
    <w:rsid w:val="00617EB1"/>
    <w:rsid w:val="006229A6"/>
    <w:rsid w:val="00622E83"/>
    <w:rsid w:val="00622F01"/>
    <w:rsid w:val="00623542"/>
    <w:rsid w:val="00624B7D"/>
    <w:rsid w:val="00625F4A"/>
    <w:rsid w:val="00627529"/>
    <w:rsid w:val="00630388"/>
    <w:rsid w:val="00633619"/>
    <w:rsid w:val="00641CEB"/>
    <w:rsid w:val="006420C4"/>
    <w:rsid w:val="006422C4"/>
    <w:rsid w:val="00646425"/>
    <w:rsid w:val="00646B55"/>
    <w:rsid w:val="00646F74"/>
    <w:rsid w:val="00647F1F"/>
    <w:rsid w:val="006514EA"/>
    <w:rsid w:val="006532A8"/>
    <w:rsid w:val="00653AFA"/>
    <w:rsid w:val="00654BAF"/>
    <w:rsid w:val="006602D8"/>
    <w:rsid w:val="006614DE"/>
    <w:rsid w:val="0066188C"/>
    <w:rsid w:val="00661A2F"/>
    <w:rsid w:val="00664FEE"/>
    <w:rsid w:val="006653E7"/>
    <w:rsid w:val="0066639A"/>
    <w:rsid w:val="00667169"/>
    <w:rsid w:val="00667600"/>
    <w:rsid w:val="00670FEE"/>
    <w:rsid w:val="006731A3"/>
    <w:rsid w:val="00673D7A"/>
    <w:rsid w:val="0067483F"/>
    <w:rsid w:val="00675128"/>
    <w:rsid w:val="00676CF8"/>
    <w:rsid w:val="006772F7"/>
    <w:rsid w:val="00680FEC"/>
    <w:rsid w:val="006818C6"/>
    <w:rsid w:val="00681A22"/>
    <w:rsid w:val="00686BFC"/>
    <w:rsid w:val="00687024"/>
    <w:rsid w:val="00687956"/>
    <w:rsid w:val="00687C2B"/>
    <w:rsid w:val="006918BF"/>
    <w:rsid w:val="00691CF1"/>
    <w:rsid w:val="006920E1"/>
    <w:rsid w:val="006930E5"/>
    <w:rsid w:val="00693812"/>
    <w:rsid w:val="00694249"/>
    <w:rsid w:val="006943B1"/>
    <w:rsid w:val="00695B1A"/>
    <w:rsid w:val="00696845"/>
    <w:rsid w:val="00697DFD"/>
    <w:rsid w:val="006A0AA8"/>
    <w:rsid w:val="006A0E89"/>
    <w:rsid w:val="006A20CB"/>
    <w:rsid w:val="006A2E13"/>
    <w:rsid w:val="006A3F4F"/>
    <w:rsid w:val="006A41D1"/>
    <w:rsid w:val="006A605E"/>
    <w:rsid w:val="006A6E50"/>
    <w:rsid w:val="006B1B8A"/>
    <w:rsid w:val="006B1DFC"/>
    <w:rsid w:val="006B3364"/>
    <w:rsid w:val="006B3A59"/>
    <w:rsid w:val="006B4650"/>
    <w:rsid w:val="006B4B37"/>
    <w:rsid w:val="006B6060"/>
    <w:rsid w:val="006B7E20"/>
    <w:rsid w:val="006C1254"/>
    <w:rsid w:val="006C1BD3"/>
    <w:rsid w:val="006C3DD7"/>
    <w:rsid w:val="006C5D7D"/>
    <w:rsid w:val="006C677C"/>
    <w:rsid w:val="006C7688"/>
    <w:rsid w:val="006C7A01"/>
    <w:rsid w:val="006D0A6A"/>
    <w:rsid w:val="006D3A8F"/>
    <w:rsid w:val="006D59BF"/>
    <w:rsid w:val="006D6ED5"/>
    <w:rsid w:val="006E02CA"/>
    <w:rsid w:val="006E0EB1"/>
    <w:rsid w:val="006E1BA9"/>
    <w:rsid w:val="006E204D"/>
    <w:rsid w:val="006E532C"/>
    <w:rsid w:val="006E5704"/>
    <w:rsid w:val="006E637D"/>
    <w:rsid w:val="006F06D7"/>
    <w:rsid w:val="006F0B07"/>
    <w:rsid w:val="006F0CD2"/>
    <w:rsid w:val="006F0EEB"/>
    <w:rsid w:val="006F1837"/>
    <w:rsid w:val="006F1904"/>
    <w:rsid w:val="006F1EC0"/>
    <w:rsid w:val="006F207A"/>
    <w:rsid w:val="006F256F"/>
    <w:rsid w:val="006F258C"/>
    <w:rsid w:val="006F2E6C"/>
    <w:rsid w:val="006F48EB"/>
    <w:rsid w:val="006F4C0D"/>
    <w:rsid w:val="006F5F01"/>
    <w:rsid w:val="006F6AED"/>
    <w:rsid w:val="006F6D70"/>
    <w:rsid w:val="006F74A0"/>
    <w:rsid w:val="006F7DF2"/>
    <w:rsid w:val="0070684C"/>
    <w:rsid w:val="00707959"/>
    <w:rsid w:val="0071055A"/>
    <w:rsid w:val="00710AD9"/>
    <w:rsid w:val="00710D8D"/>
    <w:rsid w:val="00711E11"/>
    <w:rsid w:val="0071751D"/>
    <w:rsid w:val="00717C50"/>
    <w:rsid w:val="007201A5"/>
    <w:rsid w:val="007217AC"/>
    <w:rsid w:val="00723592"/>
    <w:rsid w:val="00723B8C"/>
    <w:rsid w:val="00723F62"/>
    <w:rsid w:val="0072477A"/>
    <w:rsid w:val="00725C82"/>
    <w:rsid w:val="00725EA8"/>
    <w:rsid w:val="0072790B"/>
    <w:rsid w:val="00727E74"/>
    <w:rsid w:val="00731CD7"/>
    <w:rsid w:val="0073253F"/>
    <w:rsid w:val="0073278A"/>
    <w:rsid w:val="00734AF9"/>
    <w:rsid w:val="007357CF"/>
    <w:rsid w:val="00735ADE"/>
    <w:rsid w:val="0073694F"/>
    <w:rsid w:val="00737DF6"/>
    <w:rsid w:val="0074086B"/>
    <w:rsid w:val="00742231"/>
    <w:rsid w:val="0074373D"/>
    <w:rsid w:val="00743E7C"/>
    <w:rsid w:val="00744423"/>
    <w:rsid w:val="00744669"/>
    <w:rsid w:val="00746537"/>
    <w:rsid w:val="007472A8"/>
    <w:rsid w:val="007503F3"/>
    <w:rsid w:val="0075139B"/>
    <w:rsid w:val="00751465"/>
    <w:rsid w:val="00752AE7"/>
    <w:rsid w:val="00752EC6"/>
    <w:rsid w:val="0075379C"/>
    <w:rsid w:val="00754448"/>
    <w:rsid w:val="0075517D"/>
    <w:rsid w:val="00762F81"/>
    <w:rsid w:val="00765551"/>
    <w:rsid w:val="00766187"/>
    <w:rsid w:val="00767C63"/>
    <w:rsid w:val="00767F7F"/>
    <w:rsid w:val="00770019"/>
    <w:rsid w:val="0077020A"/>
    <w:rsid w:val="00771641"/>
    <w:rsid w:val="00771D22"/>
    <w:rsid w:val="00772F05"/>
    <w:rsid w:val="007737CB"/>
    <w:rsid w:val="00774D8A"/>
    <w:rsid w:val="007768A6"/>
    <w:rsid w:val="00776D1E"/>
    <w:rsid w:val="00777790"/>
    <w:rsid w:val="00780087"/>
    <w:rsid w:val="0078080B"/>
    <w:rsid w:val="00782B98"/>
    <w:rsid w:val="00783EE4"/>
    <w:rsid w:val="00784335"/>
    <w:rsid w:val="0078453C"/>
    <w:rsid w:val="007856F9"/>
    <w:rsid w:val="0078588B"/>
    <w:rsid w:val="00785AB3"/>
    <w:rsid w:val="00786388"/>
    <w:rsid w:val="007871C3"/>
    <w:rsid w:val="00791598"/>
    <w:rsid w:val="00791860"/>
    <w:rsid w:val="00791A6C"/>
    <w:rsid w:val="00791FCD"/>
    <w:rsid w:val="00793790"/>
    <w:rsid w:val="00793FB7"/>
    <w:rsid w:val="00794F72"/>
    <w:rsid w:val="0079694B"/>
    <w:rsid w:val="007A1DDB"/>
    <w:rsid w:val="007A3785"/>
    <w:rsid w:val="007A3D3B"/>
    <w:rsid w:val="007A439D"/>
    <w:rsid w:val="007A4C23"/>
    <w:rsid w:val="007A535E"/>
    <w:rsid w:val="007A649C"/>
    <w:rsid w:val="007A651B"/>
    <w:rsid w:val="007B0208"/>
    <w:rsid w:val="007B0915"/>
    <w:rsid w:val="007B1DF5"/>
    <w:rsid w:val="007B22E2"/>
    <w:rsid w:val="007B35C3"/>
    <w:rsid w:val="007B36A3"/>
    <w:rsid w:val="007B3DEE"/>
    <w:rsid w:val="007B4989"/>
    <w:rsid w:val="007B4B5D"/>
    <w:rsid w:val="007B66DE"/>
    <w:rsid w:val="007B67E6"/>
    <w:rsid w:val="007C03E8"/>
    <w:rsid w:val="007C15BB"/>
    <w:rsid w:val="007C377F"/>
    <w:rsid w:val="007C37FC"/>
    <w:rsid w:val="007C3992"/>
    <w:rsid w:val="007C61D6"/>
    <w:rsid w:val="007C6468"/>
    <w:rsid w:val="007D116A"/>
    <w:rsid w:val="007D15A5"/>
    <w:rsid w:val="007D297D"/>
    <w:rsid w:val="007D311D"/>
    <w:rsid w:val="007D58C4"/>
    <w:rsid w:val="007D628C"/>
    <w:rsid w:val="007D6787"/>
    <w:rsid w:val="007D73A9"/>
    <w:rsid w:val="007D7DEB"/>
    <w:rsid w:val="007E0A3D"/>
    <w:rsid w:val="007E0CF4"/>
    <w:rsid w:val="007E17B6"/>
    <w:rsid w:val="007E1967"/>
    <w:rsid w:val="007E1AAC"/>
    <w:rsid w:val="007E1E9C"/>
    <w:rsid w:val="007E2028"/>
    <w:rsid w:val="007E37C1"/>
    <w:rsid w:val="007E3A35"/>
    <w:rsid w:val="007E4457"/>
    <w:rsid w:val="007E4504"/>
    <w:rsid w:val="007E479A"/>
    <w:rsid w:val="007E5EAE"/>
    <w:rsid w:val="007E6CB1"/>
    <w:rsid w:val="007E6DBF"/>
    <w:rsid w:val="007E7E80"/>
    <w:rsid w:val="007F03A9"/>
    <w:rsid w:val="007F1AAD"/>
    <w:rsid w:val="007F4F90"/>
    <w:rsid w:val="007F5A06"/>
    <w:rsid w:val="007F6E70"/>
    <w:rsid w:val="007F7D1C"/>
    <w:rsid w:val="008008AF"/>
    <w:rsid w:val="00801D75"/>
    <w:rsid w:val="008029D7"/>
    <w:rsid w:val="008041DF"/>
    <w:rsid w:val="00804E3B"/>
    <w:rsid w:val="00805192"/>
    <w:rsid w:val="00805512"/>
    <w:rsid w:val="008068C0"/>
    <w:rsid w:val="00812767"/>
    <w:rsid w:val="00813CBC"/>
    <w:rsid w:val="00814020"/>
    <w:rsid w:val="008144B6"/>
    <w:rsid w:val="00816186"/>
    <w:rsid w:val="008167F8"/>
    <w:rsid w:val="0081750A"/>
    <w:rsid w:val="00820A22"/>
    <w:rsid w:val="00823C6F"/>
    <w:rsid w:val="00825BC6"/>
    <w:rsid w:val="0082608C"/>
    <w:rsid w:val="0082678E"/>
    <w:rsid w:val="00826E85"/>
    <w:rsid w:val="00831A34"/>
    <w:rsid w:val="008320DE"/>
    <w:rsid w:val="008325C0"/>
    <w:rsid w:val="00832D85"/>
    <w:rsid w:val="00832EC1"/>
    <w:rsid w:val="00835236"/>
    <w:rsid w:val="00835A83"/>
    <w:rsid w:val="00836030"/>
    <w:rsid w:val="00837B0A"/>
    <w:rsid w:val="0084280D"/>
    <w:rsid w:val="00842BF8"/>
    <w:rsid w:val="00844969"/>
    <w:rsid w:val="00844E26"/>
    <w:rsid w:val="00844E76"/>
    <w:rsid w:val="00844F48"/>
    <w:rsid w:val="008461A2"/>
    <w:rsid w:val="00846B2A"/>
    <w:rsid w:val="00850562"/>
    <w:rsid w:val="00850A99"/>
    <w:rsid w:val="00851062"/>
    <w:rsid w:val="008517D2"/>
    <w:rsid w:val="008517DD"/>
    <w:rsid w:val="00853231"/>
    <w:rsid w:val="00853657"/>
    <w:rsid w:val="00854507"/>
    <w:rsid w:val="00854C3A"/>
    <w:rsid w:val="00856353"/>
    <w:rsid w:val="0085695C"/>
    <w:rsid w:val="00856F0D"/>
    <w:rsid w:val="00861AC3"/>
    <w:rsid w:val="008622E3"/>
    <w:rsid w:val="0086325A"/>
    <w:rsid w:val="0086404F"/>
    <w:rsid w:val="008642AD"/>
    <w:rsid w:val="008645A4"/>
    <w:rsid w:val="00864A3B"/>
    <w:rsid w:val="00864A52"/>
    <w:rsid w:val="00864FD2"/>
    <w:rsid w:val="00865E0F"/>
    <w:rsid w:val="008673E9"/>
    <w:rsid w:val="00867986"/>
    <w:rsid w:val="00867991"/>
    <w:rsid w:val="00867C55"/>
    <w:rsid w:val="008710BC"/>
    <w:rsid w:val="00871334"/>
    <w:rsid w:val="00872679"/>
    <w:rsid w:val="0087287C"/>
    <w:rsid w:val="00874EA3"/>
    <w:rsid w:val="00875E9B"/>
    <w:rsid w:val="00876554"/>
    <w:rsid w:val="0088347A"/>
    <w:rsid w:val="00884466"/>
    <w:rsid w:val="008846BD"/>
    <w:rsid w:val="00885059"/>
    <w:rsid w:val="0088704D"/>
    <w:rsid w:val="00887698"/>
    <w:rsid w:val="00887D19"/>
    <w:rsid w:val="00892C3B"/>
    <w:rsid w:val="008930D1"/>
    <w:rsid w:val="00893343"/>
    <w:rsid w:val="00893EEB"/>
    <w:rsid w:val="00896246"/>
    <w:rsid w:val="0089633A"/>
    <w:rsid w:val="00896442"/>
    <w:rsid w:val="008974EC"/>
    <w:rsid w:val="008A0191"/>
    <w:rsid w:val="008A12BF"/>
    <w:rsid w:val="008A1A12"/>
    <w:rsid w:val="008A1B5F"/>
    <w:rsid w:val="008A1F9D"/>
    <w:rsid w:val="008A279B"/>
    <w:rsid w:val="008A3958"/>
    <w:rsid w:val="008A6F51"/>
    <w:rsid w:val="008B0480"/>
    <w:rsid w:val="008B0825"/>
    <w:rsid w:val="008B0E36"/>
    <w:rsid w:val="008B1188"/>
    <w:rsid w:val="008B1B07"/>
    <w:rsid w:val="008B2205"/>
    <w:rsid w:val="008B29DD"/>
    <w:rsid w:val="008B2D62"/>
    <w:rsid w:val="008B4695"/>
    <w:rsid w:val="008B518A"/>
    <w:rsid w:val="008B5630"/>
    <w:rsid w:val="008B6E49"/>
    <w:rsid w:val="008B7119"/>
    <w:rsid w:val="008B728D"/>
    <w:rsid w:val="008B7744"/>
    <w:rsid w:val="008B78D3"/>
    <w:rsid w:val="008B7D6B"/>
    <w:rsid w:val="008C09FB"/>
    <w:rsid w:val="008C0EE4"/>
    <w:rsid w:val="008C0FA4"/>
    <w:rsid w:val="008C309A"/>
    <w:rsid w:val="008C3187"/>
    <w:rsid w:val="008C4796"/>
    <w:rsid w:val="008C5379"/>
    <w:rsid w:val="008C6C2A"/>
    <w:rsid w:val="008D0402"/>
    <w:rsid w:val="008D1EDE"/>
    <w:rsid w:val="008D3531"/>
    <w:rsid w:val="008D3827"/>
    <w:rsid w:val="008D3A87"/>
    <w:rsid w:val="008D401B"/>
    <w:rsid w:val="008D4138"/>
    <w:rsid w:val="008D457E"/>
    <w:rsid w:val="008D4FBC"/>
    <w:rsid w:val="008D509C"/>
    <w:rsid w:val="008D5816"/>
    <w:rsid w:val="008D6A66"/>
    <w:rsid w:val="008D720D"/>
    <w:rsid w:val="008D7C63"/>
    <w:rsid w:val="008D7EEE"/>
    <w:rsid w:val="008E265C"/>
    <w:rsid w:val="008E3A20"/>
    <w:rsid w:val="008E3FB6"/>
    <w:rsid w:val="008E40A6"/>
    <w:rsid w:val="008E459B"/>
    <w:rsid w:val="008F0507"/>
    <w:rsid w:val="008F08B4"/>
    <w:rsid w:val="008F1F03"/>
    <w:rsid w:val="008F243A"/>
    <w:rsid w:val="008F41C9"/>
    <w:rsid w:val="008F459D"/>
    <w:rsid w:val="008F5752"/>
    <w:rsid w:val="008F5D45"/>
    <w:rsid w:val="008F6D16"/>
    <w:rsid w:val="008F7F1B"/>
    <w:rsid w:val="00900325"/>
    <w:rsid w:val="00901520"/>
    <w:rsid w:val="0090613D"/>
    <w:rsid w:val="009104A1"/>
    <w:rsid w:val="00910B2F"/>
    <w:rsid w:val="00911505"/>
    <w:rsid w:val="00912670"/>
    <w:rsid w:val="009131E3"/>
    <w:rsid w:val="009140D1"/>
    <w:rsid w:val="00914369"/>
    <w:rsid w:val="00914F1B"/>
    <w:rsid w:val="00916FFF"/>
    <w:rsid w:val="009173EF"/>
    <w:rsid w:val="009175B0"/>
    <w:rsid w:val="00921096"/>
    <w:rsid w:val="009219DE"/>
    <w:rsid w:val="0092267B"/>
    <w:rsid w:val="00924BDC"/>
    <w:rsid w:val="00924EDB"/>
    <w:rsid w:val="0092613D"/>
    <w:rsid w:val="009261FE"/>
    <w:rsid w:val="00927906"/>
    <w:rsid w:val="009279F0"/>
    <w:rsid w:val="00930713"/>
    <w:rsid w:val="00930C1D"/>
    <w:rsid w:val="00931CD5"/>
    <w:rsid w:val="0093228D"/>
    <w:rsid w:val="0093371E"/>
    <w:rsid w:val="0093406F"/>
    <w:rsid w:val="009353B1"/>
    <w:rsid w:val="009360EB"/>
    <w:rsid w:val="00936542"/>
    <w:rsid w:val="00937A21"/>
    <w:rsid w:val="00940765"/>
    <w:rsid w:val="0094136D"/>
    <w:rsid w:val="00941F5F"/>
    <w:rsid w:val="009420A0"/>
    <w:rsid w:val="00944C63"/>
    <w:rsid w:val="00945188"/>
    <w:rsid w:val="009456E0"/>
    <w:rsid w:val="00946CD0"/>
    <w:rsid w:val="00946E5A"/>
    <w:rsid w:val="00947328"/>
    <w:rsid w:val="009477B5"/>
    <w:rsid w:val="00954FF4"/>
    <w:rsid w:val="00960C81"/>
    <w:rsid w:val="009626F1"/>
    <w:rsid w:val="00963785"/>
    <w:rsid w:val="009637CA"/>
    <w:rsid w:val="009638D4"/>
    <w:rsid w:val="00963E67"/>
    <w:rsid w:val="00965BD2"/>
    <w:rsid w:val="00965E80"/>
    <w:rsid w:val="00967C12"/>
    <w:rsid w:val="009701BD"/>
    <w:rsid w:val="009704AA"/>
    <w:rsid w:val="00970A9F"/>
    <w:rsid w:val="00974915"/>
    <w:rsid w:val="00974C6C"/>
    <w:rsid w:val="00974D0D"/>
    <w:rsid w:val="00975906"/>
    <w:rsid w:val="00975A5F"/>
    <w:rsid w:val="009773C3"/>
    <w:rsid w:val="00977BA1"/>
    <w:rsid w:val="00980327"/>
    <w:rsid w:val="00980E7D"/>
    <w:rsid w:val="00982CD5"/>
    <w:rsid w:val="00984D91"/>
    <w:rsid w:val="009850E4"/>
    <w:rsid w:val="0098564A"/>
    <w:rsid w:val="00987443"/>
    <w:rsid w:val="009908BD"/>
    <w:rsid w:val="00994B8B"/>
    <w:rsid w:val="00994ED0"/>
    <w:rsid w:val="0099551A"/>
    <w:rsid w:val="0099607E"/>
    <w:rsid w:val="00996654"/>
    <w:rsid w:val="009A0185"/>
    <w:rsid w:val="009A077A"/>
    <w:rsid w:val="009A14C4"/>
    <w:rsid w:val="009A1E13"/>
    <w:rsid w:val="009A2B7A"/>
    <w:rsid w:val="009A32F2"/>
    <w:rsid w:val="009A3352"/>
    <w:rsid w:val="009A3A76"/>
    <w:rsid w:val="009A4017"/>
    <w:rsid w:val="009A46CE"/>
    <w:rsid w:val="009A5AA9"/>
    <w:rsid w:val="009A6569"/>
    <w:rsid w:val="009A65A7"/>
    <w:rsid w:val="009A75B0"/>
    <w:rsid w:val="009A7865"/>
    <w:rsid w:val="009B0050"/>
    <w:rsid w:val="009B124A"/>
    <w:rsid w:val="009B21F2"/>
    <w:rsid w:val="009B22AD"/>
    <w:rsid w:val="009B33BD"/>
    <w:rsid w:val="009B59A8"/>
    <w:rsid w:val="009B5E02"/>
    <w:rsid w:val="009B6169"/>
    <w:rsid w:val="009B6374"/>
    <w:rsid w:val="009B652C"/>
    <w:rsid w:val="009B749D"/>
    <w:rsid w:val="009C201C"/>
    <w:rsid w:val="009C24A7"/>
    <w:rsid w:val="009C3506"/>
    <w:rsid w:val="009C59C7"/>
    <w:rsid w:val="009C7308"/>
    <w:rsid w:val="009D1BF3"/>
    <w:rsid w:val="009D2A0C"/>
    <w:rsid w:val="009D387D"/>
    <w:rsid w:val="009D4114"/>
    <w:rsid w:val="009D52EB"/>
    <w:rsid w:val="009D5EF2"/>
    <w:rsid w:val="009D70DE"/>
    <w:rsid w:val="009D750E"/>
    <w:rsid w:val="009E12A3"/>
    <w:rsid w:val="009E12E7"/>
    <w:rsid w:val="009E4367"/>
    <w:rsid w:val="009E4984"/>
    <w:rsid w:val="009E5892"/>
    <w:rsid w:val="009E79E8"/>
    <w:rsid w:val="009E7E40"/>
    <w:rsid w:val="009E7F6E"/>
    <w:rsid w:val="009F0133"/>
    <w:rsid w:val="009F0D64"/>
    <w:rsid w:val="009F61E7"/>
    <w:rsid w:val="009F66A0"/>
    <w:rsid w:val="009F739D"/>
    <w:rsid w:val="009F7844"/>
    <w:rsid w:val="00A001D6"/>
    <w:rsid w:val="00A00829"/>
    <w:rsid w:val="00A01CDC"/>
    <w:rsid w:val="00A067B7"/>
    <w:rsid w:val="00A07067"/>
    <w:rsid w:val="00A1219A"/>
    <w:rsid w:val="00A128D2"/>
    <w:rsid w:val="00A12BCC"/>
    <w:rsid w:val="00A1479A"/>
    <w:rsid w:val="00A14A55"/>
    <w:rsid w:val="00A160BE"/>
    <w:rsid w:val="00A164D2"/>
    <w:rsid w:val="00A214DB"/>
    <w:rsid w:val="00A215E1"/>
    <w:rsid w:val="00A23301"/>
    <w:rsid w:val="00A23CBB"/>
    <w:rsid w:val="00A25592"/>
    <w:rsid w:val="00A257F0"/>
    <w:rsid w:val="00A2651D"/>
    <w:rsid w:val="00A27250"/>
    <w:rsid w:val="00A30386"/>
    <w:rsid w:val="00A30811"/>
    <w:rsid w:val="00A30FC1"/>
    <w:rsid w:val="00A3192F"/>
    <w:rsid w:val="00A33515"/>
    <w:rsid w:val="00A34305"/>
    <w:rsid w:val="00A35409"/>
    <w:rsid w:val="00A370F6"/>
    <w:rsid w:val="00A40715"/>
    <w:rsid w:val="00A43AE3"/>
    <w:rsid w:val="00A43B2B"/>
    <w:rsid w:val="00A43FD5"/>
    <w:rsid w:val="00A447E3"/>
    <w:rsid w:val="00A45945"/>
    <w:rsid w:val="00A53530"/>
    <w:rsid w:val="00A5602C"/>
    <w:rsid w:val="00A57F4F"/>
    <w:rsid w:val="00A60148"/>
    <w:rsid w:val="00A60735"/>
    <w:rsid w:val="00A60C99"/>
    <w:rsid w:val="00A62D51"/>
    <w:rsid w:val="00A63FA0"/>
    <w:rsid w:val="00A654F2"/>
    <w:rsid w:val="00A65DA5"/>
    <w:rsid w:val="00A65EEB"/>
    <w:rsid w:val="00A672DC"/>
    <w:rsid w:val="00A67761"/>
    <w:rsid w:val="00A67837"/>
    <w:rsid w:val="00A70F32"/>
    <w:rsid w:val="00A70FBD"/>
    <w:rsid w:val="00A71F7D"/>
    <w:rsid w:val="00A729CA"/>
    <w:rsid w:val="00A72B4B"/>
    <w:rsid w:val="00A74971"/>
    <w:rsid w:val="00A75C69"/>
    <w:rsid w:val="00A76834"/>
    <w:rsid w:val="00A77087"/>
    <w:rsid w:val="00A77649"/>
    <w:rsid w:val="00A81100"/>
    <w:rsid w:val="00A81D44"/>
    <w:rsid w:val="00A81DAF"/>
    <w:rsid w:val="00A82FA6"/>
    <w:rsid w:val="00A8311C"/>
    <w:rsid w:val="00A834C9"/>
    <w:rsid w:val="00A83864"/>
    <w:rsid w:val="00A85AC3"/>
    <w:rsid w:val="00A85B7E"/>
    <w:rsid w:val="00A8618A"/>
    <w:rsid w:val="00A87D6B"/>
    <w:rsid w:val="00A90072"/>
    <w:rsid w:val="00A9103C"/>
    <w:rsid w:val="00A91EDB"/>
    <w:rsid w:val="00A9580D"/>
    <w:rsid w:val="00A9608B"/>
    <w:rsid w:val="00A97D91"/>
    <w:rsid w:val="00AA099E"/>
    <w:rsid w:val="00AA0B24"/>
    <w:rsid w:val="00AA0C9E"/>
    <w:rsid w:val="00AA11E9"/>
    <w:rsid w:val="00AA149E"/>
    <w:rsid w:val="00AA16B8"/>
    <w:rsid w:val="00AA2E45"/>
    <w:rsid w:val="00AA2F69"/>
    <w:rsid w:val="00AA4D5C"/>
    <w:rsid w:val="00AA5C9B"/>
    <w:rsid w:val="00AA6F99"/>
    <w:rsid w:val="00AA785F"/>
    <w:rsid w:val="00AA7C0B"/>
    <w:rsid w:val="00AB0492"/>
    <w:rsid w:val="00AB1FCB"/>
    <w:rsid w:val="00AB20FB"/>
    <w:rsid w:val="00AB2950"/>
    <w:rsid w:val="00AB2D03"/>
    <w:rsid w:val="00AB3328"/>
    <w:rsid w:val="00AB3703"/>
    <w:rsid w:val="00AB4EB6"/>
    <w:rsid w:val="00AB5481"/>
    <w:rsid w:val="00AB6311"/>
    <w:rsid w:val="00AB7616"/>
    <w:rsid w:val="00AB77BD"/>
    <w:rsid w:val="00AC0091"/>
    <w:rsid w:val="00AC0E2C"/>
    <w:rsid w:val="00AC15E6"/>
    <w:rsid w:val="00AC1AE0"/>
    <w:rsid w:val="00AC2A15"/>
    <w:rsid w:val="00AC3CF9"/>
    <w:rsid w:val="00AC3DCA"/>
    <w:rsid w:val="00AC41B8"/>
    <w:rsid w:val="00AC4681"/>
    <w:rsid w:val="00AC7DBD"/>
    <w:rsid w:val="00AC7F93"/>
    <w:rsid w:val="00AD05CE"/>
    <w:rsid w:val="00AD0AFD"/>
    <w:rsid w:val="00AD1860"/>
    <w:rsid w:val="00AD1DA3"/>
    <w:rsid w:val="00AD1FB1"/>
    <w:rsid w:val="00AD2C11"/>
    <w:rsid w:val="00AD32F9"/>
    <w:rsid w:val="00AD33A9"/>
    <w:rsid w:val="00AD4905"/>
    <w:rsid w:val="00AE0F71"/>
    <w:rsid w:val="00AE4A39"/>
    <w:rsid w:val="00AE6401"/>
    <w:rsid w:val="00AE678B"/>
    <w:rsid w:val="00AE74D4"/>
    <w:rsid w:val="00AE76D2"/>
    <w:rsid w:val="00AF0097"/>
    <w:rsid w:val="00AF09D7"/>
    <w:rsid w:val="00AF15C3"/>
    <w:rsid w:val="00AF208F"/>
    <w:rsid w:val="00AF4A67"/>
    <w:rsid w:val="00AF6018"/>
    <w:rsid w:val="00AF74C0"/>
    <w:rsid w:val="00AF7627"/>
    <w:rsid w:val="00B0346A"/>
    <w:rsid w:val="00B0408E"/>
    <w:rsid w:val="00B04DCF"/>
    <w:rsid w:val="00B07DBE"/>
    <w:rsid w:val="00B11D8D"/>
    <w:rsid w:val="00B12137"/>
    <w:rsid w:val="00B12BD9"/>
    <w:rsid w:val="00B13375"/>
    <w:rsid w:val="00B134C2"/>
    <w:rsid w:val="00B13973"/>
    <w:rsid w:val="00B13993"/>
    <w:rsid w:val="00B1440C"/>
    <w:rsid w:val="00B14838"/>
    <w:rsid w:val="00B15888"/>
    <w:rsid w:val="00B15996"/>
    <w:rsid w:val="00B15C0B"/>
    <w:rsid w:val="00B17B69"/>
    <w:rsid w:val="00B213F8"/>
    <w:rsid w:val="00B2216A"/>
    <w:rsid w:val="00B2256E"/>
    <w:rsid w:val="00B22B25"/>
    <w:rsid w:val="00B24188"/>
    <w:rsid w:val="00B2536F"/>
    <w:rsid w:val="00B26329"/>
    <w:rsid w:val="00B2632D"/>
    <w:rsid w:val="00B26491"/>
    <w:rsid w:val="00B272E7"/>
    <w:rsid w:val="00B27619"/>
    <w:rsid w:val="00B27F58"/>
    <w:rsid w:val="00B3087E"/>
    <w:rsid w:val="00B334BC"/>
    <w:rsid w:val="00B33D3D"/>
    <w:rsid w:val="00B35AE9"/>
    <w:rsid w:val="00B376D3"/>
    <w:rsid w:val="00B40B42"/>
    <w:rsid w:val="00B43127"/>
    <w:rsid w:val="00B46014"/>
    <w:rsid w:val="00B463C5"/>
    <w:rsid w:val="00B46846"/>
    <w:rsid w:val="00B469D5"/>
    <w:rsid w:val="00B4758E"/>
    <w:rsid w:val="00B479F2"/>
    <w:rsid w:val="00B47DCD"/>
    <w:rsid w:val="00B50A14"/>
    <w:rsid w:val="00B50F03"/>
    <w:rsid w:val="00B5142A"/>
    <w:rsid w:val="00B514DC"/>
    <w:rsid w:val="00B531AB"/>
    <w:rsid w:val="00B538A6"/>
    <w:rsid w:val="00B541E3"/>
    <w:rsid w:val="00B557F6"/>
    <w:rsid w:val="00B55956"/>
    <w:rsid w:val="00B5692A"/>
    <w:rsid w:val="00B60C4D"/>
    <w:rsid w:val="00B6120F"/>
    <w:rsid w:val="00B615D7"/>
    <w:rsid w:val="00B633EF"/>
    <w:rsid w:val="00B6409A"/>
    <w:rsid w:val="00B6424F"/>
    <w:rsid w:val="00B6623A"/>
    <w:rsid w:val="00B67FE1"/>
    <w:rsid w:val="00B71713"/>
    <w:rsid w:val="00B7223A"/>
    <w:rsid w:val="00B72E1D"/>
    <w:rsid w:val="00B73F06"/>
    <w:rsid w:val="00B7436B"/>
    <w:rsid w:val="00B7539E"/>
    <w:rsid w:val="00B7709E"/>
    <w:rsid w:val="00B774C4"/>
    <w:rsid w:val="00B829E7"/>
    <w:rsid w:val="00B84BB9"/>
    <w:rsid w:val="00B85DBA"/>
    <w:rsid w:val="00B8607E"/>
    <w:rsid w:val="00B908DC"/>
    <w:rsid w:val="00B90C62"/>
    <w:rsid w:val="00B91A02"/>
    <w:rsid w:val="00B9264F"/>
    <w:rsid w:val="00B9266E"/>
    <w:rsid w:val="00B927BA"/>
    <w:rsid w:val="00B92BBC"/>
    <w:rsid w:val="00B936DB"/>
    <w:rsid w:val="00B94F53"/>
    <w:rsid w:val="00B964E1"/>
    <w:rsid w:val="00B975C0"/>
    <w:rsid w:val="00B97DCD"/>
    <w:rsid w:val="00BA02F8"/>
    <w:rsid w:val="00BA59FB"/>
    <w:rsid w:val="00BA7CBF"/>
    <w:rsid w:val="00BB15FC"/>
    <w:rsid w:val="00BB3031"/>
    <w:rsid w:val="00BB3590"/>
    <w:rsid w:val="00BB49B8"/>
    <w:rsid w:val="00BB4BAD"/>
    <w:rsid w:val="00BB7B0D"/>
    <w:rsid w:val="00BB7F10"/>
    <w:rsid w:val="00BC01DA"/>
    <w:rsid w:val="00BC0578"/>
    <w:rsid w:val="00BC200F"/>
    <w:rsid w:val="00BC28B0"/>
    <w:rsid w:val="00BC4DFF"/>
    <w:rsid w:val="00BD0224"/>
    <w:rsid w:val="00BD036D"/>
    <w:rsid w:val="00BD1E01"/>
    <w:rsid w:val="00BD3522"/>
    <w:rsid w:val="00BD3DB0"/>
    <w:rsid w:val="00BD55CB"/>
    <w:rsid w:val="00BD5899"/>
    <w:rsid w:val="00BD5E69"/>
    <w:rsid w:val="00BD67A1"/>
    <w:rsid w:val="00BD7439"/>
    <w:rsid w:val="00BE1078"/>
    <w:rsid w:val="00BE1DDA"/>
    <w:rsid w:val="00BE1EF2"/>
    <w:rsid w:val="00BE20DF"/>
    <w:rsid w:val="00BE29DF"/>
    <w:rsid w:val="00BE4950"/>
    <w:rsid w:val="00BE7A14"/>
    <w:rsid w:val="00BE7CE0"/>
    <w:rsid w:val="00BF08B1"/>
    <w:rsid w:val="00BF0B85"/>
    <w:rsid w:val="00BF0DB6"/>
    <w:rsid w:val="00BF15DF"/>
    <w:rsid w:val="00BF18DC"/>
    <w:rsid w:val="00BF1FAC"/>
    <w:rsid w:val="00BF27A9"/>
    <w:rsid w:val="00BF3CEE"/>
    <w:rsid w:val="00BF3F67"/>
    <w:rsid w:val="00BF5A2E"/>
    <w:rsid w:val="00BF6BD4"/>
    <w:rsid w:val="00BF7167"/>
    <w:rsid w:val="00BF7518"/>
    <w:rsid w:val="00C0009D"/>
    <w:rsid w:val="00C00995"/>
    <w:rsid w:val="00C02859"/>
    <w:rsid w:val="00C03793"/>
    <w:rsid w:val="00C04492"/>
    <w:rsid w:val="00C04994"/>
    <w:rsid w:val="00C04C00"/>
    <w:rsid w:val="00C058C8"/>
    <w:rsid w:val="00C066D7"/>
    <w:rsid w:val="00C06B0C"/>
    <w:rsid w:val="00C101DB"/>
    <w:rsid w:val="00C1246D"/>
    <w:rsid w:val="00C14C40"/>
    <w:rsid w:val="00C14DB5"/>
    <w:rsid w:val="00C15425"/>
    <w:rsid w:val="00C159F9"/>
    <w:rsid w:val="00C20EEB"/>
    <w:rsid w:val="00C21500"/>
    <w:rsid w:val="00C218F7"/>
    <w:rsid w:val="00C21AD4"/>
    <w:rsid w:val="00C22A32"/>
    <w:rsid w:val="00C246DD"/>
    <w:rsid w:val="00C251F1"/>
    <w:rsid w:val="00C257BA"/>
    <w:rsid w:val="00C27394"/>
    <w:rsid w:val="00C276F2"/>
    <w:rsid w:val="00C3015D"/>
    <w:rsid w:val="00C31553"/>
    <w:rsid w:val="00C3275D"/>
    <w:rsid w:val="00C373CF"/>
    <w:rsid w:val="00C403F1"/>
    <w:rsid w:val="00C40D4D"/>
    <w:rsid w:val="00C41B7A"/>
    <w:rsid w:val="00C44845"/>
    <w:rsid w:val="00C45DE0"/>
    <w:rsid w:val="00C508F0"/>
    <w:rsid w:val="00C5128F"/>
    <w:rsid w:val="00C514D1"/>
    <w:rsid w:val="00C51D7D"/>
    <w:rsid w:val="00C5305F"/>
    <w:rsid w:val="00C53BAE"/>
    <w:rsid w:val="00C56BDC"/>
    <w:rsid w:val="00C5724F"/>
    <w:rsid w:val="00C57ED5"/>
    <w:rsid w:val="00C60781"/>
    <w:rsid w:val="00C6084D"/>
    <w:rsid w:val="00C6087D"/>
    <w:rsid w:val="00C6370F"/>
    <w:rsid w:val="00C6401D"/>
    <w:rsid w:val="00C641C5"/>
    <w:rsid w:val="00C64381"/>
    <w:rsid w:val="00C66B6A"/>
    <w:rsid w:val="00C6752C"/>
    <w:rsid w:val="00C67AFA"/>
    <w:rsid w:val="00C7012B"/>
    <w:rsid w:val="00C70749"/>
    <w:rsid w:val="00C70BBD"/>
    <w:rsid w:val="00C71122"/>
    <w:rsid w:val="00C712C9"/>
    <w:rsid w:val="00C738C0"/>
    <w:rsid w:val="00C7497E"/>
    <w:rsid w:val="00C7501C"/>
    <w:rsid w:val="00C750C5"/>
    <w:rsid w:val="00C75931"/>
    <w:rsid w:val="00C75FC3"/>
    <w:rsid w:val="00C76288"/>
    <w:rsid w:val="00C77099"/>
    <w:rsid w:val="00C77107"/>
    <w:rsid w:val="00C776B8"/>
    <w:rsid w:val="00C776D5"/>
    <w:rsid w:val="00C77BAB"/>
    <w:rsid w:val="00C8142D"/>
    <w:rsid w:val="00C82141"/>
    <w:rsid w:val="00C847AD"/>
    <w:rsid w:val="00C84B7A"/>
    <w:rsid w:val="00C854F8"/>
    <w:rsid w:val="00C85B90"/>
    <w:rsid w:val="00C86C61"/>
    <w:rsid w:val="00C87D19"/>
    <w:rsid w:val="00C904AD"/>
    <w:rsid w:val="00C918E7"/>
    <w:rsid w:val="00C91C03"/>
    <w:rsid w:val="00C9507D"/>
    <w:rsid w:val="00C95188"/>
    <w:rsid w:val="00C9576E"/>
    <w:rsid w:val="00C96926"/>
    <w:rsid w:val="00C96C90"/>
    <w:rsid w:val="00C97ECE"/>
    <w:rsid w:val="00C97EED"/>
    <w:rsid w:val="00CA006B"/>
    <w:rsid w:val="00CA0398"/>
    <w:rsid w:val="00CA1E22"/>
    <w:rsid w:val="00CA2A19"/>
    <w:rsid w:val="00CA4850"/>
    <w:rsid w:val="00CA558F"/>
    <w:rsid w:val="00CA5A73"/>
    <w:rsid w:val="00CA7991"/>
    <w:rsid w:val="00CB5088"/>
    <w:rsid w:val="00CB7096"/>
    <w:rsid w:val="00CC0260"/>
    <w:rsid w:val="00CC03C9"/>
    <w:rsid w:val="00CC08D5"/>
    <w:rsid w:val="00CC2C1C"/>
    <w:rsid w:val="00CC4144"/>
    <w:rsid w:val="00CC458C"/>
    <w:rsid w:val="00CC666A"/>
    <w:rsid w:val="00CC68E6"/>
    <w:rsid w:val="00CC719F"/>
    <w:rsid w:val="00CC71CE"/>
    <w:rsid w:val="00CD016B"/>
    <w:rsid w:val="00CD1B23"/>
    <w:rsid w:val="00CD324E"/>
    <w:rsid w:val="00CD463B"/>
    <w:rsid w:val="00CD4712"/>
    <w:rsid w:val="00CD4BF1"/>
    <w:rsid w:val="00CD6A38"/>
    <w:rsid w:val="00CE1301"/>
    <w:rsid w:val="00CE2354"/>
    <w:rsid w:val="00CE3255"/>
    <w:rsid w:val="00CE4861"/>
    <w:rsid w:val="00CE49BE"/>
    <w:rsid w:val="00CE504C"/>
    <w:rsid w:val="00CE618D"/>
    <w:rsid w:val="00CE6376"/>
    <w:rsid w:val="00CE6A29"/>
    <w:rsid w:val="00CE7453"/>
    <w:rsid w:val="00CF29AA"/>
    <w:rsid w:val="00CF2C06"/>
    <w:rsid w:val="00CF2EC5"/>
    <w:rsid w:val="00CF4A25"/>
    <w:rsid w:val="00CF4AE6"/>
    <w:rsid w:val="00CF5712"/>
    <w:rsid w:val="00CF6CAE"/>
    <w:rsid w:val="00D0116F"/>
    <w:rsid w:val="00D0182D"/>
    <w:rsid w:val="00D031F1"/>
    <w:rsid w:val="00D044A8"/>
    <w:rsid w:val="00D0571E"/>
    <w:rsid w:val="00D06B3A"/>
    <w:rsid w:val="00D07F50"/>
    <w:rsid w:val="00D10095"/>
    <w:rsid w:val="00D10FCF"/>
    <w:rsid w:val="00D11E95"/>
    <w:rsid w:val="00D1258D"/>
    <w:rsid w:val="00D1284E"/>
    <w:rsid w:val="00D12D0F"/>
    <w:rsid w:val="00D13A49"/>
    <w:rsid w:val="00D13C48"/>
    <w:rsid w:val="00D13F9C"/>
    <w:rsid w:val="00D170A3"/>
    <w:rsid w:val="00D17BCD"/>
    <w:rsid w:val="00D21B04"/>
    <w:rsid w:val="00D22A97"/>
    <w:rsid w:val="00D23B21"/>
    <w:rsid w:val="00D24F75"/>
    <w:rsid w:val="00D257F4"/>
    <w:rsid w:val="00D25E6D"/>
    <w:rsid w:val="00D2709A"/>
    <w:rsid w:val="00D3058A"/>
    <w:rsid w:val="00D30DD4"/>
    <w:rsid w:val="00D322C8"/>
    <w:rsid w:val="00D32763"/>
    <w:rsid w:val="00D32A43"/>
    <w:rsid w:val="00D34B80"/>
    <w:rsid w:val="00D34E78"/>
    <w:rsid w:val="00D376C6"/>
    <w:rsid w:val="00D37C35"/>
    <w:rsid w:val="00D40CC0"/>
    <w:rsid w:val="00D40EF8"/>
    <w:rsid w:val="00D42924"/>
    <w:rsid w:val="00D438F4"/>
    <w:rsid w:val="00D45BA2"/>
    <w:rsid w:val="00D47AA8"/>
    <w:rsid w:val="00D50B4D"/>
    <w:rsid w:val="00D51BB7"/>
    <w:rsid w:val="00D52CD9"/>
    <w:rsid w:val="00D52E32"/>
    <w:rsid w:val="00D54F8F"/>
    <w:rsid w:val="00D61262"/>
    <w:rsid w:val="00D61498"/>
    <w:rsid w:val="00D629C6"/>
    <w:rsid w:val="00D63BA6"/>
    <w:rsid w:val="00D63BC3"/>
    <w:rsid w:val="00D64A42"/>
    <w:rsid w:val="00D65025"/>
    <w:rsid w:val="00D65099"/>
    <w:rsid w:val="00D65148"/>
    <w:rsid w:val="00D670B9"/>
    <w:rsid w:val="00D6738E"/>
    <w:rsid w:val="00D70EA9"/>
    <w:rsid w:val="00D72CB8"/>
    <w:rsid w:val="00D7304C"/>
    <w:rsid w:val="00D73537"/>
    <w:rsid w:val="00D77836"/>
    <w:rsid w:val="00D77FC2"/>
    <w:rsid w:val="00D81D09"/>
    <w:rsid w:val="00D82228"/>
    <w:rsid w:val="00D82281"/>
    <w:rsid w:val="00D82FB7"/>
    <w:rsid w:val="00D84FEA"/>
    <w:rsid w:val="00D85D98"/>
    <w:rsid w:val="00D87288"/>
    <w:rsid w:val="00D90020"/>
    <w:rsid w:val="00D92930"/>
    <w:rsid w:val="00D93913"/>
    <w:rsid w:val="00D9563C"/>
    <w:rsid w:val="00D95974"/>
    <w:rsid w:val="00D9599A"/>
    <w:rsid w:val="00D9712C"/>
    <w:rsid w:val="00D9767E"/>
    <w:rsid w:val="00D9787E"/>
    <w:rsid w:val="00DA0332"/>
    <w:rsid w:val="00DA0BF2"/>
    <w:rsid w:val="00DA2E74"/>
    <w:rsid w:val="00DA3CF0"/>
    <w:rsid w:val="00DA42EB"/>
    <w:rsid w:val="00DA4815"/>
    <w:rsid w:val="00DB02E3"/>
    <w:rsid w:val="00DB0863"/>
    <w:rsid w:val="00DB2236"/>
    <w:rsid w:val="00DB3B80"/>
    <w:rsid w:val="00DB40DD"/>
    <w:rsid w:val="00DB4F75"/>
    <w:rsid w:val="00DB5C4D"/>
    <w:rsid w:val="00DB7EB8"/>
    <w:rsid w:val="00DB7F88"/>
    <w:rsid w:val="00DC34E7"/>
    <w:rsid w:val="00DC3E9D"/>
    <w:rsid w:val="00DC4BDA"/>
    <w:rsid w:val="00DC511D"/>
    <w:rsid w:val="00DC5639"/>
    <w:rsid w:val="00DC5A31"/>
    <w:rsid w:val="00DC7E51"/>
    <w:rsid w:val="00DC7ECE"/>
    <w:rsid w:val="00DC7EF8"/>
    <w:rsid w:val="00DD1611"/>
    <w:rsid w:val="00DD320F"/>
    <w:rsid w:val="00DD3BE1"/>
    <w:rsid w:val="00DD44C4"/>
    <w:rsid w:val="00DD4C8D"/>
    <w:rsid w:val="00DD7676"/>
    <w:rsid w:val="00DD7679"/>
    <w:rsid w:val="00DD7FF1"/>
    <w:rsid w:val="00DE1884"/>
    <w:rsid w:val="00DE1C3B"/>
    <w:rsid w:val="00DE2F4D"/>
    <w:rsid w:val="00DE30F5"/>
    <w:rsid w:val="00DE3338"/>
    <w:rsid w:val="00DE4286"/>
    <w:rsid w:val="00DE7866"/>
    <w:rsid w:val="00DF073D"/>
    <w:rsid w:val="00DF13FF"/>
    <w:rsid w:val="00DF25B9"/>
    <w:rsid w:val="00DF2BC7"/>
    <w:rsid w:val="00DF4E2C"/>
    <w:rsid w:val="00DF707C"/>
    <w:rsid w:val="00E0399C"/>
    <w:rsid w:val="00E06EB0"/>
    <w:rsid w:val="00E07614"/>
    <w:rsid w:val="00E108DB"/>
    <w:rsid w:val="00E10FB7"/>
    <w:rsid w:val="00E127E9"/>
    <w:rsid w:val="00E13649"/>
    <w:rsid w:val="00E139B6"/>
    <w:rsid w:val="00E1436D"/>
    <w:rsid w:val="00E1556F"/>
    <w:rsid w:val="00E17B45"/>
    <w:rsid w:val="00E2061D"/>
    <w:rsid w:val="00E20823"/>
    <w:rsid w:val="00E21F6C"/>
    <w:rsid w:val="00E233BD"/>
    <w:rsid w:val="00E250A2"/>
    <w:rsid w:val="00E26158"/>
    <w:rsid w:val="00E26DCC"/>
    <w:rsid w:val="00E30C6A"/>
    <w:rsid w:val="00E31772"/>
    <w:rsid w:val="00E33D08"/>
    <w:rsid w:val="00E33D12"/>
    <w:rsid w:val="00E3514E"/>
    <w:rsid w:val="00E3546A"/>
    <w:rsid w:val="00E3583D"/>
    <w:rsid w:val="00E37D50"/>
    <w:rsid w:val="00E4082D"/>
    <w:rsid w:val="00E411B8"/>
    <w:rsid w:val="00E413BA"/>
    <w:rsid w:val="00E419E7"/>
    <w:rsid w:val="00E42EA0"/>
    <w:rsid w:val="00E45196"/>
    <w:rsid w:val="00E451E3"/>
    <w:rsid w:val="00E45A2E"/>
    <w:rsid w:val="00E46612"/>
    <w:rsid w:val="00E467A1"/>
    <w:rsid w:val="00E502F5"/>
    <w:rsid w:val="00E509F0"/>
    <w:rsid w:val="00E52546"/>
    <w:rsid w:val="00E52619"/>
    <w:rsid w:val="00E532FF"/>
    <w:rsid w:val="00E54846"/>
    <w:rsid w:val="00E54C16"/>
    <w:rsid w:val="00E54C83"/>
    <w:rsid w:val="00E5567D"/>
    <w:rsid w:val="00E5570E"/>
    <w:rsid w:val="00E559FF"/>
    <w:rsid w:val="00E56A95"/>
    <w:rsid w:val="00E57B59"/>
    <w:rsid w:val="00E6011F"/>
    <w:rsid w:val="00E6111B"/>
    <w:rsid w:val="00E631ED"/>
    <w:rsid w:val="00E63EA1"/>
    <w:rsid w:val="00E70ED5"/>
    <w:rsid w:val="00E75647"/>
    <w:rsid w:val="00E75831"/>
    <w:rsid w:val="00E7592F"/>
    <w:rsid w:val="00E76AB3"/>
    <w:rsid w:val="00E7769D"/>
    <w:rsid w:val="00E81B2D"/>
    <w:rsid w:val="00E82C4A"/>
    <w:rsid w:val="00E832DD"/>
    <w:rsid w:val="00E83850"/>
    <w:rsid w:val="00E83A45"/>
    <w:rsid w:val="00E84971"/>
    <w:rsid w:val="00E861FF"/>
    <w:rsid w:val="00E8661B"/>
    <w:rsid w:val="00E86CA8"/>
    <w:rsid w:val="00E91B74"/>
    <w:rsid w:val="00E92179"/>
    <w:rsid w:val="00E92570"/>
    <w:rsid w:val="00E926BC"/>
    <w:rsid w:val="00E92E7F"/>
    <w:rsid w:val="00E93411"/>
    <w:rsid w:val="00E947E4"/>
    <w:rsid w:val="00E94F7B"/>
    <w:rsid w:val="00E9619C"/>
    <w:rsid w:val="00E96503"/>
    <w:rsid w:val="00E96AF6"/>
    <w:rsid w:val="00E979D9"/>
    <w:rsid w:val="00EA039B"/>
    <w:rsid w:val="00EA14E6"/>
    <w:rsid w:val="00EA1CE0"/>
    <w:rsid w:val="00EA598D"/>
    <w:rsid w:val="00EA6D33"/>
    <w:rsid w:val="00EA7B08"/>
    <w:rsid w:val="00EA7F47"/>
    <w:rsid w:val="00EB0442"/>
    <w:rsid w:val="00EB0F17"/>
    <w:rsid w:val="00EB19D6"/>
    <w:rsid w:val="00EB27E6"/>
    <w:rsid w:val="00EB2B2F"/>
    <w:rsid w:val="00EB3FBC"/>
    <w:rsid w:val="00EC0205"/>
    <w:rsid w:val="00EC0884"/>
    <w:rsid w:val="00EC0F01"/>
    <w:rsid w:val="00EC137F"/>
    <w:rsid w:val="00EC13A2"/>
    <w:rsid w:val="00EC1943"/>
    <w:rsid w:val="00EC1ADB"/>
    <w:rsid w:val="00EC28E3"/>
    <w:rsid w:val="00EC37BD"/>
    <w:rsid w:val="00EC58D4"/>
    <w:rsid w:val="00EC5B24"/>
    <w:rsid w:val="00EC6C03"/>
    <w:rsid w:val="00ED005C"/>
    <w:rsid w:val="00ED1684"/>
    <w:rsid w:val="00ED2E10"/>
    <w:rsid w:val="00ED3962"/>
    <w:rsid w:val="00ED4393"/>
    <w:rsid w:val="00ED440C"/>
    <w:rsid w:val="00ED56E9"/>
    <w:rsid w:val="00ED5AB0"/>
    <w:rsid w:val="00ED5B64"/>
    <w:rsid w:val="00ED6E9B"/>
    <w:rsid w:val="00ED6FA2"/>
    <w:rsid w:val="00ED78B4"/>
    <w:rsid w:val="00EE077E"/>
    <w:rsid w:val="00EE1557"/>
    <w:rsid w:val="00EE42BA"/>
    <w:rsid w:val="00EE550E"/>
    <w:rsid w:val="00EE5D65"/>
    <w:rsid w:val="00EE6519"/>
    <w:rsid w:val="00EE689E"/>
    <w:rsid w:val="00EE68DA"/>
    <w:rsid w:val="00EE7242"/>
    <w:rsid w:val="00EF13EC"/>
    <w:rsid w:val="00EF26CB"/>
    <w:rsid w:val="00EF3FFA"/>
    <w:rsid w:val="00EF4EF7"/>
    <w:rsid w:val="00EF5472"/>
    <w:rsid w:val="00EF697A"/>
    <w:rsid w:val="00F008D0"/>
    <w:rsid w:val="00F009EB"/>
    <w:rsid w:val="00F00D93"/>
    <w:rsid w:val="00F0183E"/>
    <w:rsid w:val="00F02188"/>
    <w:rsid w:val="00F0363B"/>
    <w:rsid w:val="00F03E47"/>
    <w:rsid w:val="00F0649A"/>
    <w:rsid w:val="00F06575"/>
    <w:rsid w:val="00F06672"/>
    <w:rsid w:val="00F0773B"/>
    <w:rsid w:val="00F07752"/>
    <w:rsid w:val="00F104E8"/>
    <w:rsid w:val="00F12750"/>
    <w:rsid w:val="00F12BD9"/>
    <w:rsid w:val="00F13F45"/>
    <w:rsid w:val="00F161E5"/>
    <w:rsid w:val="00F17F71"/>
    <w:rsid w:val="00F20443"/>
    <w:rsid w:val="00F22461"/>
    <w:rsid w:val="00F22557"/>
    <w:rsid w:val="00F22714"/>
    <w:rsid w:val="00F232B8"/>
    <w:rsid w:val="00F23948"/>
    <w:rsid w:val="00F2497A"/>
    <w:rsid w:val="00F25B76"/>
    <w:rsid w:val="00F25C6E"/>
    <w:rsid w:val="00F26D9D"/>
    <w:rsid w:val="00F27C15"/>
    <w:rsid w:val="00F30A1D"/>
    <w:rsid w:val="00F31514"/>
    <w:rsid w:val="00F32FF2"/>
    <w:rsid w:val="00F33B61"/>
    <w:rsid w:val="00F3440B"/>
    <w:rsid w:val="00F34C3C"/>
    <w:rsid w:val="00F352B8"/>
    <w:rsid w:val="00F3571A"/>
    <w:rsid w:val="00F36292"/>
    <w:rsid w:val="00F425B4"/>
    <w:rsid w:val="00F4370E"/>
    <w:rsid w:val="00F44F4A"/>
    <w:rsid w:val="00F45556"/>
    <w:rsid w:val="00F45C05"/>
    <w:rsid w:val="00F46E50"/>
    <w:rsid w:val="00F51D6B"/>
    <w:rsid w:val="00F5319B"/>
    <w:rsid w:val="00F53689"/>
    <w:rsid w:val="00F53EB3"/>
    <w:rsid w:val="00F54096"/>
    <w:rsid w:val="00F620A9"/>
    <w:rsid w:val="00F620EB"/>
    <w:rsid w:val="00F62D1F"/>
    <w:rsid w:val="00F6495C"/>
    <w:rsid w:val="00F65B7F"/>
    <w:rsid w:val="00F65BBF"/>
    <w:rsid w:val="00F667E5"/>
    <w:rsid w:val="00F66F49"/>
    <w:rsid w:val="00F677DE"/>
    <w:rsid w:val="00F67CC0"/>
    <w:rsid w:val="00F70483"/>
    <w:rsid w:val="00F71810"/>
    <w:rsid w:val="00F73D06"/>
    <w:rsid w:val="00F76102"/>
    <w:rsid w:val="00F77D8F"/>
    <w:rsid w:val="00F77F78"/>
    <w:rsid w:val="00F818F5"/>
    <w:rsid w:val="00F823B9"/>
    <w:rsid w:val="00F82F22"/>
    <w:rsid w:val="00F834D3"/>
    <w:rsid w:val="00F850BE"/>
    <w:rsid w:val="00F853F6"/>
    <w:rsid w:val="00F855A6"/>
    <w:rsid w:val="00F85D1D"/>
    <w:rsid w:val="00F877D5"/>
    <w:rsid w:val="00F90B15"/>
    <w:rsid w:val="00F90E04"/>
    <w:rsid w:val="00F91CAC"/>
    <w:rsid w:val="00F91E1B"/>
    <w:rsid w:val="00F9294E"/>
    <w:rsid w:val="00F93391"/>
    <w:rsid w:val="00F942F3"/>
    <w:rsid w:val="00F9764A"/>
    <w:rsid w:val="00FA1AA9"/>
    <w:rsid w:val="00FA29C6"/>
    <w:rsid w:val="00FA2CB5"/>
    <w:rsid w:val="00FA645A"/>
    <w:rsid w:val="00FA6C36"/>
    <w:rsid w:val="00FA73C0"/>
    <w:rsid w:val="00FA7B55"/>
    <w:rsid w:val="00FB0DEC"/>
    <w:rsid w:val="00FB13B3"/>
    <w:rsid w:val="00FB24CD"/>
    <w:rsid w:val="00FB2835"/>
    <w:rsid w:val="00FB43AA"/>
    <w:rsid w:val="00FB5B5A"/>
    <w:rsid w:val="00FB74F8"/>
    <w:rsid w:val="00FC0B76"/>
    <w:rsid w:val="00FC0F6C"/>
    <w:rsid w:val="00FC1B7E"/>
    <w:rsid w:val="00FC1D03"/>
    <w:rsid w:val="00FC1D04"/>
    <w:rsid w:val="00FC296D"/>
    <w:rsid w:val="00FC5975"/>
    <w:rsid w:val="00FC64AD"/>
    <w:rsid w:val="00FC6ED2"/>
    <w:rsid w:val="00FC6F63"/>
    <w:rsid w:val="00FD00D0"/>
    <w:rsid w:val="00FD0207"/>
    <w:rsid w:val="00FD06F1"/>
    <w:rsid w:val="00FD0A5B"/>
    <w:rsid w:val="00FD0B55"/>
    <w:rsid w:val="00FD1D6F"/>
    <w:rsid w:val="00FD2129"/>
    <w:rsid w:val="00FD29F2"/>
    <w:rsid w:val="00FD57DA"/>
    <w:rsid w:val="00FD629D"/>
    <w:rsid w:val="00FD74A9"/>
    <w:rsid w:val="00FD7F86"/>
    <w:rsid w:val="00FE043F"/>
    <w:rsid w:val="00FE196E"/>
    <w:rsid w:val="00FE272A"/>
    <w:rsid w:val="00FE2832"/>
    <w:rsid w:val="00FE30E6"/>
    <w:rsid w:val="00FE459A"/>
    <w:rsid w:val="00FE6041"/>
    <w:rsid w:val="00FE6190"/>
    <w:rsid w:val="00FE68F8"/>
    <w:rsid w:val="00FE7916"/>
    <w:rsid w:val="00FF14FA"/>
    <w:rsid w:val="00FF39F9"/>
    <w:rsid w:val="00FF3C0F"/>
    <w:rsid w:val="00FF3D79"/>
    <w:rsid w:val="00FF4324"/>
    <w:rsid w:val="00FF532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7F93"/>
    <w:rPr>
      <w:rFonts w:ascii="Univers" w:hAnsi="Univers"/>
      <w:sz w:val="24"/>
      <w:lang w:eastAsia="en-US"/>
    </w:rPr>
  </w:style>
  <w:style w:type="paragraph" w:styleId="Ttulo1">
    <w:name w:val="heading 1"/>
    <w:basedOn w:val="Normal"/>
    <w:next w:val="Normal"/>
    <w:link w:val="Ttulo1Car"/>
    <w:qFormat/>
    <w:rsid w:val="00AC7F93"/>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C7F93"/>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C7F93"/>
    <w:pPr>
      <w:keepNext/>
      <w:spacing w:before="240" w:after="60"/>
      <w:outlineLvl w:val="2"/>
    </w:pPr>
    <w:rPr>
      <w:rFonts w:ascii="Arial" w:hAnsi="Arial" w:cs="Arial"/>
      <w:b/>
      <w:bCs/>
      <w:sz w:val="26"/>
      <w:szCs w:val="26"/>
    </w:rPr>
  </w:style>
  <w:style w:type="paragraph" w:styleId="Ttulo4">
    <w:name w:val="heading 4"/>
    <w:basedOn w:val="Normal"/>
    <w:next w:val="Normal"/>
    <w:link w:val="Ttulo4Car"/>
    <w:qFormat/>
    <w:rsid w:val="00AC7F93"/>
    <w:pPr>
      <w:keepNext/>
      <w:outlineLvl w:val="3"/>
    </w:pPr>
    <w:rPr>
      <w:b/>
    </w:rPr>
  </w:style>
  <w:style w:type="paragraph" w:styleId="Ttulo5">
    <w:name w:val="heading 5"/>
    <w:basedOn w:val="Normal"/>
    <w:next w:val="Normal"/>
    <w:link w:val="Ttulo5Car"/>
    <w:qFormat/>
    <w:rsid w:val="00AC7F93"/>
    <w:pPr>
      <w:spacing w:before="240" w:after="60"/>
      <w:outlineLvl w:val="4"/>
    </w:pPr>
    <w:rPr>
      <w:b/>
      <w:bCs/>
      <w:i/>
      <w:iCs/>
      <w:sz w:val="26"/>
      <w:szCs w:val="26"/>
    </w:rPr>
  </w:style>
  <w:style w:type="paragraph" w:styleId="Ttulo6">
    <w:name w:val="heading 6"/>
    <w:basedOn w:val="Normal"/>
    <w:next w:val="Normal"/>
    <w:qFormat/>
    <w:rsid w:val="00117C15"/>
    <w:pPr>
      <w:spacing w:before="240" w:after="60"/>
      <w:outlineLvl w:val="5"/>
    </w:pPr>
    <w:rPr>
      <w:rFonts w:ascii="Times New Roman" w:hAnsi="Times New Roman"/>
      <w:b/>
      <w:bCs/>
      <w:sz w:val="22"/>
      <w:szCs w:val="22"/>
    </w:rPr>
  </w:style>
  <w:style w:type="paragraph" w:styleId="Ttulo7">
    <w:name w:val="heading 7"/>
    <w:basedOn w:val="Normal"/>
    <w:next w:val="Normal"/>
    <w:link w:val="Ttulo7Car"/>
    <w:qFormat/>
    <w:rsid w:val="00AC7F93"/>
    <w:pPr>
      <w:keepNext/>
      <w:ind w:firstLine="720"/>
      <w:jc w:val="both"/>
      <w:outlineLvl w:val="6"/>
    </w:pPr>
    <w:rPr>
      <w:rFonts w:ascii="Tahoma" w:hAnsi="Tahoma"/>
      <w:b/>
      <w:sz w:val="22"/>
      <w:lang w:val="es-MX"/>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Ttulo1Car">
    <w:name w:val="Título 1 Car"/>
    <w:link w:val="Ttulo1"/>
    <w:rsid w:val="00AC7F93"/>
    <w:rPr>
      <w:rFonts w:ascii="Arial" w:hAnsi="Arial" w:cs="Arial"/>
      <w:b/>
      <w:bCs/>
      <w:kern w:val="32"/>
      <w:sz w:val="32"/>
      <w:szCs w:val="32"/>
      <w:lang w:val="es-AR" w:eastAsia="en-US" w:bidi="ar-SA"/>
    </w:rPr>
  </w:style>
  <w:style w:type="character" w:customStyle="1" w:styleId="Ttulo2Car">
    <w:name w:val="Título 2 Car"/>
    <w:link w:val="Ttulo2"/>
    <w:semiHidden/>
    <w:locked/>
    <w:rsid w:val="006031A2"/>
    <w:rPr>
      <w:rFonts w:ascii="Arial" w:hAnsi="Arial" w:cs="Arial"/>
      <w:b/>
      <w:bCs/>
      <w:i/>
      <w:iCs/>
      <w:sz w:val="28"/>
      <w:szCs w:val="28"/>
      <w:lang w:val="es-AR" w:eastAsia="en-US" w:bidi="ar-SA"/>
    </w:rPr>
  </w:style>
  <w:style w:type="character" w:customStyle="1" w:styleId="Ttulo3Car">
    <w:name w:val="Título 3 Car"/>
    <w:link w:val="Ttulo3"/>
    <w:semiHidden/>
    <w:locked/>
    <w:rsid w:val="006031A2"/>
    <w:rPr>
      <w:rFonts w:ascii="Arial" w:hAnsi="Arial" w:cs="Arial"/>
      <w:b/>
      <w:bCs/>
      <w:sz w:val="26"/>
      <w:szCs w:val="26"/>
      <w:lang w:val="es-AR" w:eastAsia="en-US" w:bidi="ar-SA"/>
    </w:rPr>
  </w:style>
  <w:style w:type="character" w:customStyle="1" w:styleId="Ttulo4Car">
    <w:name w:val="Título 4 Car"/>
    <w:link w:val="Ttulo4"/>
    <w:semiHidden/>
    <w:locked/>
    <w:rsid w:val="006031A2"/>
    <w:rPr>
      <w:rFonts w:ascii="Univers" w:hAnsi="Univers"/>
      <w:b/>
      <w:sz w:val="24"/>
      <w:lang w:val="es-AR" w:eastAsia="en-US" w:bidi="ar-SA"/>
    </w:rPr>
  </w:style>
  <w:style w:type="character" w:customStyle="1" w:styleId="Ttulo5Car">
    <w:name w:val="Título 5 Car"/>
    <w:link w:val="Ttulo5"/>
    <w:semiHidden/>
    <w:locked/>
    <w:rsid w:val="006031A2"/>
    <w:rPr>
      <w:rFonts w:ascii="Univers" w:hAnsi="Univers"/>
      <w:b/>
      <w:bCs/>
      <w:i/>
      <w:iCs/>
      <w:sz w:val="26"/>
      <w:szCs w:val="26"/>
      <w:lang w:val="es-AR" w:eastAsia="en-US" w:bidi="ar-SA"/>
    </w:rPr>
  </w:style>
  <w:style w:type="character" w:customStyle="1" w:styleId="Ttulo7Car">
    <w:name w:val="Título 7 Car"/>
    <w:link w:val="Ttulo7"/>
    <w:semiHidden/>
    <w:locked/>
    <w:rsid w:val="006031A2"/>
    <w:rPr>
      <w:rFonts w:ascii="Tahoma" w:hAnsi="Tahoma"/>
      <w:b/>
      <w:sz w:val="22"/>
      <w:lang w:val="es-MX" w:eastAsia="en-US" w:bidi="ar-SA"/>
    </w:rPr>
  </w:style>
  <w:style w:type="paragraph" w:styleId="Textonotapie">
    <w:name w:val="footnote text"/>
    <w:aliases w:val="Footnote reference,FA Fu,Footnote Text Char Char Char Char Char,Footnote Text Char Char Char Char,Footnote Text Char Char Char,Footnote Text Cha,FA Fußnotentext,FA Fu?notentext,Texto nota pie Car,Footnote Text Char Char,FA Fuﬂnotentext,Ca"/>
    <w:basedOn w:val="Normal"/>
    <w:link w:val="TextonotapieCar1"/>
    <w:semiHidden/>
    <w:rsid w:val="00AC7F93"/>
    <w:rPr>
      <w:rFonts w:ascii="Times New Roman" w:hAnsi="Times New Roman"/>
      <w:sz w:val="20"/>
      <w:lang w:val="en-US"/>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notentext Car,Texto nota pie Car Car"/>
    <w:link w:val="Textonotapie"/>
    <w:locked/>
    <w:rsid w:val="00AC7F93"/>
    <w:rPr>
      <w:lang w:val="en-US" w:eastAsia="en-US" w:bidi="ar-SA"/>
    </w:rPr>
  </w:style>
  <w:style w:type="character" w:styleId="Refdenotaalpie">
    <w:name w:val="footnote reference"/>
    <w:aliases w:val="Footnotes refss,Texto de nota al pie,Appel note de bas de page,Footnote number,referencia nota al pie,BVI fnr,Ref. de nota al pie.,Footnote symbol,Footnote,4_G,16 Point,Superscript 6 Point,Texto nota al pie,Ref,de nota al pie,norma"/>
    <w:semiHidden/>
    <w:rsid w:val="00AC7F93"/>
    <w:rPr>
      <w:vertAlign w:val="superscript"/>
    </w:rPr>
  </w:style>
  <w:style w:type="paragraph" w:styleId="Sangra2detindependiente">
    <w:name w:val="Body Text Indent 2"/>
    <w:basedOn w:val="Normal"/>
    <w:link w:val="Sangra2detindependienteCar"/>
    <w:rsid w:val="00AC7F93"/>
    <w:pPr>
      <w:ind w:firstLine="720"/>
      <w:jc w:val="both"/>
    </w:pPr>
    <w:rPr>
      <w:sz w:val="22"/>
      <w:lang w:val="es-CL"/>
    </w:rPr>
  </w:style>
  <w:style w:type="character" w:customStyle="1" w:styleId="Sangra2detindependienteCar">
    <w:name w:val="Sangría 2 de t. independiente Car"/>
    <w:link w:val="Sangra2detindependiente"/>
    <w:semiHidden/>
    <w:locked/>
    <w:rsid w:val="006031A2"/>
    <w:rPr>
      <w:rFonts w:ascii="Univers" w:hAnsi="Univers"/>
      <w:sz w:val="22"/>
      <w:lang w:val="es-CL" w:eastAsia="en-US" w:bidi="ar-SA"/>
    </w:rPr>
  </w:style>
  <w:style w:type="paragraph" w:styleId="Textoindependiente">
    <w:name w:val="Body Text"/>
    <w:basedOn w:val="Normal"/>
    <w:link w:val="TextoindependienteCar"/>
    <w:rsid w:val="00AC7F93"/>
    <w:pPr>
      <w:spacing w:after="120"/>
    </w:pPr>
  </w:style>
  <w:style w:type="character" w:customStyle="1" w:styleId="TextoindependienteCar">
    <w:name w:val="Texto independiente Car"/>
    <w:link w:val="Textoindependiente"/>
    <w:semiHidden/>
    <w:locked/>
    <w:rsid w:val="006031A2"/>
    <w:rPr>
      <w:rFonts w:ascii="Univers" w:hAnsi="Univers"/>
      <w:sz w:val="24"/>
      <w:lang w:val="es-AR" w:eastAsia="en-US" w:bidi="ar-SA"/>
    </w:rPr>
  </w:style>
  <w:style w:type="paragraph" w:styleId="Textoindependiente3">
    <w:name w:val="Body Text 3"/>
    <w:basedOn w:val="Normal"/>
    <w:link w:val="Textoindependiente3Car"/>
    <w:rsid w:val="00AC7F93"/>
    <w:pPr>
      <w:spacing w:after="120"/>
    </w:pPr>
    <w:rPr>
      <w:sz w:val="16"/>
      <w:szCs w:val="16"/>
    </w:rPr>
  </w:style>
  <w:style w:type="character" w:customStyle="1" w:styleId="Textoindependiente3Car">
    <w:name w:val="Texto independiente 3 Car"/>
    <w:link w:val="Textoindependiente3"/>
    <w:semiHidden/>
    <w:locked/>
    <w:rsid w:val="006031A2"/>
    <w:rPr>
      <w:rFonts w:ascii="Univers" w:hAnsi="Univers"/>
      <w:sz w:val="16"/>
      <w:szCs w:val="16"/>
      <w:lang w:val="es-AR" w:eastAsia="en-US" w:bidi="ar-SA"/>
    </w:rPr>
  </w:style>
  <w:style w:type="paragraph" w:styleId="Textoindependiente2">
    <w:name w:val="Body Text 2"/>
    <w:basedOn w:val="Normal"/>
    <w:link w:val="Textoindependiente2Car"/>
    <w:rsid w:val="00AC7F93"/>
    <w:pPr>
      <w:spacing w:after="120" w:line="480" w:lineRule="auto"/>
    </w:pPr>
  </w:style>
  <w:style w:type="character" w:customStyle="1" w:styleId="Textoindependiente2Car">
    <w:name w:val="Texto independiente 2 Car"/>
    <w:link w:val="Textoindependiente2"/>
    <w:semiHidden/>
    <w:locked/>
    <w:rsid w:val="006031A2"/>
    <w:rPr>
      <w:rFonts w:ascii="Univers" w:hAnsi="Univers"/>
      <w:sz w:val="24"/>
      <w:lang w:val="es-AR" w:eastAsia="en-US" w:bidi="ar-SA"/>
    </w:rPr>
  </w:style>
  <w:style w:type="paragraph" w:styleId="Sangradetextonormal">
    <w:name w:val="Body Text Indent"/>
    <w:basedOn w:val="Normal"/>
    <w:link w:val="SangradetextonormalCar"/>
    <w:rsid w:val="00AC7F93"/>
    <w:pPr>
      <w:spacing w:after="120"/>
      <w:ind w:left="360"/>
    </w:pPr>
  </w:style>
  <w:style w:type="character" w:customStyle="1" w:styleId="SangradetextonormalCar">
    <w:name w:val="Sangría de texto normal Car"/>
    <w:link w:val="Sangradetextonormal"/>
    <w:semiHidden/>
    <w:locked/>
    <w:rsid w:val="006031A2"/>
    <w:rPr>
      <w:rFonts w:ascii="Univers" w:hAnsi="Univers"/>
      <w:sz w:val="24"/>
      <w:lang w:val="es-AR" w:eastAsia="en-US" w:bidi="ar-SA"/>
    </w:rPr>
  </w:style>
  <w:style w:type="paragraph" w:styleId="Sangra3detindependiente">
    <w:name w:val="Body Text Indent 3"/>
    <w:basedOn w:val="Normal"/>
    <w:link w:val="Sangra3detindependienteCar"/>
    <w:rsid w:val="00AC7F93"/>
    <w:pPr>
      <w:spacing w:after="120"/>
      <w:ind w:left="360"/>
    </w:pPr>
    <w:rPr>
      <w:sz w:val="16"/>
      <w:szCs w:val="16"/>
    </w:rPr>
  </w:style>
  <w:style w:type="character" w:customStyle="1" w:styleId="Sangra3detindependienteCar">
    <w:name w:val="Sangría 3 de t. independiente Car"/>
    <w:link w:val="Sangra3detindependiente"/>
    <w:semiHidden/>
    <w:locked/>
    <w:rsid w:val="006031A2"/>
    <w:rPr>
      <w:rFonts w:ascii="Univers" w:hAnsi="Univers"/>
      <w:sz w:val="16"/>
      <w:szCs w:val="16"/>
      <w:lang w:val="es-AR" w:eastAsia="en-US" w:bidi="ar-SA"/>
    </w:rPr>
  </w:style>
  <w:style w:type="paragraph" w:styleId="Textodebloque">
    <w:name w:val="Block Text"/>
    <w:basedOn w:val="Normal"/>
    <w:rsid w:val="00AC7F93"/>
    <w:pPr>
      <w:ind w:left="426" w:right="425"/>
      <w:jc w:val="both"/>
    </w:pPr>
    <w:rPr>
      <w:rFonts w:ascii="Arial" w:hAnsi="Arial"/>
      <w:i/>
      <w:sz w:val="20"/>
      <w:lang w:val="es-ES_tradnl"/>
    </w:rPr>
  </w:style>
  <w:style w:type="paragraph" w:customStyle="1" w:styleId="Estndar">
    <w:name w:val="Estándar"/>
    <w:rsid w:val="00AC7F93"/>
    <w:pPr>
      <w:overflowPunct w:val="0"/>
      <w:autoSpaceDE w:val="0"/>
      <w:autoSpaceDN w:val="0"/>
      <w:adjustRightInd w:val="0"/>
      <w:textAlignment w:val="baseline"/>
    </w:pPr>
    <w:rPr>
      <w:color w:val="000000"/>
      <w:sz w:val="24"/>
      <w:lang w:val="es-ES_tradnl" w:eastAsia="en-US"/>
    </w:rPr>
  </w:style>
  <w:style w:type="paragraph" w:styleId="NormalWeb">
    <w:name w:val="Normal (Web)"/>
    <w:basedOn w:val="Normal"/>
    <w:rsid w:val="00AC7F93"/>
    <w:pPr>
      <w:spacing w:before="100" w:beforeAutospacing="1" w:after="100" w:afterAutospacing="1"/>
    </w:pPr>
    <w:rPr>
      <w:rFonts w:ascii="Arial Unicode MS" w:eastAsia="Arial Unicode MS" w:hAnsi="Arial Unicode MS" w:cs="Courier New"/>
      <w:szCs w:val="24"/>
      <w:lang w:val="en-US"/>
    </w:rPr>
  </w:style>
  <w:style w:type="paragraph" w:styleId="Piedepgina">
    <w:name w:val="footer"/>
    <w:basedOn w:val="Normal"/>
    <w:link w:val="PiedepginaCar"/>
    <w:rsid w:val="00AC7F93"/>
    <w:pPr>
      <w:tabs>
        <w:tab w:val="center" w:pos="4419"/>
        <w:tab w:val="right" w:pos="8838"/>
      </w:tabs>
    </w:pPr>
  </w:style>
  <w:style w:type="character" w:customStyle="1" w:styleId="PiedepginaCar">
    <w:name w:val="Pie de página Car"/>
    <w:link w:val="Piedepgina"/>
    <w:semiHidden/>
    <w:locked/>
    <w:rsid w:val="006031A2"/>
    <w:rPr>
      <w:rFonts w:ascii="Univers" w:hAnsi="Univers"/>
      <w:sz w:val="24"/>
      <w:lang w:val="es-AR" w:eastAsia="en-US" w:bidi="ar-SA"/>
    </w:rPr>
  </w:style>
  <w:style w:type="character" w:styleId="Nmerodepgina">
    <w:name w:val="page number"/>
    <w:basedOn w:val="Fuentedeprrafopredeter"/>
    <w:rsid w:val="00AC7F93"/>
  </w:style>
  <w:style w:type="paragraph" w:styleId="Encabezado">
    <w:name w:val="header"/>
    <w:basedOn w:val="Normal"/>
    <w:link w:val="EncabezadoCar"/>
    <w:rsid w:val="00AC7F93"/>
    <w:pPr>
      <w:tabs>
        <w:tab w:val="center" w:pos="4320"/>
        <w:tab w:val="right" w:pos="8640"/>
      </w:tabs>
    </w:pPr>
  </w:style>
  <w:style w:type="character" w:customStyle="1" w:styleId="EncabezadoCar">
    <w:name w:val="Encabezado Car"/>
    <w:link w:val="Encabezado"/>
    <w:semiHidden/>
    <w:locked/>
    <w:rsid w:val="006031A2"/>
    <w:rPr>
      <w:rFonts w:ascii="Univers" w:hAnsi="Univers"/>
      <w:sz w:val="24"/>
      <w:lang w:val="es-AR" w:eastAsia="en-US" w:bidi="ar-SA"/>
    </w:rPr>
  </w:style>
  <w:style w:type="character" w:styleId="Hipervnculo">
    <w:name w:val="Hyperlink"/>
    <w:rsid w:val="00AC7F93"/>
    <w:rPr>
      <w:color w:val="0000FF"/>
      <w:u w:val="single"/>
    </w:rPr>
  </w:style>
  <w:style w:type="character" w:styleId="Hipervnculovisitado">
    <w:name w:val="FollowedHyperlink"/>
    <w:rsid w:val="00AC7F93"/>
    <w:rPr>
      <w:color w:val="800080"/>
      <w:u w:val="single"/>
    </w:rPr>
  </w:style>
  <w:style w:type="paragraph" w:styleId="Textosinformato">
    <w:name w:val="Plain Text"/>
    <w:basedOn w:val="Normal"/>
    <w:link w:val="TextosinformatoCar"/>
    <w:rsid w:val="00AC7F93"/>
    <w:rPr>
      <w:rFonts w:ascii="Courier New" w:hAnsi="Courier New" w:cs="Courier New"/>
      <w:color w:val="000000"/>
      <w:sz w:val="20"/>
      <w:lang w:val="en-US"/>
    </w:rPr>
  </w:style>
  <w:style w:type="character" w:customStyle="1" w:styleId="TextosinformatoCar">
    <w:name w:val="Texto sin formato Car"/>
    <w:link w:val="Textosinformato"/>
    <w:semiHidden/>
    <w:locked/>
    <w:rsid w:val="006031A2"/>
    <w:rPr>
      <w:rFonts w:ascii="Courier New" w:hAnsi="Courier New" w:cs="Courier New"/>
      <w:color w:val="000000"/>
      <w:lang w:val="en-US" w:eastAsia="en-US" w:bidi="ar-SA"/>
    </w:rPr>
  </w:style>
  <w:style w:type="paragraph" w:customStyle="1" w:styleId="Default">
    <w:name w:val="Default"/>
    <w:rsid w:val="00AC7F93"/>
    <w:pPr>
      <w:autoSpaceDE w:val="0"/>
      <w:autoSpaceDN w:val="0"/>
      <w:adjustRightInd w:val="0"/>
    </w:pPr>
    <w:rPr>
      <w:rFonts w:ascii="Univers" w:hAnsi="Univers" w:cs="Univers"/>
      <w:color w:val="000000"/>
      <w:sz w:val="24"/>
      <w:szCs w:val="24"/>
      <w:lang w:val="en-US" w:eastAsia="en-US"/>
    </w:rPr>
  </w:style>
  <w:style w:type="paragraph" w:styleId="Prrafodelista">
    <w:name w:val="List Paragraph"/>
    <w:basedOn w:val="Normal"/>
    <w:qFormat/>
    <w:rsid w:val="00AC7F93"/>
    <w:pPr>
      <w:ind w:left="720"/>
    </w:pPr>
  </w:style>
  <w:style w:type="paragraph" w:styleId="Mapadeldocumento">
    <w:name w:val="Document Map"/>
    <w:basedOn w:val="Normal"/>
    <w:link w:val="MapadeldocumentoCar"/>
    <w:semiHidden/>
    <w:rsid w:val="00166F5A"/>
    <w:pPr>
      <w:shd w:val="clear" w:color="auto" w:fill="000080"/>
    </w:pPr>
    <w:rPr>
      <w:rFonts w:ascii="Tahoma" w:hAnsi="Tahoma" w:cs="Tahoma"/>
      <w:sz w:val="20"/>
    </w:rPr>
  </w:style>
  <w:style w:type="character" w:customStyle="1" w:styleId="MapadeldocumentoCar">
    <w:name w:val="Mapa del documento Car"/>
    <w:link w:val="Mapadeldocumento"/>
    <w:semiHidden/>
    <w:locked/>
    <w:rsid w:val="006031A2"/>
    <w:rPr>
      <w:rFonts w:ascii="Tahoma" w:hAnsi="Tahoma" w:cs="Tahoma"/>
      <w:lang w:val="es-AR" w:eastAsia="en-US" w:bidi="ar-SA"/>
    </w:rPr>
  </w:style>
  <w:style w:type="paragraph" w:customStyle="1" w:styleId="PrrafodeSentencia">
    <w:name w:val="*. Párrafo de Sentencia"/>
    <w:basedOn w:val="Normal"/>
    <w:autoRedefine/>
    <w:qFormat/>
    <w:rsid w:val="00ED6E9B"/>
    <w:pPr>
      <w:numPr>
        <w:numId w:val="13"/>
      </w:numPr>
      <w:spacing w:before="120" w:after="120"/>
      <w:jc w:val="both"/>
    </w:pPr>
    <w:rPr>
      <w:rFonts w:eastAsia="Batang"/>
      <w:sz w:val="20"/>
      <w:lang w:val="es-CL" w:eastAsia="es-MX"/>
    </w:rPr>
  </w:style>
  <w:style w:type="paragraph" w:styleId="TDC1">
    <w:name w:val="toc 1"/>
    <w:basedOn w:val="Normal"/>
    <w:next w:val="Normal"/>
    <w:autoRedefine/>
    <w:semiHidden/>
    <w:rsid w:val="00D32A43"/>
  </w:style>
  <w:style w:type="paragraph" w:styleId="TDC2">
    <w:name w:val="toc 2"/>
    <w:basedOn w:val="Normal"/>
    <w:next w:val="Normal"/>
    <w:autoRedefine/>
    <w:semiHidden/>
    <w:rsid w:val="00D32A43"/>
    <w:pPr>
      <w:tabs>
        <w:tab w:val="left" w:pos="1440"/>
        <w:tab w:val="right" w:leader="dot" w:pos="9350"/>
      </w:tabs>
      <w:ind w:left="1440" w:hanging="720"/>
    </w:pPr>
  </w:style>
  <w:style w:type="paragraph" w:styleId="TDC3">
    <w:name w:val="toc 3"/>
    <w:basedOn w:val="Normal"/>
    <w:next w:val="Normal"/>
    <w:autoRedefine/>
    <w:semiHidden/>
    <w:rsid w:val="00D32A43"/>
    <w:pPr>
      <w:tabs>
        <w:tab w:val="left" w:pos="2160"/>
        <w:tab w:val="right" w:leader="dot" w:pos="9350"/>
      </w:tabs>
      <w:ind w:left="2160" w:hanging="720"/>
    </w:pPr>
  </w:style>
  <w:style w:type="paragraph" w:styleId="Textodeglobo">
    <w:name w:val="Balloon Text"/>
    <w:basedOn w:val="Normal"/>
    <w:semiHidden/>
    <w:rsid w:val="00A43B2B"/>
    <w:rPr>
      <w:rFonts w:ascii="Tahoma" w:hAnsi="Tahoma" w:cs="Tahoma"/>
      <w:sz w:val="16"/>
      <w:szCs w:val="16"/>
    </w:rPr>
  </w:style>
  <w:style w:type="paragraph" w:customStyle="1" w:styleId="negritamayuscula">
    <w:name w:val="negrita mayuscula"/>
    <w:basedOn w:val="Normal"/>
    <w:rsid w:val="00FE6190"/>
    <w:pPr>
      <w:widowControl w:val="0"/>
      <w:tabs>
        <w:tab w:val="left" w:pos="1120"/>
      </w:tabs>
      <w:spacing w:line="360" w:lineRule="atLeast"/>
      <w:jc w:val="both"/>
    </w:pPr>
    <w:rPr>
      <w:rFonts w:ascii="Garamond" w:hAnsi="Garamond"/>
      <w:lang w:val="es-ES_tradnl"/>
    </w:rPr>
  </w:style>
  <w:style w:type="table" w:styleId="Tablaconcuadrcula">
    <w:name w:val="Table Grid"/>
    <w:basedOn w:val="Tablanormal"/>
    <w:rsid w:val="006303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2478850">
      <w:bodyDiv w:val="1"/>
      <w:marLeft w:val="0"/>
      <w:marRight w:val="0"/>
      <w:marTop w:val="0"/>
      <w:marBottom w:val="0"/>
      <w:divBdr>
        <w:top w:val="none" w:sz="0" w:space="0" w:color="auto"/>
        <w:left w:val="none" w:sz="0" w:space="0" w:color="auto"/>
        <w:bottom w:val="none" w:sz="0" w:space="0" w:color="auto"/>
        <w:right w:val="none" w:sz="0" w:space="0" w:color="auto"/>
      </w:divBdr>
    </w:div>
    <w:div w:id="1418862141">
      <w:bodyDiv w:val="1"/>
      <w:marLeft w:val="0"/>
      <w:marRight w:val="0"/>
      <w:marTop w:val="0"/>
      <w:marBottom w:val="0"/>
      <w:divBdr>
        <w:top w:val="none" w:sz="0" w:space="0" w:color="auto"/>
        <w:left w:val="none" w:sz="0" w:space="0" w:color="auto"/>
        <w:bottom w:val="none" w:sz="0" w:space="0" w:color="auto"/>
        <w:right w:val="none" w:sz="0" w:space="0" w:color="auto"/>
      </w:divBdr>
      <w:divsChild>
        <w:div w:id="25911475">
          <w:marLeft w:val="0"/>
          <w:marRight w:val="0"/>
          <w:marTop w:val="0"/>
          <w:marBottom w:val="0"/>
          <w:divBdr>
            <w:top w:val="none" w:sz="0" w:space="0" w:color="auto"/>
            <w:left w:val="none" w:sz="0" w:space="0" w:color="auto"/>
            <w:bottom w:val="none" w:sz="0" w:space="0" w:color="auto"/>
            <w:right w:val="none" w:sz="0" w:space="0" w:color="auto"/>
          </w:divBdr>
          <w:divsChild>
            <w:div w:id="482552261">
              <w:marLeft w:val="0"/>
              <w:marRight w:val="0"/>
              <w:marTop w:val="0"/>
              <w:marBottom w:val="0"/>
              <w:divBdr>
                <w:top w:val="none" w:sz="0" w:space="0" w:color="auto"/>
                <w:left w:val="none" w:sz="0" w:space="0" w:color="auto"/>
                <w:bottom w:val="none" w:sz="0" w:space="0" w:color="auto"/>
                <w:right w:val="none" w:sz="0" w:space="0" w:color="auto"/>
              </w:divBdr>
              <w:divsChild>
                <w:div w:id="1945965216">
                  <w:marLeft w:val="0"/>
                  <w:marRight w:val="0"/>
                  <w:marTop w:val="0"/>
                  <w:marBottom w:val="0"/>
                  <w:divBdr>
                    <w:top w:val="none" w:sz="0" w:space="0" w:color="auto"/>
                    <w:left w:val="none" w:sz="0" w:space="0" w:color="auto"/>
                    <w:bottom w:val="none" w:sz="0" w:space="0" w:color="auto"/>
                    <w:right w:val="none" w:sz="0" w:space="0" w:color="auto"/>
                  </w:divBdr>
                  <w:divsChild>
                    <w:div w:id="364647692">
                      <w:marLeft w:val="0"/>
                      <w:marRight w:val="0"/>
                      <w:marTop w:val="0"/>
                      <w:marBottom w:val="0"/>
                      <w:divBdr>
                        <w:top w:val="none" w:sz="0" w:space="0" w:color="auto"/>
                        <w:left w:val="none" w:sz="0" w:space="0" w:color="auto"/>
                        <w:bottom w:val="none" w:sz="0" w:space="0" w:color="auto"/>
                        <w:right w:val="none" w:sz="0" w:space="0" w:color="auto"/>
                      </w:divBdr>
                      <w:divsChild>
                        <w:div w:id="4505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nesco.org/culture/ich/index.php?lg=ES&amp;cp=HN" TargetMode="External"/><Relationship Id="rId13" Type="http://schemas.openxmlformats.org/officeDocument/2006/relationships/hyperlink" Target="http://old.latribuna.hn/2011/05/22/reserva-forestal-sierra-rio-tinto-se-impulsa-proceso-para-declararla-legalmente-como-un-parque-nacional/" TargetMode="External"/><Relationship Id="rId3" Type="http://schemas.openxmlformats.org/officeDocument/2006/relationships/hyperlink" Target="http://www2.ohchr.org/english/issues/minorities/docs/OFRANEH3a.doc" TargetMode="External"/><Relationship Id="rId7" Type="http://schemas.openxmlformats.org/officeDocument/2006/relationships/hyperlink" Target="http://siteresources.worldbank.org/EXTINSPECTIONPANEL/Resources/HondurasFINALINVESTIGATIONREPORTSpanishTrad.pdf" TargetMode="External"/><Relationship Id="rId12" Type="http://schemas.openxmlformats.org/officeDocument/2006/relationships/hyperlink" Target="http://siteresources.worldbank.org/EXTINSPECTIONPANEL/Resources/HondurasFINALINVESTIGATIONREPORTSpanishTrad.pdf" TargetMode="External"/><Relationship Id="rId17" Type="http://schemas.openxmlformats.org/officeDocument/2006/relationships/hyperlink" Target="http://www.congresonacional.hn/index.php?option=com_wrapper&amp;view=wrapper&amp;Itemid=66" TargetMode="External"/><Relationship Id="rId2" Type="http://schemas.openxmlformats.org/officeDocument/2006/relationships/hyperlink" Target="http://www.bvsde.paho.org/bvsacd/cd47/etnica.pdf" TargetMode="External"/><Relationship Id="rId16" Type="http://schemas.openxmlformats.org/officeDocument/2006/relationships/hyperlink" Target="http://www.tsc.gob.hn/leyes/Declarar%20como%20area%20protegida%20el%20Parque%20Nacional%20Sierra%20Rio%20Tinto%20Iriona%20Colon.pdf" TargetMode="External"/><Relationship Id="rId1" Type="http://schemas.openxmlformats.org/officeDocument/2006/relationships/hyperlink" Target="http://www.ine.gob.hn/drupal/node/301" TargetMode="External"/><Relationship Id="rId6" Type="http://schemas.openxmlformats.org/officeDocument/2006/relationships/hyperlink" Target="http://siteresources.worldbank.org/EXTINSPECTIONPANEL/Resources/HondurasFINALINVESTIGATIONREPORTSpanishTrad.pdf" TargetMode="External"/><Relationship Id="rId11" Type="http://schemas.openxmlformats.org/officeDocument/2006/relationships/hyperlink" Target="http://www.ina.hn/userfiles/file/nuevos/ley_para_la_modernizacion_y_desarrollo_del_sector_agricola_lmdsa.pdf" TargetMode="External"/><Relationship Id="rId5" Type="http://schemas.openxmlformats.org/officeDocument/2006/relationships/hyperlink" Target="http://siteresources.worldbank.org/EXTINSPECTIONPANEL/Resources/HondurasFINALINVESTIGATIONREPORTSpanishTrad.pdf" TargetMode="External"/><Relationship Id="rId15" Type="http://schemas.openxmlformats.org/officeDocument/2006/relationships/hyperlink" Target="http://www.tsc.gob.hn/leyes/Declarar%20como%20area%20protegida%20el%20Parque%20Nacional%20Sierra%20Rio%20Tinto%20Iriona%20Colon.pdf" TargetMode="External"/><Relationship Id="rId10" Type="http://schemas.openxmlformats.org/officeDocument/2006/relationships/hyperlink" Target="http://ccarconline.org/Honduraseng.htm" TargetMode="External"/><Relationship Id="rId4" Type="http://schemas.openxmlformats.org/officeDocument/2006/relationships/hyperlink" Target="http://ccarconline.org/Honduraseng.htm" TargetMode="External"/><Relationship Id="rId9" Type="http://schemas.openxmlformats.org/officeDocument/2006/relationships/hyperlink" Target="http://www.unesco.org/culture/ich/index.php?lg=ES&amp;cp=HN" TargetMode="External"/><Relationship Id="rId14" Type="http://schemas.openxmlformats.org/officeDocument/2006/relationships/hyperlink" Target="http://old.latribuna.hn/2011/05/22/reserva-forestal-sierra-rio-tinto-se-impulsa-proceso-para-declararla-legalmente-como-un-parque-nacion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15062</Words>
  <Characters>82847</Characters>
  <Application>Microsoft Office Word</Application>
  <DocSecurity>0</DocSecurity>
  <Lines>690</Lines>
  <Paragraphs>195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Nº XX/12</vt:lpstr>
      <vt:lpstr>INFORME Nº XX/12</vt:lpstr>
    </vt:vector>
  </TitlesOfParts>
  <Company>Organization of American States</Company>
  <LinksUpToDate>false</LinksUpToDate>
  <CharactersWithSpaces>97714</CharactersWithSpaces>
  <SharedDoc>false</SharedDoc>
  <HLinks>
    <vt:vector size="252" baseType="variant">
      <vt:variant>
        <vt:i4>1638462</vt:i4>
      </vt:variant>
      <vt:variant>
        <vt:i4>146</vt:i4>
      </vt:variant>
      <vt:variant>
        <vt:i4>0</vt:i4>
      </vt:variant>
      <vt:variant>
        <vt:i4>5</vt:i4>
      </vt:variant>
      <vt:variant>
        <vt:lpwstr/>
      </vt:variant>
      <vt:variant>
        <vt:lpwstr>_Toc350183595</vt:lpwstr>
      </vt:variant>
      <vt:variant>
        <vt:i4>1638462</vt:i4>
      </vt:variant>
      <vt:variant>
        <vt:i4>140</vt:i4>
      </vt:variant>
      <vt:variant>
        <vt:i4>0</vt:i4>
      </vt:variant>
      <vt:variant>
        <vt:i4>5</vt:i4>
      </vt:variant>
      <vt:variant>
        <vt:lpwstr/>
      </vt:variant>
      <vt:variant>
        <vt:lpwstr>_Toc350183594</vt:lpwstr>
      </vt:variant>
      <vt:variant>
        <vt:i4>1638462</vt:i4>
      </vt:variant>
      <vt:variant>
        <vt:i4>134</vt:i4>
      </vt:variant>
      <vt:variant>
        <vt:i4>0</vt:i4>
      </vt:variant>
      <vt:variant>
        <vt:i4>5</vt:i4>
      </vt:variant>
      <vt:variant>
        <vt:lpwstr/>
      </vt:variant>
      <vt:variant>
        <vt:lpwstr>_Toc350183593</vt:lpwstr>
      </vt:variant>
      <vt:variant>
        <vt:i4>1638462</vt:i4>
      </vt:variant>
      <vt:variant>
        <vt:i4>128</vt:i4>
      </vt:variant>
      <vt:variant>
        <vt:i4>0</vt:i4>
      </vt:variant>
      <vt:variant>
        <vt:i4>5</vt:i4>
      </vt:variant>
      <vt:variant>
        <vt:lpwstr/>
      </vt:variant>
      <vt:variant>
        <vt:lpwstr>_Toc350183592</vt:lpwstr>
      </vt:variant>
      <vt:variant>
        <vt:i4>1638462</vt:i4>
      </vt:variant>
      <vt:variant>
        <vt:i4>122</vt:i4>
      </vt:variant>
      <vt:variant>
        <vt:i4>0</vt:i4>
      </vt:variant>
      <vt:variant>
        <vt:i4>5</vt:i4>
      </vt:variant>
      <vt:variant>
        <vt:lpwstr/>
      </vt:variant>
      <vt:variant>
        <vt:lpwstr>_Toc350183591</vt:lpwstr>
      </vt:variant>
      <vt:variant>
        <vt:i4>1638462</vt:i4>
      </vt:variant>
      <vt:variant>
        <vt:i4>116</vt:i4>
      </vt:variant>
      <vt:variant>
        <vt:i4>0</vt:i4>
      </vt:variant>
      <vt:variant>
        <vt:i4>5</vt:i4>
      </vt:variant>
      <vt:variant>
        <vt:lpwstr/>
      </vt:variant>
      <vt:variant>
        <vt:lpwstr>_Toc350183590</vt:lpwstr>
      </vt:variant>
      <vt:variant>
        <vt:i4>1572926</vt:i4>
      </vt:variant>
      <vt:variant>
        <vt:i4>110</vt:i4>
      </vt:variant>
      <vt:variant>
        <vt:i4>0</vt:i4>
      </vt:variant>
      <vt:variant>
        <vt:i4>5</vt:i4>
      </vt:variant>
      <vt:variant>
        <vt:lpwstr/>
      </vt:variant>
      <vt:variant>
        <vt:lpwstr>_Toc350183589</vt:lpwstr>
      </vt:variant>
      <vt:variant>
        <vt:i4>1572926</vt:i4>
      </vt:variant>
      <vt:variant>
        <vt:i4>104</vt:i4>
      </vt:variant>
      <vt:variant>
        <vt:i4>0</vt:i4>
      </vt:variant>
      <vt:variant>
        <vt:i4>5</vt:i4>
      </vt:variant>
      <vt:variant>
        <vt:lpwstr/>
      </vt:variant>
      <vt:variant>
        <vt:lpwstr>_Toc350183588</vt:lpwstr>
      </vt:variant>
      <vt:variant>
        <vt:i4>1572926</vt:i4>
      </vt:variant>
      <vt:variant>
        <vt:i4>98</vt:i4>
      </vt:variant>
      <vt:variant>
        <vt:i4>0</vt:i4>
      </vt:variant>
      <vt:variant>
        <vt:i4>5</vt:i4>
      </vt:variant>
      <vt:variant>
        <vt:lpwstr/>
      </vt:variant>
      <vt:variant>
        <vt:lpwstr>_Toc350183587</vt:lpwstr>
      </vt:variant>
      <vt:variant>
        <vt:i4>1572926</vt:i4>
      </vt:variant>
      <vt:variant>
        <vt:i4>92</vt:i4>
      </vt:variant>
      <vt:variant>
        <vt:i4>0</vt:i4>
      </vt:variant>
      <vt:variant>
        <vt:i4>5</vt:i4>
      </vt:variant>
      <vt:variant>
        <vt:lpwstr/>
      </vt:variant>
      <vt:variant>
        <vt:lpwstr>_Toc350183586</vt:lpwstr>
      </vt:variant>
      <vt:variant>
        <vt:i4>1572926</vt:i4>
      </vt:variant>
      <vt:variant>
        <vt:i4>86</vt:i4>
      </vt:variant>
      <vt:variant>
        <vt:i4>0</vt:i4>
      </vt:variant>
      <vt:variant>
        <vt:i4>5</vt:i4>
      </vt:variant>
      <vt:variant>
        <vt:lpwstr/>
      </vt:variant>
      <vt:variant>
        <vt:lpwstr>_Toc350183585</vt:lpwstr>
      </vt:variant>
      <vt:variant>
        <vt:i4>1572926</vt:i4>
      </vt:variant>
      <vt:variant>
        <vt:i4>80</vt:i4>
      </vt:variant>
      <vt:variant>
        <vt:i4>0</vt:i4>
      </vt:variant>
      <vt:variant>
        <vt:i4>5</vt:i4>
      </vt:variant>
      <vt:variant>
        <vt:lpwstr/>
      </vt:variant>
      <vt:variant>
        <vt:lpwstr>_Toc350183584</vt:lpwstr>
      </vt:variant>
      <vt:variant>
        <vt:i4>1572926</vt:i4>
      </vt:variant>
      <vt:variant>
        <vt:i4>74</vt:i4>
      </vt:variant>
      <vt:variant>
        <vt:i4>0</vt:i4>
      </vt:variant>
      <vt:variant>
        <vt:i4>5</vt:i4>
      </vt:variant>
      <vt:variant>
        <vt:lpwstr/>
      </vt:variant>
      <vt:variant>
        <vt:lpwstr>_Toc350183583</vt:lpwstr>
      </vt:variant>
      <vt:variant>
        <vt:i4>1572926</vt:i4>
      </vt:variant>
      <vt:variant>
        <vt:i4>68</vt:i4>
      </vt:variant>
      <vt:variant>
        <vt:i4>0</vt:i4>
      </vt:variant>
      <vt:variant>
        <vt:i4>5</vt:i4>
      </vt:variant>
      <vt:variant>
        <vt:lpwstr/>
      </vt:variant>
      <vt:variant>
        <vt:lpwstr>_Toc350183582</vt:lpwstr>
      </vt:variant>
      <vt:variant>
        <vt:i4>1572926</vt:i4>
      </vt:variant>
      <vt:variant>
        <vt:i4>62</vt:i4>
      </vt:variant>
      <vt:variant>
        <vt:i4>0</vt:i4>
      </vt:variant>
      <vt:variant>
        <vt:i4>5</vt:i4>
      </vt:variant>
      <vt:variant>
        <vt:lpwstr/>
      </vt:variant>
      <vt:variant>
        <vt:lpwstr>_Toc350183581</vt:lpwstr>
      </vt:variant>
      <vt:variant>
        <vt:i4>1572926</vt:i4>
      </vt:variant>
      <vt:variant>
        <vt:i4>56</vt:i4>
      </vt:variant>
      <vt:variant>
        <vt:i4>0</vt:i4>
      </vt:variant>
      <vt:variant>
        <vt:i4>5</vt:i4>
      </vt:variant>
      <vt:variant>
        <vt:lpwstr/>
      </vt:variant>
      <vt:variant>
        <vt:lpwstr>_Toc350183580</vt:lpwstr>
      </vt:variant>
      <vt:variant>
        <vt:i4>1507390</vt:i4>
      </vt:variant>
      <vt:variant>
        <vt:i4>50</vt:i4>
      </vt:variant>
      <vt:variant>
        <vt:i4>0</vt:i4>
      </vt:variant>
      <vt:variant>
        <vt:i4>5</vt:i4>
      </vt:variant>
      <vt:variant>
        <vt:lpwstr/>
      </vt:variant>
      <vt:variant>
        <vt:lpwstr>_Toc350183579</vt:lpwstr>
      </vt:variant>
      <vt:variant>
        <vt:i4>1507390</vt:i4>
      </vt:variant>
      <vt:variant>
        <vt:i4>44</vt:i4>
      </vt:variant>
      <vt:variant>
        <vt:i4>0</vt:i4>
      </vt:variant>
      <vt:variant>
        <vt:i4>5</vt:i4>
      </vt:variant>
      <vt:variant>
        <vt:lpwstr/>
      </vt:variant>
      <vt:variant>
        <vt:lpwstr>_Toc350183578</vt:lpwstr>
      </vt:variant>
      <vt:variant>
        <vt:i4>1507390</vt:i4>
      </vt:variant>
      <vt:variant>
        <vt:i4>38</vt:i4>
      </vt:variant>
      <vt:variant>
        <vt:i4>0</vt:i4>
      </vt:variant>
      <vt:variant>
        <vt:i4>5</vt:i4>
      </vt:variant>
      <vt:variant>
        <vt:lpwstr/>
      </vt:variant>
      <vt:variant>
        <vt:lpwstr>_Toc350183577</vt:lpwstr>
      </vt:variant>
      <vt:variant>
        <vt:i4>1507390</vt:i4>
      </vt:variant>
      <vt:variant>
        <vt:i4>32</vt:i4>
      </vt:variant>
      <vt:variant>
        <vt:i4>0</vt:i4>
      </vt:variant>
      <vt:variant>
        <vt:i4>5</vt:i4>
      </vt:variant>
      <vt:variant>
        <vt:lpwstr/>
      </vt:variant>
      <vt:variant>
        <vt:lpwstr>_Toc350183576</vt:lpwstr>
      </vt:variant>
      <vt:variant>
        <vt:i4>1507390</vt:i4>
      </vt:variant>
      <vt:variant>
        <vt:i4>26</vt:i4>
      </vt:variant>
      <vt:variant>
        <vt:i4>0</vt:i4>
      </vt:variant>
      <vt:variant>
        <vt:i4>5</vt:i4>
      </vt:variant>
      <vt:variant>
        <vt:lpwstr/>
      </vt:variant>
      <vt:variant>
        <vt:lpwstr>_Toc350183575</vt:lpwstr>
      </vt:variant>
      <vt:variant>
        <vt:i4>1507390</vt:i4>
      </vt:variant>
      <vt:variant>
        <vt:i4>20</vt:i4>
      </vt:variant>
      <vt:variant>
        <vt:i4>0</vt:i4>
      </vt:variant>
      <vt:variant>
        <vt:i4>5</vt:i4>
      </vt:variant>
      <vt:variant>
        <vt:lpwstr/>
      </vt:variant>
      <vt:variant>
        <vt:lpwstr>_Toc350183574</vt:lpwstr>
      </vt:variant>
      <vt:variant>
        <vt:i4>1507390</vt:i4>
      </vt:variant>
      <vt:variant>
        <vt:i4>14</vt:i4>
      </vt:variant>
      <vt:variant>
        <vt:i4>0</vt:i4>
      </vt:variant>
      <vt:variant>
        <vt:i4>5</vt:i4>
      </vt:variant>
      <vt:variant>
        <vt:lpwstr/>
      </vt:variant>
      <vt:variant>
        <vt:lpwstr>_Toc350183573</vt:lpwstr>
      </vt:variant>
      <vt:variant>
        <vt:i4>1507390</vt:i4>
      </vt:variant>
      <vt:variant>
        <vt:i4>8</vt:i4>
      </vt:variant>
      <vt:variant>
        <vt:i4>0</vt:i4>
      </vt:variant>
      <vt:variant>
        <vt:i4>5</vt:i4>
      </vt:variant>
      <vt:variant>
        <vt:lpwstr/>
      </vt:variant>
      <vt:variant>
        <vt:lpwstr>_Toc350183572</vt:lpwstr>
      </vt:variant>
      <vt:variant>
        <vt:i4>1507390</vt:i4>
      </vt:variant>
      <vt:variant>
        <vt:i4>2</vt:i4>
      </vt:variant>
      <vt:variant>
        <vt:i4>0</vt:i4>
      </vt:variant>
      <vt:variant>
        <vt:i4>5</vt:i4>
      </vt:variant>
      <vt:variant>
        <vt:lpwstr/>
      </vt:variant>
      <vt:variant>
        <vt:lpwstr>_Toc350183571</vt:lpwstr>
      </vt:variant>
      <vt:variant>
        <vt:i4>5046308</vt:i4>
      </vt:variant>
      <vt:variant>
        <vt:i4>48</vt:i4>
      </vt:variant>
      <vt:variant>
        <vt:i4>0</vt:i4>
      </vt:variant>
      <vt:variant>
        <vt:i4>5</vt:i4>
      </vt:variant>
      <vt:variant>
        <vt:lpwstr>http://www.congresonacional.hn/index.php?option=com_wrapper&amp;view=wrapper&amp;Itemid=66</vt:lpwstr>
      </vt:variant>
      <vt:variant>
        <vt:lpwstr/>
      </vt:variant>
      <vt:variant>
        <vt:i4>1179662</vt:i4>
      </vt:variant>
      <vt:variant>
        <vt:i4>45</vt:i4>
      </vt:variant>
      <vt:variant>
        <vt:i4>0</vt:i4>
      </vt:variant>
      <vt:variant>
        <vt:i4>5</vt:i4>
      </vt:variant>
      <vt:variant>
        <vt:lpwstr>http://www.tsc.gob.hn/leyes/Declarar como area protegida el Parque Nacional Sierra Rio Tinto Iriona Colon.pdf</vt:lpwstr>
      </vt:variant>
      <vt:variant>
        <vt:lpwstr/>
      </vt:variant>
      <vt:variant>
        <vt:i4>1179662</vt:i4>
      </vt:variant>
      <vt:variant>
        <vt:i4>42</vt:i4>
      </vt:variant>
      <vt:variant>
        <vt:i4>0</vt:i4>
      </vt:variant>
      <vt:variant>
        <vt:i4>5</vt:i4>
      </vt:variant>
      <vt:variant>
        <vt:lpwstr>http://www.tsc.gob.hn/leyes/Declarar como area protegida el Parque Nacional Sierra Rio Tinto Iriona Colon.pdf</vt:lpwstr>
      </vt:variant>
      <vt:variant>
        <vt:lpwstr/>
      </vt:variant>
      <vt:variant>
        <vt:i4>7012402</vt:i4>
      </vt:variant>
      <vt:variant>
        <vt:i4>39</vt:i4>
      </vt:variant>
      <vt:variant>
        <vt:i4>0</vt:i4>
      </vt:variant>
      <vt:variant>
        <vt:i4>5</vt:i4>
      </vt:variant>
      <vt:variant>
        <vt:lpwstr>http://old.latribuna.hn/2011/05/22/reserva-forestal-sierra-rio-tinto-se-impulsa-proceso-para-declararla-legalmente-como-un-parque-nacional/</vt:lpwstr>
      </vt:variant>
      <vt:variant>
        <vt:lpwstr/>
      </vt:variant>
      <vt:variant>
        <vt:i4>7012402</vt:i4>
      </vt:variant>
      <vt:variant>
        <vt:i4>36</vt:i4>
      </vt:variant>
      <vt:variant>
        <vt:i4>0</vt:i4>
      </vt:variant>
      <vt:variant>
        <vt:i4>5</vt:i4>
      </vt:variant>
      <vt:variant>
        <vt:lpwstr>http://old.latribuna.hn/2011/05/22/reserva-forestal-sierra-rio-tinto-se-impulsa-proceso-para-declararla-legalmente-como-un-parque-nacional/</vt:lpwstr>
      </vt:variant>
      <vt:variant>
        <vt:lpwstr/>
      </vt:variant>
      <vt:variant>
        <vt:i4>7602224</vt:i4>
      </vt:variant>
      <vt:variant>
        <vt:i4>33</vt:i4>
      </vt:variant>
      <vt:variant>
        <vt:i4>0</vt:i4>
      </vt:variant>
      <vt:variant>
        <vt:i4>5</vt:i4>
      </vt:variant>
      <vt:variant>
        <vt:lpwstr>http://siteresources.worldbank.org/EXTINSPECTIONPANEL/Resources/HondurasFINALINVESTIGATIONREPORTSpanishTrad.pdf</vt:lpwstr>
      </vt:variant>
      <vt:variant>
        <vt:lpwstr/>
      </vt:variant>
      <vt:variant>
        <vt:i4>3670033</vt:i4>
      </vt:variant>
      <vt:variant>
        <vt:i4>30</vt:i4>
      </vt:variant>
      <vt:variant>
        <vt:i4>0</vt:i4>
      </vt:variant>
      <vt:variant>
        <vt:i4>5</vt:i4>
      </vt:variant>
      <vt:variant>
        <vt:lpwstr>http://www.ina.hn/userfiles/file/nuevos/ley_para_la_modernizacion_y_desarrollo_del_sector_agricola_lmdsa.pdf</vt:lpwstr>
      </vt:variant>
      <vt:variant>
        <vt:lpwstr/>
      </vt:variant>
      <vt:variant>
        <vt:i4>3473464</vt:i4>
      </vt:variant>
      <vt:variant>
        <vt:i4>27</vt:i4>
      </vt:variant>
      <vt:variant>
        <vt:i4>0</vt:i4>
      </vt:variant>
      <vt:variant>
        <vt:i4>5</vt:i4>
      </vt:variant>
      <vt:variant>
        <vt:lpwstr>http://ccarconline.org/Honduraseng.htm</vt:lpwstr>
      </vt:variant>
      <vt:variant>
        <vt:lpwstr/>
      </vt:variant>
      <vt:variant>
        <vt:i4>7667773</vt:i4>
      </vt:variant>
      <vt:variant>
        <vt:i4>24</vt:i4>
      </vt:variant>
      <vt:variant>
        <vt:i4>0</vt:i4>
      </vt:variant>
      <vt:variant>
        <vt:i4>5</vt:i4>
      </vt:variant>
      <vt:variant>
        <vt:lpwstr>http://www.unesco.org/culture/ich/index.php?lg=ES&amp;cp=HN</vt:lpwstr>
      </vt:variant>
      <vt:variant>
        <vt:lpwstr/>
      </vt:variant>
      <vt:variant>
        <vt:i4>7667773</vt:i4>
      </vt:variant>
      <vt:variant>
        <vt:i4>21</vt:i4>
      </vt:variant>
      <vt:variant>
        <vt:i4>0</vt:i4>
      </vt:variant>
      <vt:variant>
        <vt:i4>5</vt:i4>
      </vt:variant>
      <vt:variant>
        <vt:lpwstr>http://www.unesco.org/culture/ich/index.php?lg=ES&amp;cp=HN</vt:lpwstr>
      </vt:variant>
      <vt:variant>
        <vt:lpwstr/>
      </vt:variant>
      <vt:variant>
        <vt:i4>7602224</vt:i4>
      </vt:variant>
      <vt:variant>
        <vt:i4>18</vt:i4>
      </vt:variant>
      <vt:variant>
        <vt:i4>0</vt:i4>
      </vt:variant>
      <vt:variant>
        <vt:i4>5</vt:i4>
      </vt:variant>
      <vt:variant>
        <vt:lpwstr>http://siteresources.worldbank.org/EXTINSPECTIONPANEL/Resources/HondurasFINALINVESTIGATIONREPORTSpanishTrad.pdf</vt:lpwstr>
      </vt:variant>
      <vt:variant>
        <vt:lpwstr/>
      </vt:variant>
      <vt:variant>
        <vt:i4>7602224</vt:i4>
      </vt:variant>
      <vt:variant>
        <vt:i4>15</vt:i4>
      </vt:variant>
      <vt:variant>
        <vt:i4>0</vt:i4>
      </vt:variant>
      <vt:variant>
        <vt:i4>5</vt:i4>
      </vt:variant>
      <vt:variant>
        <vt:lpwstr>http://siteresources.worldbank.org/EXTINSPECTIONPANEL/Resources/HondurasFINALINVESTIGATIONREPORTSpanishTrad.pdf</vt:lpwstr>
      </vt:variant>
      <vt:variant>
        <vt:lpwstr/>
      </vt:variant>
      <vt:variant>
        <vt:i4>7602224</vt:i4>
      </vt:variant>
      <vt:variant>
        <vt:i4>12</vt:i4>
      </vt:variant>
      <vt:variant>
        <vt:i4>0</vt:i4>
      </vt:variant>
      <vt:variant>
        <vt:i4>5</vt:i4>
      </vt:variant>
      <vt:variant>
        <vt:lpwstr>http://siteresources.worldbank.org/EXTINSPECTIONPANEL/Resources/HondurasFINALINVESTIGATIONREPORTSpanishTrad.pdf</vt:lpwstr>
      </vt:variant>
      <vt:variant>
        <vt:lpwstr/>
      </vt:variant>
      <vt:variant>
        <vt:i4>3473464</vt:i4>
      </vt:variant>
      <vt:variant>
        <vt:i4>9</vt:i4>
      </vt:variant>
      <vt:variant>
        <vt:i4>0</vt:i4>
      </vt:variant>
      <vt:variant>
        <vt:i4>5</vt:i4>
      </vt:variant>
      <vt:variant>
        <vt:lpwstr>http://ccarconline.org/Honduraseng.htm</vt:lpwstr>
      </vt:variant>
      <vt:variant>
        <vt:lpwstr/>
      </vt:variant>
      <vt:variant>
        <vt:i4>7536676</vt:i4>
      </vt:variant>
      <vt:variant>
        <vt:i4>6</vt:i4>
      </vt:variant>
      <vt:variant>
        <vt:i4>0</vt:i4>
      </vt:variant>
      <vt:variant>
        <vt:i4>5</vt:i4>
      </vt:variant>
      <vt:variant>
        <vt:lpwstr>http://www2.ohchr.org/english/issues/minorities/docs/OFRANEH3a.doc</vt:lpwstr>
      </vt:variant>
      <vt:variant>
        <vt:lpwstr/>
      </vt:variant>
      <vt:variant>
        <vt:i4>5570630</vt:i4>
      </vt:variant>
      <vt:variant>
        <vt:i4>3</vt:i4>
      </vt:variant>
      <vt:variant>
        <vt:i4>0</vt:i4>
      </vt:variant>
      <vt:variant>
        <vt:i4>5</vt:i4>
      </vt:variant>
      <vt:variant>
        <vt:lpwstr>http://www.bvsde.paho.org/bvsacd/cd47/etnica.pdf</vt:lpwstr>
      </vt:variant>
      <vt:variant>
        <vt:lpwstr/>
      </vt:variant>
      <vt:variant>
        <vt:i4>1966169</vt:i4>
      </vt:variant>
      <vt:variant>
        <vt:i4>0</vt:i4>
      </vt:variant>
      <vt:variant>
        <vt:i4>0</vt:i4>
      </vt:variant>
      <vt:variant>
        <vt:i4>5</vt:i4>
      </vt:variant>
      <vt:variant>
        <vt:lpwstr>http://www.ine.gob.hn/drupal/node/301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Nº XX/12</dc:title>
  <dc:creator>cla</dc:creator>
  <cp:lastModifiedBy>Usuario Autorizado</cp:lastModifiedBy>
  <cp:revision>3</cp:revision>
  <cp:lastPrinted>2018-02-20T20:34:00Z</cp:lastPrinted>
  <dcterms:created xsi:type="dcterms:W3CDTF">2018-02-20T20:33:00Z</dcterms:created>
  <dcterms:modified xsi:type="dcterms:W3CDTF">2018-02-20T20:34:00Z</dcterms:modified>
</cp:coreProperties>
</file>