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5DF" w:rsidRPr="00CA7E5B" w:rsidRDefault="00A004C5" w:rsidP="006765DF">
      <w:pPr>
        <w:ind w:firstLine="990"/>
        <w:jc w:val="both"/>
        <w:rPr>
          <w:rFonts w:ascii="Calibri" w:hAnsi="Calibri"/>
          <w:sz w:val="22"/>
          <w:szCs w:val="22"/>
          <w:lang w:val="en-US"/>
        </w:rPr>
      </w:pPr>
      <w:bookmarkStart w:id="0" w:name="_GoBack"/>
      <w:bookmarkEnd w:id="0"/>
      <w:r w:rsidRPr="00CA7E5B">
        <w:rPr>
          <w:rFonts w:ascii="Calibri" w:hAnsi="Calibri"/>
          <w:noProof/>
          <w:sz w:val="22"/>
          <w:szCs w:val="22"/>
          <w:lang w:val="es-ES_trad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7" type="#_x0000_t75" style="position:absolute;left:0;text-align:left;margin-left:36pt;margin-top:45.2pt;width:1in;height:1in;z-index:-2;visibility:visible;mso-position-horizontal-relative:page;mso-position-vertical-relative:page">
            <v:imagedata r:id="rId7" o:title="" croptop="-1680f" cropbottom="-1680f" cropleft="-1680f" cropright="-1680f"/>
            <w10:wrap anchorx="page" anchory="page"/>
          </v:shape>
        </w:pict>
      </w:r>
      <w:r w:rsidR="006765DF" w:rsidRPr="00CA7E5B">
        <w:rPr>
          <w:rFonts w:ascii="Calibri" w:hAnsi="Calibri"/>
          <w:noProof/>
          <w:sz w:val="22"/>
          <w:szCs w:val="22"/>
          <w:lang w:val="es-ES_tradnl"/>
        </w:rPr>
        <w:pict>
          <v:shape id="Imagen 4" o:spid="_x0000_s1028" type="#_x0000_t75" alt="Spanish" style="position:absolute;left:0;text-align:left;margin-left:384pt;margin-top:-18pt;width:90pt;height:74.95pt;z-index:-1;visibility:visible">
            <v:imagedata r:id="rId8" o:title="Spanish"/>
          </v:shape>
        </w:pict>
      </w:r>
      <w:r w:rsidR="006765DF" w:rsidRPr="00CA7E5B">
        <w:rPr>
          <w:rFonts w:ascii="Calibri" w:hAnsi="Calibri"/>
          <w:sz w:val="22"/>
          <w:szCs w:val="22"/>
          <w:lang w:val="en-US"/>
        </w:rPr>
        <w:t>INTER  -  AMERICAN   COMMISSION  ON  HUMAN   RIGHTS</w:t>
      </w:r>
    </w:p>
    <w:p w:rsidR="006765DF" w:rsidRPr="00CA7E5B" w:rsidRDefault="006765DF" w:rsidP="006765DF">
      <w:pPr>
        <w:ind w:firstLine="990"/>
        <w:jc w:val="both"/>
        <w:rPr>
          <w:rFonts w:ascii="Calibri" w:hAnsi="Calibri"/>
          <w:sz w:val="22"/>
          <w:szCs w:val="22"/>
          <w:lang w:val="en-US"/>
        </w:rPr>
      </w:pPr>
      <w:r w:rsidRPr="00CA7E5B">
        <w:rPr>
          <w:rFonts w:ascii="Calibri" w:hAnsi="Calibri"/>
          <w:sz w:val="22"/>
          <w:szCs w:val="22"/>
          <w:lang w:val="en-US"/>
        </w:rPr>
        <w:t>COMISION  INTERAMERICANA  DE  DERECHOS   HUMANOS</w:t>
      </w:r>
    </w:p>
    <w:p w:rsidR="006765DF" w:rsidRPr="00CA7E5B" w:rsidRDefault="006765DF" w:rsidP="006765DF">
      <w:pPr>
        <w:ind w:firstLine="990"/>
        <w:jc w:val="both"/>
        <w:rPr>
          <w:rFonts w:ascii="Calibri" w:hAnsi="Calibri"/>
          <w:sz w:val="22"/>
          <w:szCs w:val="22"/>
          <w:lang w:val="en-US"/>
        </w:rPr>
      </w:pPr>
      <w:r w:rsidRPr="00CA7E5B">
        <w:rPr>
          <w:rFonts w:ascii="Calibri" w:hAnsi="Calibri"/>
          <w:sz w:val="22"/>
          <w:szCs w:val="22"/>
          <w:lang w:val="en-US"/>
        </w:rPr>
        <w:t>COMISSÃO   INTERAMERICANA  DE  DIREITOS   HUMANOS</w:t>
      </w:r>
    </w:p>
    <w:p w:rsidR="006765DF" w:rsidRPr="00CA7E5B" w:rsidRDefault="006765DF" w:rsidP="006765DF">
      <w:pPr>
        <w:ind w:firstLine="990"/>
        <w:jc w:val="both"/>
        <w:rPr>
          <w:rFonts w:ascii="Calibri" w:hAnsi="Calibri"/>
          <w:sz w:val="22"/>
          <w:szCs w:val="22"/>
          <w:lang w:val="en-US"/>
        </w:rPr>
      </w:pPr>
      <w:r w:rsidRPr="00CA7E5B">
        <w:rPr>
          <w:rFonts w:ascii="Calibri" w:hAnsi="Calibri"/>
          <w:sz w:val="22"/>
          <w:szCs w:val="22"/>
          <w:lang w:val="en-US"/>
        </w:rPr>
        <w:t>COMMISSION INTERAMÉRICAINE DES DROITS DE L'HOMME</w:t>
      </w:r>
    </w:p>
    <w:p w:rsidR="006765DF" w:rsidRPr="00CA7E5B" w:rsidRDefault="006765DF" w:rsidP="006765DF">
      <w:pPr>
        <w:jc w:val="both"/>
        <w:rPr>
          <w:rFonts w:ascii="Calibri" w:hAnsi="Calibri"/>
          <w:sz w:val="22"/>
          <w:szCs w:val="22"/>
          <w:lang w:val="en-US"/>
        </w:rPr>
      </w:pPr>
    </w:p>
    <w:p w:rsidR="006765DF" w:rsidRPr="00CA7E5B" w:rsidRDefault="006765DF" w:rsidP="006765DF">
      <w:pPr>
        <w:jc w:val="both"/>
        <w:rPr>
          <w:rFonts w:ascii="Calibri" w:hAnsi="Calibri"/>
          <w:sz w:val="22"/>
          <w:szCs w:val="22"/>
          <w:lang w:val="en-US"/>
        </w:rPr>
      </w:pPr>
      <w:r w:rsidRPr="00CA7E5B">
        <w:rPr>
          <w:rFonts w:ascii="Calibri" w:hAnsi="Calibri"/>
          <w:sz w:val="22"/>
          <w:szCs w:val="22"/>
        </w:rPr>
        <w:pict>
          <v:rect id="_x0000_s1026" style="position:absolute;left:0;text-align:left;margin-left:21.6pt;margin-top:0;width:568.8pt;height:.95pt;z-index:-3;mso-position-horizontal-relative:page" o:allowincell="f" fillcolor="black" stroked="f" strokeweight="0">
            <v:fill color2="black"/>
            <w10:wrap anchorx="page"/>
            <w10:anchorlock/>
          </v:rect>
        </w:pict>
      </w:r>
    </w:p>
    <w:p w:rsidR="006765DF" w:rsidRPr="00CA7E5B" w:rsidRDefault="006765DF" w:rsidP="006765DF">
      <w:pPr>
        <w:jc w:val="both"/>
        <w:outlineLvl w:val="0"/>
        <w:rPr>
          <w:rFonts w:ascii="Calibri" w:hAnsi="Calibri"/>
          <w:b/>
          <w:sz w:val="22"/>
          <w:szCs w:val="22"/>
          <w:lang w:val="en-US"/>
        </w:rPr>
      </w:pPr>
      <w:r w:rsidRPr="00CA7E5B">
        <w:rPr>
          <w:rFonts w:ascii="Calibri" w:hAnsi="Calibri"/>
          <w:b/>
          <w:sz w:val="22"/>
          <w:szCs w:val="22"/>
          <w:lang w:val="en-US"/>
        </w:rPr>
        <w:t>ORGANIZACIÓN DE LOS ESTADOS AMERICANOS</w:t>
      </w:r>
    </w:p>
    <w:p w:rsidR="006765DF" w:rsidRPr="00A004C5" w:rsidRDefault="006765DF" w:rsidP="006765DF">
      <w:pPr>
        <w:jc w:val="both"/>
        <w:outlineLvl w:val="0"/>
        <w:rPr>
          <w:rFonts w:ascii="Calibri" w:hAnsi="Calibri"/>
          <w:sz w:val="22"/>
          <w:szCs w:val="22"/>
          <w:lang w:val="es-ES_tradnl"/>
        </w:rPr>
      </w:pPr>
      <w:r w:rsidRPr="00A004C5">
        <w:rPr>
          <w:rFonts w:ascii="Calibri" w:hAnsi="Calibri"/>
          <w:sz w:val="22"/>
          <w:szCs w:val="22"/>
          <w:lang w:val="es-ES_tradnl"/>
        </w:rPr>
        <w:t>WASHINGTON, D.C. 2 0 0 0 6  E E U U</w:t>
      </w:r>
    </w:p>
    <w:p w:rsidR="006765DF" w:rsidRPr="00A004C5" w:rsidRDefault="006765DF" w:rsidP="006765DF">
      <w:pPr>
        <w:suppressAutoHyphens/>
        <w:jc w:val="both"/>
        <w:rPr>
          <w:rFonts w:ascii="Calibri" w:hAnsi="Calibri" w:cs="Arial"/>
          <w:sz w:val="22"/>
          <w:szCs w:val="22"/>
          <w:lang w:val="es-ES_tradnl"/>
        </w:rPr>
      </w:pPr>
    </w:p>
    <w:p w:rsidR="006765DF" w:rsidRPr="00A004C5" w:rsidRDefault="006765DF" w:rsidP="006765DF">
      <w:pPr>
        <w:suppressAutoHyphens/>
        <w:jc w:val="both"/>
        <w:rPr>
          <w:rFonts w:ascii="Calibri" w:hAnsi="Calibri" w:cs="Arial"/>
          <w:sz w:val="22"/>
          <w:szCs w:val="22"/>
          <w:lang w:val="es-ES_tradnl"/>
        </w:rPr>
      </w:pPr>
    </w:p>
    <w:p w:rsidR="006765DF" w:rsidRPr="00A004C5" w:rsidRDefault="001E387A" w:rsidP="006765DF">
      <w:pPr>
        <w:suppressAutoHyphens/>
        <w:jc w:val="right"/>
        <w:rPr>
          <w:rFonts w:ascii="Calibri" w:hAnsi="Calibri" w:cs="Arial"/>
          <w:b/>
          <w:sz w:val="22"/>
          <w:szCs w:val="22"/>
          <w:lang w:val="es-ES_tradnl"/>
        </w:rPr>
      </w:pPr>
      <w:r>
        <w:rPr>
          <w:rFonts w:ascii="Calibri" w:hAnsi="Calibri" w:cs="Arial"/>
          <w:sz w:val="22"/>
          <w:szCs w:val="22"/>
          <w:lang w:val="es-ES_tradnl"/>
        </w:rPr>
        <w:t xml:space="preserve">October </w:t>
      </w:r>
      <w:r w:rsidR="00C67D1C">
        <w:rPr>
          <w:rFonts w:ascii="Calibri" w:hAnsi="Calibri" w:cs="Arial"/>
          <w:sz w:val="22"/>
          <w:szCs w:val="22"/>
          <w:lang w:val="es-ES_tradnl"/>
        </w:rPr>
        <w:t>1</w:t>
      </w:r>
      <w:r>
        <w:rPr>
          <w:rFonts w:ascii="Calibri" w:hAnsi="Calibri" w:cs="Arial"/>
          <w:sz w:val="22"/>
          <w:szCs w:val="22"/>
          <w:lang w:val="es-ES_tradnl"/>
        </w:rPr>
        <w:t>, 2</w:t>
      </w:r>
      <w:r w:rsidR="006765DF" w:rsidRPr="00A004C5">
        <w:rPr>
          <w:rFonts w:ascii="Calibri" w:hAnsi="Calibri" w:cs="Arial"/>
          <w:sz w:val="22"/>
          <w:szCs w:val="22"/>
          <w:lang w:val="es-ES_tradnl"/>
        </w:rPr>
        <w:t>013</w:t>
      </w:r>
    </w:p>
    <w:p w:rsidR="006765DF" w:rsidRPr="00A004C5" w:rsidRDefault="006765DF" w:rsidP="006765DF">
      <w:pPr>
        <w:tabs>
          <w:tab w:val="left" w:pos="720"/>
          <w:tab w:val="center" w:pos="6480"/>
        </w:tabs>
        <w:jc w:val="both"/>
        <w:outlineLvl w:val="0"/>
        <w:rPr>
          <w:rFonts w:ascii="Calibri" w:hAnsi="Calibri" w:cs="Arial"/>
          <w:b/>
          <w:sz w:val="22"/>
          <w:szCs w:val="22"/>
          <w:lang w:val="es-ES_tradnl"/>
        </w:rPr>
      </w:pPr>
      <w:r w:rsidRPr="00A004C5">
        <w:rPr>
          <w:rFonts w:ascii="Calibri" w:hAnsi="Calibri" w:cs="Arial"/>
          <w:b/>
          <w:sz w:val="22"/>
          <w:szCs w:val="22"/>
          <w:lang w:val="es-ES_tradnl"/>
        </w:rPr>
        <w:t>Ref.:</w:t>
      </w:r>
      <w:bookmarkStart w:id="1" w:name="Peticion_n"/>
      <w:bookmarkEnd w:id="1"/>
      <w:r w:rsidR="001E387A">
        <w:rPr>
          <w:rFonts w:ascii="Calibri" w:hAnsi="Calibri" w:cs="Arial"/>
          <w:b/>
          <w:sz w:val="22"/>
          <w:szCs w:val="22"/>
          <w:lang w:val="es-ES_tradnl"/>
        </w:rPr>
        <w:tab/>
        <w:t>Case</w:t>
      </w:r>
      <w:r w:rsidRPr="00A004C5">
        <w:rPr>
          <w:rFonts w:ascii="Calibri" w:hAnsi="Calibri" w:cs="Arial"/>
          <w:b/>
          <w:sz w:val="22"/>
          <w:szCs w:val="22"/>
          <w:lang w:val="es-ES_tradnl"/>
        </w:rPr>
        <w:t xml:space="preserve"> No. 12.761</w:t>
      </w:r>
      <w:r w:rsidRPr="00A004C5">
        <w:rPr>
          <w:rFonts w:ascii="Calibri" w:hAnsi="Calibri" w:cs="Arial"/>
          <w:b/>
          <w:sz w:val="22"/>
          <w:szCs w:val="22"/>
          <w:lang w:val="es-ES_tradnl"/>
        </w:rPr>
        <w:tab/>
      </w:r>
      <w:r w:rsidRPr="00A004C5">
        <w:rPr>
          <w:rFonts w:ascii="Calibri" w:hAnsi="Calibri" w:cs="Arial"/>
          <w:b/>
          <w:sz w:val="22"/>
          <w:szCs w:val="22"/>
          <w:lang w:val="es-ES_tradnl"/>
        </w:rPr>
        <w:tab/>
      </w:r>
      <w:r w:rsidRPr="00A004C5">
        <w:rPr>
          <w:rFonts w:ascii="Calibri" w:hAnsi="Calibri" w:cs="Arial"/>
          <w:b/>
          <w:sz w:val="22"/>
          <w:szCs w:val="22"/>
          <w:lang w:val="es-ES_tradnl"/>
        </w:rPr>
        <w:tab/>
      </w:r>
      <w:r w:rsidRPr="00A004C5">
        <w:rPr>
          <w:rFonts w:ascii="Calibri" w:hAnsi="Calibri" w:cs="Arial"/>
          <w:b/>
          <w:sz w:val="22"/>
          <w:szCs w:val="22"/>
          <w:lang w:val="es-ES_tradnl"/>
        </w:rPr>
        <w:tab/>
      </w:r>
      <w:r w:rsidRPr="00A004C5">
        <w:rPr>
          <w:rFonts w:ascii="Calibri" w:hAnsi="Calibri" w:cs="Arial"/>
          <w:b/>
          <w:sz w:val="22"/>
          <w:szCs w:val="22"/>
          <w:lang w:val="es-ES_tradnl"/>
        </w:rPr>
        <w:tab/>
      </w:r>
      <w:r w:rsidRPr="00A004C5">
        <w:rPr>
          <w:rFonts w:ascii="Calibri" w:hAnsi="Calibri" w:cs="Arial"/>
          <w:b/>
          <w:sz w:val="22"/>
          <w:szCs w:val="22"/>
          <w:lang w:val="es-ES_tradnl"/>
        </w:rPr>
        <w:tab/>
        <w:t>Comunidad Garífuna Punta Piedra</w:t>
      </w:r>
    </w:p>
    <w:p w:rsidR="006765DF" w:rsidRPr="00A004C5" w:rsidRDefault="006765DF" w:rsidP="006765DF">
      <w:pPr>
        <w:tabs>
          <w:tab w:val="left" w:pos="720"/>
          <w:tab w:val="center" w:pos="6480"/>
        </w:tabs>
        <w:jc w:val="both"/>
        <w:outlineLvl w:val="0"/>
        <w:rPr>
          <w:rFonts w:ascii="Calibri" w:hAnsi="Calibri" w:cs="Arial"/>
          <w:b/>
          <w:sz w:val="22"/>
          <w:szCs w:val="22"/>
          <w:lang w:val="es-ES_tradnl"/>
        </w:rPr>
      </w:pPr>
      <w:r w:rsidRPr="00A004C5">
        <w:rPr>
          <w:rFonts w:ascii="Calibri" w:hAnsi="Calibri" w:cs="Arial"/>
          <w:b/>
          <w:sz w:val="22"/>
          <w:szCs w:val="22"/>
          <w:lang w:val="es-ES_tradnl"/>
        </w:rPr>
        <w:tab/>
        <w:t xml:space="preserve">Honduras </w:t>
      </w:r>
    </w:p>
    <w:p w:rsidR="006765DF" w:rsidRPr="00A004C5" w:rsidRDefault="006765DF" w:rsidP="006765DF">
      <w:pPr>
        <w:tabs>
          <w:tab w:val="left" w:pos="720"/>
          <w:tab w:val="center" w:pos="6480"/>
        </w:tabs>
        <w:jc w:val="both"/>
        <w:rPr>
          <w:rFonts w:ascii="Calibri" w:hAnsi="Calibri" w:cs="Arial"/>
          <w:sz w:val="22"/>
          <w:szCs w:val="22"/>
          <w:lang w:val="es-ES_tradnl"/>
        </w:rPr>
      </w:pPr>
    </w:p>
    <w:p w:rsidR="00C21734" w:rsidRPr="009F5251" w:rsidRDefault="00C21734" w:rsidP="00C21734">
      <w:pPr>
        <w:rPr>
          <w:rFonts w:ascii="Calibri" w:hAnsi="Calibri" w:cs="Arial"/>
          <w:sz w:val="22"/>
          <w:szCs w:val="22"/>
          <w:lang w:val="en-US"/>
        </w:rPr>
      </w:pPr>
      <w:r w:rsidRPr="009F5251">
        <w:rPr>
          <w:rFonts w:ascii="Calibri" w:hAnsi="Calibri" w:cs="Arial"/>
          <w:sz w:val="22"/>
          <w:szCs w:val="22"/>
          <w:lang w:val="en-US"/>
        </w:rPr>
        <w:t xml:space="preserve">Mr. Secretary: </w:t>
      </w:r>
    </w:p>
    <w:p w:rsidR="00C21734" w:rsidRPr="009F5251" w:rsidRDefault="00C21734" w:rsidP="00C21734">
      <w:pPr>
        <w:rPr>
          <w:rFonts w:ascii="Calibri" w:hAnsi="Calibri" w:cs="Arial"/>
          <w:sz w:val="22"/>
          <w:szCs w:val="22"/>
          <w:lang w:val="en-US"/>
        </w:rPr>
      </w:pPr>
    </w:p>
    <w:p w:rsidR="001E387A" w:rsidRPr="00613BFB" w:rsidRDefault="00C21734" w:rsidP="00C21734">
      <w:pPr>
        <w:pStyle w:val="NormalWeb"/>
        <w:spacing w:before="0" w:beforeAutospacing="0" w:after="0" w:afterAutospacing="0"/>
        <w:jc w:val="both"/>
        <w:rPr>
          <w:rFonts w:ascii="Calibri" w:eastAsia="Times New Roman" w:hAnsi="Calibri" w:cs="Univers"/>
          <w:color w:val="000000"/>
          <w:sz w:val="22"/>
          <w:szCs w:val="22"/>
        </w:rPr>
      </w:pPr>
      <w:r w:rsidRPr="00313004">
        <w:rPr>
          <w:rFonts w:ascii="Calibri" w:hAnsi="Calibri"/>
          <w:sz w:val="22"/>
          <w:szCs w:val="22"/>
        </w:rPr>
        <w:tab/>
      </w:r>
      <w:r w:rsidRPr="002B4CC3">
        <w:rPr>
          <w:rFonts w:ascii="Calibri" w:hAnsi="Calibri" w:cs="Arial"/>
          <w:sz w:val="22"/>
        </w:rPr>
        <w:t>I am pleased to address you on behalf of the Inter-American Commission on Human Rig</w:t>
      </w:r>
      <w:r>
        <w:rPr>
          <w:rFonts w:ascii="Calibri" w:hAnsi="Calibri" w:cs="Arial"/>
          <w:sz w:val="22"/>
        </w:rPr>
        <w:t>hts</w:t>
      </w:r>
      <w:r w:rsidR="00F56F72">
        <w:rPr>
          <w:rFonts w:ascii="Calibri" w:hAnsi="Calibri" w:cs="Arial"/>
          <w:sz w:val="22"/>
        </w:rPr>
        <w:t xml:space="preserve"> in order to file Case No. 12.761</w:t>
      </w:r>
      <w:r w:rsidRPr="002B4CC3">
        <w:rPr>
          <w:rFonts w:ascii="Calibri" w:hAnsi="Calibri" w:cs="Arial"/>
          <w:sz w:val="22"/>
        </w:rPr>
        <w:t xml:space="preserve"> </w:t>
      </w:r>
      <w:r w:rsidR="00F56F72">
        <w:rPr>
          <w:rFonts w:ascii="Calibri" w:hAnsi="Calibri" w:cs="Arial"/>
          <w:sz w:val="22"/>
        </w:rPr>
        <w:t>Comunidad Garífuna Punta Piedra</w:t>
      </w:r>
      <w:r>
        <w:rPr>
          <w:rFonts w:ascii="Calibri" w:hAnsi="Calibri" w:cs="Arial"/>
          <w:sz w:val="22"/>
        </w:rPr>
        <w:t xml:space="preserve"> </w:t>
      </w:r>
      <w:r w:rsidRPr="002B4CC3">
        <w:rPr>
          <w:rFonts w:ascii="Calibri" w:hAnsi="Calibri" w:cs="Arial"/>
          <w:sz w:val="22"/>
        </w:rPr>
        <w:t xml:space="preserve">v. </w:t>
      </w:r>
      <w:r w:rsidR="00F56F72">
        <w:rPr>
          <w:rFonts w:ascii="Calibri" w:hAnsi="Calibri" w:cs="Arial"/>
          <w:sz w:val="22"/>
        </w:rPr>
        <w:t>Honduras</w:t>
      </w:r>
      <w:r w:rsidRPr="002B4CC3">
        <w:rPr>
          <w:rFonts w:ascii="Calibri" w:hAnsi="Calibri" w:cs="Arial"/>
          <w:sz w:val="22"/>
        </w:rPr>
        <w:t xml:space="preserve"> (hereinafter “the State”, “the </w:t>
      </w:r>
      <w:r w:rsidR="00F56F72">
        <w:rPr>
          <w:rFonts w:ascii="Calibri" w:hAnsi="Calibri" w:cs="Arial"/>
          <w:sz w:val="22"/>
        </w:rPr>
        <w:t>Honduran</w:t>
      </w:r>
      <w:r w:rsidRPr="002B4CC3">
        <w:rPr>
          <w:rFonts w:ascii="Calibri" w:hAnsi="Calibri" w:cs="Arial"/>
          <w:sz w:val="22"/>
        </w:rPr>
        <w:t xml:space="preserve"> State” or “</w:t>
      </w:r>
      <w:r w:rsidR="00F56F72">
        <w:rPr>
          <w:rFonts w:ascii="Calibri" w:hAnsi="Calibri" w:cs="Arial"/>
          <w:sz w:val="22"/>
        </w:rPr>
        <w:t>Honduras</w:t>
      </w:r>
      <w:r w:rsidRPr="002B4CC3">
        <w:rPr>
          <w:rFonts w:ascii="Calibri" w:hAnsi="Calibri" w:cs="Arial"/>
          <w:sz w:val="22"/>
        </w:rPr>
        <w:t>”) before the jurisdiction of the Honorable Inter-American</w:t>
      </w:r>
      <w:r w:rsidR="009F5251">
        <w:rPr>
          <w:rFonts w:ascii="Calibri" w:hAnsi="Calibri" w:cs="Arial"/>
          <w:sz w:val="22"/>
        </w:rPr>
        <w:t xml:space="preserve"> Court of Human Right. T</w:t>
      </w:r>
      <w:r w:rsidR="001E387A" w:rsidRPr="00613BFB">
        <w:rPr>
          <w:rFonts w:ascii="Calibri" w:hAnsi="Calibri"/>
          <w:sz w:val="22"/>
          <w:szCs w:val="22"/>
        </w:rPr>
        <w:t xml:space="preserve">he instant case </w:t>
      </w:r>
      <w:r w:rsidR="001E387A" w:rsidRPr="00613BFB">
        <w:rPr>
          <w:rFonts w:ascii="Calibri" w:eastAsia="Times New Roman" w:hAnsi="Calibri"/>
          <w:color w:val="000000"/>
          <w:sz w:val="22"/>
          <w:szCs w:val="22"/>
        </w:rPr>
        <w:t xml:space="preserve">involves Hondura’s international responsibility for the violation of the right to property against the Garifuna Community “Punta Piedra” and its members. This resulted from the breach of the duty to guarantee the right to land of the community, against the invasion, since the beginning of 1990, by non-indigenous people that were subsequently recognized by the State through the granting of a freehold title. The granting of the title was made </w:t>
      </w:r>
      <w:r w:rsidR="001E387A" w:rsidRPr="00613BFB">
        <w:rPr>
          <w:rFonts w:ascii="Calibri" w:eastAsia="Arial Unicode MS" w:hAnsi="Arial Unicode MS" w:cs="Arial Unicode MS"/>
          <w:color w:val="000000"/>
          <w:sz w:val="22"/>
          <w:szCs w:val="22"/>
        </w:rPr>
        <w:t>​​</w:t>
      </w:r>
      <w:r w:rsidR="001E387A" w:rsidRPr="00613BFB">
        <w:rPr>
          <w:rFonts w:ascii="Calibri" w:eastAsia="Times New Roman" w:hAnsi="Calibri" w:cs="Univers"/>
          <w:color w:val="000000"/>
          <w:sz w:val="22"/>
          <w:szCs w:val="22"/>
        </w:rPr>
        <w:t xml:space="preserve">without an adequate titling process; despite the knowledge of the occupation by a group of villagers in various parts of the </w:t>
      </w:r>
      <w:r w:rsidR="001E387A" w:rsidRPr="00613BFB">
        <w:rPr>
          <w:rFonts w:ascii="Calibri" w:eastAsia="Times New Roman" w:hAnsi="Calibri"/>
          <w:color w:val="000000"/>
          <w:sz w:val="22"/>
          <w:szCs w:val="22"/>
        </w:rPr>
        <w:t>Community’s land, especially in “Rio Miel” and the forest area.</w:t>
      </w:r>
      <w:r w:rsidR="001E387A" w:rsidRPr="00613BFB">
        <w:rPr>
          <w:rFonts w:ascii="Calibri" w:eastAsia="Times New Roman" w:hAnsi="Calibri" w:cs="Univers"/>
          <w:color w:val="000000"/>
          <w:sz w:val="22"/>
          <w:szCs w:val="22"/>
        </w:rPr>
        <w:t xml:space="preserve"> This situation has led to the Garifuna Community of </w:t>
      </w:r>
      <w:r w:rsidR="001E387A" w:rsidRPr="00613BFB">
        <w:rPr>
          <w:rFonts w:ascii="Calibri" w:eastAsia="Times New Roman" w:hAnsi="Calibri"/>
          <w:color w:val="000000"/>
          <w:sz w:val="22"/>
          <w:szCs w:val="22"/>
        </w:rPr>
        <w:t>“</w:t>
      </w:r>
      <w:r w:rsidR="001E387A" w:rsidRPr="00613BFB">
        <w:rPr>
          <w:rFonts w:ascii="Calibri" w:eastAsia="Times New Roman" w:hAnsi="Calibri" w:cs="Univers"/>
          <w:color w:val="000000"/>
          <w:sz w:val="22"/>
          <w:szCs w:val="22"/>
        </w:rPr>
        <w:t>Punta Piedra</w:t>
      </w:r>
      <w:r w:rsidR="001E387A" w:rsidRPr="00613BFB">
        <w:rPr>
          <w:rFonts w:ascii="Calibri" w:eastAsia="Times New Roman" w:hAnsi="Calibri"/>
          <w:color w:val="000000"/>
          <w:sz w:val="22"/>
          <w:szCs w:val="22"/>
        </w:rPr>
        <w:t>“</w:t>
      </w:r>
      <w:r w:rsidR="001E387A" w:rsidRPr="00613BFB">
        <w:rPr>
          <w:rFonts w:ascii="Calibri" w:eastAsia="Times New Roman" w:hAnsi="Calibri" w:cs="Univers"/>
          <w:color w:val="000000"/>
          <w:sz w:val="22"/>
          <w:szCs w:val="22"/>
        </w:rPr>
        <w:t xml:space="preserve"> to only exercise the tenure of half of State-titled land, with negative subsequent effects on their way of life, livelihoods, culture and traditional customs. Furthermore, the continued occupation by non-indigenous people has created a situation of conflict that has resulted in threats, harassment, or even the death of a member of the Garifuna Community of “Punta Piedra”.</w:t>
      </w:r>
      <w:r w:rsidR="001E387A">
        <w:rPr>
          <w:rFonts w:ascii="Calibri" w:eastAsia="Times New Roman" w:hAnsi="Calibri" w:cs="Univers"/>
          <w:color w:val="000000"/>
          <w:sz w:val="22"/>
          <w:szCs w:val="22"/>
        </w:rPr>
        <w:t xml:space="preserve"> </w:t>
      </w:r>
    </w:p>
    <w:p w:rsidR="006765DF" w:rsidRPr="001E387A" w:rsidRDefault="006765DF" w:rsidP="006765DF">
      <w:pPr>
        <w:autoSpaceDE w:val="0"/>
        <w:autoSpaceDN w:val="0"/>
        <w:adjustRightInd w:val="0"/>
        <w:jc w:val="both"/>
        <w:rPr>
          <w:rFonts w:ascii="Calibri" w:hAnsi="Calibri"/>
          <w:sz w:val="22"/>
          <w:szCs w:val="22"/>
          <w:lang w:val="en-US"/>
        </w:rPr>
      </w:pPr>
    </w:p>
    <w:p w:rsidR="001E387A" w:rsidRPr="00613BFB" w:rsidRDefault="001E387A" w:rsidP="001E387A">
      <w:pPr>
        <w:pStyle w:val="NormalWeb"/>
        <w:spacing w:before="0" w:beforeAutospacing="0" w:after="0" w:afterAutospacing="0"/>
        <w:ind w:firstLine="720"/>
        <w:jc w:val="both"/>
        <w:rPr>
          <w:rFonts w:ascii="Calibri" w:eastAsia="Times New Roman" w:hAnsi="Calibri"/>
          <w:color w:val="000000"/>
          <w:sz w:val="22"/>
          <w:szCs w:val="22"/>
        </w:rPr>
      </w:pPr>
      <w:r w:rsidRPr="00613BFB">
        <w:rPr>
          <w:rFonts w:ascii="Calibri" w:eastAsia="Times New Roman" w:hAnsi="Calibri"/>
          <w:color w:val="000000"/>
          <w:sz w:val="22"/>
          <w:szCs w:val="22"/>
        </w:rPr>
        <w:t xml:space="preserve">The State of Honduras has not given an effective response to this situation. So far, the initiatives have failed and the State itself has reneged on the agreements made </w:t>
      </w:r>
      <w:r w:rsidRPr="00613BFB">
        <w:rPr>
          <w:rFonts w:ascii="Calibri" w:eastAsia="Arial Unicode MS" w:hAnsi="Arial Unicode MS" w:cs="Arial Unicode MS"/>
          <w:color w:val="000000"/>
          <w:sz w:val="22"/>
          <w:szCs w:val="22"/>
        </w:rPr>
        <w:t>​​</w:t>
      </w:r>
      <w:r w:rsidRPr="00613BFB">
        <w:rPr>
          <w:rFonts w:ascii="Calibri" w:eastAsia="Times New Roman" w:hAnsi="Calibri" w:cs="Univers"/>
          <w:color w:val="000000"/>
          <w:sz w:val="22"/>
          <w:szCs w:val="22"/>
        </w:rPr>
        <w:t xml:space="preserve">in order to achieve an effective titling of the lands and territories of the Garifuna Community of “Punta Piedra”. </w:t>
      </w:r>
      <w:r w:rsidRPr="00613BFB">
        <w:rPr>
          <w:rFonts w:ascii="Calibri" w:eastAsia="Times New Roman" w:hAnsi="Calibri"/>
          <w:color w:val="000000"/>
          <w:sz w:val="22"/>
          <w:szCs w:val="22"/>
        </w:rPr>
        <w:t>This situation has deepened and exacerbated the conflict situation in the area. The Community has not had an effective remedy to achieve a peaceful possession of their lands and territories.</w:t>
      </w:r>
    </w:p>
    <w:p w:rsidR="006765DF" w:rsidRPr="001E387A" w:rsidRDefault="006765DF" w:rsidP="006765DF">
      <w:pPr>
        <w:ind w:firstLine="708"/>
        <w:jc w:val="both"/>
        <w:rPr>
          <w:rFonts w:ascii="Calibri" w:hAnsi="Calibri" w:cs="Arial"/>
          <w:sz w:val="22"/>
          <w:szCs w:val="22"/>
          <w:lang w:val="en-US"/>
        </w:rPr>
      </w:pPr>
    </w:p>
    <w:p w:rsidR="006765DF" w:rsidRPr="001E387A" w:rsidRDefault="001E387A" w:rsidP="001E387A">
      <w:pPr>
        <w:autoSpaceDE w:val="0"/>
        <w:autoSpaceDN w:val="0"/>
        <w:adjustRightInd w:val="0"/>
        <w:ind w:firstLine="720"/>
        <w:jc w:val="both"/>
        <w:rPr>
          <w:rFonts w:ascii="Calibri" w:hAnsi="Calibri"/>
          <w:sz w:val="22"/>
          <w:szCs w:val="22"/>
          <w:lang w:val="en-US"/>
        </w:rPr>
      </w:pPr>
      <w:r w:rsidRPr="001E387A">
        <w:rPr>
          <w:rFonts w:ascii="Calibri" w:hAnsi="Calibri" w:cs="Arial"/>
          <w:sz w:val="22"/>
          <w:szCs w:val="22"/>
          <w:lang w:val="en-US"/>
        </w:rPr>
        <w:t>Honduras ratified the American Convention on September 8, 1977 and accepted the jurisdiction of the Court on September 9, 1981</w:t>
      </w:r>
    </w:p>
    <w:p w:rsidR="00C67D1C" w:rsidRPr="001E387A" w:rsidRDefault="00C67D1C" w:rsidP="006765DF">
      <w:pPr>
        <w:autoSpaceDE w:val="0"/>
        <w:autoSpaceDN w:val="0"/>
        <w:adjustRightInd w:val="0"/>
        <w:jc w:val="both"/>
        <w:rPr>
          <w:rFonts w:ascii="Calibri" w:hAnsi="Calibri"/>
          <w:sz w:val="22"/>
          <w:szCs w:val="22"/>
          <w:lang w:val="en-US"/>
        </w:rPr>
      </w:pPr>
    </w:p>
    <w:p w:rsidR="006765DF" w:rsidRPr="00CA7E5B" w:rsidRDefault="00B902B0" w:rsidP="006765DF">
      <w:pPr>
        <w:jc w:val="both"/>
        <w:outlineLvl w:val="0"/>
        <w:rPr>
          <w:rFonts w:ascii="Calibri" w:hAnsi="Calibri" w:cs="Arial"/>
          <w:snapToGrid w:val="0"/>
          <w:sz w:val="22"/>
          <w:szCs w:val="22"/>
          <w:lang w:val="es-CO"/>
        </w:rPr>
      </w:pPr>
      <w:r>
        <w:rPr>
          <w:rFonts w:ascii="Calibri" w:hAnsi="Calibri" w:cs="Arial"/>
          <w:snapToGrid w:val="0"/>
          <w:sz w:val="22"/>
          <w:szCs w:val="22"/>
          <w:lang w:val="es-CO"/>
        </w:rPr>
        <w:t>Mr.</w:t>
      </w:r>
    </w:p>
    <w:p w:rsidR="006765DF" w:rsidRPr="00CA7E5B" w:rsidRDefault="006765DF" w:rsidP="006765DF">
      <w:pPr>
        <w:suppressAutoHyphens/>
        <w:jc w:val="both"/>
        <w:rPr>
          <w:rFonts w:ascii="Calibri" w:hAnsi="Calibri" w:cs="Arial"/>
          <w:snapToGrid w:val="0"/>
          <w:sz w:val="22"/>
          <w:szCs w:val="22"/>
          <w:lang w:val="es-CO"/>
        </w:rPr>
      </w:pPr>
      <w:r w:rsidRPr="00CA7E5B">
        <w:rPr>
          <w:rFonts w:ascii="Calibri" w:hAnsi="Calibri" w:cs="Arial"/>
          <w:snapToGrid w:val="0"/>
          <w:sz w:val="22"/>
          <w:szCs w:val="22"/>
          <w:lang w:val="es-CO"/>
        </w:rPr>
        <w:t>Pablo Saavedra Alessandri, Secretario</w:t>
      </w:r>
    </w:p>
    <w:p w:rsidR="006765DF" w:rsidRPr="00B902B0" w:rsidRDefault="00B902B0" w:rsidP="006765DF">
      <w:pPr>
        <w:suppressAutoHyphens/>
        <w:jc w:val="both"/>
        <w:rPr>
          <w:rFonts w:ascii="Calibri" w:hAnsi="Calibri" w:cs="Arial"/>
          <w:snapToGrid w:val="0"/>
          <w:sz w:val="22"/>
          <w:szCs w:val="22"/>
          <w:lang w:val="en-US"/>
        </w:rPr>
      </w:pPr>
      <w:r w:rsidRPr="00B902B0">
        <w:rPr>
          <w:rFonts w:ascii="Calibri" w:hAnsi="Calibri" w:cs="Arial"/>
          <w:snapToGrid w:val="0"/>
          <w:sz w:val="22"/>
          <w:szCs w:val="22"/>
          <w:lang w:val="en-US"/>
        </w:rPr>
        <w:t>Inter</w:t>
      </w:r>
      <w:r>
        <w:rPr>
          <w:rFonts w:ascii="Calibri" w:hAnsi="Calibri" w:cs="Arial"/>
          <w:snapToGrid w:val="0"/>
          <w:sz w:val="22"/>
          <w:szCs w:val="22"/>
          <w:lang w:val="en-US"/>
        </w:rPr>
        <w:t>-American Court on Human Rights</w:t>
      </w:r>
    </w:p>
    <w:p w:rsidR="006765DF" w:rsidRPr="00CA7E5B" w:rsidRDefault="006765DF" w:rsidP="006765DF">
      <w:pPr>
        <w:suppressAutoHyphens/>
        <w:jc w:val="both"/>
        <w:rPr>
          <w:rFonts w:ascii="Calibri" w:hAnsi="Calibri" w:cs="Arial"/>
          <w:snapToGrid w:val="0"/>
          <w:sz w:val="22"/>
          <w:szCs w:val="22"/>
          <w:lang w:val="es-ES_tradnl"/>
        </w:rPr>
      </w:pPr>
      <w:r w:rsidRPr="00CA7E5B">
        <w:rPr>
          <w:rFonts w:ascii="Calibri" w:hAnsi="Calibri" w:cs="Arial"/>
          <w:snapToGrid w:val="0"/>
          <w:sz w:val="22"/>
          <w:szCs w:val="22"/>
          <w:lang w:val="es-ES_tradnl"/>
        </w:rPr>
        <w:t>Apartado 6906-1000</w:t>
      </w:r>
    </w:p>
    <w:p w:rsidR="006765DF" w:rsidRPr="00CA7E5B" w:rsidRDefault="006765DF" w:rsidP="006765DF">
      <w:pPr>
        <w:suppressAutoHyphens/>
        <w:jc w:val="both"/>
        <w:rPr>
          <w:rFonts w:ascii="Calibri" w:hAnsi="Calibri" w:cs="Arial"/>
          <w:snapToGrid w:val="0"/>
          <w:sz w:val="22"/>
          <w:szCs w:val="22"/>
          <w:lang w:val="es-ES_tradnl"/>
        </w:rPr>
      </w:pPr>
      <w:r w:rsidRPr="00CA7E5B">
        <w:rPr>
          <w:rFonts w:ascii="Calibri" w:hAnsi="Calibri" w:cs="Arial"/>
          <w:snapToGrid w:val="0"/>
          <w:sz w:val="22"/>
          <w:szCs w:val="22"/>
          <w:lang w:val="es-ES_tradnl"/>
        </w:rPr>
        <w:t>San José, Costa Rica</w:t>
      </w:r>
    </w:p>
    <w:p w:rsidR="006765DF" w:rsidRDefault="006765DF" w:rsidP="006765DF">
      <w:pPr>
        <w:autoSpaceDE w:val="0"/>
        <w:autoSpaceDN w:val="0"/>
        <w:adjustRightInd w:val="0"/>
        <w:jc w:val="both"/>
        <w:rPr>
          <w:rFonts w:ascii="Calibri" w:hAnsi="Calibri" w:cs="Arial"/>
          <w:snapToGrid w:val="0"/>
          <w:sz w:val="22"/>
          <w:szCs w:val="22"/>
          <w:lang w:val="es-ES_tradnl"/>
        </w:rPr>
      </w:pPr>
    </w:p>
    <w:p w:rsidR="00B902B0" w:rsidRPr="00CA7E5B" w:rsidRDefault="00B902B0" w:rsidP="006765DF">
      <w:pPr>
        <w:autoSpaceDE w:val="0"/>
        <w:autoSpaceDN w:val="0"/>
        <w:adjustRightInd w:val="0"/>
        <w:jc w:val="both"/>
        <w:rPr>
          <w:rFonts w:ascii="Calibri" w:hAnsi="Calibri"/>
          <w:sz w:val="22"/>
          <w:szCs w:val="22"/>
        </w:rPr>
      </w:pPr>
    </w:p>
    <w:p w:rsidR="003C0E77" w:rsidRDefault="006765DF" w:rsidP="006765DF">
      <w:pPr>
        <w:autoSpaceDE w:val="0"/>
        <w:autoSpaceDN w:val="0"/>
        <w:adjustRightInd w:val="0"/>
        <w:jc w:val="both"/>
        <w:rPr>
          <w:rFonts w:ascii="Calibri" w:hAnsi="Calibri"/>
          <w:sz w:val="22"/>
          <w:szCs w:val="22"/>
        </w:rPr>
      </w:pPr>
      <w:r>
        <w:rPr>
          <w:rFonts w:ascii="Calibri" w:hAnsi="Calibri"/>
          <w:sz w:val="22"/>
          <w:szCs w:val="22"/>
        </w:rPr>
        <w:tab/>
      </w:r>
    </w:p>
    <w:p w:rsidR="006765DF" w:rsidRPr="00CA7E5B" w:rsidRDefault="003C0E77" w:rsidP="00B902B0">
      <w:pPr>
        <w:autoSpaceDE w:val="0"/>
        <w:autoSpaceDN w:val="0"/>
        <w:adjustRightInd w:val="0"/>
        <w:ind w:firstLine="720"/>
        <w:jc w:val="both"/>
        <w:rPr>
          <w:rFonts w:ascii="Calibri" w:hAnsi="Calibri" w:cs="Arial"/>
          <w:sz w:val="22"/>
          <w:szCs w:val="22"/>
          <w:lang w:val="es-CR"/>
        </w:rPr>
      </w:pPr>
      <w:r w:rsidRPr="002D30F2">
        <w:rPr>
          <w:rFonts w:ascii="Calibri" w:hAnsi="Calibri" w:cs="Arial"/>
          <w:sz w:val="22"/>
          <w:szCs w:val="22"/>
          <w:lang w:val="en-US"/>
        </w:rPr>
        <w:lastRenderedPageBreak/>
        <w:t xml:space="preserve">The Commission has designated Commissioner </w:t>
      </w:r>
      <w:r>
        <w:rPr>
          <w:rFonts w:ascii="Calibri" w:hAnsi="Calibri" w:cs="Arial"/>
          <w:sz w:val="22"/>
          <w:szCs w:val="22"/>
          <w:lang w:val="en-US"/>
        </w:rPr>
        <w:t>Tracy Robinson</w:t>
      </w:r>
      <w:r w:rsidRPr="002D30F2">
        <w:rPr>
          <w:rFonts w:ascii="Calibri" w:hAnsi="Calibri" w:cs="Arial"/>
          <w:sz w:val="22"/>
          <w:szCs w:val="22"/>
          <w:lang w:val="en-US"/>
        </w:rPr>
        <w:t xml:space="preserve"> and Emilio Álvarez Icaza L., Executive Secretary, as its delegate. Likewise, Elizabeth Abi-Mershed, Deputy Executive Secretary, Silvia Ser</w:t>
      </w:r>
      <w:r>
        <w:rPr>
          <w:rFonts w:ascii="Calibri" w:hAnsi="Calibri" w:cs="Arial"/>
          <w:sz w:val="22"/>
          <w:szCs w:val="22"/>
          <w:lang w:val="en-US"/>
        </w:rPr>
        <w:t>rano Guzmán</w:t>
      </w:r>
      <w:r w:rsidRPr="003C0E77">
        <w:rPr>
          <w:rFonts w:ascii="Calibri" w:hAnsi="Calibri"/>
          <w:sz w:val="22"/>
          <w:szCs w:val="22"/>
          <w:lang w:val="en-US"/>
        </w:rPr>
        <w:t>, Isabel Madariaga y Cristina Blanco</w:t>
      </w:r>
      <w:r>
        <w:rPr>
          <w:rFonts w:ascii="Calibri" w:hAnsi="Calibri" w:cs="Arial"/>
          <w:sz w:val="22"/>
          <w:szCs w:val="22"/>
          <w:lang w:val="en-US"/>
        </w:rPr>
        <w:t>, attorney</w:t>
      </w:r>
      <w:r w:rsidRPr="002D30F2">
        <w:rPr>
          <w:rFonts w:ascii="Calibri" w:hAnsi="Calibri" w:cs="Arial"/>
          <w:sz w:val="22"/>
          <w:szCs w:val="22"/>
          <w:lang w:val="en-US"/>
        </w:rPr>
        <w:t xml:space="preserve"> of the Executive Secretariat of the IACHR, have been designated to serve as legal advisors. </w:t>
      </w:r>
    </w:p>
    <w:p w:rsidR="006765DF" w:rsidRPr="00CA7E5B" w:rsidRDefault="006765DF" w:rsidP="006765DF">
      <w:pPr>
        <w:autoSpaceDE w:val="0"/>
        <w:autoSpaceDN w:val="0"/>
        <w:adjustRightInd w:val="0"/>
        <w:jc w:val="both"/>
        <w:rPr>
          <w:rFonts w:ascii="Calibri" w:hAnsi="Calibri" w:cs="Arial"/>
          <w:sz w:val="22"/>
          <w:szCs w:val="22"/>
          <w:lang w:val="es-CR"/>
        </w:rPr>
      </w:pPr>
    </w:p>
    <w:p w:rsidR="003C0E77" w:rsidRDefault="006765DF" w:rsidP="006765DF">
      <w:pPr>
        <w:autoSpaceDE w:val="0"/>
        <w:autoSpaceDN w:val="0"/>
        <w:adjustRightInd w:val="0"/>
        <w:jc w:val="both"/>
        <w:rPr>
          <w:rFonts w:ascii="Calibri" w:hAnsi="Calibri"/>
          <w:sz w:val="22"/>
          <w:szCs w:val="22"/>
          <w:lang w:val="en-US"/>
        </w:rPr>
      </w:pPr>
      <w:r>
        <w:rPr>
          <w:rFonts w:ascii="Calibri" w:hAnsi="Calibri" w:cs="Arial"/>
          <w:sz w:val="22"/>
          <w:szCs w:val="22"/>
        </w:rPr>
        <w:tab/>
      </w:r>
      <w:r w:rsidR="003C0E77" w:rsidRPr="002B4CC3">
        <w:rPr>
          <w:rFonts w:ascii="Calibri" w:hAnsi="Calibri"/>
          <w:sz w:val="22"/>
          <w:szCs w:val="22"/>
          <w:lang w:val="en-US"/>
        </w:rPr>
        <w:t>In accordance with Article 35 of the Rules of Procedure of the Inter-American Court, the Commission is enclosing</w:t>
      </w:r>
      <w:r w:rsidR="003C0E77">
        <w:rPr>
          <w:rFonts w:ascii="Calibri" w:hAnsi="Calibri"/>
          <w:sz w:val="22"/>
          <w:szCs w:val="22"/>
          <w:lang w:val="en-US"/>
        </w:rPr>
        <w:t xml:space="preserve"> a copy of Merits Report No. 30/13</w:t>
      </w:r>
      <w:r w:rsidR="003C0E77" w:rsidRPr="002B4CC3">
        <w:rPr>
          <w:rFonts w:ascii="Calibri" w:hAnsi="Calibri"/>
          <w:sz w:val="22"/>
          <w:szCs w:val="22"/>
          <w:lang w:val="en-US"/>
        </w:rPr>
        <w:t xml:space="preserve">, prepared in compliance with Article 50 of the American Convention, as well as a copy of the entire file before the Inter-American Commission (Appendix I.) and the attachments used to prepare the Report on the Merits (Attachment). </w:t>
      </w:r>
      <w:r w:rsidR="003C0E77" w:rsidRPr="003C0E77">
        <w:rPr>
          <w:rFonts w:ascii="Calibri" w:hAnsi="Calibri"/>
          <w:sz w:val="22"/>
          <w:szCs w:val="22"/>
          <w:lang w:val="en-US"/>
        </w:rPr>
        <w:t xml:space="preserve">The Commission adopted its Report on the Merits No. 30/13 on </w:t>
      </w:r>
      <w:r w:rsidR="003C0E77">
        <w:rPr>
          <w:rFonts w:ascii="Calibri" w:hAnsi="Calibri"/>
          <w:sz w:val="22"/>
          <w:szCs w:val="22"/>
          <w:lang w:val="en-US"/>
        </w:rPr>
        <w:t>March</w:t>
      </w:r>
      <w:r w:rsidR="003C0E77" w:rsidRPr="003C0E77">
        <w:rPr>
          <w:rFonts w:ascii="Calibri" w:hAnsi="Calibri"/>
          <w:sz w:val="22"/>
          <w:szCs w:val="22"/>
          <w:lang w:val="en-US"/>
        </w:rPr>
        <w:t xml:space="preserve"> 2</w:t>
      </w:r>
      <w:r w:rsidR="003C0E77">
        <w:rPr>
          <w:rFonts w:ascii="Calibri" w:hAnsi="Calibri"/>
          <w:sz w:val="22"/>
          <w:szCs w:val="22"/>
          <w:lang w:val="en-US"/>
        </w:rPr>
        <w:t>1</w:t>
      </w:r>
      <w:r w:rsidR="003C0E77" w:rsidRPr="003C0E77">
        <w:rPr>
          <w:rFonts w:ascii="Calibri" w:hAnsi="Calibri"/>
          <w:sz w:val="22"/>
          <w:szCs w:val="22"/>
          <w:lang w:val="en-US"/>
        </w:rPr>
        <w:t>, 201</w:t>
      </w:r>
      <w:r w:rsidR="003C0E77">
        <w:rPr>
          <w:rFonts w:ascii="Calibri" w:hAnsi="Calibri"/>
          <w:sz w:val="22"/>
          <w:szCs w:val="22"/>
          <w:lang w:val="en-US"/>
        </w:rPr>
        <w:t>3.</w:t>
      </w:r>
    </w:p>
    <w:p w:rsidR="003C0E77" w:rsidRDefault="003C0E77" w:rsidP="006765DF">
      <w:pPr>
        <w:autoSpaceDE w:val="0"/>
        <w:autoSpaceDN w:val="0"/>
        <w:adjustRightInd w:val="0"/>
        <w:jc w:val="both"/>
        <w:rPr>
          <w:rFonts w:ascii="Calibri" w:hAnsi="Calibri"/>
          <w:sz w:val="22"/>
          <w:szCs w:val="22"/>
          <w:lang w:val="en-US"/>
        </w:rPr>
      </w:pPr>
    </w:p>
    <w:p w:rsidR="006765DF" w:rsidRPr="00225C48" w:rsidRDefault="003C0E77" w:rsidP="00225C48">
      <w:pPr>
        <w:autoSpaceDE w:val="0"/>
        <w:autoSpaceDN w:val="0"/>
        <w:adjustRightInd w:val="0"/>
        <w:ind w:firstLine="720"/>
        <w:jc w:val="both"/>
        <w:rPr>
          <w:rFonts w:ascii="Calibri" w:hAnsi="Calibri" w:cs="Arial"/>
          <w:sz w:val="22"/>
          <w:szCs w:val="22"/>
          <w:lang w:val="en-US"/>
        </w:rPr>
      </w:pPr>
      <w:r>
        <w:rPr>
          <w:rFonts w:ascii="Calibri" w:hAnsi="Calibri"/>
          <w:sz w:val="22"/>
          <w:szCs w:val="22"/>
          <w:lang w:val="en-US"/>
        </w:rPr>
        <w:t xml:space="preserve">The Merits Report was </w:t>
      </w:r>
      <w:r w:rsidRPr="003C0E77">
        <w:rPr>
          <w:rFonts w:ascii="Calibri" w:hAnsi="Calibri"/>
          <w:sz w:val="22"/>
          <w:szCs w:val="22"/>
          <w:lang w:val="en-US"/>
        </w:rPr>
        <w:t xml:space="preserve">transmitted to the State on </w:t>
      </w:r>
      <w:r>
        <w:rPr>
          <w:rFonts w:ascii="Calibri" w:hAnsi="Calibri"/>
          <w:sz w:val="22"/>
          <w:szCs w:val="22"/>
          <w:lang w:val="en-US"/>
        </w:rPr>
        <w:t>April 1</w:t>
      </w:r>
      <w:r w:rsidRPr="003C0E77">
        <w:rPr>
          <w:rFonts w:ascii="Calibri" w:hAnsi="Calibri"/>
          <w:sz w:val="22"/>
          <w:szCs w:val="22"/>
          <w:lang w:val="en-US"/>
        </w:rPr>
        <w:t>, 2013, granting it two months to provide information on the measures adopted in compliance with the recommendations.</w:t>
      </w:r>
      <w:r>
        <w:rPr>
          <w:rFonts w:ascii="Calibri" w:hAnsi="Calibri"/>
          <w:sz w:val="22"/>
          <w:szCs w:val="22"/>
          <w:lang w:val="en-US"/>
        </w:rPr>
        <w:t xml:space="preserve"> </w:t>
      </w:r>
      <w:r w:rsidR="001E387A" w:rsidRPr="003C0E77">
        <w:rPr>
          <w:rFonts w:ascii="Calibri" w:hAnsi="Calibri" w:cs="Arial"/>
          <w:sz w:val="22"/>
          <w:szCs w:val="22"/>
          <w:lang w:val="en-US"/>
        </w:rPr>
        <w:t xml:space="preserve">On June 21, 2013, the State of Honduras submitted a communication expressing its will to comply with the recommendations </w:t>
      </w:r>
      <w:r>
        <w:rPr>
          <w:rFonts w:ascii="Calibri" w:hAnsi="Calibri" w:cs="Arial"/>
          <w:sz w:val="22"/>
          <w:szCs w:val="22"/>
          <w:lang w:val="en-US"/>
        </w:rPr>
        <w:t xml:space="preserve">On June 26, 2013 the State requested an extension </w:t>
      </w:r>
      <w:r w:rsidR="00225C48">
        <w:rPr>
          <w:rFonts w:ascii="Calibri" w:hAnsi="Calibri" w:cs="Arial"/>
          <w:sz w:val="22"/>
          <w:szCs w:val="22"/>
          <w:lang w:val="en-US"/>
        </w:rPr>
        <w:t xml:space="preserve">and expressively gave the waiver regarding article 51 of the Convention. The IACHR granted the extension requested for three months. By means of the communication of September 1, 2013, informing the State of the granting, the Commission requested to the State to present information regarding the fulfillment of the recommendations. </w:t>
      </w:r>
      <w:r w:rsidR="00225C48" w:rsidRPr="00225C48">
        <w:rPr>
          <w:rFonts w:ascii="Calibri" w:hAnsi="Calibri" w:cs="Arial"/>
          <w:sz w:val="22"/>
          <w:szCs w:val="22"/>
          <w:lang w:val="en-US"/>
        </w:rPr>
        <w:t>To date, the State has not sent the requested report.</w:t>
      </w:r>
      <w:r w:rsidR="00225C48">
        <w:rPr>
          <w:rFonts w:ascii="Calibri" w:hAnsi="Calibri" w:cs="Arial"/>
          <w:sz w:val="22"/>
          <w:szCs w:val="22"/>
          <w:lang w:val="en-US"/>
        </w:rPr>
        <w:t xml:space="preserve"> </w:t>
      </w:r>
    </w:p>
    <w:p w:rsidR="00225C48" w:rsidRPr="00225C48" w:rsidRDefault="00225C48" w:rsidP="00225C48">
      <w:pPr>
        <w:autoSpaceDE w:val="0"/>
        <w:autoSpaceDN w:val="0"/>
        <w:adjustRightInd w:val="0"/>
        <w:ind w:firstLine="720"/>
        <w:jc w:val="both"/>
        <w:rPr>
          <w:rFonts w:ascii="Calibri" w:hAnsi="Calibri" w:cs="Arial"/>
          <w:sz w:val="22"/>
          <w:szCs w:val="22"/>
          <w:lang w:val="en-US"/>
        </w:rPr>
      </w:pPr>
    </w:p>
    <w:p w:rsidR="003C0E77" w:rsidRPr="003C0E77" w:rsidRDefault="003C0E77" w:rsidP="003C0E77">
      <w:pPr>
        <w:tabs>
          <w:tab w:val="left" w:pos="720"/>
          <w:tab w:val="left" w:pos="9000"/>
        </w:tabs>
        <w:jc w:val="both"/>
        <w:rPr>
          <w:rFonts w:ascii="Calibri" w:hAnsi="Calibri"/>
          <w:sz w:val="22"/>
          <w:szCs w:val="22"/>
          <w:lang w:val="en-US"/>
        </w:rPr>
      </w:pPr>
      <w:r>
        <w:rPr>
          <w:rFonts w:ascii="Calibri" w:hAnsi="Calibri"/>
          <w:i/>
          <w:sz w:val="22"/>
          <w:szCs w:val="22"/>
          <w:lang w:val="en-US"/>
        </w:rPr>
        <w:tab/>
      </w:r>
      <w:r w:rsidRPr="003C0E77">
        <w:rPr>
          <w:rFonts w:ascii="Calibri" w:hAnsi="Calibri"/>
          <w:sz w:val="22"/>
          <w:szCs w:val="22"/>
          <w:lang w:val="en-US"/>
        </w:rPr>
        <w:t>The Commission submits the case to the jurisdiction of the Court due to the needs of justice in the particular case for the victims.</w:t>
      </w:r>
    </w:p>
    <w:p w:rsidR="006765DF" w:rsidRPr="003C0E77" w:rsidRDefault="006765DF" w:rsidP="006765DF">
      <w:pPr>
        <w:tabs>
          <w:tab w:val="left" w:pos="0"/>
          <w:tab w:val="left" w:pos="9000"/>
        </w:tabs>
        <w:jc w:val="both"/>
        <w:rPr>
          <w:rFonts w:ascii="Calibri" w:hAnsi="Calibri"/>
          <w:sz w:val="22"/>
          <w:szCs w:val="22"/>
          <w:lang w:val="en-US"/>
        </w:rPr>
      </w:pPr>
    </w:p>
    <w:p w:rsidR="006765DF" w:rsidRDefault="003C0E77" w:rsidP="003C0E77">
      <w:pPr>
        <w:autoSpaceDE w:val="0"/>
        <w:autoSpaceDN w:val="0"/>
        <w:adjustRightInd w:val="0"/>
        <w:ind w:firstLine="720"/>
        <w:jc w:val="both"/>
        <w:rPr>
          <w:rFonts w:ascii="Calibri" w:hAnsi="Calibri"/>
          <w:sz w:val="22"/>
          <w:szCs w:val="22"/>
          <w:lang w:val="en-US"/>
        </w:rPr>
      </w:pPr>
      <w:r w:rsidRPr="003C0E77">
        <w:rPr>
          <w:rFonts w:ascii="Calibri" w:hAnsi="Calibri"/>
          <w:sz w:val="22"/>
          <w:szCs w:val="22"/>
          <w:lang w:val="en-US"/>
        </w:rPr>
        <w:t>Although the State of Honduras expressed its willingness to comply with the recommendations made by the Commission and formulated a proposal, that proposal does not correspond to the principal reparation involved in the case, which is the effective regularization of the lands and territories of the Garífuna Community of “Punta Piedra.” In addition, its alternative proposals were emphatically rejected by the community. Since the State was granted an initial extension of three months, it has not responded to the Commission’s request for information regarding progress made in complying with the recommendations nor has it sought an additional extension of the deadline.</w:t>
      </w:r>
    </w:p>
    <w:p w:rsidR="003C0E77" w:rsidRPr="003C0E77" w:rsidRDefault="003C0E77" w:rsidP="003C0E77">
      <w:pPr>
        <w:autoSpaceDE w:val="0"/>
        <w:autoSpaceDN w:val="0"/>
        <w:adjustRightInd w:val="0"/>
        <w:ind w:firstLine="720"/>
        <w:jc w:val="both"/>
        <w:rPr>
          <w:rFonts w:ascii="Calibri" w:hAnsi="Calibri" w:cs="Arial"/>
          <w:sz w:val="22"/>
          <w:szCs w:val="22"/>
          <w:lang w:val="en-US"/>
        </w:rPr>
      </w:pPr>
    </w:p>
    <w:p w:rsidR="003C0E77" w:rsidRPr="003C0E77" w:rsidRDefault="006765DF" w:rsidP="001E387A">
      <w:pPr>
        <w:jc w:val="both"/>
        <w:rPr>
          <w:rFonts w:ascii="Calibri" w:hAnsi="Calibri"/>
          <w:sz w:val="22"/>
          <w:szCs w:val="22"/>
          <w:lang w:val="en-US"/>
        </w:rPr>
      </w:pPr>
      <w:r w:rsidRPr="003C0E77">
        <w:rPr>
          <w:rFonts w:ascii="Calibri" w:hAnsi="Calibri"/>
          <w:sz w:val="22"/>
          <w:szCs w:val="22"/>
          <w:lang w:val="en-US"/>
        </w:rPr>
        <w:tab/>
      </w:r>
      <w:r w:rsidR="003C0E77" w:rsidRPr="003C0E77">
        <w:rPr>
          <w:rFonts w:ascii="Calibri" w:hAnsi="Calibri"/>
          <w:sz w:val="22"/>
          <w:szCs w:val="22"/>
          <w:lang w:val="en-US"/>
        </w:rPr>
        <w:t>In accordance to the above mentioned</w:t>
      </w:r>
      <w:r w:rsidR="001E387A" w:rsidRPr="003C0E77">
        <w:rPr>
          <w:rFonts w:ascii="Calibri" w:hAnsi="Calibri"/>
          <w:sz w:val="22"/>
          <w:szCs w:val="22"/>
          <w:lang w:val="en-US"/>
        </w:rPr>
        <w:t>, the IACRH concluded that:</w:t>
      </w:r>
      <w:r w:rsidR="003C0E77" w:rsidRPr="003C0E77">
        <w:rPr>
          <w:rFonts w:ascii="Calibri" w:hAnsi="Calibri"/>
          <w:sz w:val="22"/>
          <w:szCs w:val="22"/>
          <w:lang w:val="en-US"/>
        </w:rPr>
        <w:t xml:space="preserve"> </w:t>
      </w:r>
    </w:p>
    <w:p w:rsidR="001E387A" w:rsidRPr="003C0E77" w:rsidRDefault="001E387A" w:rsidP="001E387A">
      <w:pPr>
        <w:ind w:right="1800"/>
        <w:jc w:val="both"/>
        <w:rPr>
          <w:rFonts w:ascii="Calibri" w:hAnsi="Calibri"/>
          <w:sz w:val="22"/>
          <w:szCs w:val="22"/>
          <w:lang w:val="en-US"/>
        </w:rPr>
      </w:pPr>
    </w:p>
    <w:p w:rsidR="001E387A" w:rsidRPr="001E387A" w:rsidRDefault="001E387A" w:rsidP="001E387A">
      <w:pPr>
        <w:numPr>
          <w:ilvl w:val="3"/>
          <w:numId w:val="10"/>
        </w:numPr>
        <w:tabs>
          <w:tab w:val="clear" w:pos="3240"/>
          <w:tab w:val="num" w:pos="1080"/>
          <w:tab w:val="left" w:pos="9360"/>
        </w:tabs>
        <w:ind w:left="720" w:right="1080" w:firstLine="0"/>
        <w:jc w:val="both"/>
        <w:rPr>
          <w:rFonts w:ascii="Calibri" w:hAnsi="Calibri" w:cs="Arial"/>
          <w:sz w:val="22"/>
          <w:szCs w:val="22"/>
          <w:lang w:val="en-US"/>
        </w:rPr>
      </w:pPr>
      <w:r w:rsidRPr="001E387A">
        <w:rPr>
          <w:rFonts w:ascii="Calibri" w:hAnsi="Calibri" w:cs="Arial"/>
          <w:sz w:val="22"/>
          <w:szCs w:val="22"/>
          <w:lang w:val="en-US"/>
        </w:rPr>
        <w:t xml:space="preserve">The State of Honduras violated the right to property enshrined in Article 21 of the American Convention on Human Rights, in connection with Articles 1.1 and 2 thereof, to the detriment of the Garifuna Community of Punta Piedra and its members. </w:t>
      </w:r>
    </w:p>
    <w:p w:rsidR="001E387A" w:rsidRPr="001E387A" w:rsidRDefault="001E387A" w:rsidP="001E387A">
      <w:pPr>
        <w:tabs>
          <w:tab w:val="num" w:pos="0"/>
          <w:tab w:val="num" w:pos="1080"/>
          <w:tab w:val="left" w:pos="9360"/>
        </w:tabs>
        <w:ind w:left="720" w:right="1080"/>
        <w:jc w:val="both"/>
        <w:rPr>
          <w:rFonts w:ascii="Calibri" w:hAnsi="Calibri" w:cs="Arial"/>
          <w:sz w:val="22"/>
          <w:szCs w:val="22"/>
          <w:lang w:val="en-US"/>
        </w:rPr>
      </w:pPr>
    </w:p>
    <w:p w:rsidR="001E387A" w:rsidRPr="001E387A" w:rsidRDefault="001E387A" w:rsidP="001E387A">
      <w:pPr>
        <w:numPr>
          <w:ilvl w:val="3"/>
          <w:numId w:val="10"/>
        </w:numPr>
        <w:tabs>
          <w:tab w:val="clear" w:pos="3240"/>
          <w:tab w:val="num" w:pos="1080"/>
          <w:tab w:val="left" w:pos="9360"/>
        </w:tabs>
        <w:ind w:left="720" w:right="1080" w:firstLine="0"/>
        <w:jc w:val="both"/>
        <w:rPr>
          <w:rFonts w:ascii="Calibri" w:hAnsi="Calibri" w:cs="Arial"/>
          <w:sz w:val="22"/>
          <w:szCs w:val="22"/>
          <w:lang w:val="en-US"/>
        </w:rPr>
      </w:pPr>
      <w:r w:rsidRPr="001E387A">
        <w:rPr>
          <w:rFonts w:ascii="Calibri" w:hAnsi="Calibri" w:cs="Arial"/>
          <w:sz w:val="22"/>
          <w:szCs w:val="22"/>
          <w:lang w:val="en-US"/>
        </w:rPr>
        <w:t xml:space="preserve">The State of Honduras violated the right to judicial protection enshrined in Article 25 of the American Convention on Human Rights, in connection with Articles 1.1 and 2 thereof, to the detriment of the Garifuna Community of Punta Piedra and its members. </w:t>
      </w:r>
    </w:p>
    <w:p w:rsidR="006765DF" w:rsidRPr="001E387A" w:rsidRDefault="006765DF" w:rsidP="001E387A">
      <w:pPr>
        <w:autoSpaceDE w:val="0"/>
        <w:autoSpaceDN w:val="0"/>
        <w:adjustRightInd w:val="0"/>
        <w:jc w:val="both"/>
        <w:rPr>
          <w:rFonts w:ascii="Calibri" w:hAnsi="Calibri"/>
          <w:sz w:val="20"/>
          <w:szCs w:val="22"/>
          <w:lang w:val="en-US"/>
        </w:rPr>
      </w:pPr>
    </w:p>
    <w:p w:rsidR="001E387A" w:rsidRPr="001E387A" w:rsidRDefault="001E387A" w:rsidP="001E387A">
      <w:pPr>
        <w:tabs>
          <w:tab w:val="left" w:pos="1080"/>
        </w:tabs>
        <w:ind w:right="720"/>
        <w:jc w:val="both"/>
        <w:rPr>
          <w:rFonts w:ascii="Calibri" w:hAnsi="Calibri"/>
          <w:sz w:val="22"/>
          <w:szCs w:val="22"/>
          <w:lang w:val="en-US"/>
        </w:rPr>
      </w:pPr>
      <w:r w:rsidRPr="001E387A">
        <w:rPr>
          <w:rFonts w:ascii="Calibri" w:hAnsi="Calibri"/>
          <w:sz w:val="22"/>
          <w:szCs w:val="22"/>
          <w:lang w:val="en-US"/>
        </w:rPr>
        <w:t>As a consequence, the Commi</w:t>
      </w:r>
      <w:r>
        <w:rPr>
          <w:rFonts w:ascii="Calibri" w:hAnsi="Calibri"/>
          <w:sz w:val="22"/>
          <w:szCs w:val="22"/>
          <w:lang w:val="en-US"/>
        </w:rPr>
        <w:t xml:space="preserve">ssion suggests to the Court to </w:t>
      </w:r>
      <w:r w:rsidR="003C0E77">
        <w:rPr>
          <w:rFonts w:ascii="Calibri" w:hAnsi="Calibri"/>
          <w:sz w:val="22"/>
          <w:szCs w:val="22"/>
          <w:lang w:val="en-US"/>
        </w:rPr>
        <w:t>request to</w:t>
      </w:r>
      <w:r w:rsidRPr="001E387A">
        <w:rPr>
          <w:rFonts w:ascii="Calibri" w:hAnsi="Calibri"/>
          <w:sz w:val="22"/>
          <w:szCs w:val="22"/>
          <w:lang w:val="en-US"/>
        </w:rPr>
        <w:t xml:space="preserve"> the State to:</w:t>
      </w:r>
    </w:p>
    <w:p w:rsidR="001E387A" w:rsidRPr="001E387A" w:rsidRDefault="001E387A" w:rsidP="001E387A">
      <w:pPr>
        <w:tabs>
          <w:tab w:val="left" w:pos="1080"/>
        </w:tabs>
        <w:ind w:left="720" w:right="1800"/>
        <w:jc w:val="both"/>
        <w:rPr>
          <w:rFonts w:ascii="Calibri" w:hAnsi="Calibri"/>
          <w:sz w:val="22"/>
          <w:szCs w:val="22"/>
          <w:lang w:val="en-US"/>
        </w:rPr>
      </w:pPr>
    </w:p>
    <w:p w:rsidR="001E387A" w:rsidRDefault="001E387A" w:rsidP="001E387A">
      <w:pPr>
        <w:numPr>
          <w:ilvl w:val="0"/>
          <w:numId w:val="12"/>
        </w:numPr>
        <w:tabs>
          <w:tab w:val="left" w:pos="1080"/>
          <w:tab w:val="num" w:pos="1170"/>
        </w:tabs>
        <w:autoSpaceDE w:val="0"/>
        <w:autoSpaceDN w:val="0"/>
        <w:adjustRightInd w:val="0"/>
        <w:ind w:right="1080"/>
        <w:jc w:val="both"/>
        <w:rPr>
          <w:rFonts w:ascii="Calibri" w:hAnsi="Calibri" w:cs="Arial"/>
          <w:sz w:val="22"/>
          <w:szCs w:val="22"/>
          <w:lang w:val="en-US"/>
        </w:rPr>
      </w:pPr>
      <w:r w:rsidRPr="001E387A">
        <w:rPr>
          <w:rFonts w:ascii="Calibri" w:hAnsi="Calibri" w:cs="Arial"/>
          <w:sz w:val="22"/>
          <w:szCs w:val="22"/>
          <w:lang w:val="en-US"/>
        </w:rPr>
        <w:t xml:space="preserve">Adopt as soon as possible the necessary measures to make effective the right to communal property and possession of the Garifuna Community of Punta Piedra and its members, with respect to their ancestral territory; and, in particular, the legislative, administrative and other measures necessary to effectively normalize their title, in accordance with their customary law, values, practices </w:t>
      </w:r>
      <w:r w:rsidRPr="001E387A">
        <w:rPr>
          <w:rFonts w:ascii="Calibri" w:hAnsi="Calibri" w:cs="Arial"/>
          <w:sz w:val="22"/>
          <w:szCs w:val="22"/>
          <w:lang w:val="en-US"/>
        </w:rPr>
        <w:lastRenderedPageBreak/>
        <w:t xml:space="preserve">and customs and ensure the members of the Community to be able to continue to lead their traditional way of life, in keeping with their cultural identity, social structure, economic system, distinct customs, beliefs and traditions. </w:t>
      </w:r>
    </w:p>
    <w:p w:rsidR="001E387A" w:rsidRDefault="001E387A" w:rsidP="001E387A">
      <w:pPr>
        <w:tabs>
          <w:tab w:val="left" w:pos="1080"/>
        </w:tabs>
        <w:autoSpaceDE w:val="0"/>
        <w:autoSpaceDN w:val="0"/>
        <w:adjustRightInd w:val="0"/>
        <w:ind w:right="1080"/>
        <w:jc w:val="both"/>
        <w:rPr>
          <w:rFonts w:ascii="Calibri" w:hAnsi="Calibri" w:cs="Arial"/>
          <w:sz w:val="22"/>
          <w:szCs w:val="22"/>
          <w:lang w:val="en-US"/>
        </w:rPr>
      </w:pPr>
    </w:p>
    <w:p w:rsidR="001E387A" w:rsidRDefault="001E387A" w:rsidP="001E387A">
      <w:pPr>
        <w:numPr>
          <w:ilvl w:val="0"/>
          <w:numId w:val="12"/>
        </w:numPr>
        <w:tabs>
          <w:tab w:val="left" w:pos="1080"/>
          <w:tab w:val="num" w:pos="1170"/>
        </w:tabs>
        <w:autoSpaceDE w:val="0"/>
        <w:autoSpaceDN w:val="0"/>
        <w:adjustRightInd w:val="0"/>
        <w:ind w:right="1080"/>
        <w:jc w:val="both"/>
        <w:rPr>
          <w:rFonts w:ascii="Calibri" w:hAnsi="Calibri" w:cs="Arial"/>
          <w:sz w:val="22"/>
          <w:szCs w:val="22"/>
          <w:lang w:val="en-US"/>
        </w:rPr>
      </w:pPr>
      <w:r w:rsidRPr="001E387A">
        <w:rPr>
          <w:rFonts w:ascii="Calibri" w:hAnsi="Calibri" w:cs="Arial"/>
          <w:sz w:val="22"/>
          <w:szCs w:val="22"/>
          <w:lang w:val="en-US"/>
        </w:rPr>
        <w:t>Take the necessary steps to prevent that the Garifuna Community of Punta Piedra and its members are subject to discriminatory acts and, in particular, are exposed to violence by third parties by virtue of their ethnic origin.</w:t>
      </w:r>
    </w:p>
    <w:p w:rsidR="001E387A" w:rsidRDefault="001E387A" w:rsidP="001E387A">
      <w:pPr>
        <w:tabs>
          <w:tab w:val="left" w:pos="1080"/>
        </w:tabs>
        <w:autoSpaceDE w:val="0"/>
        <w:autoSpaceDN w:val="0"/>
        <w:adjustRightInd w:val="0"/>
        <w:ind w:right="1080"/>
        <w:jc w:val="both"/>
        <w:rPr>
          <w:rFonts w:ascii="Calibri" w:hAnsi="Calibri" w:cs="Arial"/>
          <w:sz w:val="22"/>
          <w:szCs w:val="22"/>
          <w:lang w:val="en-US"/>
        </w:rPr>
      </w:pPr>
    </w:p>
    <w:p w:rsidR="001E387A" w:rsidRDefault="001E387A" w:rsidP="001E387A">
      <w:pPr>
        <w:numPr>
          <w:ilvl w:val="0"/>
          <w:numId w:val="12"/>
        </w:numPr>
        <w:tabs>
          <w:tab w:val="left" w:pos="1080"/>
          <w:tab w:val="num" w:pos="1170"/>
        </w:tabs>
        <w:autoSpaceDE w:val="0"/>
        <w:autoSpaceDN w:val="0"/>
        <w:adjustRightInd w:val="0"/>
        <w:ind w:right="1080"/>
        <w:jc w:val="both"/>
        <w:rPr>
          <w:rFonts w:ascii="Calibri" w:hAnsi="Calibri" w:cs="Arial"/>
          <w:sz w:val="22"/>
          <w:szCs w:val="22"/>
          <w:lang w:val="en-US"/>
        </w:rPr>
      </w:pPr>
      <w:r w:rsidRPr="001E387A">
        <w:rPr>
          <w:rFonts w:ascii="Calibri" w:hAnsi="Calibri" w:cs="Arial"/>
          <w:sz w:val="22"/>
          <w:szCs w:val="22"/>
          <w:lang w:val="en-US"/>
        </w:rPr>
        <w:t xml:space="preserve">Adopt an effective and simple remedy that protects the right of indigenous peoples of Honduras to claim and gain access to their traditional territories and provide for effective protection of said territories from actions of the State or third parties that infringe their right of property.    </w:t>
      </w:r>
    </w:p>
    <w:p w:rsidR="001E387A" w:rsidRDefault="001E387A" w:rsidP="001E387A">
      <w:pPr>
        <w:tabs>
          <w:tab w:val="left" w:pos="1080"/>
        </w:tabs>
        <w:autoSpaceDE w:val="0"/>
        <w:autoSpaceDN w:val="0"/>
        <w:adjustRightInd w:val="0"/>
        <w:ind w:right="1080"/>
        <w:jc w:val="both"/>
        <w:rPr>
          <w:rFonts w:ascii="Calibri" w:hAnsi="Calibri" w:cs="Arial"/>
          <w:sz w:val="22"/>
          <w:szCs w:val="22"/>
          <w:lang w:val="en-US"/>
        </w:rPr>
      </w:pPr>
    </w:p>
    <w:p w:rsidR="001E387A" w:rsidRDefault="001E387A" w:rsidP="001E387A">
      <w:pPr>
        <w:numPr>
          <w:ilvl w:val="0"/>
          <w:numId w:val="12"/>
        </w:numPr>
        <w:tabs>
          <w:tab w:val="left" w:pos="1080"/>
          <w:tab w:val="num" w:pos="1170"/>
        </w:tabs>
        <w:autoSpaceDE w:val="0"/>
        <w:autoSpaceDN w:val="0"/>
        <w:adjustRightInd w:val="0"/>
        <w:ind w:right="1080"/>
        <w:jc w:val="both"/>
        <w:rPr>
          <w:rFonts w:ascii="Calibri" w:hAnsi="Calibri" w:cs="Arial"/>
          <w:sz w:val="22"/>
          <w:szCs w:val="22"/>
          <w:lang w:val="en-US"/>
        </w:rPr>
      </w:pPr>
      <w:r w:rsidRPr="001E387A">
        <w:rPr>
          <w:rFonts w:ascii="Calibri" w:hAnsi="Calibri"/>
          <w:sz w:val="22"/>
          <w:szCs w:val="22"/>
          <w:lang w:val="en-US"/>
        </w:rPr>
        <w:t>Investigate and punish those responsible for the threats, harassment, acts of violence and intimidation, and damage to the property of the Community of Punta Piedra and its members.</w:t>
      </w:r>
    </w:p>
    <w:p w:rsidR="001E387A" w:rsidRDefault="001E387A" w:rsidP="001E387A">
      <w:pPr>
        <w:tabs>
          <w:tab w:val="left" w:pos="1080"/>
        </w:tabs>
        <w:autoSpaceDE w:val="0"/>
        <w:autoSpaceDN w:val="0"/>
        <w:adjustRightInd w:val="0"/>
        <w:ind w:right="1080"/>
        <w:jc w:val="both"/>
        <w:rPr>
          <w:rFonts w:ascii="Calibri" w:hAnsi="Calibri" w:cs="Arial"/>
          <w:sz w:val="22"/>
          <w:szCs w:val="22"/>
          <w:lang w:val="en-US"/>
        </w:rPr>
      </w:pPr>
    </w:p>
    <w:p w:rsidR="001E387A" w:rsidRPr="001E387A" w:rsidRDefault="001E387A" w:rsidP="001E387A">
      <w:pPr>
        <w:numPr>
          <w:ilvl w:val="0"/>
          <w:numId w:val="12"/>
        </w:numPr>
        <w:tabs>
          <w:tab w:val="left" w:pos="1080"/>
          <w:tab w:val="num" w:pos="1170"/>
        </w:tabs>
        <w:autoSpaceDE w:val="0"/>
        <w:autoSpaceDN w:val="0"/>
        <w:adjustRightInd w:val="0"/>
        <w:ind w:right="1080"/>
        <w:jc w:val="both"/>
        <w:rPr>
          <w:rFonts w:ascii="Calibri" w:hAnsi="Calibri" w:cs="Arial"/>
          <w:sz w:val="22"/>
          <w:szCs w:val="22"/>
          <w:lang w:val="en-US"/>
        </w:rPr>
      </w:pPr>
      <w:r w:rsidRPr="001E387A">
        <w:rPr>
          <w:rFonts w:ascii="Calibri" w:hAnsi="Calibri" w:cs="Arial"/>
          <w:sz w:val="22"/>
          <w:szCs w:val="22"/>
          <w:lang w:val="en-US"/>
        </w:rPr>
        <w:t>Redress individually and collectively the consequences of the violation of the aforementioned rights.  Especially, considering the damages caused to the members of the Garifuna Community of Punta Piedra as a result of the failure to clear the title of their ancestral territory as well as the damages caused on the territory itself by the acts of third parties.</w:t>
      </w:r>
      <w:r w:rsidRPr="001E387A">
        <w:rPr>
          <w:rFonts w:ascii="Calibri" w:hAnsi="Calibri"/>
          <w:sz w:val="22"/>
          <w:szCs w:val="22"/>
          <w:lang w:val="en-US"/>
        </w:rPr>
        <w:t xml:space="preserve"> </w:t>
      </w:r>
    </w:p>
    <w:p w:rsidR="001E387A" w:rsidRDefault="001E387A" w:rsidP="001E387A">
      <w:pPr>
        <w:tabs>
          <w:tab w:val="left" w:pos="1080"/>
        </w:tabs>
        <w:autoSpaceDE w:val="0"/>
        <w:autoSpaceDN w:val="0"/>
        <w:adjustRightInd w:val="0"/>
        <w:ind w:right="1080"/>
        <w:jc w:val="both"/>
        <w:rPr>
          <w:rFonts w:ascii="Calibri" w:hAnsi="Calibri" w:cs="Arial"/>
          <w:sz w:val="22"/>
          <w:szCs w:val="22"/>
          <w:lang w:val="en-US"/>
        </w:rPr>
      </w:pPr>
    </w:p>
    <w:p w:rsidR="001E387A" w:rsidRPr="001E387A" w:rsidRDefault="001E387A" w:rsidP="001E387A">
      <w:pPr>
        <w:numPr>
          <w:ilvl w:val="0"/>
          <w:numId w:val="12"/>
        </w:numPr>
        <w:tabs>
          <w:tab w:val="left" w:pos="1080"/>
          <w:tab w:val="num" w:pos="1170"/>
        </w:tabs>
        <w:autoSpaceDE w:val="0"/>
        <w:autoSpaceDN w:val="0"/>
        <w:adjustRightInd w:val="0"/>
        <w:ind w:right="1080"/>
        <w:jc w:val="both"/>
        <w:rPr>
          <w:rFonts w:ascii="Calibri" w:hAnsi="Calibri" w:cs="Arial"/>
          <w:sz w:val="22"/>
          <w:szCs w:val="22"/>
          <w:lang w:val="en-US"/>
        </w:rPr>
      </w:pPr>
      <w:r w:rsidRPr="001E387A">
        <w:rPr>
          <w:rFonts w:ascii="Calibri" w:hAnsi="Calibri"/>
          <w:sz w:val="22"/>
          <w:szCs w:val="22"/>
          <w:lang w:val="en-US"/>
        </w:rPr>
        <w:t xml:space="preserve">Adopt the necessary measures to prevent similar acts from happening in the future, in keeping with the duty to prevent and ensure the fundamental rights recognized in the American Convention. </w:t>
      </w:r>
    </w:p>
    <w:p w:rsidR="006765DF" w:rsidRPr="001E387A" w:rsidRDefault="006765DF" w:rsidP="006765DF">
      <w:pPr>
        <w:autoSpaceDE w:val="0"/>
        <w:autoSpaceDN w:val="0"/>
        <w:adjustRightInd w:val="0"/>
        <w:jc w:val="both"/>
        <w:rPr>
          <w:rFonts w:ascii="Calibri" w:hAnsi="Calibri" w:cs="Arial"/>
          <w:sz w:val="22"/>
          <w:szCs w:val="22"/>
          <w:lang w:val="en-US"/>
        </w:rPr>
      </w:pPr>
    </w:p>
    <w:p w:rsidR="006765DF" w:rsidRDefault="003C0E77" w:rsidP="006765DF">
      <w:pPr>
        <w:tabs>
          <w:tab w:val="left" w:pos="0"/>
          <w:tab w:val="left" w:pos="9000"/>
        </w:tabs>
        <w:ind w:firstLine="720"/>
        <w:jc w:val="both"/>
        <w:rPr>
          <w:rFonts w:ascii="Calibri" w:hAnsi="Calibri" w:cs="Arial"/>
          <w:sz w:val="22"/>
          <w:szCs w:val="22"/>
          <w:lang w:val="en-US"/>
        </w:rPr>
      </w:pPr>
      <w:r>
        <w:rPr>
          <w:rFonts w:ascii="Calibri" w:hAnsi="Calibri" w:cs="Arial"/>
          <w:sz w:val="22"/>
          <w:szCs w:val="22"/>
          <w:lang w:val="en-US"/>
        </w:rPr>
        <w:t>A</w:t>
      </w:r>
      <w:r w:rsidRPr="002D30F2">
        <w:rPr>
          <w:rFonts w:ascii="Calibri" w:hAnsi="Calibri" w:cs="Arial"/>
          <w:sz w:val="22"/>
          <w:szCs w:val="22"/>
          <w:lang w:val="en-US"/>
        </w:rPr>
        <w:t xml:space="preserve">part from the need to obtain justice, the Commission </w:t>
      </w:r>
      <w:r>
        <w:rPr>
          <w:rFonts w:ascii="Calibri" w:hAnsi="Calibri" w:cs="Arial"/>
          <w:sz w:val="22"/>
          <w:szCs w:val="22"/>
          <w:lang w:val="en-US"/>
        </w:rPr>
        <w:t>considers the case presents issues of public Inter-American order.</w:t>
      </w:r>
    </w:p>
    <w:p w:rsidR="003C0E77" w:rsidRPr="003C0E77" w:rsidRDefault="003C0E77" w:rsidP="006765DF">
      <w:pPr>
        <w:tabs>
          <w:tab w:val="left" w:pos="0"/>
          <w:tab w:val="left" w:pos="9000"/>
        </w:tabs>
        <w:ind w:firstLine="720"/>
        <w:jc w:val="both"/>
        <w:rPr>
          <w:rFonts w:ascii="Calibri" w:hAnsi="Calibri"/>
          <w:sz w:val="22"/>
          <w:szCs w:val="22"/>
          <w:lang w:val="en-US"/>
        </w:rPr>
      </w:pPr>
    </w:p>
    <w:p w:rsidR="003C0E77" w:rsidRPr="003C0E77" w:rsidRDefault="003C0E77" w:rsidP="003C0E77">
      <w:pPr>
        <w:autoSpaceDE w:val="0"/>
        <w:autoSpaceDN w:val="0"/>
        <w:adjustRightInd w:val="0"/>
        <w:ind w:firstLine="720"/>
        <w:jc w:val="both"/>
        <w:rPr>
          <w:rFonts w:ascii="Calibri" w:hAnsi="Calibri"/>
          <w:sz w:val="22"/>
          <w:szCs w:val="22"/>
          <w:lang w:val="en-US"/>
        </w:rPr>
      </w:pPr>
      <w:r w:rsidRPr="003C0E77">
        <w:rPr>
          <w:rFonts w:ascii="Calibri" w:hAnsi="Calibri"/>
          <w:sz w:val="22"/>
          <w:szCs w:val="22"/>
          <w:lang w:val="en-US"/>
        </w:rPr>
        <w:t xml:space="preserve">Specifically, the case constitutes an opportunity for the Inter-American Court to deepen its jurisprudence on the rights of indigenous peoples in two ways.  On the one hand, it relates to the obligation to guarantee the right to property over their lands, territories and natural resources, of indigenous peoples, against the invasion on behalf of non-indigenous third parties.  Besides, the Court will be able to pronounce itself on the obligation of the State to create the conditions so that indigenous peoples’ properties over their lands, territories and natural resources can be exercised in a pacific and non-threatening manner to their way of life, social organization, uses and traditional practices.  </w:t>
      </w:r>
    </w:p>
    <w:p w:rsidR="003C0E77" w:rsidRPr="003C0E77" w:rsidRDefault="003C0E77" w:rsidP="003C0E77">
      <w:pPr>
        <w:autoSpaceDE w:val="0"/>
        <w:autoSpaceDN w:val="0"/>
        <w:adjustRightInd w:val="0"/>
        <w:ind w:firstLine="720"/>
        <w:jc w:val="both"/>
        <w:rPr>
          <w:rFonts w:ascii="Calibri" w:hAnsi="Calibri"/>
          <w:sz w:val="22"/>
          <w:szCs w:val="22"/>
          <w:lang w:val="en-US"/>
        </w:rPr>
      </w:pPr>
    </w:p>
    <w:p w:rsidR="006765DF" w:rsidRDefault="003C0E77" w:rsidP="003C0E77">
      <w:pPr>
        <w:autoSpaceDE w:val="0"/>
        <w:autoSpaceDN w:val="0"/>
        <w:adjustRightInd w:val="0"/>
        <w:ind w:firstLine="720"/>
        <w:jc w:val="both"/>
        <w:rPr>
          <w:rFonts w:ascii="Calibri" w:hAnsi="Calibri"/>
          <w:sz w:val="22"/>
          <w:szCs w:val="22"/>
          <w:lang w:val="en-US"/>
        </w:rPr>
      </w:pPr>
      <w:r w:rsidRPr="003C0E77">
        <w:rPr>
          <w:rFonts w:ascii="Calibri" w:hAnsi="Calibri"/>
          <w:sz w:val="22"/>
          <w:szCs w:val="22"/>
          <w:lang w:val="en-US"/>
        </w:rPr>
        <w:t xml:space="preserve">On the other hand, it refers to the right to effective judicial protection of the indigenous peoples, when, disregarding that they have a property title in their favor, they do not have access to coercive mechanisms to ensure that their rights be respected against invasions and threats posed by non-indigenous third parties.  </w:t>
      </w:r>
    </w:p>
    <w:p w:rsidR="003C0E77" w:rsidRPr="003C0E77" w:rsidRDefault="003C0E77" w:rsidP="003C0E77">
      <w:pPr>
        <w:autoSpaceDE w:val="0"/>
        <w:autoSpaceDN w:val="0"/>
        <w:adjustRightInd w:val="0"/>
        <w:ind w:firstLine="720"/>
        <w:jc w:val="both"/>
        <w:rPr>
          <w:rFonts w:ascii="Calibri" w:hAnsi="Calibri"/>
          <w:sz w:val="22"/>
          <w:szCs w:val="22"/>
          <w:lang w:val="en-US"/>
        </w:rPr>
      </w:pPr>
    </w:p>
    <w:p w:rsidR="003C0E77" w:rsidRPr="003C0E77" w:rsidRDefault="003C0E77" w:rsidP="003C0E77">
      <w:pPr>
        <w:ind w:firstLine="708"/>
        <w:jc w:val="both"/>
        <w:rPr>
          <w:rFonts w:ascii="Calibri" w:hAnsi="Calibri" w:cs="Arial"/>
          <w:sz w:val="22"/>
          <w:szCs w:val="22"/>
          <w:lang w:val="en-US"/>
        </w:rPr>
      </w:pPr>
      <w:r w:rsidRPr="003C0E77">
        <w:rPr>
          <w:rFonts w:ascii="Calibri" w:hAnsi="Calibri" w:cs="Arial"/>
          <w:sz w:val="22"/>
          <w:szCs w:val="22"/>
          <w:lang w:val="en-US"/>
        </w:rPr>
        <w:t>Taking into account that the said issues affect in a relevant manner the Inter-American public interest, the Commission offers an expert witness declaration according to Article 35.1 f) of the Rules of Procedure of the Court:</w:t>
      </w:r>
    </w:p>
    <w:p w:rsidR="003C0E77" w:rsidRPr="003C0E77" w:rsidRDefault="003C0E77" w:rsidP="003C0E77">
      <w:pPr>
        <w:jc w:val="both"/>
        <w:rPr>
          <w:rFonts w:ascii="Calibri" w:hAnsi="Calibri" w:cs="Arial"/>
          <w:sz w:val="22"/>
          <w:szCs w:val="22"/>
          <w:lang w:val="en-US"/>
        </w:rPr>
      </w:pPr>
    </w:p>
    <w:p w:rsidR="003C0E77" w:rsidRPr="003C0E77" w:rsidRDefault="003C0E77" w:rsidP="003C0E77">
      <w:pPr>
        <w:ind w:firstLine="708"/>
        <w:jc w:val="both"/>
        <w:rPr>
          <w:rFonts w:ascii="Calibri" w:hAnsi="Calibri" w:cs="Arial"/>
          <w:sz w:val="22"/>
          <w:szCs w:val="22"/>
          <w:lang w:val="en-US"/>
        </w:rPr>
      </w:pPr>
      <w:r w:rsidRPr="002D30F2">
        <w:rPr>
          <w:rFonts w:ascii="Calibri" w:hAnsi="Calibri" w:cs="Arial"/>
          <w:sz w:val="22"/>
          <w:szCs w:val="22"/>
          <w:lang w:val="en-US"/>
        </w:rPr>
        <w:t>A person whose name will be informed shortly</w:t>
      </w:r>
      <w:r w:rsidRPr="003C0E77">
        <w:rPr>
          <w:rFonts w:ascii="Calibri" w:hAnsi="Calibri" w:cs="Arial"/>
          <w:sz w:val="22"/>
          <w:szCs w:val="22"/>
          <w:lang w:val="en-US"/>
        </w:rPr>
        <w:t xml:space="preserve">, who will give his opinion on the obligation to guarantee the right to property of the indigenous peoples over their lands, territories and natural resources.  The expert will further develop on the scope of this obligation regarding the invasion of the </w:t>
      </w:r>
      <w:r w:rsidRPr="003C0E77">
        <w:rPr>
          <w:rFonts w:ascii="Calibri" w:hAnsi="Calibri" w:cs="Arial"/>
          <w:sz w:val="22"/>
          <w:szCs w:val="22"/>
          <w:lang w:val="en-US"/>
        </w:rPr>
        <w:lastRenderedPageBreak/>
        <w:t>land by non-indigenous people and the conflict situation derived from these situations.  Likewise, the expert witness will present the parameters that must be taken into account to resolve these type of situations, including the effective normalization of the titles over the indigenous people’s lands and territories so that they can exercise in an effective manner their right to property.</w:t>
      </w:r>
    </w:p>
    <w:p w:rsidR="003C0E77" w:rsidRPr="003C0E77" w:rsidRDefault="003C0E77" w:rsidP="003C0E77">
      <w:pPr>
        <w:jc w:val="both"/>
        <w:rPr>
          <w:rFonts w:ascii="Calibri" w:hAnsi="Calibri" w:cs="Arial"/>
          <w:sz w:val="22"/>
          <w:szCs w:val="22"/>
          <w:lang w:val="en-US"/>
        </w:rPr>
      </w:pPr>
    </w:p>
    <w:p w:rsidR="003C0E77" w:rsidRDefault="003C0E77" w:rsidP="003C0E77">
      <w:pPr>
        <w:ind w:firstLine="708"/>
        <w:jc w:val="both"/>
        <w:rPr>
          <w:rFonts w:ascii="Calibri" w:hAnsi="Calibri" w:cs="Arial"/>
          <w:sz w:val="22"/>
          <w:szCs w:val="22"/>
          <w:lang w:val="en-US"/>
        </w:rPr>
      </w:pPr>
      <w:r w:rsidRPr="003C0E77">
        <w:rPr>
          <w:rFonts w:ascii="Calibri" w:hAnsi="Calibri" w:cs="Arial"/>
          <w:sz w:val="22"/>
          <w:szCs w:val="22"/>
          <w:lang w:val="en-US"/>
        </w:rPr>
        <w:t>In this same manner, the Commission allows itself to respectfully request the referral of the expert witness’s do</w:t>
      </w:r>
      <w:r>
        <w:rPr>
          <w:rFonts w:ascii="Calibri" w:hAnsi="Calibri" w:cs="Arial"/>
          <w:sz w:val="22"/>
          <w:szCs w:val="22"/>
          <w:lang w:val="en-US"/>
        </w:rPr>
        <w:t>cument as documentary evidence that</w:t>
      </w:r>
      <w:r w:rsidRPr="003C0E77">
        <w:rPr>
          <w:rFonts w:ascii="Calibri" w:hAnsi="Calibri" w:cs="Arial"/>
          <w:sz w:val="22"/>
          <w:szCs w:val="22"/>
          <w:lang w:val="en-US"/>
        </w:rPr>
        <w:t xml:space="preserve"> will eventually be taken from the expert José Aylwin, offered by the Commission in the Case Comunidad Garífuna Triunfo de la Cruz vs. Honduras, which is already before the Honorable Court.  </w:t>
      </w:r>
    </w:p>
    <w:p w:rsidR="006765DF" w:rsidRPr="003C0E77" w:rsidRDefault="006765DF" w:rsidP="003C0E77">
      <w:pPr>
        <w:jc w:val="both"/>
        <w:rPr>
          <w:rFonts w:ascii="Calibri" w:hAnsi="Calibri"/>
          <w:sz w:val="22"/>
          <w:szCs w:val="22"/>
          <w:lang w:val="en-US"/>
        </w:rPr>
      </w:pPr>
      <w:r w:rsidRPr="003C0E77">
        <w:rPr>
          <w:rFonts w:ascii="Calibri" w:eastAsia="Times New Roman" w:hAnsi="Calibri" w:cs="Courier New"/>
          <w:i/>
          <w:sz w:val="22"/>
          <w:szCs w:val="22"/>
          <w:lang w:val="en-US"/>
        </w:rPr>
        <w:t xml:space="preserve"> </w:t>
      </w:r>
    </w:p>
    <w:p w:rsidR="003C0E77" w:rsidRPr="002D30F2" w:rsidRDefault="003C0E77" w:rsidP="003C0E77">
      <w:pPr>
        <w:pStyle w:val="Default"/>
        <w:tabs>
          <w:tab w:val="left" w:pos="0"/>
        </w:tabs>
        <w:jc w:val="both"/>
        <w:rPr>
          <w:rFonts w:ascii="Calibri" w:hAnsi="Calibri"/>
          <w:sz w:val="22"/>
          <w:szCs w:val="22"/>
        </w:rPr>
      </w:pPr>
      <w:r>
        <w:rPr>
          <w:rFonts w:ascii="Calibri" w:hAnsi="Calibri" w:cs="Times New Roman"/>
          <w:color w:val="auto"/>
          <w:sz w:val="22"/>
          <w:szCs w:val="22"/>
          <w:lang w:eastAsia="es-ES"/>
        </w:rPr>
        <w:tab/>
      </w:r>
      <w:r w:rsidRPr="002D30F2">
        <w:rPr>
          <w:rFonts w:ascii="Calibri" w:hAnsi="Calibri" w:cs="Times New Roman"/>
          <w:color w:val="auto"/>
          <w:sz w:val="22"/>
          <w:szCs w:val="22"/>
          <w:lang w:eastAsia="es-ES"/>
        </w:rPr>
        <w:t>The expert’s CV will be i</w:t>
      </w:r>
      <w:r>
        <w:rPr>
          <w:rFonts w:ascii="Calibri" w:hAnsi="Calibri" w:cs="Times New Roman"/>
          <w:color w:val="auto"/>
          <w:sz w:val="22"/>
          <w:szCs w:val="22"/>
          <w:lang w:eastAsia="es-ES"/>
        </w:rPr>
        <w:t>ncluded in the Merits Report 30/13</w:t>
      </w:r>
      <w:r w:rsidRPr="002D30F2">
        <w:rPr>
          <w:rFonts w:ascii="Calibri" w:hAnsi="Calibri" w:cs="Times New Roman"/>
          <w:color w:val="auto"/>
          <w:sz w:val="22"/>
          <w:szCs w:val="22"/>
          <w:lang w:eastAsia="es-ES"/>
        </w:rPr>
        <w:t>.</w:t>
      </w:r>
    </w:p>
    <w:p w:rsidR="003C0E77" w:rsidRDefault="003C0E77" w:rsidP="003C0E77">
      <w:pPr>
        <w:autoSpaceDE w:val="0"/>
        <w:autoSpaceDN w:val="0"/>
        <w:adjustRightInd w:val="0"/>
        <w:ind w:firstLine="720"/>
        <w:jc w:val="center"/>
        <w:rPr>
          <w:rFonts w:ascii="Calibri" w:hAnsi="Calibri" w:cs="Arial"/>
          <w:color w:val="000000"/>
          <w:sz w:val="22"/>
          <w:szCs w:val="22"/>
          <w:lang w:val="en-US" w:eastAsia="en-US"/>
        </w:rPr>
      </w:pPr>
    </w:p>
    <w:p w:rsidR="003C0E77" w:rsidRDefault="003C0E77" w:rsidP="003C0E77">
      <w:pPr>
        <w:autoSpaceDE w:val="0"/>
        <w:autoSpaceDN w:val="0"/>
        <w:adjustRightInd w:val="0"/>
        <w:ind w:firstLine="720"/>
        <w:rPr>
          <w:rFonts w:ascii="Calibri" w:hAnsi="Calibri" w:cs="Arial"/>
          <w:color w:val="000000"/>
          <w:sz w:val="22"/>
          <w:szCs w:val="22"/>
          <w:lang w:val="en-US" w:eastAsia="en-US"/>
        </w:rPr>
      </w:pPr>
      <w:r w:rsidRPr="002D30F2">
        <w:rPr>
          <w:rFonts w:ascii="Calibri" w:hAnsi="Calibri" w:cs="Arial"/>
          <w:color w:val="000000"/>
          <w:sz w:val="22"/>
          <w:szCs w:val="22"/>
          <w:lang w:val="en-US" w:eastAsia="en-US"/>
        </w:rPr>
        <w:t>Finally, the petitioners expressed the victims’ interest in the submis</w:t>
      </w:r>
      <w:r>
        <w:rPr>
          <w:rFonts w:ascii="Calibri" w:hAnsi="Calibri" w:cs="Arial"/>
          <w:color w:val="000000"/>
          <w:sz w:val="22"/>
          <w:szCs w:val="22"/>
          <w:lang w:val="en-US" w:eastAsia="en-US"/>
        </w:rPr>
        <w:t xml:space="preserve">sion of the present case to the </w:t>
      </w:r>
      <w:r w:rsidRPr="002D30F2">
        <w:rPr>
          <w:rFonts w:ascii="Calibri" w:hAnsi="Calibri" w:cs="Arial"/>
          <w:color w:val="000000"/>
          <w:sz w:val="22"/>
          <w:szCs w:val="22"/>
          <w:lang w:val="en-US" w:eastAsia="en-US"/>
        </w:rPr>
        <w:t>Inter-American Court and informed that the fo</w:t>
      </w:r>
      <w:r>
        <w:rPr>
          <w:rFonts w:ascii="Calibri" w:hAnsi="Calibri" w:cs="Arial"/>
          <w:color w:val="000000"/>
          <w:sz w:val="22"/>
          <w:szCs w:val="22"/>
          <w:lang w:val="en-US" w:eastAsia="en-US"/>
        </w:rPr>
        <w:t>llowing shall be representative</w:t>
      </w:r>
      <w:r w:rsidRPr="002D30F2">
        <w:rPr>
          <w:rFonts w:ascii="Calibri" w:hAnsi="Calibri" w:cs="Arial"/>
          <w:color w:val="000000"/>
          <w:sz w:val="22"/>
          <w:szCs w:val="22"/>
          <w:lang w:val="en-US" w:eastAsia="en-US"/>
        </w:rPr>
        <w:t xml:space="preserve"> of the victims:</w:t>
      </w:r>
    </w:p>
    <w:p w:rsidR="00067578" w:rsidRDefault="00067578" w:rsidP="00067578">
      <w:pPr>
        <w:autoSpaceDE w:val="0"/>
        <w:autoSpaceDN w:val="0"/>
        <w:adjustRightInd w:val="0"/>
        <w:rPr>
          <w:rFonts w:ascii="Arial" w:eastAsia="Times New Roman" w:hAnsi="Arial" w:cs="Arial"/>
          <w:sz w:val="22"/>
          <w:szCs w:val="22"/>
          <w:lang w:val="es-ES_tradnl" w:eastAsia="en-US"/>
        </w:rPr>
      </w:pPr>
    </w:p>
    <w:p w:rsidR="003C0E77" w:rsidRDefault="003C0E77" w:rsidP="003C0E77">
      <w:pPr>
        <w:autoSpaceDE w:val="0"/>
        <w:autoSpaceDN w:val="0"/>
        <w:adjustRightInd w:val="0"/>
        <w:jc w:val="center"/>
        <w:rPr>
          <w:rFonts w:ascii="Arial" w:eastAsia="Times New Roman" w:hAnsi="Arial" w:cs="Arial"/>
          <w:sz w:val="22"/>
          <w:szCs w:val="22"/>
          <w:lang w:val="es-ES_tradnl" w:eastAsia="en-US"/>
        </w:rPr>
      </w:pPr>
      <w:r>
        <w:rPr>
          <w:rFonts w:ascii="Calibri" w:hAnsi="Calibri" w:cs="Arial"/>
          <w:sz w:val="22"/>
          <w:szCs w:val="22"/>
          <w:lang w:val="es-PE"/>
        </w:rPr>
        <w:t>Organización Fraternal Negra Hondureña (OFRANEH)</w:t>
      </w:r>
    </w:p>
    <w:p w:rsidR="00067578" w:rsidRPr="000146D1" w:rsidRDefault="000146D1" w:rsidP="000146D1">
      <w:pPr>
        <w:autoSpaceDE w:val="0"/>
        <w:autoSpaceDN w:val="0"/>
        <w:adjustRightInd w:val="0"/>
        <w:jc w:val="center"/>
        <w:rPr>
          <w:rFonts w:ascii="Calibri" w:eastAsia="Times New Roman" w:hAnsi="Calibri" w:cs="Arial"/>
          <w:sz w:val="22"/>
          <w:szCs w:val="22"/>
          <w:highlight w:val="black"/>
          <w:lang w:val="es-ES_tradnl" w:eastAsia="en-US"/>
        </w:rPr>
      </w:pPr>
      <w:r w:rsidRPr="000146D1">
        <w:rPr>
          <w:rFonts w:ascii="Calibri" w:eastAsia="Times New Roman" w:hAnsi="Calibri" w:cs="Arial"/>
          <w:sz w:val="22"/>
          <w:szCs w:val="22"/>
          <w:highlight w:val="black"/>
          <w:lang w:val="es-ES_tradnl" w:eastAsia="en-US"/>
        </w:rPr>
        <w:t>Xxxxxxxxxxxxxxxxxxxxxxxx</w:t>
      </w:r>
    </w:p>
    <w:p w:rsidR="000146D1" w:rsidRPr="000146D1" w:rsidRDefault="000146D1" w:rsidP="000146D1">
      <w:pPr>
        <w:autoSpaceDE w:val="0"/>
        <w:autoSpaceDN w:val="0"/>
        <w:adjustRightInd w:val="0"/>
        <w:jc w:val="center"/>
        <w:rPr>
          <w:rFonts w:ascii="Calibri" w:eastAsia="Times New Roman" w:hAnsi="Calibri" w:cs="Arial"/>
          <w:sz w:val="22"/>
          <w:szCs w:val="22"/>
          <w:highlight w:val="black"/>
          <w:lang w:val="es-ES_tradnl" w:eastAsia="en-US"/>
        </w:rPr>
      </w:pPr>
      <w:r w:rsidRPr="000146D1">
        <w:rPr>
          <w:rFonts w:ascii="Calibri" w:eastAsia="Times New Roman" w:hAnsi="Calibri" w:cs="Arial"/>
          <w:sz w:val="22"/>
          <w:szCs w:val="22"/>
          <w:highlight w:val="black"/>
          <w:lang w:val="es-ES_tradnl" w:eastAsia="en-US"/>
        </w:rPr>
        <w:t>Xxxxxxxxxxxxxxxxxxxxxxxxxxx</w:t>
      </w:r>
    </w:p>
    <w:p w:rsidR="000146D1" w:rsidRPr="00CA7E5B" w:rsidRDefault="000146D1" w:rsidP="000146D1">
      <w:pPr>
        <w:autoSpaceDE w:val="0"/>
        <w:autoSpaceDN w:val="0"/>
        <w:adjustRightInd w:val="0"/>
        <w:jc w:val="center"/>
        <w:rPr>
          <w:rFonts w:ascii="Calibri" w:hAnsi="Calibri" w:cs="Arial"/>
          <w:sz w:val="22"/>
          <w:szCs w:val="22"/>
        </w:rPr>
      </w:pPr>
      <w:r w:rsidRPr="000146D1">
        <w:rPr>
          <w:rFonts w:ascii="Calibri" w:eastAsia="Times New Roman" w:hAnsi="Calibri" w:cs="Arial"/>
          <w:sz w:val="22"/>
          <w:szCs w:val="22"/>
          <w:highlight w:val="black"/>
          <w:lang w:val="es-ES_tradnl" w:eastAsia="en-US"/>
        </w:rPr>
        <w:t>xxxxxxxxxxxxxxxxxxxxxxxxxxx</w:t>
      </w:r>
    </w:p>
    <w:p w:rsidR="006765DF" w:rsidRPr="00CA7E5B" w:rsidRDefault="006765DF" w:rsidP="006765DF">
      <w:pPr>
        <w:jc w:val="both"/>
        <w:rPr>
          <w:rFonts w:ascii="Calibri" w:hAnsi="Calibri" w:cs="Arial"/>
          <w:sz w:val="22"/>
          <w:szCs w:val="22"/>
          <w:lang w:val="es-CO"/>
        </w:rPr>
      </w:pPr>
    </w:p>
    <w:p w:rsidR="000146D1" w:rsidRDefault="000146D1" w:rsidP="000146D1">
      <w:pPr>
        <w:tabs>
          <w:tab w:val="left" w:pos="0"/>
        </w:tabs>
        <w:ind w:left="5040" w:firstLine="720"/>
        <w:rPr>
          <w:rFonts w:ascii="Calibri" w:hAnsi="Calibri" w:cs="Arial"/>
          <w:i/>
          <w:color w:val="A6A6A6"/>
          <w:sz w:val="22"/>
          <w:szCs w:val="22"/>
          <w:lang w:val="es-CO"/>
        </w:rPr>
      </w:pPr>
    </w:p>
    <w:p w:rsidR="000146D1" w:rsidRDefault="000146D1" w:rsidP="000146D1">
      <w:pPr>
        <w:tabs>
          <w:tab w:val="left" w:pos="0"/>
        </w:tabs>
        <w:ind w:left="5040" w:firstLine="720"/>
        <w:rPr>
          <w:rFonts w:ascii="Calibri" w:hAnsi="Calibri" w:cs="Arial"/>
          <w:i/>
          <w:color w:val="A6A6A6"/>
          <w:sz w:val="22"/>
          <w:szCs w:val="22"/>
          <w:lang w:val="es-CO"/>
        </w:rPr>
      </w:pPr>
    </w:p>
    <w:p w:rsidR="000146D1" w:rsidRPr="001643E8" w:rsidRDefault="000146D1" w:rsidP="000146D1">
      <w:pPr>
        <w:tabs>
          <w:tab w:val="left" w:pos="0"/>
        </w:tabs>
        <w:ind w:left="5040" w:firstLine="720"/>
        <w:rPr>
          <w:rFonts w:ascii="Calibri" w:hAnsi="Calibri" w:cs="Arial"/>
          <w:i/>
          <w:color w:val="A6A6A6"/>
          <w:sz w:val="22"/>
          <w:szCs w:val="22"/>
          <w:lang w:val="es-CO"/>
        </w:rPr>
      </w:pPr>
      <w:r w:rsidRPr="000146D1">
        <w:rPr>
          <w:rFonts w:ascii="Calibri" w:hAnsi="Calibri" w:cs="Arial"/>
          <w:i/>
          <w:color w:val="A6A6A6"/>
          <w:sz w:val="20"/>
          <w:szCs w:val="22"/>
          <w:lang w:val="es-CO"/>
        </w:rPr>
        <w:t>Signed in the original</w:t>
      </w:r>
      <w:r>
        <w:rPr>
          <w:rFonts w:ascii="Calibri" w:hAnsi="Calibri" w:cs="Arial"/>
          <w:i/>
          <w:color w:val="A6A6A6"/>
          <w:sz w:val="22"/>
          <w:szCs w:val="22"/>
          <w:lang w:val="es-CO"/>
        </w:rPr>
        <w:br/>
      </w:r>
    </w:p>
    <w:p w:rsidR="006765DF" w:rsidRPr="00CA7E5B" w:rsidRDefault="006765DF" w:rsidP="006765DF">
      <w:pPr>
        <w:tabs>
          <w:tab w:val="left" w:pos="5760"/>
        </w:tabs>
        <w:rPr>
          <w:rFonts w:ascii="Calibri" w:hAnsi="Calibri" w:cs="Arial"/>
          <w:sz w:val="22"/>
          <w:szCs w:val="22"/>
          <w:lang w:val="es-ES_tradnl"/>
        </w:rPr>
      </w:pPr>
      <w:r w:rsidRPr="00CA7E5B">
        <w:rPr>
          <w:rFonts w:ascii="Calibri" w:hAnsi="Calibri" w:cs="Arial"/>
          <w:sz w:val="22"/>
          <w:szCs w:val="22"/>
          <w:lang w:val="es-ES_tradnl"/>
        </w:rPr>
        <w:tab/>
        <w:t xml:space="preserve">Mario López Garelli </w:t>
      </w:r>
    </w:p>
    <w:p w:rsidR="006765DF" w:rsidRPr="00CA7E5B" w:rsidRDefault="006765DF" w:rsidP="006765DF">
      <w:pPr>
        <w:tabs>
          <w:tab w:val="left" w:pos="5760"/>
        </w:tabs>
        <w:rPr>
          <w:rFonts w:ascii="Calibri" w:hAnsi="Calibri" w:cs="Arial"/>
          <w:sz w:val="22"/>
          <w:szCs w:val="22"/>
          <w:lang w:val="es-CO"/>
        </w:rPr>
      </w:pPr>
      <w:r w:rsidRPr="00CA7E5B">
        <w:rPr>
          <w:rFonts w:ascii="Calibri" w:hAnsi="Calibri" w:cs="Arial"/>
          <w:sz w:val="22"/>
          <w:szCs w:val="22"/>
          <w:lang w:val="es-ES_tradnl"/>
        </w:rPr>
        <w:t xml:space="preserve">                                                                              </w:t>
      </w:r>
      <w:r w:rsidR="00067578">
        <w:rPr>
          <w:rFonts w:ascii="Calibri" w:hAnsi="Calibri" w:cs="Arial"/>
          <w:sz w:val="22"/>
          <w:szCs w:val="22"/>
          <w:lang w:val="es-ES_tradnl"/>
        </w:rPr>
        <w:t xml:space="preserve">                 </w:t>
      </w:r>
      <w:r w:rsidR="003C0E77">
        <w:rPr>
          <w:rFonts w:ascii="Calibri" w:hAnsi="Calibri" w:cs="Arial"/>
          <w:sz w:val="22"/>
          <w:szCs w:val="22"/>
          <w:lang w:val="es-ES_tradnl"/>
        </w:rPr>
        <w:t xml:space="preserve"> Authorized by the Executive Secretary</w:t>
      </w:r>
    </w:p>
    <w:p w:rsidR="006765DF" w:rsidRDefault="006765DF"/>
    <w:sectPr w:rsidR="006765DF" w:rsidSect="00C67D1C">
      <w:footerReference w:type="even" r:id="rId9"/>
      <w:pgSz w:w="12240" w:h="15840" w:code="1"/>
      <w:pgMar w:top="1080" w:right="1440" w:bottom="126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123F" w:rsidRDefault="00F2123F">
      <w:r>
        <w:separator/>
      </w:r>
    </w:p>
  </w:endnote>
  <w:endnote w:type="continuationSeparator" w:id="0">
    <w:p w:rsidR="00F2123F" w:rsidRDefault="00F21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93" w:csb1="00000000"/>
  </w:font>
  <w:font w:name="Arial Unicode MS">
    <w:altName w:val="Arial"/>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4F" w:rsidRDefault="00BE0A4F" w:rsidP="006765D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BE0A4F" w:rsidRDefault="00BE0A4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123F" w:rsidRDefault="00F2123F">
      <w:r>
        <w:separator/>
      </w:r>
    </w:p>
  </w:footnote>
  <w:footnote w:type="continuationSeparator" w:id="0">
    <w:p w:rsidR="00F2123F" w:rsidRDefault="00F212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E02B9"/>
    <w:multiLevelType w:val="hybridMultilevel"/>
    <w:tmpl w:val="9438A970"/>
    <w:lvl w:ilvl="0" w:tplc="040A0019">
      <w:start w:val="1"/>
      <w:numFmt w:val="lowerLetter"/>
      <w:lvlText w:val="%1."/>
      <w:lvlJc w:val="left"/>
      <w:pPr>
        <w:ind w:left="720" w:hanging="360"/>
      </w:pPr>
      <w:rPr>
        <w:rFonts w:cs="Times New Roman"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nsid w:val="3A895C35"/>
    <w:multiLevelType w:val="hybridMultilevel"/>
    <w:tmpl w:val="5618397A"/>
    <w:lvl w:ilvl="0" w:tplc="B6404862">
      <w:start w:val="1"/>
      <w:numFmt w:val="decimal"/>
      <w:lvlText w:val="%1."/>
      <w:lvlJc w:val="left"/>
      <w:pPr>
        <w:tabs>
          <w:tab w:val="num" w:pos="1690"/>
        </w:tabs>
        <w:ind w:left="1690" w:hanging="990"/>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2">
    <w:nsid w:val="3C815F57"/>
    <w:multiLevelType w:val="hybridMultilevel"/>
    <w:tmpl w:val="85EE9C38"/>
    <w:lvl w:ilvl="0" w:tplc="3AA0979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nsid w:val="3DCB44BB"/>
    <w:multiLevelType w:val="multilevel"/>
    <w:tmpl w:val="8196F056"/>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4">
    <w:nsid w:val="55D773F4"/>
    <w:multiLevelType w:val="hybridMultilevel"/>
    <w:tmpl w:val="BBECC2E0"/>
    <w:lvl w:ilvl="0" w:tplc="CF2A2E54">
      <w:start w:val="1"/>
      <w:numFmt w:val="decimal"/>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5804698F"/>
    <w:multiLevelType w:val="multilevel"/>
    <w:tmpl w:val="AB8A5AD2"/>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608B725A"/>
    <w:multiLevelType w:val="hybridMultilevel"/>
    <w:tmpl w:val="3F36485A"/>
    <w:lvl w:ilvl="0" w:tplc="86169CDA">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683C1E82"/>
    <w:multiLevelType w:val="hybridMultilevel"/>
    <w:tmpl w:val="4014B22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6B4460CA"/>
    <w:multiLevelType w:val="hybridMultilevel"/>
    <w:tmpl w:val="07B85AD8"/>
    <w:lvl w:ilvl="0" w:tplc="67D6E770">
      <w:start w:val="1"/>
      <w:numFmt w:val="decimal"/>
      <w:lvlText w:val="%1."/>
      <w:lvlJc w:val="left"/>
      <w:pPr>
        <w:tabs>
          <w:tab w:val="num" w:pos="720"/>
        </w:tabs>
        <w:ind w:left="720" w:hanging="360"/>
      </w:pPr>
      <w:rPr>
        <w:rFonts w:cs="Calibri"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AFB3831"/>
    <w:multiLevelType w:val="hybridMultilevel"/>
    <w:tmpl w:val="1474E3CC"/>
    <w:lvl w:ilvl="0" w:tplc="5D1A316A">
      <w:start w:val="2"/>
      <w:numFmt w:val="upperLetter"/>
      <w:lvlText w:val="%1."/>
      <w:lvlJc w:val="left"/>
      <w:pPr>
        <w:tabs>
          <w:tab w:val="num" w:pos="1440"/>
        </w:tabs>
        <w:ind w:left="1440" w:hanging="720"/>
      </w:pPr>
      <w:rPr>
        <w:rFonts w:hint="default"/>
      </w:rPr>
    </w:lvl>
    <w:lvl w:ilvl="1" w:tplc="BD42056E">
      <w:start w:val="1"/>
      <w:numFmt w:val="decimal"/>
      <w:lvlText w:val="%2."/>
      <w:lvlJc w:val="left"/>
      <w:pPr>
        <w:tabs>
          <w:tab w:val="num" w:pos="1200"/>
        </w:tabs>
        <w:ind w:left="12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5"/>
  </w:num>
  <w:num w:numId="3">
    <w:abstractNumId w:val="7"/>
  </w:num>
  <w:num w:numId="4">
    <w:abstractNumId w:val="4"/>
  </w:num>
  <w:num w:numId="5">
    <w:abstractNumId w:val="9"/>
  </w:num>
  <w:num w:numId="6">
    <w:abstractNumId w:val="8"/>
  </w:num>
  <w:num w:numId="7">
    <w:abstractNumId w:val="1"/>
  </w:num>
  <w:num w:numId="8">
    <w:abstractNumId w:val="6"/>
  </w:num>
  <w:num w:numId="9">
    <w:abstractNumId w:val="3"/>
  </w:num>
  <w:num w:numId="10">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7806"/>
    <w:rsid w:val="000146D1"/>
    <w:rsid w:val="00067578"/>
    <w:rsid w:val="00156256"/>
    <w:rsid w:val="001C138D"/>
    <w:rsid w:val="001E387A"/>
    <w:rsid w:val="00213B74"/>
    <w:rsid w:val="00225C48"/>
    <w:rsid w:val="003C0E77"/>
    <w:rsid w:val="006765DF"/>
    <w:rsid w:val="008F3C21"/>
    <w:rsid w:val="009B1869"/>
    <w:rsid w:val="009F5251"/>
    <w:rsid w:val="00A004C5"/>
    <w:rsid w:val="00B22B1C"/>
    <w:rsid w:val="00B902B0"/>
    <w:rsid w:val="00BE0A4F"/>
    <w:rsid w:val="00C21734"/>
    <w:rsid w:val="00C67D1C"/>
    <w:rsid w:val="00CB7840"/>
    <w:rsid w:val="00D4675A"/>
    <w:rsid w:val="00F207B8"/>
    <w:rsid w:val="00F2123F"/>
    <w:rsid w:val="00F56F7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20CB"/>
    <w:rPr>
      <w:rFonts w:eastAsia="MS Mincho"/>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Default">
    <w:name w:val="Default"/>
    <w:rsid w:val="00C720CB"/>
    <w:pPr>
      <w:autoSpaceDE w:val="0"/>
      <w:autoSpaceDN w:val="0"/>
      <w:adjustRightInd w:val="0"/>
    </w:pPr>
    <w:rPr>
      <w:rFonts w:ascii="Arial" w:eastAsia="MS Mincho" w:hAnsi="Arial" w:cs="Arial"/>
      <w:color w:val="000000"/>
      <w:sz w:val="24"/>
      <w:szCs w:val="24"/>
      <w:lang w:val="en-US" w:eastAsia="en-US"/>
    </w:rPr>
  </w:style>
  <w:style w:type="paragraph" w:styleId="Textoindependiente">
    <w:name w:val="Body Text"/>
    <w:basedOn w:val="Normal"/>
    <w:rsid w:val="00C720CB"/>
    <w:pPr>
      <w:spacing w:after="120"/>
    </w:pPr>
  </w:style>
  <w:style w:type="character" w:customStyle="1" w:styleId="CharChar1">
    <w:name w:val=" Char Char1"/>
    <w:rsid w:val="00C720CB"/>
    <w:rPr>
      <w:sz w:val="24"/>
      <w:szCs w:val="24"/>
      <w:lang w:val="es-ES" w:eastAsia="es-ES" w:bidi="ar-SA"/>
    </w:rPr>
  </w:style>
  <w:style w:type="paragraph" w:styleId="Textoindependiente3">
    <w:name w:val="Body Text 3"/>
    <w:basedOn w:val="Normal"/>
    <w:rsid w:val="00C720CB"/>
    <w:pPr>
      <w:spacing w:after="120"/>
    </w:pPr>
    <w:rPr>
      <w:sz w:val="16"/>
      <w:szCs w:val="16"/>
      <w:lang w:val="en-US" w:eastAsia="en-US"/>
    </w:rPr>
  </w:style>
  <w:style w:type="character" w:customStyle="1" w:styleId="CharChar">
    <w:name w:val=" Char Char"/>
    <w:rsid w:val="00C720CB"/>
    <w:rPr>
      <w:sz w:val="16"/>
      <w:szCs w:val="16"/>
      <w:lang w:val="en-US" w:eastAsia="en-US" w:bidi="ar-SA"/>
    </w:rPr>
  </w:style>
  <w:style w:type="character" w:styleId="Hipervnculo">
    <w:name w:val="Hyperlink"/>
    <w:rsid w:val="00C720CB"/>
    <w:rPr>
      <w:color w:val="4659C4"/>
      <w:u w:val="single"/>
    </w:rPr>
  </w:style>
  <w:style w:type="character" w:customStyle="1" w:styleId="hps">
    <w:name w:val="hps"/>
    <w:basedOn w:val="Fuentedeprrafopredeter"/>
    <w:rsid w:val="00C720CB"/>
  </w:style>
  <w:style w:type="paragraph" w:customStyle="1" w:styleId="subtitle03">
    <w:name w:val="subtitle03"/>
    <w:basedOn w:val="Normal"/>
    <w:rsid w:val="00C720CB"/>
    <w:pPr>
      <w:spacing w:before="100" w:beforeAutospacing="1" w:after="100" w:afterAutospacing="1"/>
    </w:pPr>
    <w:rPr>
      <w:rFonts w:ascii="Arial" w:hAnsi="Arial" w:cs="Arial"/>
      <w:b/>
      <w:bCs/>
      <w:color w:val="616161"/>
      <w:sz w:val="17"/>
      <w:szCs w:val="17"/>
      <w:lang w:val="en-US" w:eastAsia="en-US"/>
    </w:rPr>
  </w:style>
  <w:style w:type="paragraph" w:styleId="Piedepgina">
    <w:name w:val="footer"/>
    <w:basedOn w:val="Normal"/>
    <w:rsid w:val="00C720CB"/>
    <w:pPr>
      <w:tabs>
        <w:tab w:val="center" w:pos="4153"/>
        <w:tab w:val="right" w:pos="8306"/>
      </w:tabs>
    </w:pPr>
  </w:style>
  <w:style w:type="character" w:styleId="Nmerodepgina">
    <w:name w:val="page number"/>
    <w:basedOn w:val="Fuentedeprrafopredeter"/>
    <w:rsid w:val="00C720CB"/>
  </w:style>
  <w:style w:type="paragraph" w:styleId="Encabezado">
    <w:name w:val="header"/>
    <w:basedOn w:val="Normal"/>
    <w:rsid w:val="00C720CB"/>
    <w:pPr>
      <w:tabs>
        <w:tab w:val="center" w:pos="4320"/>
        <w:tab w:val="right" w:pos="8640"/>
      </w:tabs>
    </w:pPr>
  </w:style>
  <w:style w:type="paragraph" w:styleId="NormalWeb">
    <w:name w:val="Normal (Web)"/>
    <w:basedOn w:val="Normal"/>
    <w:rsid w:val="001E387A"/>
    <w:pPr>
      <w:spacing w:before="100" w:beforeAutospacing="1" w:after="100" w:afterAutospacing="1"/>
    </w:pPr>
    <w:rPr>
      <w:rFonts w:ascii="Times" w:eastAsia="Times" w:hAnsi="Times"/>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1601</Words>
  <Characters>8809</Characters>
  <Application>Microsoft Office Word</Application>
  <DocSecurity>0</DocSecurity>
  <Lines>73</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INTER  -  AMERICAN   COMMISSION  ON  HUMAN   RIGHTS</vt:lpstr>
      <vt:lpstr>INTER  -  AMERICAN   COMMISSION  ON  HUMAN   RIGHTS</vt:lpstr>
    </vt:vector>
  </TitlesOfParts>
  <Company>OAS</Company>
  <LinksUpToDate>false</LinksUpToDate>
  <CharactersWithSpaces>10390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  -  AMERICAN   COMMISSION  ON  HUMAN   RIGHTS</dc:title>
  <dc:creator>cla</dc:creator>
  <cp:lastModifiedBy>Usuario Autorizado</cp:lastModifiedBy>
  <cp:revision>3</cp:revision>
  <cp:lastPrinted>2018-02-20T20:35:00Z</cp:lastPrinted>
  <dcterms:created xsi:type="dcterms:W3CDTF">2018-02-20T20:35:00Z</dcterms:created>
  <dcterms:modified xsi:type="dcterms:W3CDTF">2018-02-20T20:35:00Z</dcterms:modified>
</cp:coreProperties>
</file>