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33B2" w:rsidRPr="00675777" w:rsidRDefault="00675777" w:rsidP="00675777">
      <w:pPr>
        <w:ind w:left="720"/>
        <w:jc w:val="both"/>
        <w:rPr>
          <w:rFonts w:ascii="Univers" w:hAnsi="Univers" w:cs="Arial"/>
          <w:sz w:val="22"/>
          <w:szCs w:val="22"/>
          <w:lang w:val="en-US"/>
        </w:rPr>
      </w:pPr>
      <w:bookmarkStart w:id="0" w:name="_GoBack"/>
      <w:bookmarkEnd w:id="0"/>
      <w:r w:rsidRPr="00675777">
        <w:rPr>
          <w:rFonts w:ascii="Univers" w:hAnsi="Univers" w:cs="Arial"/>
          <w:noProof/>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45pt;margin-top:63pt;width:63pt;height:63pt;z-index:-2;mso-wrap-edited:f;mso-position-horizontal-relative:page;mso-position-vertical-relative:page" wrapcoords="240 720 240 20880 21360 20880 21360 720 240 720" fillcolor="window">
            <v:imagedata r:id="rId7" o:title="" croptop="-1680f" cropbottom="-1680f" cropleft="-1680f" cropright="-1680f"/>
            <w10:wrap type="tight" anchorx="page" anchory="page"/>
          </v:shape>
        </w:pict>
      </w:r>
      <w:r w:rsidRPr="00675777">
        <w:rPr>
          <w:rFonts w:ascii="Univers" w:hAnsi="Univers"/>
          <w:noProof/>
          <w:sz w:val="22"/>
          <w:szCs w:val="22"/>
        </w:rPr>
        <w:pict>
          <v:shape id="_x0000_s1028" type="#_x0000_t75" style="position:absolute;left:0;text-align:left;margin-left:387pt;margin-top:-9pt;width:81pt;height:67.4pt;z-index:-1" wrapcoords="-182 0 -182 21382 21600 21382 21600 0 -182 0">
            <v:imagedata r:id="rId8" o:title="CIDH_spa"/>
            <w10:wrap type="through"/>
          </v:shape>
        </w:pict>
      </w:r>
      <w:r>
        <w:rPr>
          <w:rFonts w:ascii="Univers" w:hAnsi="Univers" w:cs="Arial"/>
          <w:sz w:val="22"/>
          <w:szCs w:val="22"/>
          <w:lang w:val="en-US"/>
        </w:rPr>
        <w:t xml:space="preserve"> </w:t>
      </w:r>
      <w:proofErr w:type="gramStart"/>
      <w:r w:rsidR="00A933B2" w:rsidRPr="00675777">
        <w:rPr>
          <w:rFonts w:ascii="Univers" w:hAnsi="Univers" w:cs="Arial"/>
          <w:sz w:val="22"/>
          <w:szCs w:val="22"/>
          <w:lang w:val="en-US"/>
        </w:rPr>
        <w:t>INTER  -</w:t>
      </w:r>
      <w:proofErr w:type="gramEnd"/>
      <w:r w:rsidR="00A933B2" w:rsidRPr="00675777">
        <w:rPr>
          <w:rFonts w:ascii="Univers" w:hAnsi="Univers" w:cs="Arial"/>
          <w:sz w:val="22"/>
          <w:szCs w:val="22"/>
          <w:lang w:val="en-US"/>
        </w:rPr>
        <w:t xml:space="preserve">  AMERICAN   COMMISSION  ON  HUMAN  RIGHTS</w:t>
      </w:r>
    </w:p>
    <w:p w:rsidR="00A933B2" w:rsidRPr="00675777" w:rsidRDefault="00675777" w:rsidP="00675777">
      <w:pPr>
        <w:ind w:left="720"/>
        <w:jc w:val="both"/>
        <w:rPr>
          <w:rFonts w:ascii="Univers" w:hAnsi="Univers" w:cs="Arial"/>
          <w:sz w:val="22"/>
          <w:szCs w:val="22"/>
          <w:lang w:val="es-UY"/>
        </w:rPr>
      </w:pPr>
      <w:r w:rsidRPr="00675777">
        <w:rPr>
          <w:rFonts w:ascii="Univers" w:hAnsi="Univers" w:cs="Arial"/>
          <w:sz w:val="22"/>
          <w:szCs w:val="22"/>
          <w:lang w:val="en-US"/>
        </w:rPr>
        <w:t xml:space="preserve"> </w:t>
      </w:r>
      <w:r w:rsidR="00A933B2" w:rsidRPr="00675777">
        <w:rPr>
          <w:rFonts w:ascii="Univers" w:hAnsi="Univers" w:cs="Arial"/>
          <w:sz w:val="22"/>
          <w:szCs w:val="22"/>
          <w:lang w:val="es-UY"/>
        </w:rPr>
        <w:t>COMISION  INTERAMERICANA  DE  DERECHOS   HUMANOS</w:t>
      </w:r>
    </w:p>
    <w:p w:rsidR="00A933B2" w:rsidRPr="00675777" w:rsidRDefault="00675777" w:rsidP="00675777">
      <w:pPr>
        <w:ind w:left="720"/>
        <w:jc w:val="both"/>
        <w:rPr>
          <w:rFonts w:ascii="Univers" w:hAnsi="Univers" w:cs="Arial"/>
          <w:sz w:val="22"/>
          <w:szCs w:val="22"/>
          <w:lang w:val="es-UY"/>
        </w:rPr>
      </w:pPr>
      <w:r w:rsidRPr="00675777">
        <w:rPr>
          <w:rFonts w:ascii="Univers" w:hAnsi="Univers" w:cs="Arial"/>
          <w:sz w:val="22"/>
          <w:szCs w:val="22"/>
          <w:lang w:val="es-UY"/>
        </w:rPr>
        <w:t xml:space="preserve"> </w:t>
      </w:r>
      <w:r w:rsidR="00A933B2" w:rsidRPr="00675777">
        <w:rPr>
          <w:rFonts w:ascii="Univers" w:hAnsi="Univers" w:cs="Arial"/>
          <w:sz w:val="22"/>
          <w:szCs w:val="22"/>
          <w:lang w:val="es-UY"/>
        </w:rPr>
        <w:t>COMISSÃO   INTERAMERICANA  DE  DIREITOS   HUMANOS</w:t>
      </w:r>
    </w:p>
    <w:p w:rsidR="00A933B2" w:rsidRPr="00E606EE" w:rsidRDefault="00A933B2" w:rsidP="00675777">
      <w:pPr>
        <w:ind w:left="720"/>
        <w:jc w:val="both"/>
        <w:rPr>
          <w:rFonts w:ascii="Univers" w:hAnsi="Univers" w:cs="Arial"/>
          <w:sz w:val="22"/>
          <w:szCs w:val="22"/>
          <w:lang w:val="en-US"/>
        </w:rPr>
      </w:pPr>
      <w:r w:rsidRPr="00675777">
        <w:rPr>
          <w:rFonts w:ascii="Univers" w:hAnsi="Univers" w:cs="Arial"/>
          <w:sz w:val="22"/>
          <w:szCs w:val="22"/>
          <w:lang w:val="en-US"/>
        </w:rPr>
        <w:t>COMMISSION INTERAMÉRICAINE DES DROITS DE L'HOMM</w:t>
      </w:r>
      <w:r w:rsidRPr="00E606EE">
        <w:rPr>
          <w:rFonts w:ascii="Univers" w:hAnsi="Univers" w:cs="Arial"/>
          <w:sz w:val="22"/>
          <w:szCs w:val="22"/>
          <w:lang w:val="en-US"/>
        </w:rPr>
        <w:t>E</w:t>
      </w:r>
    </w:p>
    <w:p w:rsidR="00A933B2" w:rsidRPr="00E606EE" w:rsidRDefault="00A933B2" w:rsidP="00675777">
      <w:pPr>
        <w:ind w:left="720"/>
        <w:jc w:val="both"/>
        <w:rPr>
          <w:rFonts w:ascii="Univers" w:hAnsi="Univers" w:cs="Arial"/>
          <w:sz w:val="22"/>
          <w:szCs w:val="22"/>
          <w:lang w:val="en-US"/>
        </w:rPr>
      </w:pPr>
    </w:p>
    <w:p w:rsidR="00A933B2" w:rsidRPr="00E606EE" w:rsidRDefault="00A933B2" w:rsidP="00A933B2">
      <w:pPr>
        <w:jc w:val="both"/>
        <w:rPr>
          <w:rFonts w:ascii="Univers" w:hAnsi="Univers" w:cs="Arial"/>
          <w:sz w:val="22"/>
          <w:szCs w:val="22"/>
          <w:lang w:val="en-US"/>
        </w:rPr>
      </w:pPr>
      <w:r w:rsidRPr="00E606EE">
        <w:rPr>
          <w:rFonts w:ascii="Univers" w:hAnsi="Univers" w:cs="Arial"/>
          <w:noProof/>
          <w:sz w:val="22"/>
          <w:szCs w:val="22"/>
        </w:rPr>
        <w:pict>
          <v:rect id="_x0000_s1026" style="position:absolute;left:0;text-align:left;margin-left:21.6pt;margin-top:0;width:568.8pt;height:.95pt;z-index:-3;mso-position-horizontal-relative:page" o:allowincell="f" fillcolor="black" stroked="f" strokeweight="0">
            <v:fill color2="black"/>
            <w10:wrap anchorx="page"/>
            <w10:anchorlock/>
          </v:rect>
        </w:pict>
      </w:r>
    </w:p>
    <w:p w:rsidR="00A933B2" w:rsidRPr="00E606EE" w:rsidRDefault="00A933B2" w:rsidP="00A933B2">
      <w:pPr>
        <w:jc w:val="both"/>
        <w:rPr>
          <w:rFonts w:ascii="Univers" w:hAnsi="Univers" w:cs="Arial"/>
          <w:b/>
          <w:sz w:val="22"/>
          <w:szCs w:val="22"/>
          <w:lang w:val="en-US"/>
        </w:rPr>
      </w:pPr>
      <w:r w:rsidRPr="00E606EE">
        <w:rPr>
          <w:rFonts w:ascii="Univers" w:hAnsi="Univers" w:cs="Arial"/>
          <w:b/>
          <w:sz w:val="22"/>
          <w:szCs w:val="22"/>
          <w:lang w:val="en-US"/>
        </w:rPr>
        <w:t>ORGANIZACIÓN DE LOS ESTADOS AMERICANOS</w:t>
      </w:r>
    </w:p>
    <w:p w:rsidR="00A933B2" w:rsidRPr="00E606EE" w:rsidRDefault="00A933B2" w:rsidP="00A933B2">
      <w:pPr>
        <w:jc w:val="both"/>
        <w:rPr>
          <w:rFonts w:ascii="Univers" w:hAnsi="Univers" w:cs="Arial"/>
          <w:sz w:val="22"/>
          <w:szCs w:val="22"/>
        </w:rPr>
      </w:pPr>
      <w:r w:rsidRPr="00E606EE">
        <w:rPr>
          <w:rFonts w:ascii="Univers" w:hAnsi="Univers" w:cs="Arial"/>
          <w:sz w:val="22"/>
          <w:szCs w:val="22"/>
        </w:rPr>
        <w:t>WASHINGTON, D.C. 2 0 0 0 6  EEUU</w:t>
      </w:r>
    </w:p>
    <w:p w:rsidR="00A933B2" w:rsidRPr="00E606EE" w:rsidRDefault="00A933B2" w:rsidP="00A933B2">
      <w:pPr>
        <w:suppressAutoHyphens/>
        <w:jc w:val="right"/>
        <w:rPr>
          <w:rFonts w:ascii="Univers" w:hAnsi="Univers" w:cs="Arial"/>
          <w:sz w:val="22"/>
          <w:szCs w:val="22"/>
          <w:lang w:val="es-ES_tradnl"/>
        </w:rPr>
      </w:pPr>
    </w:p>
    <w:p w:rsidR="00A933B2" w:rsidRPr="00E606EE" w:rsidRDefault="00ED2B05" w:rsidP="00A933B2">
      <w:pPr>
        <w:suppressAutoHyphens/>
        <w:jc w:val="right"/>
        <w:rPr>
          <w:rFonts w:ascii="Univers" w:hAnsi="Univers" w:cs="Arial"/>
          <w:sz w:val="22"/>
          <w:szCs w:val="22"/>
          <w:lang w:val="es-AR"/>
        </w:rPr>
      </w:pPr>
      <w:r w:rsidRPr="00E606EE">
        <w:rPr>
          <w:rFonts w:ascii="Univers" w:hAnsi="Univers" w:cs="Arial"/>
          <w:sz w:val="22"/>
          <w:szCs w:val="22"/>
          <w:lang w:val="es-AR"/>
        </w:rPr>
        <w:t>2</w:t>
      </w:r>
      <w:r w:rsidR="00E07AA1" w:rsidRPr="00E606EE">
        <w:rPr>
          <w:rFonts w:ascii="Univers" w:hAnsi="Univers" w:cs="Arial"/>
          <w:sz w:val="22"/>
          <w:szCs w:val="22"/>
          <w:lang w:val="es-AR"/>
        </w:rPr>
        <w:t>8</w:t>
      </w:r>
      <w:r w:rsidR="00A933B2" w:rsidRPr="00E606EE">
        <w:rPr>
          <w:rFonts w:ascii="Univers" w:hAnsi="Univers" w:cs="Arial"/>
          <w:sz w:val="22"/>
          <w:szCs w:val="22"/>
          <w:lang w:val="es-AR"/>
        </w:rPr>
        <w:t xml:space="preserve"> de</w:t>
      </w:r>
      <w:r w:rsidR="00E07AA1" w:rsidRPr="00E606EE">
        <w:rPr>
          <w:rFonts w:ascii="Univers" w:hAnsi="Univers" w:cs="Arial"/>
          <w:sz w:val="22"/>
          <w:szCs w:val="22"/>
          <w:lang w:val="es-AR"/>
        </w:rPr>
        <w:t xml:space="preserve"> noviembre</w:t>
      </w:r>
      <w:r w:rsidR="00A933B2" w:rsidRPr="00E606EE">
        <w:rPr>
          <w:rFonts w:ascii="Univers" w:hAnsi="Univers" w:cs="Arial"/>
          <w:sz w:val="22"/>
          <w:szCs w:val="22"/>
          <w:lang w:val="es-AR"/>
        </w:rPr>
        <w:t xml:space="preserve"> de 201</w:t>
      </w:r>
      <w:r w:rsidR="00E55FE3" w:rsidRPr="00E606EE">
        <w:rPr>
          <w:rFonts w:ascii="Univers" w:hAnsi="Univers" w:cs="Arial"/>
          <w:sz w:val="22"/>
          <w:szCs w:val="22"/>
          <w:lang w:val="es-AR"/>
        </w:rPr>
        <w:t>1</w:t>
      </w:r>
    </w:p>
    <w:p w:rsidR="00A86584" w:rsidRPr="00E606EE" w:rsidRDefault="00A86584" w:rsidP="00A933B2">
      <w:pPr>
        <w:tabs>
          <w:tab w:val="left" w:pos="720"/>
          <w:tab w:val="center" w:pos="6480"/>
        </w:tabs>
        <w:jc w:val="both"/>
        <w:rPr>
          <w:rFonts w:ascii="Univers" w:hAnsi="Univers" w:cs="Arial"/>
          <w:b/>
          <w:sz w:val="22"/>
          <w:szCs w:val="22"/>
          <w:lang w:val="es-ES_tradnl"/>
        </w:rPr>
      </w:pPr>
    </w:p>
    <w:p w:rsidR="00A933B2" w:rsidRPr="00E606EE" w:rsidRDefault="00A933B2" w:rsidP="00A933B2">
      <w:pPr>
        <w:tabs>
          <w:tab w:val="left" w:pos="720"/>
          <w:tab w:val="center" w:pos="6480"/>
        </w:tabs>
        <w:jc w:val="both"/>
        <w:rPr>
          <w:rFonts w:ascii="Univers" w:hAnsi="Univers" w:cs="Arial"/>
          <w:b/>
          <w:sz w:val="22"/>
          <w:szCs w:val="22"/>
          <w:lang w:val="es-ES_tradnl"/>
        </w:rPr>
      </w:pPr>
      <w:r w:rsidRPr="00E606EE">
        <w:rPr>
          <w:rFonts w:ascii="Univers" w:hAnsi="Univers" w:cs="Arial"/>
          <w:b/>
          <w:sz w:val="22"/>
          <w:szCs w:val="22"/>
          <w:lang w:val="es-ES_tradnl"/>
        </w:rPr>
        <w:t>Ref.:</w:t>
      </w:r>
      <w:bookmarkStart w:id="1" w:name="Peticion_n"/>
      <w:bookmarkEnd w:id="1"/>
      <w:r w:rsidRPr="00E606EE">
        <w:rPr>
          <w:rFonts w:ascii="Univers" w:hAnsi="Univers" w:cs="Arial"/>
          <w:b/>
          <w:sz w:val="22"/>
          <w:szCs w:val="22"/>
          <w:lang w:val="es-ES_tradnl"/>
        </w:rPr>
        <w:tab/>
        <w:t>Caso No. 12.</w:t>
      </w:r>
      <w:r w:rsidR="00E07AA1" w:rsidRPr="00E606EE">
        <w:rPr>
          <w:rFonts w:ascii="Univers" w:hAnsi="Univers" w:cs="Arial"/>
          <w:b/>
          <w:sz w:val="22"/>
          <w:szCs w:val="22"/>
          <w:lang w:val="es-ES_tradnl"/>
        </w:rPr>
        <w:t>597</w:t>
      </w:r>
    </w:p>
    <w:p w:rsidR="00A933B2" w:rsidRPr="00E606EE" w:rsidRDefault="00E07AA1" w:rsidP="00A933B2">
      <w:pPr>
        <w:tabs>
          <w:tab w:val="left" w:pos="720"/>
          <w:tab w:val="center" w:pos="6480"/>
        </w:tabs>
        <w:ind w:left="720"/>
        <w:jc w:val="both"/>
        <w:rPr>
          <w:rFonts w:ascii="Univers" w:hAnsi="Univers" w:cs="Arial"/>
          <w:b/>
          <w:sz w:val="22"/>
          <w:szCs w:val="22"/>
          <w:lang w:val="es-ES_tradnl"/>
        </w:rPr>
      </w:pPr>
      <w:r w:rsidRPr="00E606EE">
        <w:rPr>
          <w:rFonts w:ascii="Univers" w:hAnsi="Univers" w:cs="Arial"/>
          <w:b/>
          <w:sz w:val="22"/>
          <w:szCs w:val="22"/>
          <w:lang w:val="es-ES_tradnl"/>
        </w:rPr>
        <w:t>Miguel Camba Campos</w:t>
      </w:r>
      <w:r w:rsidR="00E55FE3" w:rsidRPr="00E606EE">
        <w:rPr>
          <w:rFonts w:ascii="Univers" w:hAnsi="Univers" w:cs="Arial"/>
          <w:b/>
          <w:sz w:val="22"/>
          <w:szCs w:val="22"/>
          <w:lang w:val="es-ES_tradnl"/>
        </w:rPr>
        <w:t xml:space="preserve"> y otros (</w:t>
      </w:r>
      <w:r w:rsidR="009469B6" w:rsidRPr="00E606EE">
        <w:rPr>
          <w:rFonts w:ascii="Univers" w:hAnsi="Univers" w:cs="Arial"/>
          <w:b/>
          <w:sz w:val="22"/>
          <w:szCs w:val="22"/>
          <w:lang w:val="es-ES_tradnl"/>
        </w:rPr>
        <w:t xml:space="preserve">Vocales del </w:t>
      </w:r>
      <w:r w:rsidRPr="00E606EE">
        <w:rPr>
          <w:rFonts w:ascii="Univers" w:hAnsi="Univers" w:cs="Arial"/>
          <w:b/>
          <w:sz w:val="22"/>
          <w:szCs w:val="22"/>
          <w:lang w:val="es-ES_tradnl"/>
        </w:rPr>
        <w:t>Tribunal Constitucional</w:t>
      </w:r>
      <w:r w:rsidR="00A933B2" w:rsidRPr="00E606EE">
        <w:rPr>
          <w:rFonts w:ascii="Univers" w:hAnsi="Univers" w:cs="Arial"/>
          <w:b/>
          <w:sz w:val="22"/>
          <w:szCs w:val="22"/>
          <w:lang w:val="es-ES_tradnl"/>
        </w:rPr>
        <w:t xml:space="preserve">) </w:t>
      </w:r>
    </w:p>
    <w:p w:rsidR="00A933B2" w:rsidRPr="00E606EE" w:rsidRDefault="00A933B2" w:rsidP="00A933B2">
      <w:pPr>
        <w:tabs>
          <w:tab w:val="left" w:pos="720"/>
          <w:tab w:val="center" w:pos="6480"/>
        </w:tabs>
        <w:jc w:val="both"/>
        <w:rPr>
          <w:rFonts w:ascii="Univers" w:hAnsi="Univers" w:cs="Arial"/>
          <w:sz w:val="22"/>
          <w:szCs w:val="22"/>
        </w:rPr>
      </w:pPr>
      <w:r w:rsidRPr="00E606EE">
        <w:rPr>
          <w:rFonts w:ascii="Univers" w:hAnsi="Univers" w:cs="Arial"/>
          <w:b/>
          <w:sz w:val="22"/>
          <w:szCs w:val="22"/>
          <w:lang w:val="es-ES_tradnl"/>
        </w:rPr>
        <w:tab/>
      </w:r>
      <w:r w:rsidR="00E55FE3" w:rsidRPr="00E606EE">
        <w:rPr>
          <w:rFonts w:ascii="Univers" w:hAnsi="Univers" w:cs="Arial"/>
          <w:b/>
          <w:sz w:val="22"/>
          <w:szCs w:val="22"/>
          <w:lang w:val="es-ES_tradnl"/>
        </w:rPr>
        <w:t>Ecuador</w:t>
      </w:r>
    </w:p>
    <w:p w:rsidR="00A933B2" w:rsidRPr="00E606EE" w:rsidRDefault="00A933B2" w:rsidP="00A933B2">
      <w:pPr>
        <w:tabs>
          <w:tab w:val="left" w:pos="720"/>
          <w:tab w:val="center" w:pos="6480"/>
        </w:tabs>
        <w:jc w:val="both"/>
        <w:rPr>
          <w:rFonts w:ascii="Univers" w:hAnsi="Univers" w:cs="Arial"/>
          <w:sz w:val="22"/>
          <w:szCs w:val="22"/>
        </w:rPr>
      </w:pPr>
    </w:p>
    <w:p w:rsidR="00A933B2" w:rsidRPr="00E606EE" w:rsidRDefault="00A933B2" w:rsidP="00A933B2">
      <w:pPr>
        <w:tabs>
          <w:tab w:val="left" w:pos="720"/>
          <w:tab w:val="center" w:pos="6480"/>
        </w:tabs>
        <w:jc w:val="both"/>
        <w:rPr>
          <w:rFonts w:ascii="Univers" w:hAnsi="Univers" w:cs="Arial"/>
          <w:sz w:val="22"/>
          <w:szCs w:val="22"/>
          <w:lang w:val="es-PE"/>
        </w:rPr>
      </w:pPr>
      <w:r w:rsidRPr="00E606EE">
        <w:rPr>
          <w:rFonts w:ascii="Univers" w:hAnsi="Univers" w:cs="Arial"/>
          <w:sz w:val="22"/>
          <w:szCs w:val="22"/>
          <w:lang w:val="es-PE"/>
        </w:rPr>
        <w:t>Señor Secretario:</w:t>
      </w:r>
    </w:p>
    <w:p w:rsidR="00A933B2" w:rsidRPr="00E606EE" w:rsidRDefault="00A933B2" w:rsidP="00A933B2">
      <w:pPr>
        <w:rPr>
          <w:rFonts w:ascii="Univers" w:hAnsi="Univers" w:cs="Arial"/>
          <w:sz w:val="22"/>
          <w:szCs w:val="22"/>
          <w:lang w:val="es-CO"/>
        </w:rPr>
      </w:pPr>
    </w:p>
    <w:p w:rsidR="00E07AA1" w:rsidRPr="00E606EE" w:rsidRDefault="00A933B2" w:rsidP="00E07AA1">
      <w:pPr>
        <w:autoSpaceDE w:val="0"/>
        <w:autoSpaceDN w:val="0"/>
        <w:adjustRightInd w:val="0"/>
        <w:ind w:firstLine="708"/>
        <w:jc w:val="both"/>
        <w:rPr>
          <w:rFonts w:ascii="Univers" w:hAnsi="Univers" w:cs="Arial"/>
          <w:sz w:val="22"/>
          <w:szCs w:val="22"/>
          <w:lang w:val="es-PE"/>
        </w:rPr>
      </w:pPr>
      <w:r w:rsidRPr="00E606EE">
        <w:rPr>
          <w:rFonts w:ascii="Univers" w:hAnsi="Univers"/>
          <w:sz w:val="22"/>
          <w:szCs w:val="22"/>
        </w:rPr>
        <w:t>Tengo el agrado de dirigirme a usted en nombre de la Comisión Interamericana de Derechos Humanos con el objeto</w:t>
      </w:r>
      <w:r w:rsidRPr="00E606EE">
        <w:rPr>
          <w:rFonts w:ascii="Univers" w:hAnsi="Univers" w:cs="Arial"/>
          <w:sz w:val="22"/>
          <w:szCs w:val="22"/>
          <w:lang w:val="es-CO"/>
        </w:rPr>
        <w:t xml:space="preserve"> de someter a la jurisdicción de la Honorable Corte Interamericana de Derechos Humanos, el caso No.</w:t>
      </w:r>
      <w:r w:rsidRPr="00E606EE">
        <w:rPr>
          <w:rFonts w:ascii="Univers" w:hAnsi="Univers"/>
          <w:sz w:val="22"/>
          <w:szCs w:val="22"/>
        </w:rPr>
        <w:t xml:space="preserve"> </w:t>
      </w:r>
      <w:bookmarkStart w:id="2" w:name="Peticion_n1"/>
      <w:bookmarkEnd w:id="2"/>
      <w:r w:rsidRPr="00E606EE">
        <w:rPr>
          <w:rFonts w:ascii="Univers" w:hAnsi="Univers" w:cs="Arial"/>
          <w:sz w:val="22"/>
          <w:szCs w:val="22"/>
        </w:rPr>
        <w:t>12.</w:t>
      </w:r>
      <w:r w:rsidR="00E07AA1" w:rsidRPr="00E606EE">
        <w:rPr>
          <w:rFonts w:ascii="Univers" w:hAnsi="Univers" w:cs="Arial"/>
          <w:sz w:val="22"/>
          <w:szCs w:val="22"/>
        </w:rPr>
        <w:t>597</w:t>
      </w:r>
      <w:r w:rsidRPr="00E606EE">
        <w:rPr>
          <w:rFonts w:ascii="Univers" w:hAnsi="Univers" w:cs="Arial"/>
          <w:sz w:val="22"/>
          <w:szCs w:val="22"/>
        </w:rPr>
        <w:t xml:space="preserve">, </w:t>
      </w:r>
      <w:r w:rsidR="00E07AA1" w:rsidRPr="00E606EE">
        <w:rPr>
          <w:rFonts w:ascii="Univers" w:hAnsi="Univers" w:cs="Arial"/>
          <w:sz w:val="22"/>
          <w:szCs w:val="22"/>
        </w:rPr>
        <w:t xml:space="preserve">Miguel Camba Campos y otros </w:t>
      </w:r>
      <w:r w:rsidRPr="00E606EE">
        <w:rPr>
          <w:rFonts w:ascii="Univers" w:hAnsi="Univers" w:cs="Arial"/>
          <w:sz w:val="22"/>
          <w:szCs w:val="22"/>
        </w:rPr>
        <w:t>respecto de</w:t>
      </w:r>
      <w:r w:rsidR="000508B0" w:rsidRPr="00E606EE">
        <w:rPr>
          <w:rFonts w:ascii="Univers" w:hAnsi="Univers" w:cs="Arial"/>
          <w:sz w:val="22"/>
          <w:szCs w:val="22"/>
        </w:rPr>
        <w:t xml:space="preserve"> la República del Ecuador </w:t>
      </w:r>
      <w:r w:rsidRPr="00E606EE">
        <w:rPr>
          <w:rFonts w:ascii="Univers" w:hAnsi="Univers" w:cs="Arial"/>
          <w:sz w:val="22"/>
          <w:szCs w:val="22"/>
        </w:rPr>
        <w:t>(en adelante “el Estado</w:t>
      </w:r>
      <w:r w:rsidR="000508B0" w:rsidRPr="00E606EE">
        <w:rPr>
          <w:rFonts w:ascii="Univers" w:hAnsi="Univers" w:cs="Arial"/>
          <w:sz w:val="22"/>
          <w:szCs w:val="22"/>
        </w:rPr>
        <w:t xml:space="preserve"> de Ecuador</w:t>
      </w:r>
      <w:r w:rsidRPr="00E606EE">
        <w:rPr>
          <w:rFonts w:ascii="Univers" w:hAnsi="Univers" w:cs="Arial"/>
          <w:sz w:val="22"/>
          <w:szCs w:val="22"/>
        </w:rPr>
        <w:t xml:space="preserve">”, “el Estado </w:t>
      </w:r>
      <w:r w:rsidR="005D22F5" w:rsidRPr="00E606EE">
        <w:rPr>
          <w:rFonts w:ascii="Univers" w:hAnsi="Univers" w:cs="Arial"/>
          <w:sz w:val="22"/>
          <w:szCs w:val="22"/>
        </w:rPr>
        <w:t>ecuatoriano</w:t>
      </w:r>
      <w:r w:rsidRPr="00E606EE">
        <w:rPr>
          <w:rFonts w:ascii="Univers" w:hAnsi="Univers" w:cs="Arial"/>
          <w:sz w:val="22"/>
          <w:szCs w:val="22"/>
        </w:rPr>
        <w:t>” o “</w:t>
      </w:r>
      <w:r w:rsidR="005D22F5" w:rsidRPr="00E606EE">
        <w:rPr>
          <w:rFonts w:ascii="Univers" w:hAnsi="Univers" w:cs="Arial"/>
          <w:sz w:val="22"/>
          <w:szCs w:val="22"/>
        </w:rPr>
        <w:t>Ecuador</w:t>
      </w:r>
      <w:r w:rsidRPr="00E606EE">
        <w:rPr>
          <w:rFonts w:ascii="Univers" w:hAnsi="Univers" w:cs="Arial"/>
          <w:sz w:val="22"/>
          <w:szCs w:val="22"/>
        </w:rPr>
        <w:t xml:space="preserve">”), </w:t>
      </w:r>
      <w:r w:rsidR="00555A8A" w:rsidRPr="00E606EE">
        <w:rPr>
          <w:rFonts w:ascii="Univers" w:hAnsi="Univers"/>
          <w:iCs/>
          <w:sz w:val="22"/>
          <w:szCs w:val="22"/>
          <w:lang w:val="es-ES_tradnl"/>
        </w:rPr>
        <w:t xml:space="preserve">relacionado con </w:t>
      </w:r>
      <w:r w:rsidR="00E07AA1" w:rsidRPr="00E606EE">
        <w:rPr>
          <w:rFonts w:ascii="Univers" w:hAnsi="Univers"/>
          <w:iCs/>
          <w:sz w:val="22"/>
          <w:szCs w:val="22"/>
          <w:lang w:val="es-ES_tradnl"/>
        </w:rPr>
        <w:t xml:space="preserve">el cese arbitrario de 8 vocales del Tribunal Constitucional de </w:t>
      </w:r>
      <w:r w:rsidR="00555A8A" w:rsidRPr="00E606EE">
        <w:rPr>
          <w:rFonts w:ascii="Univers" w:hAnsi="Univers"/>
          <w:iCs/>
          <w:sz w:val="22"/>
          <w:szCs w:val="22"/>
          <w:lang w:val="es-ES_tradnl"/>
        </w:rPr>
        <w:t>Ecuador</w:t>
      </w:r>
      <w:r w:rsidR="00555A8A" w:rsidRPr="00E606EE">
        <w:rPr>
          <w:rStyle w:val="Refdenotaalpie"/>
          <w:rFonts w:ascii="Univers" w:hAnsi="Univers"/>
          <w:iCs/>
          <w:sz w:val="22"/>
          <w:szCs w:val="22"/>
          <w:lang w:val="es-ES_tradnl"/>
        </w:rPr>
        <w:footnoteReference w:id="1"/>
      </w:r>
      <w:r w:rsidR="00555A8A" w:rsidRPr="00E606EE">
        <w:rPr>
          <w:rFonts w:ascii="Univers" w:hAnsi="Univers"/>
          <w:sz w:val="22"/>
          <w:szCs w:val="22"/>
          <w:lang w:val="es-ES_tradnl"/>
        </w:rPr>
        <w:t xml:space="preserve"> </w:t>
      </w:r>
      <w:r w:rsidR="00E07AA1" w:rsidRPr="00E606EE">
        <w:rPr>
          <w:rFonts w:ascii="Univers" w:hAnsi="Univers" w:cs="Arial"/>
          <w:sz w:val="22"/>
          <w:szCs w:val="22"/>
          <w:lang w:val="es-PE"/>
        </w:rPr>
        <w:t>mediante Resolución del Congreso Nacional de 25 de noviembre de 2004</w:t>
      </w:r>
      <w:r w:rsidR="00555A8A" w:rsidRPr="00E606EE">
        <w:rPr>
          <w:rFonts w:ascii="Univers" w:hAnsi="Univers"/>
          <w:sz w:val="22"/>
          <w:szCs w:val="22"/>
          <w:lang w:val="es-ES_tradnl"/>
        </w:rPr>
        <w:t xml:space="preserve">, </w:t>
      </w:r>
      <w:r w:rsidR="00E07AA1" w:rsidRPr="00E606EE">
        <w:rPr>
          <w:rFonts w:ascii="Univers" w:hAnsi="Univers" w:cs="Arial"/>
          <w:sz w:val="22"/>
          <w:szCs w:val="22"/>
          <w:lang w:val="es-PE"/>
        </w:rPr>
        <w:t xml:space="preserve">circunstancia que constituyó un mecanismo ad hoc de destitución de magistrados, no previsto ni en la Constitución ni en la ley, y afectó gravemente el principio de independencia judicial. Asimismo, con posterioridad al cese de los vocales magistrados, el 1 de diciembre de 2004, el Congreso Nacional resolvió los pedidos de juicio político formulados contra algunos de ellos, sin que se obtuvieran los votos necesarios para adoptar una moción de censura. Luego, en virtud de una convocatoria a sesiones extraordinarias por parte del entonces Presidente de la República, el 8 de diciembre de 2004, el Congreso Nacional procedió a realizar una segunda votación respecto de los juicios políticos decididos en la sesión de 1 de diciembre de 2004, mediante la que se adoptó una moción de censura. </w:t>
      </w:r>
    </w:p>
    <w:p w:rsidR="00E07AA1" w:rsidRDefault="00E07AA1" w:rsidP="00E07AA1">
      <w:pPr>
        <w:autoSpaceDE w:val="0"/>
        <w:autoSpaceDN w:val="0"/>
        <w:adjustRightInd w:val="0"/>
        <w:ind w:firstLine="708"/>
        <w:jc w:val="both"/>
        <w:rPr>
          <w:rFonts w:ascii="Univers" w:hAnsi="Univers" w:cs="Arial"/>
          <w:sz w:val="22"/>
          <w:szCs w:val="22"/>
          <w:lang w:val="es-PE"/>
        </w:rPr>
      </w:pPr>
    </w:p>
    <w:p w:rsidR="00675777" w:rsidRDefault="00675777" w:rsidP="00E07AA1">
      <w:pPr>
        <w:autoSpaceDE w:val="0"/>
        <w:autoSpaceDN w:val="0"/>
        <w:adjustRightInd w:val="0"/>
        <w:ind w:firstLine="708"/>
        <w:jc w:val="both"/>
        <w:rPr>
          <w:rFonts w:ascii="Univers" w:hAnsi="Univers" w:cs="Arial"/>
          <w:sz w:val="22"/>
          <w:szCs w:val="22"/>
          <w:lang w:val="es-PE"/>
        </w:rPr>
      </w:pPr>
    </w:p>
    <w:p w:rsidR="00675777" w:rsidRPr="00E606EE" w:rsidRDefault="00675777" w:rsidP="00E07AA1">
      <w:pPr>
        <w:autoSpaceDE w:val="0"/>
        <w:autoSpaceDN w:val="0"/>
        <w:adjustRightInd w:val="0"/>
        <w:ind w:firstLine="708"/>
        <w:jc w:val="both"/>
        <w:rPr>
          <w:rFonts w:ascii="Univers" w:hAnsi="Univers" w:cs="Arial"/>
          <w:sz w:val="22"/>
          <w:szCs w:val="22"/>
          <w:lang w:val="es-PE"/>
        </w:rPr>
      </w:pPr>
    </w:p>
    <w:p w:rsidR="00777A65" w:rsidRPr="00E606EE" w:rsidRDefault="00777A65" w:rsidP="00777A65">
      <w:pPr>
        <w:jc w:val="both"/>
        <w:rPr>
          <w:rFonts w:ascii="Univers" w:hAnsi="Univers" w:cs="Arial"/>
          <w:snapToGrid w:val="0"/>
          <w:sz w:val="22"/>
          <w:szCs w:val="22"/>
          <w:lang w:val="es-CO"/>
        </w:rPr>
      </w:pPr>
    </w:p>
    <w:p w:rsidR="00777A65" w:rsidRPr="00E606EE" w:rsidRDefault="00777A65" w:rsidP="00777A65">
      <w:pPr>
        <w:jc w:val="both"/>
        <w:rPr>
          <w:rFonts w:ascii="Univers" w:hAnsi="Univers" w:cs="Arial"/>
          <w:snapToGrid w:val="0"/>
          <w:sz w:val="22"/>
          <w:szCs w:val="22"/>
          <w:lang w:val="es-CO"/>
        </w:rPr>
      </w:pPr>
      <w:r w:rsidRPr="00E606EE">
        <w:rPr>
          <w:rFonts w:ascii="Univers" w:hAnsi="Univers" w:cs="Arial"/>
          <w:snapToGrid w:val="0"/>
          <w:sz w:val="22"/>
          <w:szCs w:val="22"/>
          <w:lang w:val="es-CO"/>
        </w:rPr>
        <w:t>Señor</w:t>
      </w:r>
    </w:p>
    <w:p w:rsidR="00777A65" w:rsidRPr="00E606EE" w:rsidRDefault="00777A65" w:rsidP="00777A65">
      <w:pPr>
        <w:suppressAutoHyphens/>
        <w:rPr>
          <w:rFonts w:ascii="Univers" w:hAnsi="Univers" w:cs="Arial"/>
          <w:snapToGrid w:val="0"/>
          <w:sz w:val="22"/>
          <w:szCs w:val="22"/>
          <w:lang w:val="es-CO"/>
        </w:rPr>
      </w:pPr>
      <w:r w:rsidRPr="00E606EE">
        <w:rPr>
          <w:rFonts w:ascii="Univers" w:hAnsi="Univers" w:cs="Arial"/>
          <w:snapToGrid w:val="0"/>
          <w:sz w:val="22"/>
          <w:szCs w:val="22"/>
          <w:lang w:val="es-CO"/>
        </w:rPr>
        <w:t>Pablo Saavedra Alessandri, Secretario</w:t>
      </w:r>
    </w:p>
    <w:p w:rsidR="00777A65" w:rsidRPr="00E606EE" w:rsidRDefault="00777A65" w:rsidP="00777A65">
      <w:pPr>
        <w:suppressAutoHyphens/>
        <w:rPr>
          <w:rFonts w:ascii="Univers" w:hAnsi="Univers" w:cs="Arial"/>
          <w:snapToGrid w:val="0"/>
          <w:sz w:val="22"/>
          <w:szCs w:val="22"/>
          <w:lang w:val="es-ES_tradnl"/>
        </w:rPr>
      </w:pPr>
      <w:r w:rsidRPr="00E606EE">
        <w:rPr>
          <w:rFonts w:ascii="Univers" w:hAnsi="Univers" w:cs="Arial"/>
          <w:snapToGrid w:val="0"/>
          <w:sz w:val="22"/>
          <w:szCs w:val="22"/>
          <w:lang w:val="es-ES_tradnl"/>
        </w:rPr>
        <w:t>Corte Interamericana de Derechos Humanos</w:t>
      </w:r>
    </w:p>
    <w:p w:rsidR="00777A65" w:rsidRPr="00E606EE" w:rsidRDefault="00777A65" w:rsidP="00777A65">
      <w:pPr>
        <w:suppressAutoHyphens/>
        <w:rPr>
          <w:rFonts w:ascii="Univers" w:hAnsi="Univers" w:cs="Arial"/>
          <w:snapToGrid w:val="0"/>
          <w:sz w:val="22"/>
          <w:szCs w:val="22"/>
          <w:lang w:val="es-ES_tradnl"/>
        </w:rPr>
      </w:pPr>
      <w:r w:rsidRPr="00E606EE">
        <w:rPr>
          <w:rFonts w:ascii="Univers" w:hAnsi="Univers" w:cs="Arial"/>
          <w:snapToGrid w:val="0"/>
          <w:sz w:val="22"/>
          <w:szCs w:val="22"/>
          <w:lang w:val="es-ES_tradnl"/>
        </w:rPr>
        <w:t>Apartado 6906-1000</w:t>
      </w:r>
    </w:p>
    <w:p w:rsidR="00777A65" w:rsidRPr="00E606EE" w:rsidRDefault="00777A65" w:rsidP="00777A65">
      <w:pPr>
        <w:suppressAutoHyphens/>
        <w:rPr>
          <w:rFonts w:ascii="Univers" w:hAnsi="Univers" w:cs="Arial"/>
          <w:snapToGrid w:val="0"/>
          <w:sz w:val="22"/>
          <w:szCs w:val="22"/>
          <w:lang w:val="es-ES_tradnl"/>
        </w:rPr>
      </w:pPr>
      <w:r w:rsidRPr="00E606EE">
        <w:rPr>
          <w:rFonts w:ascii="Univers" w:hAnsi="Univers" w:cs="Arial"/>
          <w:snapToGrid w:val="0"/>
          <w:sz w:val="22"/>
          <w:szCs w:val="22"/>
          <w:lang w:val="es-ES_tradnl"/>
        </w:rPr>
        <w:t>San José, Costa Rica</w:t>
      </w:r>
    </w:p>
    <w:p w:rsidR="00777A65" w:rsidRDefault="00777A65" w:rsidP="00777A65">
      <w:pPr>
        <w:suppressAutoHyphens/>
        <w:rPr>
          <w:rFonts w:ascii="Univers" w:hAnsi="Univers" w:cs="Arial"/>
          <w:snapToGrid w:val="0"/>
          <w:sz w:val="22"/>
          <w:szCs w:val="22"/>
          <w:lang w:val="es-ES_tradnl"/>
        </w:rPr>
      </w:pPr>
      <w:r w:rsidRPr="00E606EE">
        <w:rPr>
          <w:rFonts w:ascii="Univers" w:hAnsi="Univers" w:cs="Arial"/>
          <w:snapToGrid w:val="0"/>
          <w:sz w:val="22"/>
          <w:szCs w:val="22"/>
          <w:lang w:val="es-ES_tradnl"/>
        </w:rPr>
        <w:t>Anexos</w:t>
      </w:r>
    </w:p>
    <w:p w:rsidR="00675777" w:rsidRDefault="00675777" w:rsidP="00777A65">
      <w:pPr>
        <w:suppressAutoHyphens/>
        <w:rPr>
          <w:rFonts w:ascii="Univers" w:hAnsi="Univers" w:cs="Arial"/>
          <w:snapToGrid w:val="0"/>
          <w:sz w:val="22"/>
          <w:szCs w:val="22"/>
          <w:lang w:val="es-ES_tradnl"/>
        </w:rPr>
      </w:pPr>
    </w:p>
    <w:p w:rsidR="00675777" w:rsidRDefault="00675777" w:rsidP="00777A65">
      <w:pPr>
        <w:suppressAutoHyphens/>
        <w:rPr>
          <w:rFonts w:ascii="Univers" w:hAnsi="Univers" w:cs="Arial"/>
          <w:snapToGrid w:val="0"/>
          <w:sz w:val="22"/>
          <w:szCs w:val="22"/>
          <w:lang w:val="es-ES_tradnl"/>
        </w:rPr>
      </w:pPr>
    </w:p>
    <w:p w:rsidR="00675777" w:rsidRDefault="00675777" w:rsidP="00777A65">
      <w:pPr>
        <w:suppressAutoHyphens/>
        <w:rPr>
          <w:rFonts w:ascii="Univers" w:hAnsi="Univers" w:cs="Arial"/>
          <w:snapToGrid w:val="0"/>
          <w:sz w:val="22"/>
          <w:szCs w:val="22"/>
          <w:lang w:val="es-ES_tradnl"/>
        </w:rPr>
      </w:pPr>
    </w:p>
    <w:p w:rsidR="00675777" w:rsidRPr="00E606EE" w:rsidRDefault="00675777" w:rsidP="00675777">
      <w:pPr>
        <w:autoSpaceDE w:val="0"/>
        <w:autoSpaceDN w:val="0"/>
        <w:adjustRightInd w:val="0"/>
        <w:ind w:firstLine="708"/>
        <w:jc w:val="both"/>
        <w:rPr>
          <w:rFonts w:ascii="Univers" w:hAnsi="Univers"/>
          <w:iCs/>
          <w:sz w:val="22"/>
          <w:szCs w:val="22"/>
          <w:lang w:val="es-ES_tradnl"/>
        </w:rPr>
      </w:pPr>
      <w:r w:rsidRPr="00E606EE">
        <w:rPr>
          <w:rFonts w:ascii="Univers" w:hAnsi="Univers" w:cs="Arial"/>
          <w:sz w:val="22"/>
          <w:szCs w:val="22"/>
          <w:lang w:val="es-PE"/>
        </w:rPr>
        <w:t xml:space="preserve">En este sentido, la Comisión destaca que las </w:t>
      </w:r>
      <w:r w:rsidRPr="00E606EE">
        <w:rPr>
          <w:rFonts w:ascii="Univers" w:hAnsi="Univers"/>
          <w:iCs/>
          <w:sz w:val="22"/>
          <w:szCs w:val="22"/>
          <w:lang w:val="es-ES_tradnl"/>
        </w:rPr>
        <w:t xml:space="preserve">víctimas no contaron con garantías procesales y posibilidad de defenderse en relación con la cesación y no existieron garantías procesales en la segunda votación de juicio político. Asimismo, las víctimas se vieron </w:t>
      </w:r>
      <w:r w:rsidRPr="00E606EE">
        <w:rPr>
          <w:rFonts w:ascii="Univers" w:hAnsi="Univers"/>
          <w:iCs/>
          <w:sz w:val="22"/>
          <w:szCs w:val="22"/>
          <w:lang w:val="es-ES_tradnl"/>
        </w:rPr>
        <w:lastRenderedPageBreak/>
        <w:t>impedidas arbitraria e injustificadamente de presentar recursos de amparo contra la resolución de cese y no contaron con un recurso judicial efectivo que les amparara frente al actuar arbitrario del Congreso Nacional. Estos hechos ocurrieron en un álgido contexto político y de fragilidad institucional del Poder Judicial en Ecuador.</w:t>
      </w:r>
    </w:p>
    <w:p w:rsidR="00675777" w:rsidRPr="00675777" w:rsidRDefault="00675777" w:rsidP="00777A65">
      <w:pPr>
        <w:suppressAutoHyphens/>
        <w:rPr>
          <w:rFonts w:ascii="Univers" w:hAnsi="Univers"/>
          <w:sz w:val="22"/>
          <w:szCs w:val="22"/>
          <w:lang w:val="es-ES_tradnl"/>
        </w:rPr>
      </w:pPr>
    </w:p>
    <w:p w:rsidR="00E07AA1" w:rsidRPr="00E606EE" w:rsidRDefault="00E07AA1" w:rsidP="00E07AA1">
      <w:pPr>
        <w:autoSpaceDE w:val="0"/>
        <w:autoSpaceDN w:val="0"/>
        <w:adjustRightInd w:val="0"/>
        <w:ind w:firstLine="708"/>
        <w:jc w:val="both"/>
        <w:rPr>
          <w:rFonts w:ascii="Univers" w:hAnsi="Univers"/>
          <w:iCs/>
          <w:sz w:val="22"/>
          <w:szCs w:val="22"/>
          <w:lang w:val="es-ES_tradnl"/>
        </w:rPr>
      </w:pPr>
    </w:p>
    <w:p w:rsidR="00A933B2" w:rsidRPr="00E606EE" w:rsidRDefault="00A933B2" w:rsidP="00A933B2">
      <w:pPr>
        <w:ind w:firstLine="720"/>
        <w:jc w:val="both"/>
        <w:rPr>
          <w:rFonts w:ascii="Univers" w:hAnsi="Univers" w:cs="Arial"/>
          <w:sz w:val="22"/>
          <w:szCs w:val="22"/>
        </w:rPr>
      </w:pPr>
      <w:r w:rsidRPr="00E606EE">
        <w:rPr>
          <w:rFonts w:ascii="Univers" w:hAnsi="Univers" w:cs="Arial"/>
          <w:sz w:val="22"/>
          <w:szCs w:val="22"/>
        </w:rPr>
        <w:t xml:space="preserve">El Estado ratificó la Convención Americana sobre Derechos Humanos el </w:t>
      </w:r>
      <w:r w:rsidR="00555A8A" w:rsidRPr="00E606EE">
        <w:rPr>
          <w:rFonts w:ascii="Univers" w:hAnsi="Univers" w:cs="Arial"/>
          <w:sz w:val="22"/>
          <w:szCs w:val="22"/>
        </w:rPr>
        <w:t>28</w:t>
      </w:r>
      <w:r w:rsidRPr="00E606EE">
        <w:rPr>
          <w:rFonts w:ascii="Univers" w:hAnsi="Univers" w:cs="Arial"/>
          <w:sz w:val="22"/>
          <w:szCs w:val="22"/>
        </w:rPr>
        <w:t xml:space="preserve"> de </w:t>
      </w:r>
      <w:r w:rsidR="00555A8A" w:rsidRPr="00E606EE">
        <w:rPr>
          <w:rFonts w:ascii="Univers" w:hAnsi="Univers" w:cs="Arial"/>
          <w:sz w:val="22"/>
          <w:szCs w:val="22"/>
        </w:rPr>
        <w:t>diciembre de 1977</w:t>
      </w:r>
      <w:r w:rsidRPr="00E606EE">
        <w:rPr>
          <w:rFonts w:ascii="Univers" w:hAnsi="Univers" w:cs="Arial"/>
          <w:sz w:val="22"/>
          <w:szCs w:val="22"/>
        </w:rPr>
        <w:t xml:space="preserve"> y aceptó la competencia contenciosa de la Corte el 2</w:t>
      </w:r>
      <w:r w:rsidR="00555A8A" w:rsidRPr="00E606EE">
        <w:rPr>
          <w:rFonts w:ascii="Univers" w:hAnsi="Univers" w:cs="Arial"/>
          <w:sz w:val="22"/>
          <w:szCs w:val="22"/>
        </w:rPr>
        <w:t>4</w:t>
      </w:r>
      <w:r w:rsidRPr="00E606EE">
        <w:rPr>
          <w:rFonts w:ascii="Univers" w:hAnsi="Univers" w:cs="Arial"/>
          <w:sz w:val="22"/>
          <w:szCs w:val="22"/>
        </w:rPr>
        <w:t xml:space="preserve"> de julio de 198</w:t>
      </w:r>
      <w:r w:rsidR="00555A8A" w:rsidRPr="00E606EE">
        <w:rPr>
          <w:rFonts w:ascii="Univers" w:hAnsi="Univers" w:cs="Arial"/>
          <w:sz w:val="22"/>
          <w:szCs w:val="22"/>
        </w:rPr>
        <w:t>4</w:t>
      </w:r>
      <w:r w:rsidRPr="00E606EE">
        <w:rPr>
          <w:rFonts w:ascii="Univers" w:hAnsi="Univers" w:cs="Arial"/>
          <w:sz w:val="22"/>
          <w:szCs w:val="22"/>
        </w:rPr>
        <w:t xml:space="preserve">. </w:t>
      </w:r>
    </w:p>
    <w:p w:rsidR="00A933B2" w:rsidRPr="00E606EE" w:rsidRDefault="00A933B2" w:rsidP="00A933B2">
      <w:pPr>
        <w:ind w:firstLine="720"/>
        <w:jc w:val="both"/>
        <w:rPr>
          <w:rFonts w:ascii="Univers" w:hAnsi="Univers" w:cs="Arial"/>
          <w:sz w:val="22"/>
          <w:szCs w:val="22"/>
        </w:rPr>
      </w:pPr>
    </w:p>
    <w:p w:rsidR="001B3E7B" w:rsidRPr="00E606EE" w:rsidRDefault="001B3E7B" w:rsidP="001B3E7B">
      <w:pPr>
        <w:ind w:firstLine="720"/>
        <w:jc w:val="both"/>
        <w:rPr>
          <w:rFonts w:ascii="Univers" w:hAnsi="Univers" w:cs="Arial"/>
          <w:sz w:val="22"/>
          <w:szCs w:val="22"/>
        </w:rPr>
      </w:pPr>
      <w:r w:rsidRPr="00E606EE">
        <w:rPr>
          <w:rFonts w:ascii="Univers" w:hAnsi="Univers"/>
          <w:sz w:val="22"/>
          <w:szCs w:val="22"/>
        </w:rPr>
        <w:t xml:space="preserve">La Comisión ha designado a la Comisionada Luz Patricia Mejía y al Secretario Ejecutivo de la CIDH Santiago A. Canton, como sus delegados. Asimismo, Elizabeth Abi-Mershed, Secretaria Ejecutiva Adjunta, y </w:t>
      </w:r>
      <w:r w:rsidR="00E07AA1" w:rsidRPr="00E606EE">
        <w:rPr>
          <w:rFonts w:ascii="Univers" w:hAnsi="Univers"/>
          <w:sz w:val="22"/>
          <w:szCs w:val="22"/>
        </w:rPr>
        <w:t>Tatiana Gos</w:t>
      </w:r>
      <w:r w:rsidRPr="00E606EE">
        <w:rPr>
          <w:rFonts w:ascii="Univers" w:hAnsi="Univers"/>
          <w:sz w:val="22"/>
          <w:szCs w:val="22"/>
        </w:rPr>
        <w:t>, abogada de la Secretaría Ejecutiva de la CIDH, actuarán como asesoras legales.</w:t>
      </w:r>
      <w:r w:rsidRPr="00E606EE">
        <w:rPr>
          <w:rFonts w:ascii="Univers" w:hAnsi="Univers" w:cs="Arial"/>
          <w:sz w:val="22"/>
          <w:szCs w:val="22"/>
        </w:rPr>
        <w:t xml:space="preserve"> </w:t>
      </w:r>
    </w:p>
    <w:p w:rsidR="00581BAA" w:rsidRPr="00E606EE" w:rsidRDefault="00581BAA" w:rsidP="00A933B2">
      <w:pPr>
        <w:jc w:val="both"/>
        <w:rPr>
          <w:rFonts w:ascii="Univers" w:hAnsi="Univers" w:cs="Arial"/>
          <w:snapToGrid w:val="0"/>
          <w:sz w:val="22"/>
          <w:szCs w:val="22"/>
          <w:lang w:val="es-CO"/>
        </w:rPr>
      </w:pPr>
    </w:p>
    <w:p w:rsidR="00A933B2" w:rsidRPr="00E606EE" w:rsidRDefault="00D7310C" w:rsidP="00313EED">
      <w:pPr>
        <w:autoSpaceDE w:val="0"/>
        <w:autoSpaceDN w:val="0"/>
        <w:adjustRightInd w:val="0"/>
        <w:jc w:val="both"/>
        <w:rPr>
          <w:rFonts w:ascii="Univers" w:hAnsi="Univers" w:cs="Arial"/>
          <w:sz w:val="22"/>
          <w:szCs w:val="22"/>
        </w:rPr>
      </w:pPr>
      <w:r w:rsidRPr="00E606EE">
        <w:rPr>
          <w:rFonts w:ascii="Univers" w:hAnsi="Univers" w:cs="Arial"/>
          <w:sz w:val="22"/>
          <w:szCs w:val="22"/>
        </w:rPr>
        <w:tab/>
      </w:r>
      <w:r w:rsidR="00A933B2" w:rsidRPr="00E606EE">
        <w:rPr>
          <w:rFonts w:ascii="Univers" w:hAnsi="Univers" w:cs="Arial"/>
          <w:sz w:val="22"/>
          <w:szCs w:val="22"/>
        </w:rPr>
        <w:t xml:space="preserve">De conformidad con el artículo 35 del Reglamento de la Corte Interamericana, la Comisión adjunta </w:t>
      </w:r>
      <w:r w:rsidR="00A933B2" w:rsidRPr="00E606EE">
        <w:rPr>
          <w:rFonts w:ascii="Univers" w:hAnsi="Univers"/>
          <w:sz w:val="22"/>
          <w:szCs w:val="22"/>
          <w:lang w:val="es-CO"/>
        </w:rPr>
        <w:t xml:space="preserve">copia del </w:t>
      </w:r>
      <w:r w:rsidR="00A933B2" w:rsidRPr="00E606EE">
        <w:rPr>
          <w:rFonts w:ascii="Univers" w:hAnsi="Univers"/>
          <w:sz w:val="22"/>
          <w:szCs w:val="22"/>
        </w:rPr>
        <w:t xml:space="preserve">informe </w:t>
      </w:r>
      <w:r w:rsidR="00E07AA1" w:rsidRPr="00E606EE">
        <w:rPr>
          <w:rFonts w:ascii="Univers" w:hAnsi="Univers"/>
          <w:sz w:val="22"/>
          <w:szCs w:val="22"/>
        </w:rPr>
        <w:t>99</w:t>
      </w:r>
      <w:r w:rsidR="00A933B2" w:rsidRPr="00E606EE">
        <w:rPr>
          <w:rFonts w:ascii="Univers" w:hAnsi="Univers"/>
          <w:sz w:val="22"/>
          <w:szCs w:val="22"/>
        </w:rPr>
        <w:t>/1</w:t>
      </w:r>
      <w:r w:rsidRPr="00E606EE">
        <w:rPr>
          <w:rFonts w:ascii="Univers" w:hAnsi="Univers"/>
          <w:sz w:val="22"/>
          <w:szCs w:val="22"/>
        </w:rPr>
        <w:t>1</w:t>
      </w:r>
      <w:r w:rsidR="00A933B2" w:rsidRPr="00E606EE">
        <w:rPr>
          <w:rFonts w:ascii="Univers" w:hAnsi="Univers"/>
          <w:sz w:val="22"/>
          <w:szCs w:val="22"/>
        </w:rPr>
        <w:t xml:space="preserve"> elaborado en observancia del artículo 50 de la Convención, así como copia de la totalidad del expediente ante la Comisión Interamericana (Apéndice I) y los anexos utilizados en la elaboración del informe </w:t>
      </w:r>
      <w:r w:rsidR="00E07AA1" w:rsidRPr="00E606EE">
        <w:rPr>
          <w:rFonts w:ascii="Univers" w:hAnsi="Univers"/>
          <w:sz w:val="22"/>
          <w:szCs w:val="22"/>
        </w:rPr>
        <w:t>99</w:t>
      </w:r>
      <w:r w:rsidRPr="00E606EE">
        <w:rPr>
          <w:rFonts w:ascii="Univers" w:hAnsi="Univers"/>
          <w:sz w:val="22"/>
          <w:szCs w:val="22"/>
        </w:rPr>
        <w:t>/11</w:t>
      </w:r>
      <w:r w:rsidR="00A933B2" w:rsidRPr="00E606EE">
        <w:rPr>
          <w:rFonts w:ascii="Univers" w:hAnsi="Univers"/>
          <w:sz w:val="22"/>
          <w:szCs w:val="22"/>
        </w:rPr>
        <w:t xml:space="preserve"> (Anexos). Dicho informe de fondo </w:t>
      </w:r>
      <w:r w:rsidR="00A933B2" w:rsidRPr="00E606EE">
        <w:rPr>
          <w:rFonts w:ascii="Univers" w:hAnsi="Univers"/>
          <w:sz w:val="22"/>
          <w:szCs w:val="22"/>
          <w:lang w:val="es-AR"/>
        </w:rPr>
        <w:t>fue notificado al Estado de</w:t>
      </w:r>
      <w:r w:rsidRPr="00E606EE">
        <w:rPr>
          <w:rFonts w:ascii="Univers" w:hAnsi="Univers"/>
          <w:sz w:val="22"/>
          <w:szCs w:val="22"/>
          <w:lang w:val="es-AR"/>
        </w:rPr>
        <w:t xml:space="preserve"> Ecuador mediante comunicación de </w:t>
      </w:r>
      <w:r w:rsidR="00E07AA1" w:rsidRPr="00E606EE">
        <w:rPr>
          <w:rFonts w:ascii="Univers" w:hAnsi="Univers"/>
          <w:sz w:val="22"/>
          <w:szCs w:val="22"/>
          <w:lang w:val="es-AR"/>
        </w:rPr>
        <w:t>28 de julio</w:t>
      </w:r>
      <w:r w:rsidRPr="00E606EE">
        <w:rPr>
          <w:rFonts w:ascii="Univers" w:hAnsi="Univers"/>
          <w:sz w:val="22"/>
          <w:szCs w:val="22"/>
          <w:lang w:val="es-AR"/>
        </w:rPr>
        <w:t xml:space="preserve"> de 2011</w:t>
      </w:r>
      <w:r w:rsidR="00A933B2" w:rsidRPr="00E606EE">
        <w:rPr>
          <w:rFonts w:ascii="Univers" w:hAnsi="Univers"/>
          <w:sz w:val="22"/>
          <w:szCs w:val="22"/>
          <w:lang w:val="es-AR"/>
        </w:rPr>
        <w:t xml:space="preserve">, otorgándole un plazo de dos meses para informar sobre el cumplimiento de las recomendaciones. </w:t>
      </w:r>
      <w:r w:rsidR="00EA534B" w:rsidRPr="00E606EE">
        <w:rPr>
          <w:rFonts w:ascii="Univers" w:hAnsi="Univers" w:cs="Arial"/>
          <w:sz w:val="22"/>
          <w:szCs w:val="22"/>
        </w:rPr>
        <w:t xml:space="preserve">Mediante comunicación recibida el 12 de septiembre de 2011, el Estado solicitó una prórroga para la presentación del informe de cumplimiento de las recomendaciones formuladas por la CIDH en el Informe 99/11. El 15 de septiembre de 2011, la CIDH notificó al Estado la concesión de una prórroga hasta el 19 de octubre de 2011. Posteriormente, el 27 de septiembre de 2011, el Estado solicitó una prórroga, sin especificar el plazo, manifestó su aceptación en cuanto a la suspensión del plazo para el sometimiento del caso a la Corte establecido en el artículo 51.1 de la Convención Americana y expresó su renuncia expresa a interponer una eventual excepción preliminar, de acuerdo con lo establecido en el artículo 46 del Reglamento de la Comisión. El 14 de octubre de 2011, la Comisión notificó al Estado la concesión de la prórroga solicitada por el plazo de un mes y solicitó que el 15 de noviembre de 2011, se informe sobre las medidas adoptadas para dar cumplimiento a las recomendaciones de la Comisión. </w:t>
      </w:r>
      <w:r w:rsidR="00E02FBC" w:rsidRPr="00E606EE">
        <w:rPr>
          <w:rFonts w:ascii="Univers" w:hAnsi="Univers" w:cs="Arial"/>
          <w:sz w:val="22"/>
          <w:szCs w:val="22"/>
        </w:rPr>
        <w:t xml:space="preserve">El 28 de noviembre de 2011, el Estado de Ecuador presentó un informe que no revela avances sustanciales en el cumplimiento de las recomendaciones. </w:t>
      </w:r>
    </w:p>
    <w:p w:rsidR="00E02FBC" w:rsidRPr="00E606EE" w:rsidRDefault="00E02FBC" w:rsidP="00313EED">
      <w:pPr>
        <w:autoSpaceDE w:val="0"/>
        <w:autoSpaceDN w:val="0"/>
        <w:adjustRightInd w:val="0"/>
        <w:jc w:val="both"/>
        <w:rPr>
          <w:rFonts w:ascii="Univers" w:hAnsi="Univers" w:cs="Arial"/>
          <w:sz w:val="22"/>
          <w:szCs w:val="22"/>
        </w:rPr>
      </w:pPr>
    </w:p>
    <w:p w:rsidR="00E02FBC" w:rsidRPr="00E606EE" w:rsidRDefault="00E02FBC" w:rsidP="00313EED">
      <w:pPr>
        <w:autoSpaceDE w:val="0"/>
        <w:autoSpaceDN w:val="0"/>
        <w:adjustRightInd w:val="0"/>
        <w:jc w:val="both"/>
        <w:rPr>
          <w:rFonts w:ascii="Univers" w:hAnsi="Univers" w:cs="Arial"/>
          <w:sz w:val="22"/>
          <w:szCs w:val="22"/>
        </w:rPr>
      </w:pPr>
      <w:r w:rsidRPr="00E606EE">
        <w:rPr>
          <w:rFonts w:ascii="Univers" w:hAnsi="Univers" w:cs="Arial"/>
          <w:sz w:val="22"/>
          <w:szCs w:val="22"/>
        </w:rPr>
        <w:tab/>
      </w:r>
      <w:r w:rsidR="00F40452" w:rsidRPr="00E606EE">
        <w:rPr>
          <w:rFonts w:ascii="Univers" w:hAnsi="Univers" w:cs="Arial"/>
          <w:sz w:val="22"/>
          <w:szCs w:val="22"/>
        </w:rPr>
        <w:t>La Comisión advierte, en términos generales, que el Estado “recomienda” la realización de determinadas medidas de forma “inmediata” pero no brinda información que permita advertir que efectivamente se han implementado diligencias para cumplir con las recomendaciones del informe de fondo 99/11. En particular, e</w:t>
      </w:r>
      <w:r w:rsidRPr="00E606EE">
        <w:rPr>
          <w:rFonts w:ascii="Univers" w:hAnsi="Univers" w:cs="Arial"/>
          <w:sz w:val="22"/>
          <w:szCs w:val="22"/>
        </w:rPr>
        <w:t xml:space="preserve">n cuanto a la recomendación de </w:t>
      </w:r>
      <w:r w:rsidRPr="00E606EE">
        <w:rPr>
          <w:rFonts w:ascii="Univers" w:hAnsi="Univers" w:cs="Arial"/>
          <w:b/>
          <w:sz w:val="22"/>
          <w:szCs w:val="22"/>
        </w:rPr>
        <w:t xml:space="preserve">“reincorporar a las víctimas, al Poder Judicial, en un cargo similar al que desempeñaban (…)” o alternativamente, “si por razones fundadas no es posible la reincorporación […] pagar una indemnización razonable a las víctimas o sus causahabientes de ser el caso”, </w:t>
      </w:r>
      <w:r w:rsidR="0033736D" w:rsidRPr="00E606EE">
        <w:rPr>
          <w:rFonts w:ascii="Univers" w:hAnsi="Univers" w:cs="Arial"/>
          <w:sz w:val="22"/>
          <w:szCs w:val="22"/>
        </w:rPr>
        <w:t xml:space="preserve">la Comisión observa que </w:t>
      </w:r>
      <w:r w:rsidRPr="00E606EE">
        <w:rPr>
          <w:rFonts w:ascii="Univers" w:hAnsi="Univers" w:cs="Arial"/>
          <w:sz w:val="22"/>
          <w:szCs w:val="22"/>
        </w:rPr>
        <w:t xml:space="preserve">el Estado se limita a recomendar la realización de un informe que demuestre que actualmente en la Corte Constitucional hay magistrados/as designados/as para el ejercicio de su cargo, por lo que reincorporar a las víctimas tendría como consecuencia el </w:t>
      </w:r>
      <w:proofErr w:type="gramStart"/>
      <w:r w:rsidRPr="00E606EE">
        <w:rPr>
          <w:rFonts w:ascii="Univers" w:hAnsi="Univers" w:cs="Arial"/>
          <w:sz w:val="22"/>
          <w:szCs w:val="22"/>
        </w:rPr>
        <w:t>detrimento</w:t>
      </w:r>
      <w:proofErr w:type="gramEnd"/>
      <w:r w:rsidRPr="00E606EE">
        <w:rPr>
          <w:rFonts w:ascii="Univers" w:hAnsi="Univers" w:cs="Arial"/>
          <w:sz w:val="22"/>
          <w:szCs w:val="22"/>
        </w:rPr>
        <w:t xml:space="preserve"> de los derechos de aquéllos/as</w:t>
      </w:r>
      <w:r w:rsidR="0033736D" w:rsidRPr="00E606EE">
        <w:rPr>
          <w:rFonts w:ascii="Univers" w:hAnsi="Univers" w:cs="Arial"/>
          <w:sz w:val="22"/>
          <w:szCs w:val="22"/>
        </w:rPr>
        <w:t>,</w:t>
      </w:r>
      <w:r w:rsidRPr="00E606EE">
        <w:rPr>
          <w:rFonts w:ascii="Univers" w:hAnsi="Univers" w:cs="Arial"/>
          <w:sz w:val="22"/>
          <w:szCs w:val="22"/>
        </w:rPr>
        <w:t xml:space="preserve"> y de un estudio sobre las medidas de reparación por concepto de </w:t>
      </w:r>
      <w:r w:rsidRPr="00E606EE">
        <w:rPr>
          <w:rFonts w:ascii="Univers" w:hAnsi="Univers" w:cs="Arial"/>
          <w:i/>
          <w:sz w:val="22"/>
          <w:szCs w:val="22"/>
        </w:rPr>
        <w:t>daño inmaterial</w:t>
      </w:r>
      <w:r w:rsidRPr="00E606EE">
        <w:rPr>
          <w:rFonts w:ascii="Univers" w:hAnsi="Univers" w:cs="Arial"/>
          <w:sz w:val="22"/>
          <w:szCs w:val="22"/>
        </w:rPr>
        <w:t xml:space="preserve">, a fin de adoptar un criterio de reparación ecuménico. </w:t>
      </w:r>
      <w:r w:rsidR="0033736D" w:rsidRPr="00E606EE">
        <w:rPr>
          <w:rFonts w:ascii="Univers" w:hAnsi="Univers" w:cs="Arial"/>
          <w:sz w:val="22"/>
          <w:szCs w:val="22"/>
        </w:rPr>
        <w:t>La Comisión advierte que el Estado no presenta información vinculada con las alternativas exploradas para proceder a la efectiva reincorporación de las víctimas al Poder Judicial ni ha presentado información vinculada c</w:t>
      </w:r>
      <w:r w:rsidR="00F40452" w:rsidRPr="00E606EE">
        <w:rPr>
          <w:rFonts w:ascii="Univers" w:hAnsi="Univers" w:cs="Arial"/>
          <w:sz w:val="22"/>
          <w:szCs w:val="22"/>
        </w:rPr>
        <w:t>on avances concretos para dar cumplimiento a este punto.</w:t>
      </w:r>
    </w:p>
    <w:p w:rsidR="00E02FBC" w:rsidRPr="00E606EE" w:rsidRDefault="00E02FBC" w:rsidP="00313EED">
      <w:pPr>
        <w:autoSpaceDE w:val="0"/>
        <w:autoSpaceDN w:val="0"/>
        <w:adjustRightInd w:val="0"/>
        <w:jc w:val="both"/>
        <w:rPr>
          <w:rFonts w:ascii="Univers" w:hAnsi="Univers" w:cs="Arial"/>
          <w:sz w:val="22"/>
          <w:szCs w:val="22"/>
        </w:rPr>
      </w:pPr>
    </w:p>
    <w:p w:rsidR="00E02FBC" w:rsidRPr="00E606EE" w:rsidRDefault="00E02FBC" w:rsidP="00313EED">
      <w:pPr>
        <w:autoSpaceDE w:val="0"/>
        <w:autoSpaceDN w:val="0"/>
        <w:adjustRightInd w:val="0"/>
        <w:jc w:val="both"/>
        <w:rPr>
          <w:rFonts w:ascii="Univers" w:hAnsi="Univers" w:cs="Arial"/>
          <w:sz w:val="22"/>
          <w:szCs w:val="22"/>
        </w:rPr>
      </w:pPr>
      <w:r w:rsidRPr="00E606EE">
        <w:rPr>
          <w:rFonts w:ascii="Univers" w:hAnsi="Univers" w:cs="Arial"/>
          <w:sz w:val="22"/>
          <w:szCs w:val="22"/>
        </w:rPr>
        <w:lastRenderedPageBreak/>
        <w:tab/>
      </w:r>
      <w:r w:rsidR="0033736D" w:rsidRPr="00E606EE">
        <w:rPr>
          <w:rFonts w:ascii="Univers" w:hAnsi="Univers" w:cs="Arial"/>
          <w:sz w:val="22"/>
          <w:szCs w:val="22"/>
        </w:rPr>
        <w:t xml:space="preserve">Con respecto a </w:t>
      </w:r>
      <w:r w:rsidRPr="00E606EE">
        <w:rPr>
          <w:rFonts w:ascii="Univers" w:hAnsi="Univers" w:cs="Arial"/>
          <w:sz w:val="22"/>
          <w:szCs w:val="22"/>
        </w:rPr>
        <w:t xml:space="preserve">la recomendación de </w:t>
      </w:r>
      <w:r w:rsidRPr="00E606EE">
        <w:rPr>
          <w:rFonts w:ascii="Univers" w:hAnsi="Univers" w:cs="Arial"/>
          <w:b/>
          <w:sz w:val="22"/>
          <w:szCs w:val="22"/>
        </w:rPr>
        <w:t xml:space="preserve">“pagar a las víctimas los salarios, pensiones y beneficios laborales y/o sociales dejados de percibir desde el momento en que fueron cesados hasta la fecha en que hubiera finalizado su mandato”, </w:t>
      </w:r>
      <w:r w:rsidR="00F40452" w:rsidRPr="00E606EE">
        <w:rPr>
          <w:rFonts w:ascii="Univers" w:hAnsi="Univers" w:cs="Arial"/>
          <w:sz w:val="22"/>
          <w:szCs w:val="22"/>
        </w:rPr>
        <w:t xml:space="preserve">la Comisión nota que </w:t>
      </w:r>
      <w:r w:rsidRPr="00E606EE">
        <w:rPr>
          <w:rFonts w:ascii="Univers" w:hAnsi="Univers" w:cs="Arial"/>
          <w:sz w:val="22"/>
          <w:szCs w:val="22"/>
        </w:rPr>
        <w:t xml:space="preserve">el Estado </w:t>
      </w:r>
      <w:r w:rsidR="0033736D" w:rsidRPr="00E606EE">
        <w:rPr>
          <w:rFonts w:ascii="Univers" w:hAnsi="Univers" w:cs="Arial"/>
          <w:sz w:val="22"/>
          <w:szCs w:val="22"/>
        </w:rPr>
        <w:t>recomienda solicitar a la Corte Constitucional que emita un Informe en el que conste la información pertinente para evaluar la situación de cada una de las víctimas, con excepción de Manuel Jaramillo Córdoba, quien no recibía remuneración al momento de su destitución por ser vocal suplente.</w:t>
      </w:r>
      <w:r w:rsidR="00F40452" w:rsidRPr="00E606EE">
        <w:rPr>
          <w:rFonts w:ascii="Univers" w:hAnsi="Univers" w:cs="Arial"/>
          <w:sz w:val="22"/>
          <w:szCs w:val="22"/>
        </w:rPr>
        <w:t xml:space="preserve"> Sin embargo, a la fecha no se cuenta con información concreta sobre cuándo será solicitado ese informe ni su efectiva culminación ni pago a las víctimas.</w:t>
      </w:r>
    </w:p>
    <w:p w:rsidR="0033736D" w:rsidRPr="00E606EE" w:rsidRDefault="0033736D" w:rsidP="00313EED">
      <w:pPr>
        <w:autoSpaceDE w:val="0"/>
        <w:autoSpaceDN w:val="0"/>
        <w:adjustRightInd w:val="0"/>
        <w:jc w:val="both"/>
        <w:rPr>
          <w:rFonts w:ascii="Univers" w:hAnsi="Univers" w:cs="Arial"/>
          <w:sz w:val="22"/>
          <w:szCs w:val="22"/>
        </w:rPr>
      </w:pPr>
    </w:p>
    <w:p w:rsidR="0033736D" w:rsidRPr="00E606EE" w:rsidRDefault="0033736D" w:rsidP="00313EED">
      <w:pPr>
        <w:autoSpaceDE w:val="0"/>
        <w:autoSpaceDN w:val="0"/>
        <w:adjustRightInd w:val="0"/>
        <w:jc w:val="both"/>
        <w:rPr>
          <w:rFonts w:ascii="Univers" w:hAnsi="Univers" w:cs="Arial"/>
          <w:sz w:val="22"/>
          <w:szCs w:val="22"/>
        </w:rPr>
      </w:pPr>
      <w:r w:rsidRPr="00E606EE">
        <w:rPr>
          <w:rFonts w:ascii="Univers" w:hAnsi="Univers" w:cs="Arial"/>
          <w:sz w:val="22"/>
          <w:szCs w:val="22"/>
        </w:rPr>
        <w:tab/>
        <w:t xml:space="preserve">En relación con la recomendación de </w:t>
      </w:r>
      <w:r w:rsidRPr="00E606EE">
        <w:rPr>
          <w:rFonts w:ascii="Univers" w:hAnsi="Univers" w:cs="Arial"/>
          <w:b/>
          <w:sz w:val="22"/>
          <w:szCs w:val="22"/>
        </w:rPr>
        <w:t>“reconocer públicamente, garantizando mecanismos adecuados de difusión, las violaciones declaradas en el […] caso, en particular, la vulneración de la independencia del Poder Judicial”</w:t>
      </w:r>
      <w:r w:rsidRPr="00E606EE">
        <w:rPr>
          <w:rFonts w:ascii="Univers" w:hAnsi="Univers" w:cs="Arial"/>
          <w:sz w:val="22"/>
          <w:szCs w:val="22"/>
        </w:rPr>
        <w:t xml:space="preserve">, </w:t>
      </w:r>
      <w:r w:rsidR="00F40452" w:rsidRPr="00E606EE">
        <w:rPr>
          <w:rFonts w:ascii="Univers" w:hAnsi="Univers" w:cs="Arial"/>
          <w:sz w:val="22"/>
          <w:szCs w:val="22"/>
        </w:rPr>
        <w:t xml:space="preserve">la Comisión observa que </w:t>
      </w:r>
      <w:r w:rsidRPr="00E606EE">
        <w:rPr>
          <w:rFonts w:ascii="Univers" w:hAnsi="Univers" w:cs="Arial"/>
          <w:sz w:val="22"/>
          <w:szCs w:val="22"/>
        </w:rPr>
        <w:t>el Estado se limitó a informar que el Ministerio de Justicia, Derechos Humanos y Cultos será la institución encargada de realizar el reconocimiento y que se debe definir con los beneficiarios el medio de la publicación.</w:t>
      </w:r>
      <w:r w:rsidR="00F40452" w:rsidRPr="00E606EE">
        <w:rPr>
          <w:rFonts w:ascii="Univers" w:hAnsi="Univers" w:cs="Arial"/>
          <w:sz w:val="22"/>
          <w:szCs w:val="22"/>
        </w:rPr>
        <w:t xml:space="preserve"> La Comisión advierte que la información aportada no revela progresos concretos respecto de la realización del acto de reconocimiento de responsabilidad.</w:t>
      </w:r>
    </w:p>
    <w:p w:rsidR="0033736D" w:rsidRPr="00E606EE" w:rsidRDefault="0033736D" w:rsidP="00313EED">
      <w:pPr>
        <w:autoSpaceDE w:val="0"/>
        <w:autoSpaceDN w:val="0"/>
        <w:adjustRightInd w:val="0"/>
        <w:jc w:val="both"/>
        <w:rPr>
          <w:rFonts w:ascii="Univers" w:hAnsi="Univers" w:cs="Arial"/>
          <w:sz w:val="22"/>
          <w:szCs w:val="22"/>
        </w:rPr>
      </w:pPr>
    </w:p>
    <w:p w:rsidR="0033736D" w:rsidRPr="00E606EE" w:rsidRDefault="0033736D" w:rsidP="00313EED">
      <w:pPr>
        <w:autoSpaceDE w:val="0"/>
        <w:autoSpaceDN w:val="0"/>
        <w:adjustRightInd w:val="0"/>
        <w:jc w:val="both"/>
        <w:rPr>
          <w:rFonts w:ascii="Univers" w:hAnsi="Univers" w:cs="Arial"/>
          <w:sz w:val="22"/>
          <w:szCs w:val="22"/>
        </w:rPr>
      </w:pPr>
      <w:r w:rsidRPr="00E606EE">
        <w:rPr>
          <w:rFonts w:ascii="Univers" w:hAnsi="Univers" w:cs="Arial"/>
          <w:sz w:val="22"/>
          <w:szCs w:val="22"/>
        </w:rPr>
        <w:tab/>
        <w:t xml:space="preserve">Respecto a la recomendación de </w:t>
      </w:r>
      <w:r w:rsidRPr="00E606EE">
        <w:rPr>
          <w:rFonts w:ascii="Univers" w:hAnsi="Univers" w:cs="Arial"/>
          <w:b/>
          <w:sz w:val="22"/>
          <w:szCs w:val="22"/>
        </w:rPr>
        <w:t xml:space="preserve">“adoptar medidas de no repetición, que aseguren la independencia reforzada del Poder Judicial, incluyendo las medidas necesarias para que la normativa interna y la práctica relevante obedezcan a criterios claros y aseguren garantías en la designación, permanencia y remoción de jueces y juezas, en particular, un plazo de ejercicio de la función judicial suficiente para garantizar su independencia y la determinación de las causales de enjuiciamiento político, conforme a las normas establecidas en la Convención Americana”, </w:t>
      </w:r>
      <w:r w:rsidRPr="00E606EE">
        <w:rPr>
          <w:rFonts w:ascii="Univers" w:hAnsi="Univers" w:cs="Arial"/>
          <w:sz w:val="22"/>
          <w:szCs w:val="22"/>
        </w:rPr>
        <w:t xml:space="preserve">el Estado </w:t>
      </w:r>
      <w:r w:rsidR="00F40452" w:rsidRPr="00E606EE">
        <w:rPr>
          <w:rFonts w:ascii="Univers" w:hAnsi="Univers" w:cs="Arial"/>
          <w:sz w:val="22"/>
          <w:szCs w:val="22"/>
        </w:rPr>
        <w:t xml:space="preserve">recomienda </w:t>
      </w:r>
      <w:r w:rsidRPr="00E606EE">
        <w:rPr>
          <w:rFonts w:ascii="Univers" w:hAnsi="Univers" w:cs="Arial"/>
          <w:sz w:val="22"/>
          <w:szCs w:val="22"/>
        </w:rPr>
        <w:t xml:space="preserve">proveer a la Comisión Interamericana el texto del artículo 187 de la Constitución Política de Ecuador del año 2008 y las disposiciones del Código Orgánico de la Función Judicial. </w:t>
      </w:r>
      <w:r w:rsidR="00F40452" w:rsidRPr="00E606EE">
        <w:rPr>
          <w:rFonts w:ascii="Univers" w:hAnsi="Univers" w:cs="Arial"/>
          <w:sz w:val="22"/>
          <w:szCs w:val="22"/>
        </w:rPr>
        <w:t xml:space="preserve">Sin embargo, el Estado no explicó de qué manera esta normativa y su implementación permiten considerar como superadas las falencias que dieron lugar a los hechos del presente caso. </w:t>
      </w:r>
    </w:p>
    <w:p w:rsidR="00F40452" w:rsidRPr="00E606EE" w:rsidRDefault="00F40452" w:rsidP="00313EED">
      <w:pPr>
        <w:autoSpaceDE w:val="0"/>
        <w:autoSpaceDN w:val="0"/>
        <w:adjustRightInd w:val="0"/>
        <w:jc w:val="both"/>
        <w:rPr>
          <w:rFonts w:ascii="Univers" w:hAnsi="Univers" w:cs="Arial"/>
          <w:sz w:val="22"/>
          <w:szCs w:val="22"/>
        </w:rPr>
      </w:pPr>
    </w:p>
    <w:p w:rsidR="009A7444" w:rsidRPr="00E606EE" w:rsidRDefault="00F40452" w:rsidP="00F40452">
      <w:pPr>
        <w:autoSpaceDE w:val="0"/>
        <w:autoSpaceDN w:val="0"/>
        <w:adjustRightInd w:val="0"/>
        <w:jc w:val="both"/>
        <w:rPr>
          <w:rFonts w:ascii="Univers" w:hAnsi="Univers"/>
          <w:sz w:val="22"/>
          <w:szCs w:val="22"/>
          <w:lang w:val="es-ES_tradnl"/>
        </w:rPr>
      </w:pPr>
      <w:r w:rsidRPr="00E606EE">
        <w:rPr>
          <w:rFonts w:ascii="Univers" w:hAnsi="Univers" w:cs="Arial"/>
          <w:sz w:val="22"/>
          <w:szCs w:val="22"/>
        </w:rPr>
        <w:tab/>
      </w:r>
      <w:r w:rsidR="00A933B2" w:rsidRPr="00E606EE">
        <w:rPr>
          <w:rFonts w:ascii="Univers" w:hAnsi="Univers"/>
          <w:sz w:val="22"/>
          <w:szCs w:val="22"/>
          <w:lang w:val="es-AR"/>
        </w:rPr>
        <w:t xml:space="preserve">En consecuencia, </w:t>
      </w:r>
      <w:r w:rsidR="00EA534B" w:rsidRPr="00E606EE">
        <w:rPr>
          <w:rFonts w:ascii="Univers" w:hAnsi="Univers"/>
          <w:sz w:val="22"/>
          <w:szCs w:val="22"/>
          <w:lang w:val="es-AR"/>
        </w:rPr>
        <w:t>l</w:t>
      </w:r>
      <w:r w:rsidR="00EA534B" w:rsidRPr="00E606EE">
        <w:rPr>
          <w:rFonts w:ascii="Univers" w:hAnsi="Univers"/>
          <w:iCs/>
          <w:sz w:val="22"/>
          <w:szCs w:val="22"/>
          <w:lang w:val="es-AR"/>
        </w:rPr>
        <w:t xml:space="preserve">a Comisión somete el presente caso a la jurisdicción de la Corte Interamericana tanto por la necesidad de obtención de justicia para las víctimas ante la falta de cumplimiento de las recomendaciones por parte del Estado de Ecuador, como por las cuestiones de orden público interamericano que el caso presenta. </w:t>
      </w:r>
    </w:p>
    <w:p w:rsidR="00A933B2" w:rsidRPr="00E606EE" w:rsidRDefault="00A933B2" w:rsidP="00A933B2">
      <w:pPr>
        <w:tabs>
          <w:tab w:val="left" w:pos="0"/>
          <w:tab w:val="left" w:pos="9000"/>
        </w:tabs>
        <w:ind w:firstLine="720"/>
        <w:jc w:val="both"/>
        <w:rPr>
          <w:rFonts w:ascii="Univers" w:hAnsi="Univers" w:cs="Arial"/>
          <w:sz w:val="22"/>
          <w:szCs w:val="22"/>
          <w:lang w:val="es-PE"/>
        </w:rPr>
      </w:pPr>
    </w:p>
    <w:p w:rsidR="00A933B2" w:rsidRPr="00E606EE" w:rsidRDefault="00A933B2" w:rsidP="00A933B2">
      <w:pPr>
        <w:ind w:firstLine="720"/>
        <w:jc w:val="both"/>
        <w:rPr>
          <w:rFonts w:ascii="Univers" w:hAnsi="Univers"/>
          <w:sz w:val="22"/>
          <w:szCs w:val="22"/>
        </w:rPr>
      </w:pPr>
      <w:r w:rsidRPr="00E606EE">
        <w:rPr>
          <w:rFonts w:ascii="Univers" w:hAnsi="Univers"/>
          <w:sz w:val="22"/>
          <w:szCs w:val="22"/>
        </w:rPr>
        <w:t xml:space="preserve">La Comisión Interamericana somete a la jurisdicción de la Corte la totalidad de los hechos y violaciones de derechos humanos descritos en el informe de fondo </w:t>
      </w:r>
      <w:r w:rsidR="00EA534B" w:rsidRPr="00E606EE">
        <w:rPr>
          <w:rFonts w:ascii="Univers" w:hAnsi="Univers"/>
          <w:sz w:val="22"/>
          <w:szCs w:val="22"/>
        </w:rPr>
        <w:t>99</w:t>
      </w:r>
      <w:r w:rsidRPr="00E606EE">
        <w:rPr>
          <w:rFonts w:ascii="Univers" w:hAnsi="Univers"/>
          <w:sz w:val="22"/>
          <w:szCs w:val="22"/>
        </w:rPr>
        <w:t>/1</w:t>
      </w:r>
      <w:r w:rsidR="006A6BDF" w:rsidRPr="00E606EE">
        <w:rPr>
          <w:rFonts w:ascii="Univers" w:hAnsi="Univers"/>
          <w:sz w:val="22"/>
          <w:szCs w:val="22"/>
        </w:rPr>
        <w:t>1</w:t>
      </w:r>
      <w:r w:rsidRPr="00E606EE">
        <w:rPr>
          <w:rFonts w:ascii="Univers" w:hAnsi="Univers"/>
          <w:sz w:val="22"/>
          <w:szCs w:val="22"/>
        </w:rPr>
        <w:t xml:space="preserve"> y solicita a la Corte que concluya y declare la responsabilidad internacional del Estado de </w:t>
      </w:r>
      <w:r w:rsidR="009B6215" w:rsidRPr="00E606EE">
        <w:rPr>
          <w:rFonts w:ascii="Univers" w:hAnsi="Univers"/>
          <w:sz w:val="22"/>
          <w:szCs w:val="22"/>
        </w:rPr>
        <w:t>Ecuador</w:t>
      </w:r>
      <w:r w:rsidRPr="00E606EE">
        <w:rPr>
          <w:rFonts w:ascii="Univers" w:hAnsi="Univers"/>
          <w:sz w:val="22"/>
          <w:szCs w:val="22"/>
        </w:rPr>
        <w:t xml:space="preserve"> por:</w:t>
      </w:r>
    </w:p>
    <w:p w:rsidR="00A933B2" w:rsidRPr="00E606EE" w:rsidRDefault="00A933B2" w:rsidP="00A933B2">
      <w:pPr>
        <w:tabs>
          <w:tab w:val="left" w:pos="8460"/>
        </w:tabs>
        <w:ind w:right="720" w:firstLine="720"/>
        <w:jc w:val="both"/>
        <w:rPr>
          <w:rFonts w:ascii="Univers" w:hAnsi="Univers"/>
          <w:sz w:val="22"/>
          <w:szCs w:val="22"/>
        </w:rPr>
      </w:pPr>
    </w:p>
    <w:p w:rsidR="00EA534B" w:rsidRPr="00E606EE" w:rsidRDefault="00EA534B" w:rsidP="009B6215">
      <w:pPr>
        <w:tabs>
          <w:tab w:val="left" w:pos="8460"/>
        </w:tabs>
        <w:ind w:left="720" w:right="720"/>
        <w:jc w:val="both"/>
        <w:rPr>
          <w:rFonts w:ascii="Univers" w:hAnsi="Univers"/>
          <w:sz w:val="22"/>
          <w:szCs w:val="22"/>
          <w:lang w:val="es-ES_tradnl"/>
        </w:rPr>
      </w:pPr>
      <w:r w:rsidRPr="00E606EE">
        <w:rPr>
          <w:rFonts w:ascii="Univers" w:hAnsi="Univers" w:cs="Arial"/>
          <w:sz w:val="22"/>
          <w:szCs w:val="22"/>
        </w:rPr>
        <w:t>La violación de los derechos a las garantías judiciales, al principio de legalidad y a la protección judicial, consagrados en los artículos 8, 9 y 25 de la Convención Americana, en relación con las obligaciones establecidas en los artículos 1.1 y 2 del mismo instrumento, en perjuicio de Miguel Camba Campos, Oswaldo Cevallos Bueno, Enrique Herrería Bonnet, Jaime Nogales Izurieta, Luis Rojas Bajaña, Mauro Terán Cevallos, Simón Zabala Guzmán y Manuel Jaramillo Córdova.</w:t>
      </w:r>
    </w:p>
    <w:p w:rsidR="00A933B2" w:rsidRPr="00E606EE" w:rsidRDefault="00A933B2" w:rsidP="00A933B2">
      <w:pPr>
        <w:tabs>
          <w:tab w:val="left" w:pos="8460"/>
        </w:tabs>
        <w:ind w:left="720" w:right="720"/>
        <w:jc w:val="both"/>
        <w:rPr>
          <w:rFonts w:ascii="Univers" w:hAnsi="Univers"/>
          <w:color w:val="000000"/>
          <w:sz w:val="22"/>
          <w:szCs w:val="22"/>
        </w:rPr>
      </w:pPr>
    </w:p>
    <w:p w:rsidR="00A933B2" w:rsidRPr="00E606EE" w:rsidRDefault="00A933B2" w:rsidP="00A933B2">
      <w:pPr>
        <w:ind w:firstLine="720"/>
        <w:jc w:val="both"/>
        <w:rPr>
          <w:rFonts w:ascii="Univers" w:hAnsi="Univers"/>
          <w:sz w:val="22"/>
          <w:szCs w:val="22"/>
        </w:rPr>
      </w:pPr>
      <w:r w:rsidRPr="00E606EE">
        <w:rPr>
          <w:rFonts w:ascii="Univers" w:hAnsi="Univers"/>
          <w:sz w:val="22"/>
          <w:szCs w:val="22"/>
        </w:rPr>
        <w:t>En consecuencia, la Comisión solicita a la Corte Interamericana que disponga las siguientes medidas de reparación:</w:t>
      </w:r>
    </w:p>
    <w:p w:rsidR="00EA534B" w:rsidRPr="00E606EE" w:rsidRDefault="00EA534B" w:rsidP="00EA534B">
      <w:pPr>
        <w:pStyle w:val="Sangra3detindependiente"/>
        <w:tabs>
          <w:tab w:val="left" w:pos="1440"/>
          <w:tab w:val="left" w:pos="8640"/>
        </w:tabs>
        <w:ind w:firstLine="0"/>
        <w:rPr>
          <w:rFonts w:cs="Arial"/>
          <w:szCs w:val="22"/>
        </w:rPr>
      </w:pPr>
    </w:p>
    <w:p w:rsidR="00EA534B" w:rsidRPr="00E606EE" w:rsidRDefault="00EA534B" w:rsidP="007A7C5C">
      <w:pPr>
        <w:pStyle w:val="Sangra3detindependiente"/>
        <w:numPr>
          <w:ilvl w:val="0"/>
          <w:numId w:val="1"/>
        </w:numPr>
        <w:tabs>
          <w:tab w:val="left" w:pos="1440"/>
          <w:tab w:val="left" w:pos="7920"/>
        </w:tabs>
        <w:ind w:left="720" w:right="720" w:firstLine="0"/>
        <w:rPr>
          <w:rFonts w:cs="Arial"/>
          <w:szCs w:val="22"/>
        </w:rPr>
      </w:pPr>
      <w:r w:rsidRPr="00E606EE">
        <w:rPr>
          <w:rFonts w:cs="Arial"/>
          <w:szCs w:val="22"/>
        </w:rPr>
        <w:lastRenderedPageBreak/>
        <w:t>a) Reincorporar a las v</w:t>
      </w:r>
      <w:r w:rsidRPr="00E606EE">
        <w:rPr>
          <w:rFonts w:cs="Arial"/>
          <w:szCs w:val="22"/>
          <w:lang w:val="es-AR"/>
        </w:rPr>
        <w:t xml:space="preserve">íctimas al Poder Judicial, </w:t>
      </w:r>
      <w:r w:rsidRPr="00E606EE">
        <w:rPr>
          <w:rFonts w:cs="Arial"/>
          <w:szCs w:val="22"/>
        </w:rPr>
        <w:t xml:space="preserve">en un cargo similar al que desempeñaban, </w:t>
      </w:r>
      <w:r w:rsidRPr="00E606EE">
        <w:rPr>
          <w:szCs w:val="22"/>
        </w:rPr>
        <w:t>con la misma remuneración, beneficios sociales y rango equiparables a los que les correspondería el día de hoy si no hubieran sido cesados, por el plazo de tiempo que quedaba pendiente de su mandato, o</w:t>
      </w:r>
    </w:p>
    <w:p w:rsidR="00EA534B" w:rsidRPr="00E606EE" w:rsidRDefault="00EA534B" w:rsidP="00EA534B">
      <w:pPr>
        <w:pStyle w:val="Sangra3detindependiente"/>
        <w:tabs>
          <w:tab w:val="left" w:pos="1440"/>
          <w:tab w:val="left" w:pos="7920"/>
        </w:tabs>
        <w:ind w:left="720" w:right="720" w:firstLine="0"/>
        <w:rPr>
          <w:szCs w:val="22"/>
        </w:rPr>
      </w:pPr>
      <w:r w:rsidRPr="00E606EE">
        <w:rPr>
          <w:szCs w:val="22"/>
        </w:rPr>
        <w:tab/>
      </w:r>
    </w:p>
    <w:p w:rsidR="00EA534B" w:rsidRPr="00E606EE" w:rsidRDefault="00EA534B" w:rsidP="00EA534B">
      <w:pPr>
        <w:pStyle w:val="Sangra3detindependiente"/>
        <w:tabs>
          <w:tab w:val="left" w:pos="1440"/>
          <w:tab w:val="left" w:pos="7920"/>
        </w:tabs>
        <w:ind w:left="720" w:right="720" w:firstLine="0"/>
        <w:rPr>
          <w:rFonts w:cs="Arial"/>
          <w:szCs w:val="22"/>
        </w:rPr>
      </w:pPr>
      <w:r w:rsidRPr="00E606EE">
        <w:rPr>
          <w:szCs w:val="22"/>
        </w:rPr>
        <w:tab/>
        <w:t>b)  si por razones fundadas no es posible la reincorporación, el Estado deberá pagar una indemnización razonable a las víctimas o sus causahabientes de ser el caso, que comprenda el daño moral causado.</w:t>
      </w:r>
    </w:p>
    <w:p w:rsidR="00EA534B" w:rsidRPr="00E606EE" w:rsidRDefault="00EA534B" w:rsidP="00EA534B">
      <w:pPr>
        <w:pStyle w:val="Sangra3detindependiente"/>
        <w:tabs>
          <w:tab w:val="left" w:pos="1440"/>
          <w:tab w:val="left" w:pos="7920"/>
        </w:tabs>
        <w:ind w:left="720" w:right="720" w:firstLine="0"/>
        <w:rPr>
          <w:rFonts w:cs="Arial"/>
          <w:szCs w:val="22"/>
        </w:rPr>
      </w:pPr>
    </w:p>
    <w:p w:rsidR="00EA534B" w:rsidRPr="00E606EE" w:rsidRDefault="00EA534B" w:rsidP="007A7C5C">
      <w:pPr>
        <w:pStyle w:val="Sangra3detindependiente"/>
        <w:numPr>
          <w:ilvl w:val="0"/>
          <w:numId w:val="1"/>
        </w:numPr>
        <w:tabs>
          <w:tab w:val="left" w:pos="1440"/>
          <w:tab w:val="left" w:pos="7920"/>
        </w:tabs>
        <w:ind w:left="720" w:right="720" w:firstLine="0"/>
        <w:rPr>
          <w:rFonts w:cs="Arial"/>
          <w:szCs w:val="22"/>
        </w:rPr>
      </w:pPr>
      <w:r w:rsidRPr="00E606EE">
        <w:rPr>
          <w:rFonts w:cs="Arial"/>
          <w:szCs w:val="22"/>
        </w:rPr>
        <w:t>Pagar a las víctimas los salarios, pensiones y beneficios</w:t>
      </w:r>
      <w:r w:rsidRPr="00E606EE">
        <w:rPr>
          <w:rFonts w:cs="Arial"/>
          <w:szCs w:val="22"/>
          <w:lang w:val="es-AR"/>
        </w:rPr>
        <w:t xml:space="preserve"> laborales y/o sociales dejados de percibir desde el momento en que fueron cesados hasta la fecha en que hubiera finalizado su mandato. </w:t>
      </w:r>
    </w:p>
    <w:p w:rsidR="00EA534B" w:rsidRPr="00E606EE" w:rsidRDefault="00EA534B" w:rsidP="00EA534B">
      <w:pPr>
        <w:pStyle w:val="Sangra3detindependiente"/>
        <w:tabs>
          <w:tab w:val="left" w:pos="1440"/>
          <w:tab w:val="left" w:pos="7920"/>
        </w:tabs>
        <w:ind w:left="720" w:right="720" w:firstLine="0"/>
        <w:rPr>
          <w:rFonts w:cs="Arial"/>
          <w:szCs w:val="22"/>
        </w:rPr>
      </w:pPr>
    </w:p>
    <w:p w:rsidR="00EA534B" w:rsidRPr="00E606EE" w:rsidRDefault="00EA534B" w:rsidP="007A7C5C">
      <w:pPr>
        <w:pStyle w:val="Sangra3detindependiente"/>
        <w:numPr>
          <w:ilvl w:val="0"/>
          <w:numId w:val="1"/>
        </w:numPr>
        <w:tabs>
          <w:tab w:val="left" w:pos="1440"/>
          <w:tab w:val="left" w:pos="7920"/>
        </w:tabs>
        <w:ind w:left="720" w:right="720" w:firstLine="0"/>
        <w:rPr>
          <w:szCs w:val="22"/>
          <w:lang w:val="es-AR"/>
        </w:rPr>
      </w:pPr>
      <w:r w:rsidRPr="00E606EE">
        <w:rPr>
          <w:szCs w:val="22"/>
        </w:rPr>
        <w:t xml:space="preserve">Reconocer públicamente, garantizando mecanismos adecuados de difusión, las violaciones declaradas en el presente caso, en particular, la vulneración de la independencia del Poder Judicial. </w:t>
      </w:r>
    </w:p>
    <w:p w:rsidR="00EA534B" w:rsidRPr="00E606EE" w:rsidRDefault="00EA534B" w:rsidP="00EA534B">
      <w:pPr>
        <w:pStyle w:val="Sangra3detindependiente"/>
        <w:tabs>
          <w:tab w:val="left" w:pos="1440"/>
          <w:tab w:val="left" w:pos="7920"/>
        </w:tabs>
        <w:ind w:right="720" w:firstLine="0"/>
        <w:rPr>
          <w:szCs w:val="22"/>
          <w:lang w:val="es-AR"/>
        </w:rPr>
      </w:pPr>
    </w:p>
    <w:p w:rsidR="00A933B2" w:rsidRPr="00E606EE" w:rsidRDefault="00EA534B" w:rsidP="007A7C5C">
      <w:pPr>
        <w:pStyle w:val="Sangra3detindependiente"/>
        <w:numPr>
          <w:ilvl w:val="0"/>
          <w:numId w:val="1"/>
        </w:numPr>
        <w:tabs>
          <w:tab w:val="left" w:pos="1440"/>
          <w:tab w:val="left" w:pos="7920"/>
        </w:tabs>
        <w:ind w:left="720" w:right="720" w:firstLine="0"/>
        <w:rPr>
          <w:szCs w:val="22"/>
          <w:lang w:val="es-AR"/>
        </w:rPr>
      </w:pPr>
      <w:r w:rsidRPr="00E606EE">
        <w:rPr>
          <w:szCs w:val="22"/>
          <w:lang w:val="es-AR"/>
        </w:rPr>
        <w:t>Adoptar medidas de no repetición, que aseguren la independencia reforzada del Poder Judicial, incluyendo las medidas necesarias para que la normativa interna y la práctica relevante obedezcan a criterios claros y aseguren garantías en la designación, permanencia y remoción de jueces y juezas, en particular, un plazo de ejercicio de la función judicial suficiente para garantizar su independencia y la determinación de las causales de enjuiciamiento político, conforme a las normas establecidas en la Convención Americana.</w:t>
      </w:r>
    </w:p>
    <w:p w:rsidR="00EA534B" w:rsidRPr="00E606EE" w:rsidRDefault="00EA534B" w:rsidP="00EA534B">
      <w:pPr>
        <w:tabs>
          <w:tab w:val="left" w:pos="7920"/>
        </w:tabs>
        <w:ind w:left="720" w:right="720"/>
        <w:jc w:val="both"/>
        <w:rPr>
          <w:rFonts w:ascii="Univers" w:hAnsi="Univers"/>
          <w:sz w:val="22"/>
          <w:szCs w:val="22"/>
        </w:rPr>
      </w:pPr>
    </w:p>
    <w:p w:rsidR="00EA534B" w:rsidRPr="00E606EE" w:rsidRDefault="00EA534B" w:rsidP="00EA534B">
      <w:pPr>
        <w:autoSpaceDE w:val="0"/>
        <w:autoSpaceDN w:val="0"/>
        <w:adjustRightInd w:val="0"/>
        <w:ind w:firstLine="708"/>
        <w:jc w:val="both"/>
        <w:rPr>
          <w:rFonts w:ascii="Univers" w:hAnsi="Univers"/>
          <w:iCs/>
          <w:sz w:val="22"/>
          <w:szCs w:val="22"/>
          <w:lang w:val="es-AR"/>
        </w:rPr>
      </w:pPr>
      <w:r w:rsidRPr="00E606EE">
        <w:rPr>
          <w:rFonts w:ascii="Univers" w:hAnsi="Univers"/>
          <w:sz w:val="22"/>
          <w:szCs w:val="22"/>
          <w:lang w:val="es-AR"/>
        </w:rPr>
        <w:t xml:space="preserve">En relación con las </w:t>
      </w:r>
      <w:r w:rsidR="00611572" w:rsidRPr="00E606EE">
        <w:rPr>
          <w:rFonts w:ascii="Univers" w:hAnsi="Univers"/>
          <w:sz w:val="22"/>
          <w:szCs w:val="22"/>
          <w:lang w:val="es-AR"/>
        </w:rPr>
        <w:t>cuestiones d</w:t>
      </w:r>
      <w:r w:rsidRPr="00E606EE">
        <w:rPr>
          <w:rFonts w:ascii="Univers" w:hAnsi="Univers"/>
          <w:sz w:val="22"/>
          <w:szCs w:val="22"/>
          <w:lang w:val="es-AR"/>
        </w:rPr>
        <w:t>e orden público interamericano que el caso present</w:t>
      </w:r>
      <w:r w:rsidR="008F48CA" w:rsidRPr="00E606EE">
        <w:rPr>
          <w:rFonts w:ascii="Univers" w:hAnsi="Univers"/>
          <w:sz w:val="22"/>
          <w:szCs w:val="22"/>
          <w:lang w:val="es-AR"/>
        </w:rPr>
        <w:t>a</w:t>
      </w:r>
      <w:r w:rsidRPr="00E606EE">
        <w:rPr>
          <w:rFonts w:ascii="Univers" w:hAnsi="Univers"/>
          <w:sz w:val="22"/>
          <w:szCs w:val="22"/>
          <w:lang w:val="es-AR"/>
        </w:rPr>
        <w:t>, la Comisión advierte que, e</w:t>
      </w:r>
      <w:r w:rsidRPr="00E606EE">
        <w:rPr>
          <w:rFonts w:ascii="Univers" w:hAnsi="Univers"/>
          <w:iCs/>
          <w:sz w:val="22"/>
          <w:szCs w:val="22"/>
          <w:lang w:val="es-AR"/>
        </w:rPr>
        <w:t>specíficamente, los hechos ocurrieron en un contexto caracterizado por la fragilidad del Poder Judicial reflejada en la remoción no sólo del Tribunal Constitucional, sino también de la Corte Suprema de Justicia y del Tribunal Supremo Electoral, por parte del Congreso Nacional. Los ceses de las Altas Cortes estuvieron seguidos por la activación de mecanismos para impedir el acceso a la justicia por parte de los funcionarios judiciales afectados.</w:t>
      </w:r>
    </w:p>
    <w:p w:rsidR="00EA534B" w:rsidRPr="00E606EE" w:rsidRDefault="00EA534B" w:rsidP="00EA534B">
      <w:pPr>
        <w:autoSpaceDE w:val="0"/>
        <w:autoSpaceDN w:val="0"/>
        <w:adjustRightInd w:val="0"/>
        <w:ind w:firstLine="708"/>
        <w:jc w:val="both"/>
        <w:rPr>
          <w:rFonts w:ascii="Univers" w:hAnsi="Univers"/>
          <w:iCs/>
          <w:sz w:val="22"/>
          <w:szCs w:val="22"/>
          <w:lang w:val="es-AR"/>
        </w:rPr>
      </w:pPr>
    </w:p>
    <w:p w:rsidR="00EA534B" w:rsidRPr="00E606EE" w:rsidRDefault="00EA534B" w:rsidP="00EA534B">
      <w:pPr>
        <w:autoSpaceDE w:val="0"/>
        <w:autoSpaceDN w:val="0"/>
        <w:adjustRightInd w:val="0"/>
        <w:ind w:firstLine="708"/>
        <w:jc w:val="both"/>
        <w:rPr>
          <w:rFonts w:ascii="Univers" w:hAnsi="Univers"/>
          <w:iCs/>
          <w:sz w:val="22"/>
          <w:szCs w:val="22"/>
          <w:lang w:val="es-AR"/>
        </w:rPr>
      </w:pPr>
      <w:r w:rsidRPr="00E606EE">
        <w:rPr>
          <w:rFonts w:ascii="Univers" w:hAnsi="Univers"/>
          <w:iCs/>
          <w:sz w:val="22"/>
          <w:szCs w:val="22"/>
          <w:lang w:val="es-AR"/>
        </w:rPr>
        <w:t xml:space="preserve">En virtud de lo anterior, el presente caso incorpora el análisis de la falta de claridad en los procesos y causales de remoción de jueces y juezas bajo el principio de legalidad contemplado en el artículo 9 de la Convención Americana y constituye una oportunidad para que la Corte desarrolle su jurisprudencia en relación con la garantía de independencia reforzada de la función judicial y desarrolle estándares en relación con las garantías de debido proceso que deben respetarse en los procesos de juicio político y la determinación de las causales que pueden justificar la destitución de magistrados. Asimismo, este caso permitirá a la Corte avanzar estándares sobre las garantías judiciales que deben establecerse en relación con </w:t>
      </w:r>
      <w:r w:rsidR="00777A65" w:rsidRPr="00E606EE">
        <w:rPr>
          <w:rFonts w:ascii="Univers" w:hAnsi="Univers"/>
          <w:iCs/>
          <w:sz w:val="22"/>
          <w:szCs w:val="22"/>
          <w:lang w:val="es-AR"/>
        </w:rPr>
        <w:t xml:space="preserve">los </w:t>
      </w:r>
      <w:r w:rsidRPr="00E606EE">
        <w:rPr>
          <w:rFonts w:ascii="Univers" w:hAnsi="Univers"/>
          <w:iCs/>
          <w:sz w:val="22"/>
          <w:szCs w:val="22"/>
          <w:lang w:val="es-AR"/>
        </w:rPr>
        <w:t xml:space="preserve">procesos de destitución de magistrados. </w:t>
      </w:r>
    </w:p>
    <w:p w:rsidR="00EA534B" w:rsidRPr="00E606EE" w:rsidRDefault="00EA534B" w:rsidP="00EA534B">
      <w:pPr>
        <w:autoSpaceDE w:val="0"/>
        <w:autoSpaceDN w:val="0"/>
        <w:adjustRightInd w:val="0"/>
        <w:ind w:firstLine="700"/>
        <w:jc w:val="both"/>
        <w:rPr>
          <w:rFonts w:ascii="Univers" w:hAnsi="Univers"/>
          <w:iCs/>
          <w:sz w:val="22"/>
          <w:szCs w:val="22"/>
          <w:lang w:val="es-AR"/>
        </w:rPr>
      </w:pPr>
    </w:p>
    <w:p w:rsidR="00EA534B" w:rsidRPr="00E606EE" w:rsidRDefault="00EA534B" w:rsidP="00EA534B">
      <w:pPr>
        <w:autoSpaceDE w:val="0"/>
        <w:autoSpaceDN w:val="0"/>
        <w:adjustRightInd w:val="0"/>
        <w:ind w:firstLine="700"/>
        <w:jc w:val="both"/>
        <w:rPr>
          <w:rFonts w:ascii="Univers" w:hAnsi="Univers" w:cs="Arial"/>
          <w:sz w:val="22"/>
          <w:szCs w:val="22"/>
          <w:lang w:val="es-EC"/>
        </w:rPr>
      </w:pPr>
      <w:r w:rsidRPr="00E606EE">
        <w:rPr>
          <w:rFonts w:ascii="Univers" w:hAnsi="Univers"/>
          <w:iCs/>
          <w:sz w:val="22"/>
          <w:szCs w:val="22"/>
          <w:lang w:val="es-AR"/>
        </w:rPr>
        <w:t xml:space="preserve">En ese sentido, este caso permitirá establecer principios que </w:t>
      </w:r>
      <w:r w:rsidRPr="00E606EE">
        <w:rPr>
          <w:rFonts w:ascii="Univers" w:hAnsi="Univers"/>
          <w:sz w:val="22"/>
          <w:szCs w:val="22"/>
          <w:lang w:val="es-AR"/>
        </w:rPr>
        <w:t>contribuirán al fortalecimiento de la independencia judicial en las democracias del Hemisferio y servirán de guía para el mejoramiento de los procesos de remoción de magistrados, especialmente, en el caso de las Altas Cortes y en contextos de controversia política.</w:t>
      </w:r>
    </w:p>
    <w:p w:rsidR="00EA534B" w:rsidRPr="00E606EE" w:rsidRDefault="00EA534B" w:rsidP="00611572">
      <w:pPr>
        <w:tabs>
          <w:tab w:val="left" w:pos="0"/>
          <w:tab w:val="left" w:pos="9000"/>
        </w:tabs>
        <w:ind w:firstLine="720"/>
        <w:jc w:val="both"/>
        <w:rPr>
          <w:rFonts w:ascii="Univers" w:hAnsi="Univers" w:cs="Arial"/>
          <w:sz w:val="22"/>
          <w:szCs w:val="22"/>
          <w:lang w:val="es-AR"/>
        </w:rPr>
      </w:pPr>
    </w:p>
    <w:p w:rsidR="00EA534B" w:rsidRPr="00E606EE" w:rsidRDefault="00611572" w:rsidP="00EA534B">
      <w:pPr>
        <w:ind w:firstLine="700"/>
        <w:jc w:val="both"/>
        <w:rPr>
          <w:rFonts w:ascii="Univers" w:hAnsi="Univers"/>
          <w:iCs/>
          <w:sz w:val="22"/>
          <w:szCs w:val="22"/>
        </w:rPr>
      </w:pPr>
      <w:r w:rsidRPr="00E606EE">
        <w:rPr>
          <w:rFonts w:ascii="Univers" w:hAnsi="Univers" w:cs="Arial"/>
          <w:sz w:val="22"/>
          <w:szCs w:val="22"/>
          <w:lang w:val="es-AR"/>
        </w:rPr>
        <w:t xml:space="preserve">En virtud de que estas cuestiones afectan de manera relevante el orden público interamericano, de conformidad con el artículo 35.1 f) del Reglamento de la Corte Interamericana, </w:t>
      </w:r>
      <w:r w:rsidR="00EA534B" w:rsidRPr="00E606EE">
        <w:rPr>
          <w:rFonts w:ascii="Univers" w:hAnsi="Univers"/>
          <w:iCs/>
          <w:sz w:val="22"/>
          <w:szCs w:val="22"/>
          <w:lang w:val="es-AR"/>
        </w:rPr>
        <w:t xml:space="preserve">la Comisión se permite </w:t>
      </w:r>
      <w:r w:rsidR="00EA534B" w:rsidRPr="00E606EE">
        <w:rPr>
          <w:rFonts w:ascii="Univers" w:hAnsi="Univers"/>
          <w:sz w:val="22"/>
          <w:szCs w:val="22"/>
          <w:lang w:val="es-AR"/>
        </w:rPr>
        <w:t xml:space="preserve">solicitar el traslado, en lo pertinente, del peritaje del </w:t>
      </w:r>
      <w:r w:rsidR="00EA534B" w:rsidRPr="00E606EE">
        <w:rPr>
          <w:rFonts w:ascii="Univers" w:hAnsi="Univers"/>
          <w:sz w:val="22"/>
          <w:szCs w:val="22"/>
          <w:lang w:val="es-AR"/>
        </w:rPr>
        <w:lastRenderedPageBreak/>
        <w:t>experto Param Cumaraswamy en el caso Quintana Coello y otros contra Ecuador</w:t>
      </w:r>
      <w:r w:rsidR="00977D7E" w:rsidRPr="00E606EE">
        <w:rPr>
          <w:rFonts w:ascii="Univers" w:hAnsi="Univers"/>
          <w:sz w:val="22"/>
          <w:szCs w:val="22"/>
          <w:lang w:val="es-AR"/>
        </w:rPr>
        <w:t>,</w:t>
      </w:r>
      <w:r w:rsidR="00EA534B" w:rsidRPr="00E606EE">
        <w:rPr>
          <w:rFonts w:ascii="Univers" w:hAnsi="Univers"/>
          <w:iCs/>
          <w:sz w:val="22"/>
          <w:szCs w:val="22"/>
          <w:lang w:val="es-AR"/>
        </w:rPr>
        <w:t xml:space="preserve"> y ofrecer la siguiente declaración pericial: </w:t>
      </w:r>
    </w:p>
    <w:p w:rsidR="00EA534B" w:rsidRPr="00E606EE" w:rsidRDefault="00EA534B" w:rsidP="00EA534B">
      <w:pPr>
        <w:tabs>
          <w:tab w:val="left" w:pos="1230"/>
        </w:tabs>
        <w:jc w:val="both"/>
        <w:rPr>
          <w:rFonts w:ascii="Univers" w:hAnsi="Univers" w:cs="Arial"/>
          <w:sz w:val="22"/>
          <w:szCs w:val="22"/>
        </w:rPr>
      </w:pPr>
    </w:p>
    <w:p w:rsidR="00EA534B" w:rsidRPr="00E606EE" w:rsidRDefault="00EA534B" w:rsidP="00EA534B">
      <w:pPr>
        <w:jc w:val="both"/>
        <w:rPr>
          <w:rFonts w:ascii="Univers" w:hAnsi="Univers"/>
          <w:sz w:val="22"/>
          <w:szCs w:val="22"/>
          <w:lang w:val="es-AR"/>
        </w:rPr>
      </w:pPr>
      <w:r w:rsidRPr="00E606EE">
        <w:rPr>
          <w:rFonts w:ascii="Univers" w:hAnsi="Univers"/>
          <w:sz w:val="22"/>
          <w:szCs w:val="22"/>
          <w:lang w:val="es-AR"/>
        </w:rPr>
        <w:t xml:space="preserve">1. Leandro Despouy, quien analizará las garantías de debido proceso legal que deben observarse en los procesos de juicio político y los alcances de la revisión política respecto de la actuación judicial, en particular, la determinación de las causales de destitución de jueces y juezas. Asimismo, el experto se referirá a la obligación de establecer recursos judiciales ante los cuales los jueces y juezas puedan cuestionar la legalidad de su destitución, puntualmente, cuando se trata de magistrados de las Altas Cortes. </w:t>
      </w:r>
    </w:p>
    <w:p w:rsidR="00611572" w:rsidRPr="00E606EE" w:rsidRDefault="00611572" w:rsidP="00611572">
      <w:pPr>
        <w:tabs>
          <w:tab w:val="left" w:pos="0"/>
          <w:tab w:val="left" w:pos="9000"/>
        </w:tabs>
        <w:ind w:firstLine="720"/>
        <w:jc w:val="both"/>
        <w:rPr>
          <w:rFonts w:ascii="Univers" w:hAnsi="Univers" w:cs="Arial"/>
          <w:sz w:val="22"/>
          <w:szCs w:val="22"/>
          <w:lang w:val="es-AR"/>
        </w:rPr>
      </w:pPr>
    </w:p>
    <w:p w:rsidR="00A933B2" w:rsidRPr="00E606EE" w:rsidRDefault="00A933B2" w:rsidP="00A933B2">
      <w:pPr>
        <w:jc w:val="both"/>
        <w:rPr>
          <w:rFonts w:ascii="Univers" w:hAnsi="Univers"/>
          <w:sz w:val="22"/>
          <w:szCs w:val="22"/>
        </w:rPr>
      </w:pPr>
      <w:r w:rsidRPr="00E606EE">
        <w:rPr>
          <w:rFonts w:ascii="Univers" w:hAnsi="Univers"/>
          <w:sz w:val="22"/>
          <w:szCs w:val="22"/>
        </w:rPr>
        <w:tab/>
      </w:r>
      <w:r w:rsidR="00611572" w:rsidRPr="00E606EE">
        <w:rPr>
          <w:rFonts w:ascii="Univers" w:hAnsi="Univers"/>
          <w:sz w:val="22"/>
          <w:szCs w:val="22"/>
        </w:rPr>
        <w:t xml:space="preserve">El currículum vitae </w:t>
      </w:r>
      <w:r w:rsidRPr="00E606EE">
        <w:rPr>
          <w:rFonts w:ascii="Univers" w:hAnsi="Univers"/>
          <w:sz w:val="22"/>
          <w:szCs w:val="22"/>
        </w:rPr>
        <w:t>del</w:t>
      </w:r>
      <w:r w:rsidR="00611572" w:rsidRPr="00E606EE">
        <w:rPr>
          <w:rFonts w:ascii="Univers" w:hAnsi="Univers"/>
          <w:sz w:val="22"/>
          <w:szCs w:val="22"/>
        </w:rPr>
        <w:t xml:space="preserve"> perito propuesto será incluido</w:t>
      </w:r>
      <w:r w:rsidRPr="00E606EE">
        <w:rPr>
          <w:rFonts w:ascii="Univers" w:hAnsi="Univers"/>
          <w:sz w:val="22"/>
          <w:szCs w:val="22"/>
        </w:rPr>
        <w:t xml:space="preserve"> en los ane</w:t>
      </w:r>
      <w:r w:rsidR="00611572" w:rsidRPr="00E606EE">
        <w:rPr>
          <w:rFonts w:ascii="Univers" w:hAnsi="Univers"/>
          <w:sz w:val="22"/>
          <w:szCs w:val="22"/>
        </w:rPr>
        <w:t xml:space="preserve">xos al informe de fondo </w:t>
      </w:r>
      <w:r w:rsidR="00CB3576" w:rsidRPr="00E606EE">
        <w:rPr>
          <w:rFonts w:ascii="Univers" w:hAnsi="Univers"/>
          <w:sz w:val="22"/>
          <w:szCs w:val="22"/>
        </w:rPr>
        <w:t>99</w:t>
      </w:r>
      <w:r w:rsidRPr="00E606EE">
        <w:rPr>
          <w:rFonts w:ascii="Univers" w:hAnsi="Univers"/>
          <w:sz w:val="22"/>
          <w:szCs w:val="22"/>
        </w:rPr>
        <w:t>/1</w:t>
      </w:r>
      <w:r w:rsidR="00611572" w:rsidRPr="00E606EE">
        <w:rPr>
          <w:rFonts w:ascii="Univers" w:hAnsi="Univers"/>
          <w:sz w:val="22"/>
          <w:szCs w:val="22"/>
        </w:rPr>
        <w:t>1</w:t>
      </w:r>
      <w:r w:rsidRPr="00E606EE">
        <w:rPr>
          <w:rFonts w:ascii="Univers" w:hAnsi="Univers"/>
          <w:sz w:val="22"/>
          <w:szCs w:val="22"/>
        </w:rPr>
        <w:t xml:space="preserve">. </w:t>
      </w:r>
    </w:p>
    <w:p w:rsidR="00A933B2" w:rsidRPr="00E606EE" w:rsidRDefault="00A933B2" w:rsidP="00A933B2">
      <w:pPr>
        <w:jc w:val="both"/>
        <w:rPr>
          <w:rFonts w:ascii="Univers" w:hAnsi="Univers"/>
          <w:sz w:val="22"/>
          <w:szCs w:val="22"/>
        </w:rPr>
      </w:pPr>
    </w:p>
    <w:p w:rsidR="00EE7D9E" w:rsidRPr="00E606EE" w:rsidRDefault="00A933B2" w:rsidP="00A933B2">
      <w:pPr>
        <w:pStyle w:val="Default"/>
        <w:jc w:val="both"/>
        <w:rPr>
          <w:rFonts w:ascii="Univers" w:hAnsi="Univers"/>
          <w:sz w:val="22"/>
          <w:szCs w:val="22"/>
          <w:lang w:val="es-ES_tradnl"/>
        </w:rPr>
      </w:pPr>
      <w:r w:rsidRPr="00E606EE">
        <w:rPr>
          <w:rFonts w:ascii="Univers" w:hAnsi="Univers"/>
          <w:sz w:val="22"/>
          <w:szCs w:val="22"/>
          <w:lang w:val="es-ES"/>
        </w:rPr>
        <w:tab/>
      </w:r>
      <w:r w:rsidRPr="00E606EE">
        <w:rPr>
          <w:rFonts w:ascii="Univers" w:hAnsi="Univers"/>
          <w:sz w:val="22"/>
          <w:szCs w:val="22"/>
          <w:lang w:val="es-ES_tradnl"/>
        </w:rPr>
        <w:t xml:space="preserve">Finalmente, </w:t>
      </w:r>
      <w:r w:rsidR="00F24658" w:rsidRPr="00E606EE">
        <w:rPr>
          <w:rFonts w:ascii="Univers" w:hAnsi="Univers"/>
          <w:sz w:val="22"/>
          <w:szCs w:val="22"/>
          <w:lang w:val="es-ES_tradnl"/>
        </w:rPr>
        <w:t>la organización que actuó como peticionaria ante la Comisión y sus datos son</w:t>
      </w:r>
      <w:r w:rsidR="00EE7D9E" w:rsidRPr="00E606EE">
        <w:rPr>
          <w:rFonts w:ascii="Univers" w:hAnsi="Univers"/>
          <w:sz w:val="22"/>
          <w:szCs w:val="22"/>
          <w:lang w:val="es-ES_tradnl"/>
        </w:rPr>
        <w:t>:</w:t>
      </w:r>
    </w:p>
    <w:p w:rsidR="00EE7D9E" w:rsidRPr="00E606EE" w:rsidRDefault="00EE7D9E" w:rsidP="00A933B2">
      <w:pPr>
        <w:pStyle w:val="Default"/>
        <w:jc w:val="both"/>
        <w:rPr>
          <w:rFonts w:ascii="Univers" w:hAnsi="Univers"/>
          <w:sz w:val="22"/>
          <w:szCs w:val="22"/>
          <w:lang w:val="es-ES_tradnl"/>
        </w:rPr>
      </w:pPr>
    </w:p>
    <w:p w:rsidR="00EE7D9E" w:rsidRPr="00E606EE" w:rsidRDefault="006E2CBE" w:rsidP="006E2CBE">
      <w:pPr>
        <w:pStyle w:val="Default"/>
        <w:jc w:val="center"/>
        <w:rPr>
          <w:rFonts w:ascii="Univers" w:hAnsi="Univers"/>
          <w:sz w:val="22"/>
          <w:szCs w:val="22"/>
          <w:lang w:val="es-ES_tradnl"/>
        </w:rPr>
      </w:pPr>
      <w:r w:rsidRPr="00E606EE">
        <w:rPr>
          <w:rFonts w:ascii="Univers" w:hAnsi="Univers"/>
          <w:sz w:val="22"/>
          <w:szCs w:val="22"/>
          <w:lang w:val="es-ES_tradnl"/>
        </w:rPr>
        <w:t>Clínica de Derechos Humanos</w:t>
      </w:r>
    </w:p>
    <w:p w:rsidR="006E2CBE" w:rsidRPr="00E606EE" w:rsidRDefault="006E2CBE" w:rsidP="006E2CBE">
      <w:pPr>
        <w:pStyle w:val="Default"/>
        <w:jc w:val="center"/>
        <w:rPr>
          <w:rFonts w:ascii="Univers" w:hAnsi="Univers"/>
          <w:sz w:val="22"/>
          <w:szCs w:val="22"/>
          <w:lang w:val="es-ES_tradnl"/>
        </w:rPr>
      </w:pPr>
      <w:r w:rsidRPr="00E606EE">
        <w:rPr>
          <w:rFonts w:ascii="Univers" w:hAnsi="Univers"/>
          <w:sz w:val="22"/>
          <w:szCs w:val="22"/>
          <w:lang w:val="es-ES_tradnl"/>
        </w:rPr>
        <w:t>Facultad de Jurisprudencia</w:t>
      </w:r>
    </w:p>
    <w:p w:rsidR="006E2CBE" w:rsidRPr="00E606EE" w:rsidRDefault="006E2CBE" w:rsidP="006E2CBE">
      <w:pPr>
        <w:pStyle w:val="Default"/>
        <w:jc w:val="center"/>
        <w:rPr>
          <w:rFonts w:ascii="Univers" w:hAnsi="Univers"/>
          <w:sz w:val="22"/>
          <w:szCs w:val="22"/>
          <w:lang w:val="es-ES_tradnl"/>
        </w:rPr>
      </w:pPr>
      <w:r w:rsidRPr="00E606EE">
        <w:rPr>
          <w:rFonts w:ascii="Univers" w:hAnsi="Univers"/>
          <w:sz w:val="22"/>
          <w:szCs w:val="22"/>
          <w:lang w:val="es-ES_tradnl"/>
        </w:rPr>
        <w:t xml:space="preserve">Pontificia Universidad Católica del Ecuador </w:t>
      </w:r>
    </w:p>
    <w:p w:rsidR="0010256C" w:rsidRPr="00E606EE" w:rsidRDefault="0010256C" w:rsidP="006E2CBE">
      <w:pPr>
        <w:pStyle w:val="Default"/>
        <w:jc w:val="center"/>
        <w:rPr>
          <w:rFonts w:ascii="Univers" w:hAnsi="Univers"/>
          <w:sz w:val="22"/>
          <w:szCs w:val="22"/>
          <w:lang w:val="pt-BR"/>
        </w:rPr>
      </w:pPr>
      <w:r w:rsidRPr="00E606EE">
        <w:rPr>
          <w:rFonts w:ascii="Univers" w:hAnsi="Univers"/>
          <w:sz w:val="22"/>
          <w:szCs w:val="22"/>
          <w:lang w:val="pt-BR"/>
        </w:rPr>
        <w:t>Representada por David Cordero Heredia</w:t>
      </w:r>
      <w:r w:rsidR="007D2F73" w:rsidRPr="00E606EE">
        <w:rPr>
          <w:rFonts w:ascii="Univers" w:hAnsi="Univers"/>
          <w:sz w:val="22"/>
          <w:szCs w:val="22"/>
          <w:lang w:val="pt-BR"/>
        </w:rPr>
        <w:t xml:space="preserve">, </w:t>
      </w:r>
      <w:r w:rsidRPr="00E606EE">
        <w:rPr>
          <w:rFonts w:ascii="Univers" w:hAnsi="Univers"/>
          <w:sz w:val="22"/>
          <w:szCs w:val="22"/>
          <w:lang w:val="pt-BR"/>
        </w:rPr>
        <w:t>Ramiro Ávila Santamaría</w:t>
      </w:r>
      <w:r w:rsidR="007D2F73" w:rsidRPr="00E606EE">
        <w:rPr>
          <w:rFonts w:ascii="Univers" w:hAnsi="Univers"/>
          <w:sz w:val="22"/>
          <w:szCs w:val="22"/>
          <w:lang w:val="pt-BR"/>
        </w:rPr>
        <w:t xml:space="preserve">, Andrés Borja, Gabirela Espinosa Serrano, Dunker Morales y José Valencia </w:t>
      </w:r>
      <w:proofErr w:type="gramStart"/>
      <w:r w:rsidR="007D2F73" w:rsidRPr="00E606EE">
        <w:rPr>
          <w:rFonts w:ascii="Univers" w:hAnsi="Univers"/>
          <w:sz w:val="22"/>
          <w:szCs w:val="22"/>
          <w:lang w:val="pt-BR"/>
        </w:rPr>
        <w:t>Amores</w:t>
      </w:r>
      <w:proofErr w:type="gramEnd"/>
    </w:p>
    <w:p w:rsidR="00BF122B" w:rsidRPr="00E606EE" w:rsidRDefault="00BF122B" w:rsidP="006E2CBE">
      <w:pPr>
        <w:pStyle w:val="Default"/>
        <w:jc w:val="center"/>
        <w:rPr>
          <w:rFonts w:ascii="Univers" w:hAnsi="Univers"/>
          <w:sz w:val="22"/>
          <w:szCs w:val="22"/>
          <w:lang w:val="pt-BR"/>
        </w:rPr>
      </w:pPr>
    </w:p>
    <w:p w:rsidR="00F24658" w:rsidRPr="00E606EE" w:rsidRDefault="00F24658" w:rsidP="006E2CBE">
      <w:pPr>
        <w:pStyle w:val="Default"/>
        <w:jc w:val="center"/>
        <w:rPr>
          <w:rFonts w:ascii="Univers" w:hAnsi="Univers"/>
          <w:sz w:val="22"/>
          <w:szCs w:val="22"/>
          <w:lang w:val="es-ES_tradnl"/>
        </w:rPr>
      </w:pPr>
      <w:r w:rsidRPr="00E606EE">
        <w:rPr>
          <w:rFonts w:ascii="Univers" w:hAnsi="Univers"/>
          <w:sz w:val="22"/>
          <w:szCs w:val="22"/>
          <w:lang w:val="es-ES_tradnl"/>
        </w:rPr>
        <w:t>Bloque II, 5to Piso</w:t>
      </w:r>
    </w:p>
    <w:p w:rsidR="00F24658" w:rsidRPr="00E606EE" w:rsidRDefault="00F24658" w:rsidP="006E2CBE">
      <w:pPr>
        <w:pStyle w:val="Default"/>
        <w:jc w:val="center"/>
        <w:rPr>
          <w:rFonts w:ascii="Univers" w:hAnsi="Univers"/>
          <w:sz w:val="22"/>
          <w:szCs w:val="22"/>
          <w:lang w:val="es-ES_tradnl"/>
        </w:rPr>
      </w:pPr>
      <w:r w:rsidRPr="00E606EE">
        <w:rPr>
          <w:rFonts w:ascii="Univers" w:hAnsi="Univers"/>
          <w:sz w:val="22"/>
          <w:szCs w:val="22"/>
          <w:lang w:val="es-ES_tradnl"/>
        </w:rPr>
        <w:t>Av. 12 de Octubre s/n y Ladrón de Guevara</w:t>
      </w:r>
    </w:p>
    <w:p w:rsidR="00F24658" w:rsidRPr="00E606EE" w:rsidRDefault="00F24658" w:rsidP="006E2CBE">
      <w:pPr>
        <w:pStyle w:val="Default"/>
        <w:jc w:val="center"/>
        <w:rPr>
          <w:rFonts w:ascii="Univers" w:hAnsi="Univers"/>
          <w:sz w:val="22"/>
          <w:szCs w:val="22"/>
          <w:lang w:val="es-ES_tradnl"/>
        </w:rPr>
      </w:pPr>
      <w:r w:rsidRPr="00E606EE">
        <w:rPr>
          <w:rFonts w:ascii="Univers" w:hAnsi="Univers"/>
          <w:sz w:val="22"/>
          <w:szCs w:val="22"/>
          <w:lang w:val="es-ES_tradnl"/>
        </w:rPr>
        <w:t>Quito, Ecuador</w:t>
      </w:r>
    </w:p>
    <w:p w:rsidR="00C6087D" w:rsidRPr="00675777" w:rsidRDefault="00675777" w:rsidP="00C6087D">
      <w:pPr>
        <w:pStyle w:val="Default"/>
        <w:jc w:val="center"/>
        <w:rPr>
          <w:rFonts w:ascii="Univers" w:hAnsi="Univers"/>
          <w:sz w:val="22"/>
          <w:szCs w:val="22"/>
          <w:highlight w:val="black"/>
          <w:lang w:val="es-ES_tradnl"/>
        </w:rPr>
      </w:pPr>
      <w:r w:rsidRPr="00675777">
        <w:rPr>
          <w:rFonts w:ascii="Univers" w:hAnsi="Univers"/>
          <w:sz w:val="22"/>
          <w:szCs w:val="22"/>
          <w:highlight w:val="black"/>
          <w:lang w:val="es-ES_tradnl"/>
        </w:rPr>
        <w:t>Xxxxxxxxxxxxxxxxxxxxxx</w:t>
      </w:r>
    </w:p>
    <w:p w:rsidR="00675777" w:rsidRPr="00675777" w:rsidRDefault="00675777" w:rsidP="00C6087D">
      <w:pPr>
        <w:pStyle w:val="Default"/>
        <w:jc w:val="center"/>
        <w:rPr>
          <w:rFonts w:ascii="Univers" w:hAnsi="Univers"/>
          <w:sz w:val="22"/>
          <w:szCs w:val="22"/>
          <w:highlight w:val="black"/>
          <w:lang w:val="es-ES_tradnl"/>
        </w:rPr>
      </w:pPr>
      <w:r w:rsidRPr="00675777">
        <w:rPr>
          <w:rFonts w:ascii="Univers" w:hAnsi="Univers"/>
          <w:sz w:val="22"/>
          <w:szCs w:val="22"/>
          <w:highlight w:val="black"/>
          <w:lang w:val="es-ES_tradnl"/>
        </w:rPr>
        <w:t>Xxxxxxxxxxxxxxxx</w:t>
      </w:r>
    </w:p>
    <w:p w:rsidR="00675777" w:rsidRPr="00E606EE" w:rsidRDefault="00675777" w:rsidP="00C6087D">
      <w:pPr>
        <w:pStyle w:val="Default"/>
        <w:jc w:val="center"/>
        <w:rPr>
          <w:rFonts w:ascii="Univers" w:hAnsi="Univers"/>
          <w:sz w:val="22"/>
          <w:szCs w:val="22"/>
          <w:lang w:val="es-ES_tradnl"/>
        </w:rPr>
      </w:pPr>
      <w:proofErr w:type="gramStart"/>
      <w:r w:rsidRPr="00675777">
        <w:rPr>
          <w:rFonts w:ascii="Univers" w:hAnsi="Univers"/>
          <w:sz w:val="22"/>
          <w:szCs w:val="22"/>
          <w:highlight w:val="black"/>
          <w:lang w:val="es-ES_tradnl"/>
        </w:rPr>
        <w:t>xxxxxxxxxxxxxxxxxxx</w:t>
      </w:r>
      <w:proofErr w:type="gramEnd"/>
    </w:p>
    <w:p w:rsidR="00BF122B" w:rsidRPr="00E606EE" w:rsidRDefault="00BF122B" w:rsidP="006E2CBE">
      <w:pPr>
        <w:pStyle w:val="Default"/>
        <w:jc w:val="center"/>
        <w:rPr>
          <w:rFonts w:ascii="Univers" w:hAnsi="Univers"/>
          <w:sz w:val="22"/>
          <w:szCs w:val="22"/>
          <w:lang w:val="es-ES_tradnl"/>
        </w:rPr>
      </w:pPr>
    </w:p>
    <w:p w:rsidR="00BF122B" w:rsidRPr="00E606EE" w:rsidRDefault="00BF122B" w:rsidP="006E2CBE">
      <w:pPr>
        <w:pStyle w:val="Default"/>
        <w:jc w:val="center"/>
        <w:rPr>
          <w:rFonts w:ascii="Univers" w:hAnsi="Univers"/>
          <w:sz w:val="22"/>
          <w:szCs w:val="22"/>
          <w:lang w:val="es-ES_tradnl"/>
        </w:rPr>
      </w:pPr>
      <w:r w:rsidRPr="00E606EE">
        <w:rPr>
          <w:rFonts w:ascii="Univers" w:hAnsi="Univers"/>
          <w:sz w:val="22"/>
          <w:szCs w:val="22"/>
          <w:lang w:val="es-ES_tradnl"/>
        </w:rPr>
        <w:t>Oswaldo Cevallos Buenos</w:t>
      </w:r>
    </w:p>
    <w:p w:rsidR="00BF122B" w:rsidRPr="00E606EE" w:rsidRDefault="00BF122B" w:rsidP="006E2CBE">
      <w:pPr>
        <w:pStyle w:val="Default"/>
        <w:jc w:val="center"/>
        <w:rPr>
          <w:rFonts w:ascii="Univers" w:hAnsi="Univers"/>
          <w:sz w:val="22"/>
          <w:szCs w:val="22"/>
          <w:lang w:val="es-ES_tradnl"/>
        </w:rPr>
      </w:pPr>
      <w:r w:rsidRPr="00E606EE">
        <w:rPr>
          <w:rFonts w:ascii="Univers" w:hAnsi="Univers"/>
          <w:sz w:val="22"/>
          <w:szCs w:val="22"/>
          <w:lang w:val="es-ES_tradnl"/>
        </w:rPr>
        <w:t>Reina Victoria 1359 y Av. Colón, of 602-A</w:t>
      </w:r>
    </w:p>
    <w:p w:rsidR="00BF122B" w:rsidRPr="00E606EE" w:rsidRDefault="00BF122B" w:rsidP="006E2CBE">
      <w:pPr>
        <w:pStyle w:val="Default"/>
        <w:jc w:val="center"/>
        <w:rPr>
          <w:rFonts w:ascii="Univers" w:hAnsi="Univers"/>
          <w:sz w:val="22"/>
          <w:szCs w:val="22"/>
          <w:lang w:val="es-ES_tradnl"/>
        </w:rPr>
      </w:pPr>
      <w:r w:rsidRPr="00E606EE">
        <w:rPr>
          <w:rFonts w:ascii="Univers" w:hAnsi="Univers"/>
          <w:sz w:val="22"/>
          <w:szCs w:val="22"/>
          <w:lang w:val="es-ES_tradnl"/>
        </w:rPr>
        <w:t>Quito, Ecuador</w:t>
      </w:r>
    </w:p>
    <w:p w:rsidR="00675777" w:rsidRPr="00675777" w:rsidRDefault="00675777" w:rsidP="00675777">
      <w:pPr>
        <w:pStyle w:val="Default"/>
        <w:jc w:val="center"/>
        <w:rPr>
          <w:rFonts w:ascii="Univers" w:hAnsi="Univers"/>
          <w:sz w:val="22"/>
          <w:szCs w:val="22"/>
          <w:highlight w:val="black"/>
          <w:lang w:val="es-ES_tradnl"/>
        </w:rPr>
      </w:pPr>
      <w:r w:rsidRPr="00675777">
        <w:rPr>
          <w:rFonts w:ascii="Univers" w:hAnsi="Univers"/>
          <w:sz w:val="22"/>
          <w:szCs w:val="22"/>
          <w:highlight w:val="black"/>
          <w:lang w:val="es-ES_tradnl"/>
        </w:rPr>
        <w:t>Xxxxxxxxxxxxxxxxxxxxxx</w:t>
      </w:r>
    </w:p>
    <w:p w:rsidR="0010256C" w:rsidRPr="00E606EE" w:rsidRDefault="0010256C" w:rsidP="00A933B2">
      <w:pPr>
        <w:pStyle w:val="Default"/>
        <w:jc w:val="both"/>
        <w:rPr>
          <w:rFonts w:ascii="Univers" w:hAnsi="Univers"/>
          <w:sz w:val="22"/>
          <w:szCs w:val="22"/>
          <w:lang w:val="es-ES_tradnl"/>
        </w:rPr>
      </w:pPr>
    </w:p>
    <w:p w:rsidR="0010256C" w:rsidRPr="00E606EE" w:rsidRDefault="0010256C" w:rsidP="00A933B2">
      <w:pPr>
        <w:ind w:firstLine="720"/>
        <w:jc w:val="both"/>
        <w:rPr>
          <w:rFonts w:ascii="Univers" w:hAnsi="Univers" w:cs="Arial"/>
          <w:sz w:val="22"/>
          <w:szCs w:val="22"/>
          <w:lang w:val="es-CO"/>
        </w:rPr>
      </w:pPr>
      <w:r w:rsidRPr="00E606EE">
        <w:rPr>
          <w:rFonts w:ascii="Univers" w:hAnsi="Univers" w:cs="Arial"/>
          <w:sz w:val="22"/>
          <w:szCs w:val="22"/>
          <w:lang w:val="es-CO"/>
        </w:rPr>
        <w:t>Tras la notificac</w:t>
      </w:r>
      <w:r w:rsidR="00C357CD" w:rsidRPr="00E606EE">
        <w:rPr>
          <w:rFonts w:ascii="Univers" w:hAnsi="Univers" w:cs="Arial"/>
          <w:sz w:val="22"/>
          <w:szCs w:val="22"/>
          <w:lang w:val="es-CO"/>
        </w:rPr>
        <w:t xml:space="preserve">ión del informe de fondo </w:t>
      </w:r>
      <w:r w:rsidR="00CB3576" w:rsidRPr="00E606EE">
        <w:rPr>
          <w:rFonts w:ascii="Univers" w:hAnsi="Univers" w:cs="Arial"/>
          <w:sz w:val="22"/>
          <w:szCs w:val="22"/>
          <w:lang w:val="es-CO"/>
        </w:rPr>
        <w:t>99</w:t>
      </w:r>
      <w:r w:rsidR="00F615FE" w:rsidRPr="00E606EE">
        <w:rPr>
          <w:rFonts w:ascii="Univers" w:hAnsi="Univers" w:cs="Arial"/>
          <w:sz w:val="22"/>
          <w:szCs w:val="22"/>
          <w:lang w:val="es-CO"/>
        </w:rPr>
        <w:t>/</w:t>
      </w:r>
      <w:r w:rsidR="00C357CD" w:rsidRPr="00E606EE">
        <w:rPr>
          <w:rFonts w:ascii="Univers" w:hAnsi="Univers" w:cs="Arial"/>
          <w:sz w:val="22"/>
          <w:szCs w:val="22"/>
          <w:lang w:val="es-CO"/>
        </w:rPr>
        <w:t xml:space="preserve">11, </w:t>
      </w:r>
      <w:r w:rsidRPr="00E606EE">
        <w:rPr>
          <w:rFonts w:ascii="Univers" w:hAnsi="Univers" w:cs="Arial"/>
          <w:sz w:val="22"/>
          <w:szCs w:val="22"/>
          <w:lang w:val="es-CO"/>
        </w:rPr>
        <w:t xml:space="preserve">los peticionarios actualizaron sus datos de contacto en los siguientes términos: </w:t>
      </w:r>
    </w:p>
    <w:p w:rsidR="0010256C" w:rsidRPr="00E606EE" w:rsidRDefault="0010256C" w:rsidP="00A933B2">
      <w:pPr>
        <w:ind w:firstLine="720"/>
        <w:jc w:val="both"/>
        <w:rPr>
          <w:rFonts w:ascii="Univers" w:hAnsi="Univers" w:cs="Arial"/>
          <w:sz w:val="22"/>
          <w:szCs w:val="22"/>
          <w:lang w:val="es-CO"/>
        </w:rPr>
      </w:pPr>
    </w:p>
    <w:p w:rsidR="008F48CA" w:rsidRPr="00E606EE" w:rsidRDefault="008F48CA" w:rsidP="00C357CD">
      <w:pPr>
        <w:ind w:firstLine="720"/>
        <w:jc w:val="center"/>
        <w:rPr>
          <w:rFonts w:ascii="Univers" w:hAnsi="Univers" w:cs="Arial"/>
          <w:sz w:val="22"/>
          <w:szCs w:val="22"/>
          <w:lang w:val="es-CO"/>
        </w:rPr>
      </w:pPr>
    </w:p>
    <w:p w:rsidR="008F48CA" w:rsidRPr="00E606EE" w:rsidRDefault="008F48CA" w:rsidP="00C357CD">
      <w:pPr>
        <w:ind w:firstLine="720"/>
        <w:jc w:val="center"/>
        <w:rPr>
          <w:rFonts w:ascii="Univers" w:hAnsi="Univers" w:cs="Arial"/>
          <w:sz w:val="22"/>
          <w:szCs w:val="22"/>
          <w:lang w:val="es-CO"/>
        </w:rPr>
      </w:pPr>
    </w:p>
    <w:p w:rsidR="008F48CA" w:rsidRPr="00E606EE" w:rsidRDefault="008F48CA" w:rsidP="00C357CD">
      <w:pPr>
        <w:ind w:firstLine="720"/>
        <w:jc w:val="center"/>
        <w:rPr>
          <w:rFonts w:ascii="Univers" w:hAnsi="Univers" w:cs="Arial"/>
          <w:sz w:val="22"/>
          <w:szCs w:val="22"/>
          <w:lang w:val="es-CO"/>
        </w:rPr>
      </w:pPr>
    </w:p>
    <w:p w:rsidR="00C357CD" w:rsidRPr="00E606EE" w:rsidRDefault="00C357CD" w:rsidP="00C357CD">
      <w:pPr>
        <w:ind w:firstLine="720"/>
        <w:jc w:val="center"/>
        <w:rPr>
          <w:rFonts w:ascii="Univers" w:hAnsi="Univers" w:cs="Arial"/>
          <w:sz w:val="22"/>
          <w:szCs w:val="22"/>
          <w:lang w:val="es-CO"/>
        </w:rPr>
      </w:pPr>
      <w:r w:rsidRPr="00E606EE">
        <w:rPr>
          <w:rFonts w:ascii="Univers" w:hAnsi="Univers" w:cs="Arial"/>
          <w:sz w:val="22"/>
          <w:szCs w:val="22"/>
          <w:lang w:val="es-CO"/>
        </w:rPr>
        <w:t>Dirección: Panzaleos S9-115 y Catamayo, Quito, Ecuador</w:t>
      </w:r>
    </w:p>
    <w:p w:rsidR="00C357CD" w:rsidRPr="00E606EE" w:rsidRDefault="00A04603" w:rsidP="00C357CD">
      <w:pPr>
        <w:ind w:firstLine="720"/>
        <w:jc w:val="center"/>
        <w:rPr>
          <w:rFonts w:ascii="Univers" w:hAnsi="Univers" w:cs="Arial"/>
          <w:sz w:val="22"/>
          <w:szCs w:val="22"/>
          <w:lang w:val="fr-FR"/>
        </w:rPr>
      </w:pPr>
      <w:r w:rsidRPr="00E606EE">
        <w:rPr>
          <w:rFonts w:ascii="Univers" w:hAnsi="Univers" w:cs="Arial"/>
          <w:sz w:val="22"/>
          <w:szCs w:val="22"/>
          <w:lang w:val="fr-FR"/>
        </w:rPr>
        <w:t xml:space="preserve">Email: </w:t>
      </w:r>
      <w:hyperlink r:id="rId9" w:history="1">
        <w:r w:rsidRPr="00E606EE">
          <w:rPr>
            <w:rStyle w:val="Hipervnculo"/>
            <w:rFonts w:ascii="Univers" w:hAnsi="Univers" w:cs="Arial"/>
            <w:sz w:val="22"/>
            <w:szCs w:val="22"/>
            <w:lang w:val="fr-FR"/>
          </w:rPr>
          <w:t>davidcorderoheredia@hotmail.com</w:t>
        </w:r>
      </w:hyperlink>
      <w:r w:rsidRPr="00E606EE">
        <w:rPr>
          <w:rFonts w:ascii="Univers" w:hAnsi="Univers" w:cs="Arial"/>
          <w:sz w:val="22"/>
          <w:szCs w:val="22"/>
          <w:lang w:val="fr-FR"/>
        </w:rPr>
        <w:t xml:space="preserve">; </w:t>
      </w:r>
      <w:hyperlink r:id="rId10" w:history="1">
        <w:r w:rsidRPr="00E606EE">
          <w:rPr>
            <w:rStyle w:val="Hipervnculo"/>
            <w:rFonts w:ascii="Univers" w:hAnsi="Univers" w:cs="Arial"/>
            <w:sz w:val="22"/>
            <w:szCs w:val="22"/>
            <w:lang w:val="fr-FR"/>
          </w:rPr>
          <w:t>ravila67@gmail.com</w:t>
        </w:r>
      </w:hyperlink>
    </w:p>
    <w:p w:rsidR="00675777" w:rsidRPr="00675777" w:rsidRDefault="00675777" w:rsidP="00675777">
      <w:pPr>
        <w:pStyle w:val="Default"/>
        <w:jc w:val="center"/>
        <w:rPr>
          <w:rFonts w:ascii="Univers" w:hAnsi="Univers"/>
          <w:sz w:val="22"/>
          <w:szCs w:val="22"/>
          <w:highlight w:val="black"/>
          <w:lang w:val="es-ES_tradnl"/>
        </w:rPr>
      </w:pPr>
      <w:r w:rsidRPr="00675777">
        <w:rPr>
          <w:rFonts w:ascii="Univers" w:hAnsi="Univers"/>
          <w:sz w:val="22"/>
          <w:szCs w:val="22"/>
          <w:highlight w:val="black"/>
          <w:lang w:val="es-ES_tradnl"/>
        </w:rPr>
        <w:t>Xxxxxxxxxxxxxxxxxxxxxx</w:t>
      </w:r>
    </w:p>
    <w:p w:rsidR="00675777" w:rsidRPr="00675777" w:rsidRDefault="00675777" w:rsidP="00675777">
      <w:pPr>
        <w:pStyle w:val="Default"/>
        <w:jc w:val="center"/>
        <w:rPr>
          <w:rFonts w:ascii="Univers" w:hAnsi="Univers"/>
          <w:sz w:val="22"/>
          <w:szCs w:val="22"/>
          <w:highlight w:val="black"/>
          <w:lang w:val="es-ES_tradnl"/>
        </w:rPr>
      </w:pPr>
      <w:proofErr w:type="gramStart"/>
      <w:r>
        <w:rPr>
          <w:rFonts w:ascii="Univers" w:hAnsi="Univers"/>
          <w:sz w:val="22"/>
          <w:szCs w:val="22"/>
          <w:highlight w:val="black"/>
          <w:lang w:val="es-ES_tradnl"/>
        </w:rPr>
        <w:t>xx</w:t>
      </w:r>
      <w:r w:rsidRPr="00675777">
        <w:rPr>
          <w:rFonts w:ascii="Univers" w:hAnsi="Univers"/>
          <w:sz w:val="22"/>
          <w:szCs w:val="22"/>
          <w:highlight w:val="black"/>
          <w:lang w:val="es-ES_tradnl"/>
        </w:rPr>
        <w:t>Xxxxxxxxxxxxxxxxxxxxxx</w:t>
      </w:r>
      <w:proofErr w:type="gramEnd"/>
    </w:p>
    <w:p w:rsidR="0010256C" w:rsidRPr="00E606EE" w:rsidRDefault="0010256C" w:rsidP="00A933B2">
      <w:pPr>
        <w:ind w:firstLine="720"/>
        <w:jc w:val="both"/>
        <w:rPr>
          <w:rFonts w:ascii="Univers" w:hAnsi="Univers" w:cs="Arial"/>
          <w:sz w:val="22"/>
          <w:szCs w:val="22"/>
          <w:lang w:val="fr-FR"/>
        </w:rPr>
      </w:pPr>
    </w:p>
    <w:p w:rsidR="00007C22" w:rsidRPr="00E606EE" w:rsidRDefault="00007C22" w:rsidP="00007C22">
      <w:pPr>
        <w:ind w:firstLine="720"/>
        <w:jc w:val="both"/>
        <w:rPr>
          <w:rFonts w:ascii="Univers" w:hAnsi="Univers" w:cs="Arial"/>
          <w:sz w:val="22"/>
          <w:szCs w:val="22"/>
          <w:lang w:val="es-CO"/>
        </w:rPr>
      </w:pPr>
    </w:p>
    <w:p w:rsidR="00007C22" w:rsidRPr="00E606EE" w:rsidRDefault="00007C22" w:rsidP="00007C22">
      <w:pPr>
        <w:ind w:firstLine="720"/>
        <w:jc w:val="both"/>
        <w:rPr>
          <w:rFonts w:ascii="Univers" w:hAnsi="Univers" w:cs="Arial"/>
          <w:sz w:val="22"/>
          <w:szCs w:val="22"/>
          <w:lang w:val="es-CO"/>
        </w:rPr>
      </w:pPr>
      <w:r w:rsidRPr="00E606EE">
        <w:rPr>
          <w:rFonts w:ascii="Univers" w:hAnsi="Univers" w:cs="Arial"/>
          <w:sz w:val="22"/>
          <w:szCs w:val="22"/>
          <w:lang w:val="es-CO"/>
        </w:rPr>
        <w:t>Aprovecho la oportunidad para saludar a usted muy atentamente,</w:t>
      </w:r>
    </w:p>
    <w:p w:rsidR="00A933B2" w:rsidRPr="00E606EE" w:rsidRDefault="00A933B2" w:rsidP="00A933B2">
      <w:pPr>
        <w:jc w:val="both"/>
        <w:rPr>
          <w:rFonts w:ascii="Univers" w:hAnsi="Univers" w:cs="Arial"/>
          <w:sz w:val="22"/>
          <w:szCs w:val="22"/>
          <w:lang w:val="es-CO"/>
        </w:rPr>
      </w:pPr>
    </w:p>
    <w:p w:rsidR="00A933B2" w:rsidRPr="00E606EE" w:rsidRDefault="00A933B2" w:rsidP="00A933B2">
      <w:pPr>
        <w:jc w:val="both"/>
        <w:rPr>
          <w:rFonts w:ascii="Univers" w:hAnsi="Univers" w:cs="Arial"/>
          <w:sz w:val="22"/>
          <w:szCs w:val="22"/>
          <w:lang w:val="es-AR"/>
        </w:rPr>
      </w:pPr>
    </w:p>
    <w:p w:rsidR="00A933B2" w:rsidRPr="00E606EE" w:rsidRDefault="00A933B2" w:rsidP="00A933B2">
      <w:pPr>
        <w:ind w:left="5040"/>
        <w:jc w:val="center"/>
        <w:rPr>
          <w:rFonts w:ascii="Univers" w:hAnsi="Univers" w:cs="Arial"/>
          <w:sz w:val="22"/>
          <w:szCs w:val="22"/>
          <w:lang w:val="es-CO"/>
        </w:rPr>
      </w:pPr>
    </w:p>
    <w:p w:rsidR="00A933B2" w:rsidRPr="00675777" w:rsidRDefault="00675777" w:rsidP="00A933B2">
      <w:pPr>
        <w:ind w:left="5040"/>
        <w:jc w:val="center"/>
        <w:rPr>
          <w:rFonts w:ascii="Univers" w:hAnsi="Univers" w:cs="Arial"/>
          <w:i/>
          <w:color w:val="808080"/>
          <w:sz w:val="22"/>
          <w:szCs w:val="22"/>
          <w:lang w:val="es-CO"/>
        </w:rPr>
      </w:pPr>
      <w:r w:rsidRPr="00675777">
        <w:rPr>
          <w:rFonts w:ascii="Univers" w:hAnsi="Univers" w:cs="Arial"/>
          <w:i/>
          <w:color w:val="808080"/>
          <w:sz w:val="22"/>
          <w:szCs w:val="22"/>
          <w:lang w:val="es-CO"/>
        </w:rPr>
        <w:t>Firmada en el original</w:t>
      </w:r>
    </w:p>
    <w:p w:rsidR="00007C22" w:rsidRPr="00E606EE" w:rsidRDefault="00007C22" w:rsidP="00A933B2">
      <w:pPr>
        <w:ind w:left="5040"/>
        <w:jc w:val="center"/>
        <w:rPr>
          <w:rFonts w:ascii="Univers" w:hAnsi="Univers" w:cs="Arial"/>
          <w:sz w:val="22"/>
          <w:szCs w:val="22"/>
          <w:lang w:val="es-CO"/>
        </w:rPr>
      </w:pPr>
    </w:p>
    <w:p w:rsidR="00007C22" w:rsidRPr="00E606EE" w:rsidRDefault="00007C22" w:rsidP="00A933B2">
      <w:pPr>
        <w:ind w:left="5040"/>
        <w:jc w:val="center"/>
        <w:rPr>
          <w:rFonts w:ascii="Univers" w:hAnsi="Univers" w:cs="Arial"/>
          <w:sz w:val="22"/>
          <w:szCs w:val="22"/>
          <w:lang w:val="es-CO"/>
        </w:rPr>
      </w:pPr>
    </w:p>
    <w:p w:rsidR="00A933B2" w:rsidRPr="00E606EE" w:rsidRDefault="00325630" w:rsidP="00A933B2">
      <w:pPr>
        <w:ind w:left="5040"/>
        <w:jc w:val="center"/>
        <w:rPr>
          <w:rFonts w:ascii="Univers" w:hAnsi="Univers" w:cs="Arial"/>
          <w:sz w:val="22"/>
          <w:szCs w:val="22"/>
          <w:lang w:val="es-CO"/>
        </w:rPr>
      </w:pPr>
      <w:r w:rsidRPr="00E606EE">
        <w:rPr>
          <w:rFonts w:ascii="Univers" w:hAnsi="Univers" w:cs="Arial"/>
          <w:sz w:val="22"/>
          <w:szCs w:val="22"/>
          <w:lang w:val="es-CO"/>
        </w:rPr>
        <w:t>Santiago A. Canton</w:t>
      </w:r>
    </w:p>
    <w:p w:rsidR="00A933B2" w:rsidRDefault="00A933B2" w:rsidP="00777A65">
      <w:pPr>
        <w:tabs>
          <w:tab w:val="left" w:pos="5760"/>
        </w:tabs>
        <w:ind w:left="5040"/>
        <w:jc w:val="center"/>
        <w:rPr>
          <w:rFonts w:ascii="Univers" w:hAnsi="Univers" w:cs="Arial"/>
          <w:sz w:val="22"/>
          <w:szCs w:val="22"/>
        </w:rPr>
      </w:pPr>
      <w:r w:rsidRPr="00E606EE">
        <w:rPr>
          <w:rFonts w:ascii="Univers" w:hAnsi="Univers" w:cs="Arial"/>
          <w:sz w:val="22"/>
          <w:szCs w:val="22"/>
        </w:rPr>
        <w:t>Secre</w:t>
      </w:r>
      <w:r w:rsidR="00325630" w:rsidRPr="00E606EE">
        <w:rPr>
          <w:rFonts w:ascii="Univers" w:hAnsi="Univers" w:cs="Arial"/>
          <w:sz w:val="22"/>
          <w:szCs w:val="22"/>
        </w:rPr>
        <w:t>tario Ejecutivo</w:t>
      </w:r>
    </w:p>
    <w:sectPr w:rsidR="00A933B2" w:rsidSect="00675777">
      <w:headerReference w:type="even" r:id="rId11"/>
      <w:headerReference w:type="default" r:id="rId12"/>
      <w:pgSz w:w="12240" w:h="15840" w:code="1"/>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3B04" w:rsidRDefault="004D3B04">
      <w:r>
        <w:separator/>
      </w:r>
    </w:p>
  </w:endnote>
  <w:endnote w:type="continuationSeparator" w:id="0">
    <w:p w:rsidR="004D3B04" w:rsidRDefault="004D3B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3B04" w:rsidRDefault="004D3B04">
      <w:r>
        <w:separator/>
      </w:r>
    </w:p>
  </w:footnote>
  <w:footnote w:type="continuationSeparator" w:id="0">
    <w:p w:rsidR="004D3B04" w:rsidRDefault="004D3B04">
      <w:r>
        <w:continuationSeparator/>
      </w:r>
    </w:p>
  </w:footnote>
  <w:footnote w:id="1">
    <w:p w:rsidR="00E606EE" w:rsidRPr="00E07AA1" w:rsidRDefault="00E606EE" w:rsidP="00555A8A">
      <w:pPr>
        <w:pStyle w:val="Textonotapie"/>
        <w:ind w:firstLine="720"/>
        <w:jc w:val="both"/>
        <w:rPr>
          <w:rFonts w:ascii="Univers" w:hAnsi="Univers"/>
          <w:sz w:val="18"/>
          <w:lang w:val="es-AR"/>
        </w:rPr>
      </w:pPr>
      <w:r w:rsidRPr="00125632">
        <w:rPr>
          <w:rStyle w:val="Refdenotaalpie"/>
          <w:sz w:val="18"/>
        </w:rPr>
        <w:footnoteRef/>
      </w:r>
      <w:r w:rsidRPr="00E07AA1">
        <w:rPr>
          <w:rFonts w:ascii="Univers" w:hAnsi="Univers"/>
          <w:sz w:val="18"/>
          <w:lang w:val="es-AR"/>
        </w:rPr>
        <w:t xml:space="preserve"> </w:t>
      </w:r>
      <w:r w:rsidRPr="00FA1D51">
        <w:rPr>
          <w:rFonts w:ascii="Univers" w:hAnsi="Univers" w:cs="Arial"/>
          <w:sz w:val="18"/>
          <w:szCs w:val="18"/>
          <w:lang w:val="es-AR"/>
        </w:rPr>
        <w:t>Miguel Camba Campos, Oswaldo Cevallos Bueno, Enrique Herrería Bonnet, Jaime Nogales Izurieta, Luis Rojas Bajaña, Mauro Terán Cevallos, Simón Zabala Guzmán y Manuel Jaramillo Córdova.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7C5C" w:rsidRDefault="007A7C5C" w:rsidP="007A7C5C">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7A7C5C" w:rsidRDefault="007A7C5C">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7C5C" w:rsidRPr="00C255EC" w:rsidRDefault="007A7C5C" w:rsidP="007A7C5C">
    <w:pPr>
      <w:pStyle w:val="Encabezado"/>
      <w:framePr w:wrap="around" w:vAnchor="text" w:hAnchor="margin" w:xAlign="center" w:y="1"/>
      <w:rPr>
        <w:rStyle w:val="Nmerodepgina"/>
        <w:sz w:val="20"/>
      </w:rPr>
    </w:pPr>
    <w:r w:rsidRPr="00C255EC">
      <w:rPr>
        <w:rStyle w:val="Nmerodepgina"/>
        <w:sz w:val="20"/>
      </w:rPr>
      <w:fldChar w:fldCharType="begin"/>
    </w:r>
    <w:r w:rsidRPr="00C255EC">
      <w:rPr>
        <w:rStyle w:val="Nmerodepgina"/>
        <w:sz w:val="20"/>
      </w:rPr>
      <w:instrText xml:space="preserve">PAGE  </w:instrText>
    </w:r>
    <w:r w:rsidRPr="00C255EC">
      <w:rPr>
        <w:rStyle w:val="Nmerodepgina"/>
        <w:sz w:val="20"/>
      </w:rPr>
      <w:fldChar w:fldCharType="separate"/>
    </w:r>
    <w:r w:rsidR="00D76D9C">
      <w:rPr>
        <w:rStyle w:val="Nmerodepgina"/>
        <w:noProof/>
        <w:sz w:val="20"/>
      </w:rPr>
      <w:t>6</w:t>
    </w:r>
    <w:r w:rsidRPr="00C255EC">
      <w:rPr>
        <w:rStyle w:val="Nmerodepgina"/>
        <w:sz w:val="20"/>
      </w:rPr>
      <w:fldChar w:fldCharType="end"/>
    </w:r>
  </w:p>
  <w:p w:rsidR="007A7C5C" w:rsidRDefault="007A7C5C" w:rsidP="00675777">
    <w:pPr>
      <w:pStyle w:val="Encabezad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35947"/>
    <w:multiLevelType w:val="singleLevel"/>
    <w:tmpl w:val="541AD894"/>
    <w:lvl w:ilvl="0">
      <w:start w:val="1"/>
      <w:numFmt w:val="upperRoman"/>
      <w:pStyle w:val="Ttulo2"/>
      <w:lvlText w:val="%1."/>
      <w:lvlJc w:val="left"/>
      <w:pPr>
        <w:tabs>
          <w:tab w:val="num" w:pos="1440"/>
        </w:tabs>
        <w:ind w:left="1440" w:hanging="720"/>
      </w:pPr>
      <w:rPr>
        <w:rFonts w:hint="default"/>
      </w:rPr>
    </w:lvl>
  </w:abstractNum>
  <w:abstractNum w:abstractNumId="1">
    <w:nsid w:val="66BE5E6A"/>
    <w:multiLevelType w:val="hybridMultilevel"/>
    <w:tmpl w:val="99A4964C"/>
    <w:lvl w:ilvl="0" w:tplc="B95E0210">
      <w:start w:val="1"/>
      <w:numFmt w:val="decimal"/>
      <w:lvlText w:val="%1."/>
      <w:lvlJc w:val="left"/>
      <w:pPr>
        <w:tabs>
          <w:tab w:val="num" w:pos="72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933B2"/>
    <w:rsid w:val="00007C22"/>
    <w:rsid w:val="000508B0"/>
    <w:rsid w:val="00073ADA"/>
    <w:rsid w:val="000B2364"/>
    <w:rsid w:val="000E4B5F"/>
    <w:rsid w:val="000F301A"/>
    <w:rsid w:val="0010256C"/>
    <w:rsid w:val="00125632"/>
    <w:rsid w:val="00164C37"/>
    <w:rsid w:val="00185325"/>
    <w:rsid w:val="001A5280"/>
    <w:rsid w:val="001B3E7B"/>
    <w:rsid w:val="002206F9"/>
    <w:rsid w:val="0027528F"/>
    <w:rsid w:val="002860A4"/>
    <w:rsid w:val="0029764E"/>
    <w:rsid w:val="002A474A"/>
    <w:rsid w:val="00313EED"/>
    <w:rsid w:val="00325630"/>
    <w:rsid w:val="00335491"/>
    <w:rsid w:val="0033736D"/>
    <w:rsid w:val="003A474D"/>
    <w:rsid w:val="003F5894"/>
    <w:rsid w:val="004D3B04"/>
    <w:rsid w:val="00516408"/>
    <w:rsid w:val="0052752D"/>
    <w:rsid w:val="00555A8A"/>
    <w:rsid w:val="00581BAA"/>
    <w:rsid w:val="005D22F5"/>
    <w:rsid w:val="00611572"/>
    <w:rsid w:val="006607C8"/>
    <w:rsid w:val="00675777"/>
    <w:rsid w:val="00694494"/>
    <w:rsid w:val="00695783"/>
    <w:rsid w:val="006A6BDF"/>
    <w:rsid w:val="006E2CBE"/>
    <w:rsid w:val="006F2D13"/>
    <w:rsid w:val="00731D8F"/>
    <w:rsid w:val="0076654A"/>
    <w:rsid w:val="00772D0B"/>
    <w:rsid w:val="00777A65"/>
    <w:rsid w:val="00784036"/>
    <w:rsid w:val="00791D38"/>
    <w:rsid w:val="007A7C5C"/>
    <w:rsid w:val="007C1FD3"/>
    <w:rsid w:val="007D2F73"/>
    <w:rsid w:val="008F48CA"/>
    <w:rsid w:val="009468E2"/>
    <w:rsid w:val="009469B6"/>
    <w:rsid w:val="009616BA"/>
    <w:rsid w:val="00975900"/>
    <w:rsid w:val="00977D7E"/>
    <w:rsid w:val="009A7444"/>
    <w:rsid w:val="009B6215"/>
    <w:rsid w:val="00A04603"/>
    <w:rsid w:val="00A0695B"/>
    <w:rsid w:val="00A442AC"/>
    <w:rsid w:val="00A86584"/>
    <w:rsid w:val="00A933B2"/>
    <w:rsid w:val="00AF3C9F"/>
    <w:rsid w:val="00B061EB"/>
    <w:rsid w:val="00B13F26"/>
    <w:rsid w:val="00BC200F"/>
    <w:rsid w:val="00BD1EAF"/>
    <w:rsid w:val="00BF122B"/>
    <w:rsid w:val="00C357CD"/>
    <w:rsid w:val="00C527F7"/>
    <w:rsid w:val="00C6087D"/>
    <w:rsid w:val="00C959ED"/>
    <w:rsid w:val="00CB3576"/>
    <w:rsid w:val="00CC6418"/>
    <w:rsid w:val="00CF7A21"/>
    <w:rsid w:val="00D40D52"/>
    <w:rsid w:val="00D4702A"/>
    <w:rsid w:val="00D7310C"/>
    <w:rsid w:val="00D76D9C"/>
    <w:rsid w:val="00DD4C0F"/>
    <w:rsid w:val="00E02FBC"/>
    <w:rsid w:val="00E07AA1"/>
    <w:rsid w:val="00E52B87"/>
    <w:rsid w:val="00E55FE3"/>
    <w:rsid w:val="00E606EE"/>
    <w:rsid w:val="00EA534B"/>
    <w:rsid w:val="00ED2B05"/>
    <w:rsid w:val="00EE7D9E"/>
    <w:rsid w:val="00EF0AD8"/>
    <w:rsid w:val="00F048B5"/>
    <w:rsid w:val="00F12D1C"/>
    <w:rsid w:val="00F24658"/>
    <w:rsid w:val="00F40452"/>
    <w:rsid w:val="00F615F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933B2"/>
    <w:rPr>
      <w:sz w:val="24"/>
      <w:szCs w:val="24"/>
      <w:lang w:val="es-ES" w:eastAsia="es-ES"/>
    </w:rPr>
  </w:style>
  <w:style w:type="paragraph" w:styleId="Ttulo1">
    <w:name w:val="heading 1"/>
    <w:basedOn w:val="Normal"/>
    <w:next w:val="Normal"/>
    <w:qFormat/>
    <w:rsid w:val="00675777"/>
    <w:pPr>
      <w:keepNext/>
      <w:outlineLvl w:val="0"/>
    </w:pPr>
    <w:rPr>
      <w:rFonts w:ascii="Univers" w:hAnsi="Univers"/>
      <w:sz w:val="22"/>
      <w:szCs w:val="20"/>
      <w:u w:val="single"/>
      <w:lang w:eastAsia="en-US"/>
    </w:rPr>
  </w:style>
  <w:style w:type="paragraph" w:styleId="Ttulo2">
    <w:name w:val="heading 2"/>
    <w:basedOn w:val="Normal"/>
    <w:next w:val="Normal"/>
    <w:qFormat/>
    <w:rsid w:val="00675777"/>
    <w:pPr>
      <w:keepNext/>
      <w:numPr>
        <w:numId w:val="2"/>
      </w:numPr>
      <w:jc w:val="both"/>
      <w:outlineLvl w:val="1"/>
    </w:pPr>
    <w:rPr>
      <w:rFonts w:ascii="Univers" w:hAnsi="Univers"/>
      <w:b/>
      <w:sz w:val="22"/>
      <w:szCs w:val="20"/>
      <w:lang w:val="es-CO" w:eastAsia="en-U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rsid w:val="00A933B2"/>
    <w:pPr>
      <w:tabs>
        <w:tab w:val="center" w:pos="4320"/>
        <w:tab w:val="right" w:pos="8640"/>
      </w:tabs>
    </w:pPr>
  </w:style>
  <w:style w:type="character" w:styleId="Nmerodepgina">
    <w:name w:val="page number"/>
    <w:basedOn w:val="Fuentedeprrafopredeter"/>
    <w:rsid w:val="00A933B2"/>
  </w:style>
  <w:style w:type="paragraph" w:customStyle="1" w:styleId="Default">
    <w:name w:val="Default"/>
    <w:rsid w:val="00A933B2"/>
    <w:pPr>
      <w:autoSpaceDE w:val="0"/>
      <w:autoSpaceDN w:val="0"/>
      <w:adjustRightInd w:val="0"/>
    </w:pPr>
    <w:rPr>
      <w:rFonts w:ascii="Arial" w:hAnsi="Arial" w:cs="Arial"/>
      <w:color w:val="000000"/>
      <w:sz w:val="24"/>
      <w:szCs w:val="24"/>
      <w:lang w:val="en-US" w:eastAsia="en-US"/>
    </w:rPr>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A Fu?notentext,Ca"/>
    <w:basedOn w:val="Normal"/>
    <w:link w:val="TextonotapieCar1"/>
    <w:semiHidden/>
    <w:rsid w:val="00555A8A"/>
    <w:rPr>
      <w:sz w:val="20"/>
      <w:szCs w:val="20"/>
      <w:lang w:val="en-US" w:eastAsia="en-US"/>
    </w:rPr>
  </w:style>
  <w:style w:type="character" w:styleId="Refdenotaalpie">
    <w:name w:val="footnote reference"/>
    <w:aliases w:val="Texto de nota al pie,Footnotes refss,Appel note de bas de page,Ref. de nota al pie.,referencia nota al pie,BVI fnr,Footnote number,f"/>
    <w:semiHidden/>
    <w:rsid w:val="00555A8A"/>
    <w:rPr>
      <w:vertAlign w:val="superscript"/>
    </w:rPr>
  </w:style>
  <w:style w:type="paragraph" w:styleId="Sangra3detindependiente">
    <w:name w:val="Body Text Indent 3"/>
    <w:basedOn w:val="Normal"/>
    <w:rsid w:val="009A7444"/>
    <w:pPr>
      <w:ind w:firstLine="720"/>
      <w:jc w:val="both"/>
    </w:pPr>
    <w:rPr>
      <w:rFonts w:ascii="Univers" w:hAnsi="Univers"/>
      <w:sz w:val="22"/>
      <w:szCs w:val="20"/>
      <w:lang w:eastAsia="en-US"/>
    </w:rPr>
  </w:style>
  <w:style w:type="character" w:styleId="Hipervnculo">
    <w:name w:val="Hyperlink"/>
    <w:rsid w:val="00A04603"/>
    <w:rPr>
      <w:color w:val="0000FF"/>
      <w:u w:val="single"/>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semiHidden/>
    <w:rsid w:val="00E07AA1"/>
    <w:rPr>
      <w:lang w:val="en-US" w:eastAsia="en-US" w:bidi="ar-SA"/>
    </w:rPr>
  </w:style>
  <w:style w:type="paragraph" w:styleId="Sangra2detindependiente">
    <w:name w:val="Body Text Indent 2"/>
    <w:basedOn w:val="Normal"/>
    <w:rsid w:val="00675777"/>
    <w:pPr>
      <w:spacing w:after="120" w:line="480" w:lineRule="auto"/>
      <w:ind w:left="360"/>
    </w:pPr>
  </w:style>
  <w:style w:type="paragraph" w:styleId="Subttulo">
    <w:name w:val="Subtitle"/>
    <w:basedOn w:val="Normal"/>
    <w:qFormat/>
    <w:rsid w:val="00675777"/>
    <w:pPr>
      <w:spacing w:after="60"/>
      <w:jc w:val="center"/>
      <w:outlineLvl w:val="1"/>
    </w:pPr>
    <w:rPr>
      <w:rFonts w:ascii="Arial" w:hAnsi="Arial" w:cs="Arial"/>
      <w:lang w:val="es-ES_tradnl" w:eastAsia="en-US"/>
    </w:rPr>
  </w:style>
  <w:style w:type="paragraph" w:styleId="Lista2">
    <w:name w:val="List 2"/>
    <w:basedOn w:val="Normal"/>
    <w:rsid w:val="00675777"/>
    <w:pPr>
      <w:ind w:left="720" w:hanging="360"/>
    </w:pPr>
    <w:rPr>
      <w:rFonts w:ascii="Univers" w:hAnsi="Univers"/>
      <w:sz w:val="22"/>
      <w:szCs w:val="20"/>
      <w:lang w:val="es-ES_tradnl" w:eastAsia="en-US"/>
    </w:rPr>
  </w:style>
  <w:style w:type="paragraph" w:styleId="Piedepgina">
    <w:name w:val="footer"/>
    <w:basedOn w:val="Normal"/>
    <w:rsid w:val="00675777"/>
    <w:pPr>
      <w:tabs>
        <w:tab w:val="center" w:pos="4320"/>
        <w:tab w:val="right" w:pos="8640"/>
      </w:tabs>
    </w:pPr>
    <w:rPr>
      <w:rFonts w:ascii="Univers" w:hAnsi="Univers"/>
      <w:sz w:val="22"/>
      <w:szCs w:val="20"/>
      <w:lang w:val="es-ES_tradnl" w:eastAsia="en-US"/>
    </w:rPr>
  </w:style>
  <w:style w:type="table" w:styleId="Tablaconcuadrcula">
    <w:name w:val="Table Grid"/>
    <w:basedOn w:val="Tablanormal"/>
    <w:rsid w:val="006757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
    <w:name w:val="List Paragraph"/>
    <w:basedOn w:val="Normal"/>
    <w:qFormat/>
    <w:rsid w:val="00675777"/>
    <w:pPr>
      <w:ind w:left="720"/>
    </w:pPr>
    <w:rPr>
      <w:rFonts w:ascii="Univers" w:hAnsi="Univers"/>
      <w:sz w:val="22"/>
      <w:szCs w:val="20"/>
      <w:lang w:val="es-ES_tradnl" w:eastAsia="en-US"/>
    </w:rPr>
  </w:style>
  <w:style w:type="paragraph" w:styleId="NormalWeb">
    <w:name w:val="Normal (Web)"/>
    <w:basedOn w:val="Normal"/>
    <w:rsid w:val="00675777"/>
    <w:pPr>
      <w:spacing w:before="100" w:beforeAutospacing="1" w:after="100" w:afterAutospacing="1"/>
    </w:pPr>
    <w:rPr>
      <w:lang w:val="en-US" w:eastAsia="en-US"/>
    </w:rPr>
  </w:style>
  <w:style w:type="character" w:styleId="Hipervnculovisitado">
    <w:name w:val="FollowedHyperlink"/>
    <w:rsid w:val="00675777"/>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ravila67@gmail.com" TargetMode="External"/><Relationship Id="rId4" Type="http://schemas.openxmlformats.org/officeDocument/2006/relationships/webSettings" Target="webSettings.xml"/><Relationship Id="rId9" Type="http://schemas.openxmlformats.org/officeDocument/2006/relationships/hyperlink" Target="mailto:davidcorderoheredia@hotmail.com"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2249</Words>
  <Characters>12370</Characters>
  <Application>Microsoft Office Word</Application>
  <DocSecurity>0</DocSecurity>
  <Lines>103</Lines>
  <Paragraphs>29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Nota de Remision Caso 12.597</vt:lpstr>
      <vt:lpstr>Nota de Remision Caso 12.597</vt:lpstr>
    </vt:vector>
  </TitlesOfParts>
  <Company>OAS</Company>
  <LinksUpToDate>false</LinksUpToDate>
  <CharactersWithSpaces>14590</CharactersWithSpaces>
  <SharedDoc>false</SharedDoc>
  <HLinks>
    <vt:vector size="12" baseType="variant">
      <vt:variant>
        <vt:i4>3735581</vt:i4>
      </vt:variant>
      <vt:variant>
        <vt:i4>3</vt:i4>
      </vt:variant>
      <vt:variant>
        <vt:i4>0</vt:i4>
      </vt:variant>
      <vt:variant>
        <vt:i4>5</vt:i4>
      </vt:variant>
      <vt:variant>
        <vt:lpwstr>mailto:ravila67@gmail.com</vt:lpwstr>
      </vt:variant>
      <vt:variant>
        <vt:lpwstr/>
      </vt:variant>
      <vt:variant>
        <vt:i4>7143514</vt:i4>
      </vt:variant>
      <vt:variant>
        <vt:i4>0</vt:i4>
      </vt:variant>
      <vt:variant>
        <vt:i4>0</vt:i4>
      </vt:variant>
      <vt:variant>
        <vt:i4>5</vt:i4>
      </vt:variant>
      <vt:variant>
        <vt:lpwstr>mailto:davidcorderoheredia@hotmail.com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 de Remision Caso 12.597</dc:title>
  <dc:creator>cla</dc:creator>
  <cp:lastModifiedBy>Usuario Autorizado</cp:lastModifiedBy>
  <cp:revision>3</cp:revision>
  <cp:lastPrinted>2018-06-05T19:54:00Z</cp:lastPrinted>
  <dcterms:created xsi:type="dcterms:W3CDTF">2018-06-05T19:53:00Z</dcterms:created>
  <dcterms:modified xsi:type="dcterms:W3CDTF">2018-06-05T19:54:00Z</dcterms:modified>
</cp:coreProperties>
</file>