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661" w:rsidRPr="00D83287" w:rsidRDefault="00F86661" w:rsidP="00F86661">
      <w:pPr>
        <w:ind w:left="540"/>
        <w:jc w:val="both"/>
        <w:rPr>
          <w:rFonts w:ascii="Arial" w:hAnsi="Arial" w:cs="Arial"/>
          <w:sz w:val="22"/>
          <w:szCs w:val="22"/>
          <w:lang w:val="en-US"/>
        </w:rPr>
      </w:pPr>
      <w:bookmarkStart w:id="0" w:name="_GoBack"/>
      <w:bookmarkEnd w:id="0"/>
      <w:r w:rsidRPr="00D83287">
        <w:rPr>
          <w:rFonts w:ascii="Arial" w:hAnsi="Arial"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pt;margin-top:27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Pr>
          <w:noProof/>
        </w:rPr>
        <w:pict>
          <v:shape id="_x0000_s1028" type="#_x0000_t75" style="position:absolute;left:0;text-align:left;margin-left:378pt;margin-top:-11.15pt;width:81pt;height:67.4pt;z-index:-1" wrapcoords="-182 0 -182 21382 21600 21382 21600 0 -182 0">
            <v:imagedata r:id="rId8" o:title="CIDH_spa"/>
            <w10:wrap type="through"/>
          </v:shape>
        </w:pict>
      </w:r>
      <w:proofErr w:type="gramStart"/>
      <w:r w:rsidRPr="00D83287">
        <w:rPr>
          <w:rFonts w:ascii="Arial" w:hAnsi="Arial" w:cs="Arial"/>
          <w:sz w:val="22"/>
          <w:szCs w:val="22"/>
          <w:lang w:val="en-US"/>
        </w:rPr>
        <w:t>INTER  -</w:t>
      </w:r>
      <w:proofErr w:type="gramEnd"/>
      <w:r w:rsidRPr="00D83287">
        <w:rPr>
          <w:rFonts w:ascii="Arial" w:hAnsi="Arial" w:cs="Arial"/>
          <w:sz w:val="22"/>
          <w:szCs w:val="22"/>
          <w:lang w:val="en-US"/>
        </w:rPr>
        <w:t xml:space="preserve">  AMERICAN   COMMISSION  ON  HUMAN  RIGHTS</w:t>
      </w:r>
    </w:p>
    <w:p w:rsidR="00F86661" w:rsidRPr="0045742F" w:rsidRDefault="00F86661" w:rsidP="00F86661">
      <w:pPr>
        <w:ind w:left="540"/>
        <w:jc w:val="both"/>
        <w:rPr>
          <w:rFonts w:ascii="Arial" w:hAnsi="Arial" w:cs="Arial"/>
          <w:sz w:val="22"/>
          <w:szCs w:val="22"/>
          <w:lang w:val="en-US"/>
        </w:rPr>
      </w:pPr>
      <w:proofErr w:type="gramStart"/>
      <w:r w:rsidRPr="0045742F">
        <w:rPr>
          <w:rFonts w:ascii="Arial" w:hAnsi="Arial" w:cs="Arial"/>
          <w:sz w:val="22"/>
          <w:szCs w:val="22"/>
          <w:lang w:val="en-US"/>
        </w:rPr>
        <w:t>COMISION  INTERAMERICANA</w:t>
      </w:r>
      <w:proofErr w:type="gramEnd"/>
      <w:r w:rsidRPr="0045742F">
        <w:rPr>
          <w:rFonts w:ascii="Arial" w:hAnsi="Arial" w:cs="Arial"/>
          <w:sz w:val="22"/>
          <w:szCs w:val="22"/>
          <w:lang w:val="en-US"/>
        </w:rPr>
        <w:t xml:space="preserve">  DE  DERECHOS   HUMANOS</w:t>
      </w:r>
    </w:p>
    <w:p w:rsidR="00F86661" w:rsidRPr="00D83287" w:rsidRDefault="00F86661" w:rsidP="00F86661">
      <w:pPr>
        <w:ind w:left="540"/>
        <w:jc w:val="both"/>
        <w:rPr>
          <w:rFonts w:ascii="Arial" w:hAnsi="Arial" w:cs="Arial"/>
          <w:sz w:val="22"/>
          <w:szCs w:val="22"/>
          <w:lang w:val="en-US"/>
        </w:rPr>
      </w:pPr>
      <w:r w:rsidRPr="00D83287">
        <w:rPr>
          <w:rFonts w:ascii="Arial" w:hAnsi="Arial" w:cs="Arial"/>
          <w:sz w:val="22"/>
          <w:szCs w:val="22"/>
          <w:lang w:val="en-US"/>
        </w:rPr>
        <w:t xml:space="preserve">COMISSÃO   </w:t>
      </w:r>
      <w:proofErr w:type="gramStart"/>
      <w:r w:rsidRPr="00D83287">
        <w:rPr>
          <w:rFonts w:ascii="Arial" w:hAnsi="Arial" w:cs="Arial"/>
          <w:sz w:val="22"/>
          <w:szCs w:val="22"/>
          <w:lang w:val="en-US"/>
        </w:rPr>
        <w:t>INTERAMERICANA  DE</w:t>
      </w:r>
      <w:proofErr w:type="gramEnd"/>
      <w:r w:rsidRPr="00D83287">
        <w:rPr>
          <w:rFonts w:ascii="Arial" w:hAnsi="Arial" w:cs="Arial"/>
          <w:sz w:val="22"/>
          <w:szCs w:val="22"/>
          <w:lang w:val="en-US"/>
        </w:rPr>
        <w:t xml:space="preserve">  DIREITOS   HUMANOS</w:t>
      </w:r>
    </w:p>
    <w:p w:rsidR="00F86661" w:rsidRPr="0045742F" w:rsidRDefault="00F86661" w:rsidP="00F86661">
      <w:pPr>
        <w:ind w:left="540"/>
        <w:jc w:val="both"/>
        <w:rPr>
          <w:rFonts w:ascii="Arial" w:hAnsi="Arial" w:cs="Arial"/>
          <w:sz w:val="22"/>
          <w:szCs w:val="22"/>
          <w:lang w:val="en-US"/>
        </w:rPr>
      </w:pPr>
      <w:r w:rsidRPr="0045742F">
        <w:rPr>
          <w:rFonts w:ascii="Arial" w:hAnsi="Arial" w:cs="Arial"/>
          <w:sz w:val="22"/>
          <w:szCs w:val="22"/>
          <w:lang w:val="en-US"/>
        </w:rPr>
        <w:t>COMMISSION INTERAMÉRICAINE DES DROITS DE L'HOMME</w:t>
      </w:r>
    </w:p>
    <w:p w:rsidR="00F86661" w:rsidRPr="00D83819" w:rsidRDefault="00F86661" w:rsidP="00F86661">
      <w:pPr>
        <w:jc w:val="both"/>
        <w:rPr>
          <w:rFonts w:ascii="Univers" w:hAnsi="Univers" w:cs="Arial"/>
          <w:sz w:val="22"/>
          <w:szCs w:val="22"/>
          <w:lang w:val="en-US"/>
        </w:rPr>
      </w:pPr>
    </w:p>
    <w:p w:rsidR="00F86661" w:rsidRPr="00D83819" w:rsidRDefault="00F86661" w:rsidP="00F86661">
      <w:pPr>
        <w:jc w:val="both"/>
        <w:rPr>
          <w:rFonts w:ascii="Univers" w:hAnsi="Univers" w:cs="Arial"/>
          <w:sz w:val="22"/>
          <w:szCs w:val="22"/>
          <w:lang w:val="en-US"/>
        </w:rPr>
      </w:pPr>
      <w:r w:rsidRPr="00D83819">
        <w:rPr>
          <w:rFonts w:ascii="Univers" w:hAnsi="Univers"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F86661" w:rsidRPr="00A21278" w:rsidRDefault="00F86661" w:rsidP="00F86661">
      <w:pPr>
        <w:jc w:val="both"/>
        <w:rPr>
          <w:rFonts w:ascii="Univers" w:hAnsi="Univers" w:cs="Arial"/>
          <w:b/>
          <w:sz w:val="22"/>
          <w:szCs w:val="22"/>
          <w:lang w:val="en-US"/>
        </w:rPr>
      </w:pPr>
      <w:r w:rsidRPr="00A21278">
        <w:rPr>
          <w:rFonts w:ascii="Univers" w:hAnsi="Univers" w:cs="Arial"/>
          <w:b/>
          <w:sz w:val="22"/>
          <w:szCs w:val="22"/>
          <w:lang w:val="en-US"/>
        </w:rPr>
        <w:t>ORGANIZACIÓN DE LOS ESTADOS AMERICANOS</w:t>
      </w:r>
    </w:p>
    <w:p w:rsidR="00F86661" w:rsidRPr="00D83819" w:rsidRDefault="00F86661" w:rsidP="00F86661">
      <w:pPr>
        <w:jc w:val="both"/>
        <w:rPr>
          <w:rFonts w:ascii="Univers" w:hAnsi="Univers" w:cs="Arial"/>
          <w:sz w:val="22"/>
          <w:szCs w:val="22"/>
        </w:rPr>
      </w:pPr>
      <w:r w:rsidRPr="00D83819">
        <w:rPr>
          <w:rFonts w:ascii="Univers" w:hAnsi="Univers" w:cs="Arial"/>
          <w:sz w:val="22"/>
          <w:szCs w:val="22"/>
        </w:rPr>
        <w:t>WASHINGTON, D.C. 2 0 0 0 6  EEUU</w:t>
      </w:r>
    </w:p>
    <w:p w:rsidR="00F86661" w:rsidRPr="004C486C" w:rsidRDefault="00F86661" w:rsidP="00F86661">
      <w:pPr>
        <w:suppressAutoHyphens/>
        <w:jc w:val="right"/>
        <w:rPr>
          <w:rFonts w:ascii="Univers" w:hAnsi="Univers" w:cs="Arial"/>
          <w:sz w:val="22"/>
          <w:szCs w:val="22"/>
          <w:lang w:val="es-ES_tradnl"/>
        </w:rPr>
      </w:pPr>
    </w:p>
    <w:p w:rsidR="00F86661" w:rsidRPr="004C486C" w:rsidRDefault="00F86661" w:rsidP="00F86661">
      <w:pPr>
        <w:suppressAutoHyphens/>
        <w:jc w:val="right"/>
        <w:rPr>
          <w:rFonts w:ascii="Univers" w:hAnsi="Univers" w:cs="Arial"/>
          <w:sz w:val="22"/>
          <w:szCs w:val="22"/>
          <w:lang w:val="es-ES_tradnl"/>
        </w:rPr>
      </w:pPr>
    </w:p>
    <w:p w:rsidR="00F86661" w:rsidRPr="0011481C" w:rsidRDefault="00F86661" w:rsidP="00F86661">
      <w:pPr>
        <w:suppressAutoHyphens/>
        <w:jc w:val="right"/>
        <w:rPr>
          <w:rFonts w:ascii="Univers" w:hAnsi="Univers" w:cs="Arial"/>
          <w:sz w:val="22"/>
          <w:szCs w:val="22"/>
          <w:lang w:val="es-ES_tradnl"/>
        </w:rPr>
      </w:pPr>
      <w:r>
        <w:rPr>
          <w:rFonts w:ascii="Univers" w:hAnsi="Univers" w:cs="Arial"/>
          <w:sz w:val="22"/>
          <w:szCs w:val="22"/>
          <w:lang w:val="es-ES_tradnl"/>
        </w:rPr>
        <w:t>3</w:t>
      </w:r>
      <w:r w:rsidRPr="0011481C">
        <w:rPr>
          <w:rFonts w:ascii="Univers" w:hAnsi="Univers" w:cs="Arial"/>
          <w:sz w:val="22"/>
          <w:szCs w:val="22"/>
          <w:lang w:val="es-ES_tradnl"/>
        </w:rPr>
        <w:t xml:space="preserve"> de diciembre de 2011</w:t>
      </w:r>
    </w:p>
    <w:p w:rsidR="00F86661" w:rsidRPr="0011481C" w:rsidRDefault="00F86661" w:rsidP="00F86661">
      <w:pPr>
        <w:tabs>
          <w:tab w:val="left" w:pos="720"/>
          <w:tab w:val="center" w:pos="6480"/>
        </w:tabs>
        <w:jc w:val="both"/>
        <w:rPr>
          <w:rFonts w:ascii="Univers" w:hAnsi="Univers" w:cs="Arial"/>
          <w:b/>
          <w:sz w:val="22"/>
          <w:szCs w:val="22"/>
          <w:lang w:val="es-ES_tradnl"/>
        </w:rPr>
      </w:pPr>
      <w:r w:rsidRPr="0011481C">
        <w:rPr>
          <w:rFonts w:ascii="Univers" w:hAnsi="Univers" w:cs="Arial"/>
          <w:b/>
          <w:sz w:val="22"/>
          <w:szCs w:val="22"/>
          <w:lang w:val="es-ES_tradnl"/>
        </w:rPr>
        <w:t>Ref.:</w:t>
      </w:r>
      <w:bookmarkStart w:id="1" w:name="Peticion_n"/>
      <w:bookmarkEnd w:id="1"/>
      <w:r w:rsidRPr="0011481C">
        <w:rPr>
          <w:rFonts w:ascii="Univers" w:hAnsi="Univers" w:cs="Arial"/>
          <w:b/>
          <w:sz w:val="22"/>
          <w:szCs w:val="22"/>
          <w:lang w:val="es-ES_tradnl"/>
        </w:rPr>
        <w:tab/>
        <w:t>Caso No. 12.653</w:t>
      </w:r>
      <w:r w:rsidRPr="0011481C">
        <w:rPr>
          <w:rFonts w:ascii="Univers" w:hAnsi="Univers" w:cs="Arial"/>
          <w:b/>
          <w:i/>
          <w:sz w:val="22"/>
          <w:szCs w:val="22"/>
          <w:lang w:val="es-ES_tradnl"/>
        </w:rPr>
        <w:t xml:space="preserve"> </w:t>
      </w:r>
    </w:p>
    <w:p w:rsidR="00F86661" w:rsidRPr="0011481C" w:rsidRDefault="00F86661" w:rsidP="00F86661">
      <w:pPr>
        <w:tabs>
          <w:tab w:val="left" w:pos="720"/>
          <w:tab w:val="center" w:pos="6480"/>
        </w:tabs>
        <w:ind w:left="720"/>
        <w:jc w:val="both"/>
        <w:rPr>
          <w:rFonts w:ascii="Univers" w:hAnsi="Univers" w:cs="Arial"/>
          <w:b/>
          <w:i/>
          <w:sz w:val="22"/>
          <w:szCs w:val="22"/>
          <w:lang w:val="es-ES_tradnl"/>
        </w:rPr>
      </w:pPr>
      <w:r w:rsidRPr="0011481C">
        <w:rPr>
          <w:rFonts w:ascii="Univers" w:hAnsi="Univers" w:cs="Arial"/>
          <w:b/>
          <w:i/>
          <w:sz w:val="22"/>
          <w:szCs w:val="22"/>
          <w:lang w:val="es-ES_tradnl"/>
        </w:rPr>
        <w:t xml:space="preserve">Carlos y Pablo Carlos Mémoli </w:t>
      </w:r>
    </w:p>
    <w:p w:rsidR="00F86661" w:rsidRPr="0011481C" w:rsidRDefault="00F86661" w:rsidP="00F86661">
      <w:pPr>
        <w:tabs>
          <w:tab w:val="left" w:pos="720"/>
          <w:tab w:val="center" w:pos="6480"/>
        </w:tabs>
        <w:jc w:val="both"/>
        <w:rPr>
          <w:rFonts w:ascii="Univers" w:hAnsi="Univers" w:cs="Arial"/>
          <w:sz w:val="22"/>
          <w:szCs w:val="22"/>
        </w:rPr>
      </w:pPr>
      <w:r w:rsidRPr="0011481C">
        <w:rPr>
          <w:rFonts w:ascii="Univers" w:hAnsi="Univers" w:cs="Arial"/>
          <w:b/>
          <w:sz w:val="22"/>
          <w:szCs w:val="22"/>
          <w:lang w:val="es-ES_tradnl"/>
        </w:rPr>
        <w:tab/>
        <w:t>Argentina</w:t>
      </w:r>
    </w:p>
    <w:p w:rsidR="00F86661" w:rsidRPr="0011481C" w:rsidRDefault="00F86661" w:rsidP="00F86661">
      <w:pPr>
        <w:tabs>
          <w:tab w:val="left" w:pos="720"/>
          <w:tab w:val="center" w:pos="6480"/>
        </w:tabs>
        <w:jc w:val="both"/>
        <w:rPr>
          <w:rFonts w:ascii="Univers" w:hAnsi="Univers" w:cs="Arial"/>
          <w:sz w:val="22"/>
          <w:szCs w:val="22"/>
        </w:rPr>
      </w:pPr>
    </w:p>
    <w:p w:rsidR="00F86661" w:rsidRPr="0011481C" w:rsidRDefault="00F86661" w:rsidP="00F86661">
      <w:pPr>
        <w:tabs>
          <w:tab w:val="left" w:pos="720"/>
          <w:tab w:val="center" w:pos="6480"/>
        </w:tabs>
        <w:jc w:val="both"/>
        <w:rPr>
          <w:rFonts w:ascii="Univers" w:hAnsi="Univers" w:cs="Arial"/>
          <w:sz w:val="22"/>
          <w:szCs w:val="22"/>
          <w:lang w:val="es-PE"/>
        </w:rPr>
      </w:pPr>
      <w:r w:rsidRPr="0011481C">
        <w:rPr>
          <w:rFonts w:ascii="Univers" w:hAnsi="Univers" w:cs="Arial"/>
          <w:sz w:val="22"/>
          <w:szCs w:val="22"/>
          <w:lang w:val="es-PE"/>
        </w:rPr>
        <w:t>Señor Secretario:</w:t>
      </w:r>
    </w:p>
    <w:p w:rsidR="00F86661" w:rsidRPr="0011481C" w:rsidRDefault="00F86661" w:rsidP="00F86661">
      <w:pPr>
        <w:rPr>
          <w:rFonts w:ascii="Univers" w:hAnsi="Univers" w:cs="Arial"/>
          <w:sz w:val="22"/>
          <w:szCs w:val="22"/>
          <w:lang w:val="es-CO"/>
        </w:rPr>
      </w:pPr>
    </w:p>
    <w:p w:rsidR="00F86661" w:rsidRPr="00E33B4C" w:rsidRDefault="00F86661" w:rsidP="00F86661">
      <w:pPr>
        <w:ind w:firstLine="720"/>
        <w:jc w:val="both"/>
        <w:rPr>
          <w:rFonts w:ascii="Univers" w:hAnsi="Univers" w:cs="Arial"/>
          <w:sz w:val="22"/>
          <w:szCs w:val="20"/>
        </w:rPr>
      </w:pPr>
      <w:r w:rsidRPr="0011481C">
        <w:rPr>
          <w:rFonts w:ascii="Univers" w:hAnsi="Univers"/>
          <w:sz w:val="22"/>
          <w:szCs w:val="22"/>
        </w:rPr>
        <w:t>Tengo el agrado de dirigirme a usted en nombre de la Comisión Interamericana de Derechos Humanos con el objeto</w:t>
      </w:r>
      <w:r w:rsidRPr="0011481C">
        <w:rPr>
          <w:rFonts w:ascii="Univers" w:hAnsi="Univers" w:cs="Arial"/>
          <w:sz w:val="22"/>
          <w:szCs w:val="22"/>
          <w:lang w:val="es-CO"/>
        </w:rPr>
        <w:t xml:space="preserve"> de someter a la jurisdicción de la Honorable Corte Interamericana de Derechos Humanos, el caso No.</w:t>
      </w:r>
      <w:r w:rsidRPr="0011481C">
        <w:rPr>
          <w:rFonts w:ascii="Univers" w:hAnsi="Univers"/>
          <w:sz w:val="22"/>
          <w:szCs w:val="22"/>
        </w:rPr>
        <w:t xml:space="preserve"> </w:t>
      </w:r>
      <w:bookmarkStart w:id="2" w:name="Peticion_n1"/>
      <w:bookmarkEnd w:id="2"/>
      <w:r w:rsidRPr="0011481C">
        <w:rPr>
          <w:rFonts w:ascii="Univers" w:hAnsi="Univers" w:cs="Arial"/>
          <w:sz w:val="22"/>
          <w:szCs w:val="22"/>
        </w:rPr>
        <w:t xml:space="preserve">12.653, Carlos y Pablo Carlos Mémoli respecto del Estado de Argentina (en adelante “el Estado”, “el Estado argentino” o “Argentina”), </w:t>
      </w:r>
      <w:r w:rsidRPr="0011481C">
        <w:rPr>
          <w:rFonts w:ascii="Univers" w:hAnsi="Univers"/>
          <w:iCs/>
          <w:sz w:val="22"/>
          <w:szCs w:val="22"/>
          <w:lang w:val="es-ES_tradnl"/>
        </w:rPr>
        <w:t xml:space="preserve">relacionado con la </w:t>
      </w:r>
      <w:r w:rsidRPr="00E33B4C">
        <w:rPr>
          <w:rFonts w:ascii="Univers" w:hAnsi="Univers" w:cs="Arial"/>
          <w:sz w:val="22"/>
          <w:szCs w:val="20"/>
          <w:lang w:val="es-UY"/>
        </w:rPr>
        <w:t xml:space="preserve">violación al derecho a la libertad de expresión de Carlos y Pablo Carlos Mémoli, por la </w:t>
      </w:r>
      <w:r w:rsidRPr="00E33B4C">
        <w:rPr>
          <w:rFonts w:ascii="Univers" w:hAnsi="Univers" w:cs="Arial"/>
          <w:sz w:val="22"/>
          <w:szCs w:val="20"/>
        </w:rPr>
        <w:t xml:space="preserve">condena penal impuesta a las víctimas debido a sus denuncias públicas de la venta supuestamente irregular de nichos del cementerio local, por parte de la Comisión Directiva de una asociación mutual de la ciudad de San Andrés de Giles. Esta condena penal fue impuesta con base en el entonces vigente delito de injuria establecido en el artículo 110 del Código Penal Argentino, ya declarado por la Corte Interamericana como incompatible con el principio de estricta legalidad que debe regir en estos casos. </w:t>
      </w:r>
    </w:p>
    <w:p w:rsidR="00F86661" w:rsidRPr="00E33B4C" w:rsidRDefault="00F86661" w:rsidP="00F86661">
      <w:pPr>
        <w:ind w:firstLine="720"/>
        <w:jc w:val="both"/>
        <w:rPr>
          <w:rFonts w:ascii="Univers" w:hAnsi="Univers" w:cs="Arial"/>
          <w:sz w:val="22"/>
          <w:szCs w:val="20"/>
        </w:rPr>
      </w:pPr>
    </w:p>
    <w:p w:rsidR="00F86661" w:rsidRPr="0011481C" w:rsidRDefault="00F86661" w:rsidP="00F86661">
      <w:pPr>
        <w:ind w:firstLine="720"/>
        <w:jc w:val="both"/>
        <w:rPr>
          <w:rFonts w:ascii="Univers" w:hAnsi="Univers"/>
          <w:iCs/>
          <w:color w:val="000000"/>
          <w:sz w:val="22"/>
          <w:szCs w:val="22"/>
          <w:lang w:val="es-ES_tradnl"/>
        </w:rPr>
      </w:pPr>
      <w:r w:rsidRPr="00E33B4C">
        <w:rPr>
          <w:rFonts w:ascii="Univers" w:hAnsi="Univers" w:cs="Arial"/>
          <w:sz w:val="22"/>
          <w:szCs w:val="20"/>
        </w:rPr>
        <w:t>Además, el caso se relaciona con la violación a la garantía de plazo razonable en perjuicio de las mismas víctimas en el marco del proceso civil que se sigue en su contra y mediante el cual hace más de 15 años se pretende hacer valer una indemnización establecida en el proceso penal. En este proceso, desde hace más de 14 años se dispuso el embargo de los bienes de las víctimas lo que, en la práctica, ha tenido un efecto sancionatorio e inhibitorio de la libertad de expresión, con consecuencias en el proyecto de vida de los señores Mémoli.</w:t>
      </w:r>
      <w:r w:rsidRPr="0011481C">
        <w:rPr>
          <w:rFonts w:ascii="Univers" w:hAnsi="Univers"/>
          <w:iCs/>
          <w:color w:val="000000"/>
          <w:sz w:val="22"/>
          <w:szCs w:val="22"/>
          <w:lang w:val="es-ES_tradnl"/>
        </w:rPr>
        <w:t xml:space="preserve"> </w:t>
      </w:r>
    </w:p>
    <w:p w:rsidR="00F86661" w:rsidRPr="0011481C" w:rsidRDefault="00F86661" w:rsidP="00F86661">
      <w:pPr>
        <w:jc w:val="both"/>
        <w:rPr>
          <w:sz w:val="22"/>
          <w:szCs w:val="22"/>
        </w:rPr>
      </w:pPr>
    </w:p>
    <w:p w:rsidR="00F86661" w:rsidRPr="0011481C" w:rsidRDefault="00F86661" w:rsidP="00F86661">
      <w:pPr>
        <w:ind w:firstLine="720"/>
        <w:jc w:val="both"/>
        <w:rPr>
          <w:rFonts w:ascii="Univers" w:hAnsi="Univers" w:cs="Arial"/>
          <w:sz w:val="22"/>
          <w:szCs w:val="22"/>
        </w:rPr>
      </w:pPr>
      <w:r w:rsidRPr="0011481C">
        <w:rPr>
          <w:rFonts w:ascii="Univers" w:hAnsi="Univers" w:cs="Arial"/>
          <w:sz w:val="22"/>
          <w:szCs w:val="22"/>
        </w:rPr>
        <w:t xml:space="preserve">El Estado ratificó la Convención Americana sobre Derechos Humanos y aceptó la competencia contenciosa de la Corte el 5 de septiembre de 1984. </w:t>
      </w:r>
    </w:p>
    <w:p w:rsidR="00F86661" w:rsidRPr="0011481C" w:rsidRDefault="00F86661" w:rsidP="00F86661">
      <w:pPr>
        <w:ind w:firstLine="720"/>
        <w:jc w:val="both"/>
        <w:rPr>
          <w:rFonts w:ascii="Univers" w:hAnsi="Univers" w:cs="Arial"/>
          <w:sz w:val="22"/>
          <w:szCs w:val="22"/>
        </w:rPr>
      </w:pPr>
    </w:p>
    <w:p w:rsidR="00F86661" w:rsidRDefault="00F86661" w:rsidP="00F86661">
      <w:pPr>
        <w:ind w:firstLine="720"/>
        <w:jc w:val="both"/>
        <w:rPr>
          <w:rFonts w:ascii="Univers" w:hAnsi="Univers" w:cs="Arial"/>
          <w:sz w:val="22"/>
          <w:szCs w:val="22"/>
        </w:rPr>
      </w:pPr>
    </w:p>
    <w:p w:rsidR="00A85ABC" w:rsidRPr="0011481C" w:rsidRDefault="00A85ABC" w:rsidP="00F86661">
      <w:pPr>
        <w:ind w:firstLine="720"/>
        <w:jc w:val="both"/>
        <w:rPr>
          <w:rFonts w:ascii="Univers" w:hAnsi="Univers" w:cs="Arial"/>
          <w:sz w:val="22"/>
          <w:szCs w:val="22"/>
        </w:rPr>
      </w:pPr>
    </w:p>
    <w:p w:rsidR="00F86661" w:rsidRPr="0011481C" w:rsidRDefault="00F86661" w:rsidP="00F86661">
      <w:pPr>
        <w:jc w:val="both"/>
        <w:rPr>
          <w:rFonts w:ascii="Univers" w:hAnsi="Univers" w:cs="Arial"/>
          <w:snapToGrid w:val="0"/>
          <w:sz w:val="22"/>
          <w:szCs w:val="22"/>
          <w:lang w:val="es-CO"/>
        </w:rPr>
      </w:pPr>
      <w:r w:rsidRPr="0011481C">
        <w:rPr>
          <w:rFonts w:ascii="Univers" w:hAnsi="Univers" w:cs="Arial"/>
          <w:snapToGrid w:val="0"/>
          <w:sz w:val="22"/>
          <w:szCs w:val="22"/>
          <w:lang w:val="es-CO"/>
        </w:rPr>
        <w:t>Señor</w:t>
      </w:r>
    </w:p>
    <w:p w:rsidR="00F86661" w:rsidRPr="0011481C" w:rsidRDefault="00F86661" w:rsidP="00F86661">
      <w:pPr>
        <w:suppressAutoHyphens/>
        <w:rPr>
          <w:rFonts w:ascii="Univers" w:hAnsi="Univers" w:cs="Arial"/>
          <w:snapToGrid w:val="0"/>
          <w:sz w:val="22"/>
          <w:szCs w:val="22"/>
          <w:lang w:val="es-CO"/>
        </w:rPr>
      </w:pPr>
      <w:r w:rsidRPr="0011481C">
        <w:rPr>
          <w:rFonts w:ascii="Univers" w:hAnsi="Univers" w:cs="Arial"/>
          <w:snapToGrid w:val="0"/>
          <w:sz w:val="22"/>
          <w:szCs w:val="22"/>
          <w:lang w:val="es-CO"/>
        </w:rPr>
        <w:t>Pablo Saavedra Alessandri, Secretario</w:t>
      </w:r>
    </w:p>
    <w:p w:rsidR="00F86661" w:rsidRPr="0011481C" w:rsidRDefault="00F86661" w:rsidP="00F86661">
      <w:pPr>
        <w:suppressAutoHyphens/>
        <w:rPr>
          <w:rFonts w:ascii="Univers" w:hAnsi="Univers" w:cs="Arial"/>
          <w:snapToGrid w:val="0"/>
          <w:sz w:val="22"/>
          <w:szCs w:val="22"/>
          <w:lang w:val="es-ES_tradnl"/>
        </w:rPr>
      </w:pPr>
      <w:r w:rsidRPr="0011481C">
        <w:rPr>
          <w:rFonts w:ascii="Univers" w:hAnsi="Univers" w:cs="Arial"/>
          <w:snapToGrid w:val="0"/>
          <w:sz w:val="22"/>
          <w:szCs w:val="22"/>
          <w:lang w:val="es-ES_tradnl"/>
        </w:rPr>
        <w:t>Corte Interamericana de Derechos Humanos</w:t>
      </w:r>
    </w:p>
    <w:p w:rsidR="00F86661" w:rsidRPr="0011481C" w:rsidRDefault="00F86661" w:rsidP="00F86661">
      <w:pPr>
        <w:suppressAutoHyphens/>
        <w:rPr>
          <w:rFonts w:ascii="Univers" w:hAnsi="Univers" w:cs="Arial"/>
          <w:snapToGrid w:val="0"/>
          <w:sz w:val="22"/>
          <w:szCs w:val="22"/>
          <w:lang w:val="es-ES_tradnl"/>
        </w:rPr>
      </w:pPr>
      <w:r w:rsidRPr="0011481C">
        <w:rPr>
          <w:rFonts w:ascii="Univers" w:hAnsi="Univers" w:cs="Arial"/>
          <w:snapToGrid w:val="0"/>
          <w:sz w:val="22"/>
          <w:szCs w:val="22"/>
          <w:lang w:val="es-ES_tradnl"/>
        </w:rPr>
        <w:t>Apartado 6906-1000</w:t>
      </w:r>
    </w:p>
    <w:p w:rsidR="00F86661" w:rsidRPr="0011481C" w:rsidRDefault="00F86661" w:rsidP="00F86661">
      <w:pPr>
        <w:suppressAutoHyphens/>
        <w:rPr>
          <w:rFonts w:ascii="Univers" w:hAnsi="Univers" w:cs="Arial"/>
          <w:snapToGrid w:val="0"/>
          <w:sz w:val="22"/>
          <w:szCs w:val="22"/>
          <w:lang w:val="es-ES_tradnl"/>
        </w:rPr>
      </w:pPr>
      <w:r w:rsidRPr="0011481C">
        <w:rPr>
          <w:rFonts w:ascii="Univers" w:hAnsi="Univers" w:cs="Arial"/>
          <w:snapToGrid w:val="0"/>
          <w:sz w:val="22"/>
          <w:szCs w:val="22"/>
          <w:lang w:val="es-ES_tradnl"/>
        </w:rPr>
        <w:t>San José, Costa Rica</w:t>
      </w:r>
    </w:p>
    <w:p w:rsidR="005D3B86" w:rsidRDefault="005D3B86" w:rsidP="00F86661">
      <w:pPr>
        <w:suppressAutoHyphens/>
        <w:rPr>
          <w:rFonts w:ascii="Univers" w:hAnsi="Univers" w:cs="Arial"/>
          <w:snapToGrid w:val="0"/>
          <w:sz w:val="22"/>
          <w:szCs w:val="22"/>
          <w:lang w:val="es-ES_tradnl"/>
        </w:rPr>
      </w:pPr>
    </w:p>
    <w:p w:rsidR="00F86661" w:rsidRPr="0011481C" w:rsidRDefault="00F86661" w:rsidP="00F86661">
      <w:pPr>
        <w:suppressAutoHyphens/>
        <w:rPr>
          <w:rFonts w:ascii="Univers" w:hAnsi="Univers"/>
          <w:sz w:val="22"/>
          <w:szCs w:val="22"/>
        </w:rPr>
      </w:pPr>
      <w:r w:rsidRPr="0011481C">
        <w:rPr>
          <w:rFonts w:ascii="Univers" w:hAnsi="Univers" w:cs="Arial"/>
          <w:snapToGrid w:val="0"/>
          <w:sz w:val="22"/>
          <w:szCs w:val="22"/>
          <w:lang w:val="es-ES_tradnl"/>
        </w:rPr>
        <w:t>Anexos</w:t>
      </w:r>
    </w:p>
    <w:p w:rsidR="005D3B86" w:rsidRDefault="005D3B86" w:rsidP="00F86661">
      <w:pPr>
        <w:ind w:firstLine="720"/>
        <w:jc w:val="both"/>
        <w:rPr>
          <w:rFonts w:ascii="Univers" w:hAnsi="Univers" w:cs="Arial"/>
          <w:sz w:val="22"/>
          <w:szCs w:val="22"/>
        </w:rPr>
      </w:pPr>
    </w:p>
    <w:p w:rsidR="005D3B86" w:rsidRPr="0011481C" w:rsidRDefault="005D3B86" w:rsidP="005D3B86">
      <w:pPr>
        <w:ind w:firstLine="720"/>
        <w:jc w:val="both"/>
        <w:rPr>
          <w:rFonts w:ascii="Univers" w:hAnsi="Univers" w:cs="Arial"/>
          <w:sz w:val="22"/>
          <w:szCs w:val="22"/>
        </w:rPr>
      </w:pPr>
      <w:r w:rsidRPr="0011481C">
        <w:rPr>
          <w:rFonts w:ascii="Univers" w:hAnsi="Univers"/>
          <w:sz w:val="22"/>
          <w:szCs w:val="22"/>
        </w:rPr>
        <w:t>La Comisión ha</w:t>
      </w:r>
      <w:r>
        <w:rPr>
          <w:rFonts w:ascii="Univers" w:hAnsi="Univers"/>
          <w:sz w:val="22"/>
          <w:szCs w:val="22"/>
        </w:rPr>
        <w:t xml:space="preserve"> designado al </w:t>
      </w:r>
      <w:r w:rsidRPr="001E4FD1">
        <w:rPr>
          <w:rFonts w:ascii="Univers" w:hAnsi="Univers"/>
          <w:sz w:val="22"/>
          <w:szCs w:val="22"/>
        </w:rPr>
        <w:t xml:space="preserve">Secretario Ejecutivo de la CIDH Santiago A. Canton y a la </w:t>
      </w:r>
      <w:r w:rsidRPr="001E4FD1">
        <w:rPr>
          <w:rFonts w:ascii="Univers" w:hAnsi="Univers" w:cs="Arial"/>
          <w:sz w:val="22"/>
          <w:lang w:val="es-CO"/>
        </w:rPr>
        <w:t>Relatora Especial para la Libertad de Expresión, Catalina Botero,</w:t>
      </w:r>
      <w:r w:rsidRPr="001E4FD1">
        <w:rPr>
          <w:rFonts w:ascii="Univers" w:hAnsi="Univers"/>
          <w:sz w:val="22"/>
          <w:szCs w:val="22"/>
        </w:rPr>
        <w:t xml:space="preserve"> como sus delegados. Asimismo, Elizabeth Abi-Mershed, Secretaria Ejecutiva Adjunta, Silvia Serrano Guzmán</w:t>
      </w:r>
      <w:r w:rsidRPr="0011481C">
        <w:rPr>
          <w:rFonts w:ascii="Univers" w:hAnsi="Univers"/>
          <w:sz w:val="22"/>
          <w:szCs w:val="22"/>
        </w:rPr>
        <w:t>, María Claudia Pulido y Michael Camilleri,</w:t>
      </w:r>
      <w:r>
        <w:rPr>
          <w:rFonts w:ascii="Univers" w:hAnsi="Univers"/>
          <w:sz w:val="22"/>
          <w:szCs w:val="22"/>
        </w:rPr>
        <w:t xml:space="preserve"> abogados de la </w:t>
      </w:r>
      <w:r w:rsidRPr="0011481C">
        <w:rPr>
          <w:rFonts w:ascii="Univers" w:hAnsi="Univers"/>
          <w:sz w:val="22"/>
          <w:szCs w:val="22"/>
        </w:rPr>
        <w:t>Secretaría Ejecutiva de la CIDH, actuarán como asesores legales.</w:t>
      </w:r>
    </w:p>
    <w:p w:rsidR="005D3B86" w:rsidRDefault="005D3B86" w:rsidP="00F86661">
      <w:pPr>
        <w:ind w:firstLine="720"/>
        <w:jc w:val="both"/>
        <w:rPr>
          <w:rFonts w:ascii="Univers" w:hAnsi="Univers" w:cs="Arial"/>
          <w:sz w:val="22"/>
          <w:szCs w:val="22"/>
        </w:rPr>
      </w:pPr>
    </w:p>
    <w:p w:rsidR="00F86661" w:rsidRPr="0011481C" w:rsidRDefault="00F86661" w:rsidP="00F86661">
      <w:pPr>
        <w:ind w:firstLine="720"/>
        <w:jc w:val="both"/>
        <w:rPr>
          <w:rFonts w:ascii="Univers" w:hAnsi="Univers"/>
          <w:sz w:val="22"/>
          <w:szCs w:val="22"/>
        </w:rPr>
      </w:pPr>
      <w:r w:rsidRPr="0011481C">
        <w:rPr>
          <w:rFonts w:ascii="Univers" w:hAnsi="Univers" w:cs="Arial"/>
          <w:sz w:val="22"/>
          <w:szCs w:val="22"/>
        </w:rPr>
        <w:t xml:space="preserve">De conformidad con el artículo 35 del Reglamento de la Corte Interamericana, la Comisión adjunta </w:t>
      </w:r>
      <w:r w:rsidRPr="0011481C">
        <w:rPr>
          <w:rFonts w:ascii="Univers" w:hAnsi="Univers"/>
          <w:sz w:val="22"/>
          <w:szCs w:val="22"/>
          <w:lang w:val="es-CO"/>
        </w:rPr>
        <w:t xml:space="preserve">copia del </w:t>
      </w:r>
      <w:r w:rsidRPr="0011481C">
        <w:rPr>
          <w:rFonts w:ascii="Univers" w:hAnsi="Univers"/>
          <w:sz w:val="22"/>
          <w:szCs w:val="22"/>
        </w:rPr>
        <w:t xml:space="preserve">informe 74/11 elaborado en observancia del artículo 50 de la Convención, así como copia de la totalidad del expediente ante la Comisión Interamericana (Apéndice I) y los anexos utilizados en la elaboración del informe 74/11 (Anexos). Dicho informe de fondo </w:t>
      </w:r>
      <w:r w:rsidRPr="0011481C">
        <w:rPr>
          <w:rFonts w:ascii="Univers" w:hAnsi="Univers"/>
          <w:sz w:val="22"/>
          <w:szCs w:val="22"/>
          <w:lang w:val="es-AR"/>
        </w:rPr>
        <w:t xml:space="preserve">fue notificado al Estado de Argentina mediante comunicación de 3 de agosto de 2011, otorgándole un plazo de dos meses para informar sobre el cumplimiento de las recomendaciones. El Estado argentino solicitó una prórroga a la Comisión Interamericana a fin de informar sobre el cumplimiento de las recomendaciones. La Comisión otorgó una prórroga de un mes al Estado solicitándole que a más tardar el 24 de noviembre de 2011 presentara un informe. El Estado de Argentina presentó su informe del cual no se derivan </w:t>
      </w:r>
      <w:r>
        <w:rPr>
          <w:rFonts w:ascii="Univers" w:hAnsi="Univers"/>
          <w:sz w:val="22"/>
          <w:szCs w:val="22"/>
          <w:lang w:val="es-AR"/>
        </w:rPr>
        <w:t xml:space="preserve">avances en el cumplimiento de ninguna de las recomendaciones. </w:t>
      </w:r>
    </w:p>
    <w:p w:rsidR="00F86661" w:rsidRPr="0011481C" w:rsidRDefault="00F86661" w:rsidP="00F86661">
      <w:pPr>
        <w:tabs>
          <w:tab w:val="left" w:pos="720"/>
          <w:tab w:val="left" w:pos="9000"/>
        </w:tabs>
        <w:ind w:firstLine="720"/>
        <w:jc w:val="both"/>
        <w:rPr>
          <w:rFonts w:ascii="Univers" w:hAnsi="Univers"/>
          <w:sz w:val="22"/>
          <w:szCs w:val="22"/>
          <w:lang w:val="es-AR"/>
        </w:rPr>
      </w:pPr>
    </w:p>
    <w:p w:rsidR="00F86661" w:rsidRPr="0011481C" w:rsidRDefault="00F86661" w:rsidP="00F86661">
      <w:pPr>
        <w:tabs>
          <w:tab w:val="left" w:pos="0"/>
          <w:tab w:val="left" w:pos="9000"/>
        </w:tabs>
        <w:ind w:firstLine="720"/>
        <w:jc w:val="both"/>
        <w:rPr>
          <w:rFonts w:ascii="Univers" w:hAnsi="Univers"/>
          <w:sz w:val="22"/>
          <w:szCs w:val="22"/>
          <w:lang w:val="es-AR"/>
        </w:rPr>
      </w:pPr>
      <w:r>
        <w:rPr>
          <w:rFonts w:ascii="Univers" w:hAnsi="Univers"/>
          <w:sz w:val="22"/>
          <w:szCs w:val="22"/>
          <w:lang w:val="es-AR"/>
        </w:rPr>
        <w:t>En consecuencia, l</w:t>
      </w:r>
      <w:r w:rsidRPr="0011481C">
        <w:rPr>
          <w:rFonts w:ascii="Univers" w:hAnsi="Univers"/>
          <w:sz w:val="22"/>
          <w:szCs w:val="22"/>
          <w:lang w:val="es-AR"/>
        </w:rPr>
        <w:t xml:space="preserve">a Comisión somete el presente caso a la jurisdicción de la Corte Interamericana por la necesidad de obtención de </w:t>
      </w:r>
      <w:r>
        <w:rPr>
          <w:rFonts w:ascii="Univers" w:hAnsi="Univers"/>
          <w:sz w:val="22"/>
          <w:szCs w:val="22"/>
          <w:lang w:val="es-AR"/>
        </w:rPr>
        <w:t xml:space="preserve">justicia para las víctimas. </w:t>
      </w:r>
    </w:p>
    <w:p w:rsidR="00F86661" w:rsidRPr="00E33B4C" w:rsidRDefault="00F86661" w:rsidP="00F86661">
      <w:pPr>
        <w:tabs>
          <w:tab w:val="left" w:pos="0"/>
          <w:tab w:val="left" w:pos="9000"/>
        </w:tabs>
        <w:jc w:val="both"/>
        <w:rPr>
          <w:rFonts w:ascii="Univers" w:hAnsi="Univers"/>
          <w:sz w:val="22"/>
          <w:szCs w:val="22"/>
          <w:lang w:val="es-AR"/>
        </w:rPr>
      </w:pPr>
    </w:p>
    <w:p w:rsidR="00F86661" w:rsidRPr="00E33B4C" w:rsidRDefault="00F86661" w:rsidP="00F86661">
      <w:pPr>
        <w:tabs>
          <w:tab w:val="left" w:pos="0"/>
        </w:tabs>
        <w:ind w:firstLine="720"/>
        <w:jc w:val="both"/>
        <w:rPr>
          <w:rFonts w:ascii="Univers" w:hAnsi="Univers"/>
          <w:sz w:val="22"/>
          <w:szCs w:val="20"/>
          <w:lang w:val="es-CL"/>
        </w:rPr>
      </w:pPr>
      <w:r w:rsidRPr="00E33B4C">
        <w:rPr>
          <w:rFonts w:ascii="Univers" w:hAnsi="Univers"/>
          <w:sz w:val="22"/>
          <w:szCs w:val="20"/>
          <w:lang w:val="es-CL"/>
        </w:rPr>
        <w:t xml:space="preserve">Específicamente, respecto de las recomendaciones de </w:t>
      </w:r>
      <w:r w:rsidRPr="00E33B4C">
        <w:rPr>
          <w:rFonts w:ascii="Univers" w:hAnsi="Univers"/>
          <w:b/>
          <w:sz w:val="22"/>
          <w:szCs w:val="20"/>
          <w:lang w:val="es-CL"/>
        </w:rPr>
        <w:t xml:space="preserve">dejar sin efecto las condenas penales impuestas contra los señores Carlos Mémoli y Pablo Carlos Mémoli y todas las consecuencias que de ellas se deriven, </w:t>
      </w:r>
      <w:r w:rsidRPr="00E33B4C">
        <w:rPr>
          <w:rFonts w:ascii="Univers" w:hAnsi="Univers"/>
          <w:sz w:val="22"/>
          <w:szCs w:val="20"/>
          <w:lang w:val="es-CL"/>
        </w:rPr>
        <w:t xml:space="preserve">así como de </w:t>
      </w:r>
      <w:r w:rsidRPr="00E33B4C">
        <w:rPr>
          <w:rFonts w:ascii="Univers" w:hAnsi="Univers"/>
          <w:b/>
          <w:sz w:val="22"/>
          <w:szCs w:val="20"/>
          <w:lang w:val="es-CL"/>
        </w:rPr>
        <w:t xml:space="preserve">levantar inmediatamente la inhibición general de bienes contra los señores Carlos Mémoli y Pablo Carlos Mémoli, </w:t>
      </w:r>
      <w:r w:rsidRPr="00E33B4C">
        <w:rPr>
          <w:rFonts w:ascii="Univers" w:hAnsi="Univers"/>
          <w:sz w:val="22"/>
          <w:szCs w:val="20"/>
          <w:lang w:val="es-CL"/>
        </w:rPr>
        <w:t xml:space="preserve">el Estado indicó que corresponde a las propias víctimas realizar las gestiones internas respectivas a través de la presentación de un recurso de revisión de la condena penal en firme y la solicitud de levantamiento o sustitución de la medida cautelar en el proceso civil, respectivamente. El Estado no informó sobre medidas dispuestas de oficio para dar cumplimiento a estas dos recomendaciones. </w:t>
      </w:r>
    </w:p>
    <w:p w:rsidR="00F86661" w:rsidRPr="00E33B4C" w:rsidRDefault="00F86661" w:rsidP="00F86661">
      <w:pPr>
        <w:tabs>
          <w:tab w:val="left" w:pos="0"/>
        </w:tabs>
        <w:ind w:firstLine="720"/>
        <w:jc w:val="both"/>
        <w:rPr>
          <w:rFonts w:ascii="Univers" w:hAnsi="Univers"/>
          <w:b/>
          <w:sz w:val="22"/>
          <w:szCs w:val="20"/>
          <w:lang w:val="es-CL"/>
        </w:rPr>
      </w:pPr>
    </w:p>
    <w:p w:rsidR="00F86661" w:rsidRPr="00E33B4C" w:rsidRDefault="00F86661" w:rsidP="00F86661">
      <w:pPr>
        <w:tabs>
          <w:tab w:val="left" w:pos="0"/>
        </w:tabs>
        <w:ind w:firstLine="720"/>
        <w:jc w:val="both"/>
        <w:rPr>
          <w:rFonts w:ascii="Univers" w:hAnsi="Univers"/>
          <w:b/>
          <w:sz w:val="22"/>
          <w:szCs w:val="20"/>
          <w:lang w:val="es-AR"/>
        </w:rPr>
      </w:pPr>
      <w:r w:rsidRPr="00E33B4C">
        <w:rPr>
          <w:rFonts w:ascii="Univers" w:hAnsi="Univers"/>
          <w:sz w:val="22"/>
          <w:szCs w:val="20"/>
          <w:lang w:val="es-CL"/>
        </w:rPr>
        <w:t xml:space="preserve">Sobre la recomendación de </w:t>
      </w:r>
      <w:r w:rsidRPr="00E33B4C">
        <w:rPr>
          <w:rFonts w:ascii="Univers" w:hAnsi="Univers"/>
          <w:b/>
          <w:sz w:val="22"/>
          <w:szCs w:val="20"/>
          <w:lang w:val="es-AR"/>
        </w:rPr>
        <w:t xml:space="preserve">adoptar todas las medidas necesarias para resolver el caso civil contra los señores Carlos Mémoli y Pablo Carlos Mémoli de forma expedita e imparcial, salvaguardando los derechos consagrados en la Convención Americana, </w:t>
      </w:r>
      <w:r w:rsidRPr="00E33B4C">
        <w:rPr>
          <w:rFonts w:ascii="Univers" w:hAnsi="Univers"/>
          <w:sz w:val="22"/>
          <w:szCs w:val="20"/>
          <w:lang w:val="es-AR"/>
        </w:rPr>
        <w:t>el Estado se limitó a señalar que “</w:t>
      </w:r>
      <w:r w:rsidRPr="00E33B4C">
        <w:rPr>
          <w:rFonts w:ascii="Univers" w:hAnsi="Univers" w:cs="Helvetica"/>
          <w:color w:val="000000"/>
          <w:sz w:val="22"/>
          <w:szCs w:val="12"/>
          <w:lang w:bidi="en-US"/>
        </w:rPr>
        <w:t xml:space="preserve">tanto </w:t>
      </w:r>
      <w:r w:rsidRPr="00E33B4C">
        <w:rPr>
          <w:rFonts w:ascii="Univers" w:hAnsi="Univers" w:cs="Helvetica"/>
          <w:color w:val="000000"/>
          <w:sz w:val="22"/>
          <w:szCs w:val="11"/>
          <w:lang w:bidi="en-US"/>
        </w:rPr>
        <w:t xml:space="preserve">las </w:t>
      </w:r>
      <w:r w:rsidRPr="00E33B4C">
        <w:rPr>
          <w:rFonts w:ascii="Univers" w:hAnsi="Univers" w:cs="Helvetica"/>
          <w:color w:val="000000"/>
          <w:sz w:val="22"/>
          <w:szCs w:val="12"/>
          <w:lang w:bidi="en-US"/>
        </w:rPr>
        <w:t xml:space="preserve">autoridades provinciales </w:t>
      </w:r>
      <w:r w:rsidRPr="00E33B4C">
        <w:rPr>
          <w:rFonts w:ascii="Univers" w:hAnsi="Univers" w:cs="Helvetica"/>
          <w:color w:val="000000"/>
          <w:sz w:val="22"/>
          <w:szCs w:val="14"/>
          <w:lang w:bidi="en-US"/>
        </w:rPr>
        <w:t xml:space="preserve">como </w:t>
      </w:r>
      <w:r w:rsidRPr="00E33B4C">
        <w:rPr>
          <w:rFonts w:ascii="Univers" w:hAnsi="Univers" w:cs="Helvetica"/>
          <w:color w:val="000000"/>
          <w:sz w:val="22"/>
          <w:szCs w:val="10"/>
          <w:lang w:bidi="en-US"/>
        </w:rPr>
        <w:t xml:space="preserve">la </w:t>
      </w:r>
      <w:r w:rsidRPr="00E33B4C">
        <w:rPr>
          <w:rFonts w:ascii="Univers" w:hAnsi="Univers" w:cs="Helvetica"/>
          <w:color w:val="000000"/>
          <w:sz w:val="22"/>
          <w:szCs w:val="12"/>
          <w:lang w:bidi="en-US"/>
        </w:rPr>
        <w:t xml:space="preserve">Secretaría </w:t>
      </w:r>
      <w:r w:rsidRPr="00E33B4C">
        <w:rPr>
          <w:rFonts w:ascii="Univers" w:hAnsi="Univers" w:cs="Helvetica"/>
          <w:color w:val="000000"/>
          <w:sz w:val="22"/>
          <w:szCs w:val="13"/>
          <w:lang w:bidi="en-US"/>
        </w:rPr>
        <w:t xml:space="preserve">de Derechos </w:t>
      </w:r>
      <w:r w:rsidRPr="00E33B4C">
        <w:rPr>
          <w:rFonts w:ascii="Univers" w:hAnsi="Univers" w:cs="Helvetica"/>
          <w:color w:val="000000"/>
          <w:sz w:val="22"/>
          <w:szCs w:val="14"/>
          <w:lang w:bidi="en-US"/>
        </w:rPr>
        <w:t xml:space="preserve">Humanos </w:t>
      </w:r>
      <w:r w:rsidRPr="00E33B4C">
        <w:rPr>
          <w:rFonts w:ascii="Univers" w:hAnsi="Univers" w:cs="Helvetica"/>
          <w:color w:val="000000"/>
          <w:sz w:val="22"/>
          <w:szCs w:val="13"/>
          <w:lang w:bidi="en-US"/>
        </w:rPr>
        <w:t xml:space="preserve">de </w:t>
      </w:r>
      <w:r w:rsidRPr="00E33B4C">
        <w:rPr>
          <w:rFonts w:ascii="Univers" w:hAnsi="Univers" w:cs="Helvetica"/>
          <w:color w:val="000000"/>
          <w:sz w:val="22"/>
          <w:szCs w:val="10"/>
          <w:lang w:bidi="en-US"/>
        </w:rPr>
        <w:t xml:space="preserve">la </w:t>
      </w:r>
      <w:r w:rsidRPr="00E33B4C">
        <w:rPr>
          <w:rFonts w:ascii="Univers" w:hAnsi="Univers" w:cs="Helvetica"/>
          <w:color w:val="000000"/>
          <w:sz w:val="22"/>
          <w:szCs w:val="13"/>
          <w:lang w:bidi="en-US"/>
        </w:rPr>
        <w:t xml:space="preserve">Nación ponen </w:t>
      </w:r>
      <w:r w:rsidRPr="00E33B4C">
        <w:rPr>
          <w:rFonts w:ascii="Univers" w:hAnsi="Univers" w:cs="Helvetica"/>
          <w:color w:val="000000"/>
          <w:sz w:val="22"/>
          <w:szCs w:val="14"/>
          <w:lang w:bidi="en-US"/>
        </w:rPr>
        <w:t xml:space="preserve">de </w:t>
      </w:r>
      <w:r w:rsidRPr="00E33B4C">
        <w:rPr>
          <w:rFonts w:ascii="Univers" w:hAnsi="Univers" w:cs="Helvetica"/>
          <w:color w:val="000000"/>
          <w:sz w:val="22"/>
          <w:szCs w:val="12"/>
          <w:lang w:bidi="en-US"/>
        </w:rPr>
        <w:t xml:space="preserve">relieve </w:t>
      </w:r>
      <w:r w:rsidRPr="00E33B4C">
        <w:rPr>
          <w:rFonts w:ascii="Univers" w:hAnsi="Univers" w:cs="Helvetica"/>
          <w:color w:val="000000"/>
          <w:sz w:val="22"/>
          <w:szCs w:val="11"/>
          <w:lang w:bidi="en-US"/>
        </w:rPr>
        <w:t xml:space="preserve">la </w:t>
      </w:r>
      <w:r w:rsidRPr="00E33B4C">
        <w:rPr>
          <w:rFonts w:ascii="Univers" w:hAnsi="Univers" w:cs="Helvetica"/>
          <w:color w:val="000000"/>
          <w:sz w:val="22"/>
          <w:szCs w:val="13"/>
          <w:lang w:bidi="en-US"/>
        </w:rPr>
        <w:t xml:space="preserve">importancia de </w:t>
      </w:r>
      <w:r w:rsidRPr="00E33B4C">
        <w:rPr>
          <w:rFonts w:ascii="Univers" w:hAnsi="Univers" w:cs="Helvetica"/>
          <w:color w:val="000000"/>
          <w:sz w:val="22"/>
          <w:szCs w:val="12"/>
          <w:lang w:bidi="en-US"/>
        </w:rPr>
        <w:t xml:space="preserve">propiciar </w:t>
      </w:r>
      <w:r w:rsidRPr="00E33B4C">
        <w:rPr>
          <w:rFonts w:ascii="Univers" w:hAnsi="Univers" w:cs="Helvetica"/>
          <w:color w:val="000000"/>
          <w:sz w:val="22"/>
          <w:szCs w:val="11"/>
          <w:lang w:bidi="en-US"/>
        </w:rPr>
        <w:t xml:space="preserve">el </w:t>
      </w:r>
      <w:r w:rsidRPr="00E33B4C">
        <w:rPr>
          <w:rFonts w:ascii="Univers" w:hAnsi="Univers" w:cs="Helvetica"/>
          <w:color w:val="000000"/>
          <w:sz w:val="22"/>
          <w:szCs w:val="13"/>
          <w:lang w:bidi="en-US"/>
        </w:rPr>
        <w:t xml:space="preserve">dictado de un </w:t>
      </w:r>
      <w:r w:rsidRPr="00E33B4C">
        <w:rPr>
          <w:rFonts w:ascii="Univers" w:hAnsi="Univers" w:cs="Helvetica"/>
          <w:color w:val="000000"/>
          <w:sz w:val="22"/>
          <w:szCs w:val="12"/>
          <w:lang w:bidi="en-US"/>
        </w:rPr>
        <w:t xml:space="preserve">recordatorio </w:t>
      </w:r>
      <w:r w:rsidRPr="00E33B4C">
        <w:rPr>
          <w:rFonts w:ascii="Univers" w:hAnsi="Univers" w:cs="Helvetica"/>
          <w:color w:val="000000"/>
          <w:sz w:val="22"/>
          <w:szCs w:val="13"/>
          <w:lang w:bidi="en-US"/>
        </w:rPr>
        <w:t xml:space="preserve">a </w:t>
      </w:r>
      <w:r w:rsidRPr="00E33B4C">
        <w:rPr>
          <w:rFonts w:ascii="Univers" w:hAnsi="Univers" w:cs="Helvetica"/>
          <w:color w:val="000000"/>
          <w:sz w:val="22"/>
          <w:szCs w:val="12"/>
          <w:lang w:bidi="en-US"/>
        </w:rPr>
        <w:t xml:space="preserve">los </w:t>
      </w:r>
      <w:r w:rsidRPr="00E33B4C">
        <w:rPr>
          <w:rFonts w:ascii="Univers" w:hAnsi="Univers" w:cs="Helvetica"/>
          <w:color w:val="000000"/>
          <w:sz w:val="22"/>
          <w:szCs w:val="13"/>
          <w:lang w:bidi="en-US"/>
        </w:rPr>
        <w:t xml:space="preserve">magistrados </w:t>
      </w:r>
      <w:r w:rsidRPr="00E33B4C">
        <w:rPr>
          <w:rFonts w:ascii="Univers" w:hAnsi="Univers" w:cs="Helvetica"/>
          <w:color w:val="000000"/>
          <w:sz w:val="22"/>
          <w:szCs w:val="12"/>
          <w:lang w:bidi="en-US"/>
        </w:rPr>
        <w:t xml:space="preserve">a fines </w:t>
      </w:r>
      <w:r w:rsidRPr="00E33B4C">
        <w:rPr>
          <w:rFonts w:ascii="Univers" w:hAnsi="Univers" w:cs="Helvetica"/>
          <w:color w:val="000000"/>
          <w:sz w:val="22"/>
          <w:szCs w:val="14"/>
          <w:lang w:bidi="en-US"/>
        </w:rPr>
        <w:t xml:space="preserve">de que </w:t>
      </w:r>
      <w:r w:rsidRPr="00E33B4C">
        <w:rPr>
          <w:rFonts w:ascii="Univers" w:hAnsi="Univers" w:cs="Helvetica"/>
          <w:color w:val="000000"/>
          <w:sz w:val="22"/>
          <w:szCs w:val="13"/>
          <w:lang w:bidi="en-US"/>
        </w:rPr>
        <w:t xml:space="preserve">arbitren </w:t>
      </w:r>
      <w:r w:rsidRPr="00E33B4C">
        <w:rPr>
          <w:rFonts w:ascii="Univers" w:hAnsi="Univers" w:cs="Helvetica"/>
          <w:color w:val="000000"/>
          <w:sz w:val="22"/>
          <w:szCs w:val="12"/>
          <w:lang w:bidi="en-US"/>
        </w:rPr>
        <w:t xml:space="preserve">las </w:t>
      </w:r>
      <w:r w:rsidRPr="00E33B4C">
        <w:rPr>
          <w:rFonts w:ascii="Univers" w:hAnsi="Univers" w:cs="Helvetica"/>
          <w:color w:val="000000"/>
          <w:sz w:val="22"/>
          <w:szCs w:val="14"/>
          <w:lang w:bidi="en-US"/>
        </w:rPr>
        <w:t xml:space="preserve">conductas </w:t>
      </w:r>
      <w:r w:rsidRPr="00E33B4C">
        <w:rPr>
          <w:rFonts w:ascii="Univers" w:hAnsi="Univers" w:cs="Helvetica"/>
          <w:color w:val="000000"/>
          <w:sz w:val="22"/>
          <w:szCs w:val="13"/>
          <w:lang w:bidi="en-US"/>
        </w:rPr>
        <w:t xml:space="preserve">pertinentes para dar respuesta </w:t>
      </w:r>
      <w:r w:rsidRPr="00E33B4C">
        <w:rPr>
          <w:rFonts w:ascii="Univers" w:hAnsi="Univers" w:cs="Helvetica"/>
          <w:color w:val="000000"/>
          <w:sz w:val="22"/>
          <w:szCs w:val="14"/>
          <w:lang w:bidi="en-US"/>
        </w:rPr>
        <w:t xml:space="preserve">a </w:t>
      </w:r>
      <w:r w:rsidRPr="00E33B4C">
        <w:rPr>
          <w:rFonts w:ascii="Univers" w:hAnsi="Univers" w:cs="Helvetica"/>
          <w:color w:val="000000"/>
          <w:sz w:val="22"/>
          <w:szCs w:val="11"/>
          <w:lang w:bidi="en-US"/>
        </w:rPr>
        <w:t xml:space="preserve">la </w:t>
      </w:r>
      <w:r w:rsidRPr="00E33B4C">
        <w:rPr>
          <w:rFonts w:ascii="Univers" w:hAnsi="Univers" w:cs="Helvetica"/>
          <w:color w:val="000000"/>
          <w:sz w:val="22"/>
          <w:szCs w:val="12"/>
          <w:lang w:bidi="en-US"/>
        </w:rPr>
        <w:t xml:space="preserve">situación”. Sin embargo, el Estado no presentó información sobre la implementación de esta propuesta ni sus efectos en el cumplimiento de esta recomendación. </w:t>
      </w:r>
    </w:p>
    <w:p w:rsidR="00F86661" w:rsidRPr="00E33B4C" w:rsidRDefault="00F86661" w:rsidP="00F86661">
      <w:pPr>
        <w:tabs>
          <w:tab w:val="left" w:pos="0"/>
        </w:tabs>
        <w:ind w:firstLine="720"/>
        <w:jc w:val="both"/>
        <w:rPr>
          <w:rFonts w:ascii="Univers" w:hAnsi="Univers"/>
          <w:b/>
          <w:sz w:val="22"/>
          <w:szCs w:val="20"/>
          <w:lang w:val="es-AR"/>
        </w:rPr>
      </w:pPr>
    </w:p>
    <w:p w:rsidR="00F86661" w:rsidRPr="00E33B4C" w:rsidRDefault="00F86661" w:rsidP="00F86661">
      <w:pPr>
        <w:tabs>
          <w:tab w:val="left" w:pos="0"/>
        </w:tabs>
        <w:ind w:firstLine="720"/>
        <w:jc w:val="both"/>
        <w:rPr>
          <w:rFonts w:ascii="Univers" w:hAnsi="Univers" w:cs="Arial"/>
          <w:sz w:val="22"/>
          <w:szCs w:val="20"/>
        </w:rPr>
      </w:pPr>
      <w:r w:rsidRPr="00E33B4C">
        <w:rPr>
          <w:rFonts w:ascii="Univers" w:hAnsi="Univers"/>
          <w:sz w:val="22"/>
          <w:szCs w:val="20"/>
          <w:lang w:val="es-AR"/>
        </w:rPr>
        <w:t>En cuanto a las recomendaciones de</w:t>
      </w:r>
      <w:r w:rsidRPr="00E33B4C">
        <w:rPr>
          <w:rFonts w:ascii="Univers" w:hAnsi="Univers"/>
          <w:b/>
          <w:sz w:val="22"/>
          <w:szCs w:val="20"/>
          <w:lang w:val="es-AR"/>
        </w:rPr>
        <w:t xml:space="preserve"> </w:t>
      </w:r>
      <w:r w:rsidRPr="00E33B4C">
        <w:rPr>
          <w:rFonts w:ascii="Univers" w:hAnsi="Univers"/>
          <w:b/>
          <w:sz w:val="22"/>
          <w:szCs w:val="20"/>
          <w:lang w:val="es-CL"/>
        </w:rPr>
        <w:t xml:space="preserve">indemnizar a Carlos y Pablo Carlos Mémoli por los daños pecuniarios y no pecuniarios causados por las violaciones </w:t>
      </w:r>
      <w:proofErr w:type="gramStart"/>
      <w:r w:rsidRPr="00E33B4C">
        <w:rPr>
          <w:rFonts w:ascii="Univers" w:hAnsi="Univers"/>
          <w:b/>
          <w:sz w:val="22"/>
          <w:szCs w:val="20"/>
          <w:lang w:val="es-CL"/>
        </w:rPr>
        <w:t>establecidas</w:t>
      </w:r>
      <w:proofErr w:type="gramEnd"/>
      <w:r w:rsidRPr="00E33B4C">
        <w:rPr>
          <w:rFonts w:ascii="Univers" w:hAnsi="Univers"/>
          <w:sz w:val="22"/>
          <w:szCs w:val="20"/>
          <w:lang w:val="es-CL"/>
        </w:rPr>
        <w:t xml:space="preserve"> y de </w:t>
      </w:r>
      <w:r w:rsidRPr="00E33B4C">
        <w:rPr>
          <w:rFonts w:ascii="Univers" w:hAnsi="Univers"/>
          <w:b/>
          <w:sz w:val="22"/>
          <w:szCs w:val="20"/>
          <w:lang w:val="es-CL"/>
        </w:rPr>
        <w:t>adoptar las medidas necesarias para impedir la repetición de situaciones similares respecto a la duración desproporcionada de procesos civiles y medidas cautelares</w:t>
      </w:r>
      <w:r w:rsidRPr="00E33B4C">
        <w:rPr>
          <w:rFonts w:ascii="Univers" w:hAnsi="Univers"/>
          <w:sz w:val="22"/>
          <w:szCs w:val="20"/>
          <w:lang w:val="es-CL"/>
        </w:rPr>
        <w:t xml:space="preserve">, el Estado no presentó información </w:t>
      </w:r>
      <w:r w:rsidR="00686EB6">
        <w:rPr>
          <w:rFonts w:ascii="Univers" w:hAnsi="Univers"/>
          <w:sz w:val="22"/>
          <w:szCs w:val="20"/>
          <w:lang w:val="es-CL"/>
        </w:rPr>
        <w:t xml:space="preserve">que indique el cumplimiento de estos extremos. </w:t>
      </w:r>
    </w:p>
    <w:p w:rsidR="00F86661" w:rsidRPr="00E33B4C" w:rsidRDefault="00F86661" w:rsidP="00F86661">
      <w:pPr>
        <w:tabs>
          <w:tab w:val="left" w:pos="0"/>
        </w:tabs>
        <w:ind w:firstLine="720"/>
        <w:jc w:val="both"/>
        <w:rPr>
          <w:rFonts w:ascii="Univers" w:hAnsi="Univers" w:cs="Arial"/>
          <w:sz w:val="22"/>
          <w:szCs w:val="20"/>
        </w:rPr>
      </w:pPr>
    </w:p>
    <w:p w:rsidR="00F86661" w:rsidRPr="00E33B4C" w:rsidRDefault="00F86661" w:rsidP="00F86661">
      <w:pPr>
        <w:tabs>
          <w:tab w:val="left" w:pos="0"/>
        </w:tabs>
        <w:ind w:firstLine="720"/>
        <w:jc w:val="both"/>
        <w:rPr>
          <w:rFonts w:ascii="Univers" w:hAnsi="Univers"/>
          <w:sz w:val="22"/>
          <w:szCs w:val="20"/>
        </w:rPr>
      </w:pPr>
      <w:r w:rsidRPr="00E33B4C">
        <w:rPr>
          <w:rFonts w:ascii="Univers" w:hAnsi="Univers"/>
          <w:sz w:val="22"/>
          <w:szCs w:val="22"/>
        </w:rPr>
        <w:t xml:space="preserve">La Comisión Interamericana somete a la jurisdicción de la Corte la totalidad de los hechos y violaciones de derechos humanos descritos en el informe de fondo 74/11 y solicita a la Corte que concluya y declare la responsabilidad internacional del Estado de Argentina por la violación de los derechos establecidos en los artículos </w:t>
      </w:r>
      <w:r w:rsidRPr="00E33B4C">
        <w:rPr>
          <w:rFonts w:ascii="Univers" w:hAnsi="Univers"/>
          <w:sz w:val="22"/>
          <w:szCs w:val="20"/>
        </w:rPr>
        <w:t>8.1 y 13 de la Convención Americana, en relación con las obligaciones generales establecidas en los artículos 1.1 y 2 del mismo tratado, en perjuicio de Carlos y Pablo Carlos Mémoli.</w:t>
      </w:r>
    </w:p>
    <w:p w:rsidR="00F86661" w:rsidRDefault="00F86661" w:rsidP="00F86661">
      <w:pPr>
        <w:ind w:firstLine="720"/>
        <w:jc w:val="both"/>
        <w:rPr>
          <w:rFonts w:ascii="Univers" w:hAnsi="Univers"/>
          <w:sz w:val="22"/>
          <w:szCs w:val="22"/>
        </w:rPr>
      </w:pPr>
    </w:p>
    <w:p w:rsidR="00F86661" w:rsidRPr="00E33B4C" w:rsidRDefault="00F86661" w:rsidP="00F86661">
      <w:pPr>
        <w:ind w:firstLine="720"/>
        <w:jc w:val="both"/>
        <w:rPr>
          <w:rFonts w:ascii="Univers" w:hAnsi="Univers"/>
          <w:sz w:val="22"/>
          <w:szCs w:val="22"/>
        </w:rPr>
      </w:pPr>
      <w:r w:rsidRPr="00E33B4C">
        <w:rPr>
          <w:rFonts w:ascii="Univers" w:hAnsi="Univers"/>
          <w:sz w:val="22"/>
          <w:szCs w:val="22"/>
        </w:rPr>
        <w:lastRenderedPageBreak/>
        <w:t>En consecuencia, la Comisión solicita a la Corte Interamericana que disponga las siguientes medidas de reparación:</w:t>
      </w:r>
    </w:p>
    <w:p w:rsidR="00F86661" w:rsidRPr="0011481C" w:rsidRDefault="00F86661" w:rsidP="00F86661">
      <w:pPr>
        <w:ind w:firstLine="720"/>
        <w:jc w:val="both"/>
        <w:rPr>
          <w:rFonts w:ascii="Univers" w:hAnsi="Univers"/>
          <w:sz w:val="20"/>
          <w:szCs w:val="20"/>
        </w:rPr>
      </w:pPr>
    </w:p>
    <w:p w:rsidR="00F86661" w:rsidRPr="00A45A28" w:rsidRDefault="00F86661" w:rsidP="00F86661">
      <w:pPr>
        <w:numPr>
          <w:ilvl w:val="0"/>
          <w:numId w:val="1"/>
        </w:numPr>
        <w:ind w:right="720"/>
        <w:jc w:val="both"/>
        <w:rPr>
          <w:rFonts w:ascii="Univers" w:hAnsi="Univers"/>
          <w:sz w:val="20"/>
          <w:szCs w:val="20"/>
          <w:lang w:val="es-ES_tradnl"/>
        </w:rPr>
      </w:pPr>
      <w:r w:rsidRPr="00A45A28">
        <w:rPr>
          <w:rFonts w:ascii="Univers" w:hAnsi="Univers"/>
          <w:sz w:val="20"/>
          <w:szCs w:val="20"/>
          <w:lang w:val="es-CL"/>
        </w:rPr>
        <w:t xml:space="preserve">Dejar sin efecto las condenas penales impuestas contra los señores Carlos Mémoli y Pablo Carlos Mémoli y todas las consecuencias que de ellas se deriven; </w:t>
      </w:r>
    </w:p>
    <w:p w:rsidR="00F86661" w:rsidRPr="00A45A28" w:rsidRDefault="00F86661" w:rsidP="00F86661">
      <w:pPr>
        <w:ind w:right="720"/>
        <w:jc w:val="both"/>
        <w:rPr>
          <w:rFonts w:ascii="Univers" w:hAnsi="Univers"/>
          <w:sz w:val="20"/>
          <w:szCs w:val="20"/>
          <w:lang w:val="es-CL"/>
        </w:rPr>
      </w:pPr>
    </w:p>
    <w:p w:rsidR="00F86661" w:rsidRPr="00A45A28" w:rsidRDefault="00F86661" w:rsidP="00F86661">
      <w:pPr>
        <w:numPr>
          <w:ilvl w:val="0"/>
          <w:numId w:val="1"/>
        </w:numPr>
        <w:ind w:right="720"/>
        <w:jc w:val="both"/>
        <w:rPr>
          <w:rFonts w:ascii="Univers" w:hAnsi="Univers"/>
          <w:sz w:val="20"/>
          <w:szCs w:val="20"/>
          <w:lang w:val="es-CL"/>
        </w:rPr>
      </w:pPr>
      <w:r w:rsidRPr="00A45A28">
        <w:rPr>
          <w:rFonts w:ascii="Univers" w:hAnsi="Univers"/>
          <w:sz w:val="20"/>
          <w:szCs w:val="20"/>
          <w:lang w:val="es-CL"/>
        </w:rPr>
        <w:t>Levantar inmediatamente la inhibición general de bienes contra los señores Carlos Mémoli y Pablo Carlos Mémoli;</w:t>
      </w:r>
    </w:p>
    <w:p w:rsidR="00F86661" w:rsidRPr="00A45A28" w:rsidRDefault="00F86661" w:rsidP="00F86661">
      <w:pPr>
        <w:ind w:right="720"/>
        <w:jc w:val="both"/>
        <w:rPr>
          <w:rFonts w:ascii="Univers" w:hAnsi="Univers"/>
          <w:sz w:val="20"/>
          <w:szCs w:val="20"/>
          <w:lang w:val="es-CL"/>
        </w:rPr>
      </w:pPr>
    </w:p>
    <w:p w:rsidR="00F86661" w:rsidRPr="00A45A28" w:rsidRDefault="00F86661" w:rsidP="00F86661">
      <w:pPr>
        <w:numPr>
          <w:ilvl w:val="0"/>
          <w:numId w:val="1"/>
        </w:numPr>
        <w:ind w:right="720"/>
        <w:jc w:val="both"/>
        <w:rPr>
          <w:rFonts w:ascii="Univers" w:hAnsi="Univers"/>
          <w:sz w:val="20"/>
          <w:szCs w:val="20"/>
          <w:lang w:val="es-CL"/>
        </w:rPr>
      </w:pPr>
      <w:r w:rsidRPr="00A45A28">
        <w:rPr>
          <w:rFonts w:ascii="Univers" w:hAnsi="Univers"/>
          <w:sz w:val="20"/>
          <w:szCs w:val="20"/>
          <w:lang w:val="es-AR"/>
        </w:rPr>
        <w:t xml:space="preserve">Adoptar todas las medidas necesarias para resolver el caso civil contra los señores Carlos Mémoli y Pablo Carlos Mémoli de forma expedita e imparcial, salvaguardando los derechos consagrados en la Convención Americana; </w:t>
      </w:r>
    </w:p>
    <w:p w:rsidR="00F86661" w:rsidRPr="00A45A28" w:rsidRDefault="00F86661" w:rsidP="00F86661">
      <w:pPr>
        <w:ind w:right="720"/>
        <w:jc w:val="both"/>
        <w:rPr>
          <w:rFonts w:ascii="Univers" w:hAnsi="Univers"/>
          <w:sz w:val="20"/>
          <w:szCs w:val="20"/>
          <w:lang w:val="es-CL"/>
        </w:rPr>
      </w:pPr>
    </w:p>
    <w:p w:rsidR="00F86661" w:rsidRPr="00A45A28" w:rsidRDefault="00F86661" w:rsidP="00F86661">
      <w:pPr>
        <w:numPr>
          <w:ilvl w:val="0"/>
          <w:numId w:val="1"/>
        </w:numPr>
        <w:ind w:right="720"/>
        <w:jc w:val="both"/>
        <w:rPr>
          <w:rFonts w:ascii="Univers" w:hAnsi="Univers"/>
          <w:sz w:val="20"/>
          <w:szCs w:val="20"/>
          <w:lang w:val="es-CL"/>
        </w:rPr>
      </w:pPr>
      <w:r w:rsidRPr="00A45A28">
        <w:rPr>
          <w:rFonts w:ascii="Univers" w:hAnsi="Univers"/>
          <w:sz w:val="20"/>
          <w:szCs w:val="20"/>
          <w:lang w:val="es-CL"/>
        </w:rPr>
        <w:t>Indemnizar a Carlos y Pablo Carlos Mémoli por los daños pecuniarios y no pecuniarios causados por las violaciones establecidas en el informe de fondo; y</w:t>
      </w:r>
    </w:p>
    <w:p w:rsidR="00F86661" w:rsidRPr="00A45A28" w:rsidRDefault="00F86661" w:rsidP="00F86661">
      <w:pPr>
        <w:ind w:right="720"/>
        <w:jc w:val="both"/>
        <w:rPr>
          <w:rFonts w:ascii="Univers" w:hAnsi="Univers"/>
          <w:sz w:val="20"/>
          <w:szCs w:val="20"/>
          <w:lang w:val="es-CL"/>
        </w:rPr>
      </w:pPr>
    </w:p>
    <w:p w:rsidR="00F86661" w:rsidRPr="00A45A28" w:rsidRDefault="00F86661" w:rsidP="00F86661">
      <w:pPr>
        <w:numPr>
          <w:ilvl w:val="0"/>
          <w:numId w:val="1"/>
        </w:numPr>
        <w:ind w:right="720"/>
        <w:jc w:val="both"/>
        <w:rPr>
          <w:rFonts w:ascii="Univers" w:hAnsi="Univers"/>
          <w:sz w:val="20"/>
          <w:szCs w:val="20"/>
          <w:lang w:val="es-CL"/>
        </w:rPr>
      </w:pPr>
      <w:r w:rsidRPr="00A45A28">
        <w:rPr>
          <w:rFonts w:ascii="Univers" w:hAnsi="Univers"/>
          <w:sz w:val="20"/>
          <w:szCs w:val="20"/>
          <w:lang w:val="es-CL"/>
        </w:rPr>
        <w:t xml:space="preserve"> Adoptar las medidas necesarias para impedir la repetición de situaciones similares respecto a la duración desproporcionada de procesos civiles y medidas cautelares en las condiciones descritas en el informe de fondo. </w:t>
      </w:r>
    </w:p>
    <w:p w:rsidR="00F86661" w:rsidRPr="00E33B4C" w:rsidRDefault="00F86661" w:rsidP="00F86661">
      <w:pPr>
        <w:tabs>
          <w:tab w:val="left" w:pos="8550"/>
        </w:tabs>
        <w:jc w:val="both"/>
        <w:rPr>
          <w:rFonts w:ascii="Univers" w:hAnsi="Univers"/>
          <w:sz w:val="22"/>
          <w:szCs w:val="22"/>
          <w:lang w:val="es-AR"/>
        </w:rPr>
      </w:pPr>
    </w:p>
    <w:p w:rsidR="00F86661" w:rsidRPr="00E33B4C" w:rsidRDefault="00F86661" w:rsidP="00F86661">
      <w:pPr>
        <w:tabs>
          <w:tab w:val="left" w:pos="8550"/>
        </w:tabs>
        <w:ind w:firstLine="720"/>
        <w:jc w:val="both"/>
        <w:rPr>
          <w:rFonts w:ascii="Univers" w:hAnsi="Univers"/>
          <w:sz w:val="22"/>
          <w:lang w:val="es-AR"/>
        </w:rPr>
      </w:pPr>
      <w:r w:rsidRPr="00E33B4C">
        <w:rPr>
          <w:rFonts w:ascii="Univers" w:hAnsi="Univers"/>
          <w:sz w:val="22"/>
          <w:lang w:val="es-AR"/>
        </w:rPr>
        <w:t xml:space="preserve">Además de la necesidad de obtención de justicia para las víctimas, el presente caso incorpora un aspecto novedoso que puede contribuir al desarrollo de la jurisprudencia de la Corte en materia de libertad de expresión en el marco de procesos civiles. Específicamente, los hechos le permitirán a la Corte profundizar en la relación existente entre la garantía de plazo razonable y el derecho a la libertad de expresión, en circunstancias en las cuales la amenaza de una sanción civil pendiente durante un tiempo muy extendido, sumada a medidas cautelares como el embargo de los bienes, tienen el efecto de sancionar el ejercicio de la libertad de expresión. </w:t>
      </w:r>
    </w:p>
    <w:p w:rsidR="00F86661" w:rsidRPr="00E33B4C" w:rsidRDefault="00F86661" w:rsidP="00F86661">
      <w:pPr>
        <w:tabs>
          <w:tab w:val="left" w:pos="8550"/>
        </w:tabs>
        <w:suppressAutoHyphens/>
        <w:ind w:firstLine="720"/>
        <w:jc w:val="both"/>
        <w:rPr>
          <w:rFonts w:ascii="Univers" w:hAnsi="Univers"/>
          <w:sz w:val="22"/>
          <w:lang w:val="es-AR"/>
        </w:rPr>
      </w:pPr>
    </w:p>
    <w:p w:rsidR="00F86661" w:rsidRPr="00E33B4C" w:rsidRDefault="00F86661" w:rsidP="00F86661">
      <w:pPr>
        <w:tabs>
          <w:tab w:val="left" w:pos="8550"/>
        </w:tabs>
        <w:suppressAutoHyphens/>
        <w:ind w:firstLine="720"/>
        <w:jc w:val="both"/>
        <w:rPr>
          <w:rFonts w:ascii="Univers" w:hAnsi="Univers" w:cs="Arial"/>
          <w:sz w:val="22"/>
        </w:rPr>
      </w:pPr>
      <w:r w:rsidRPr="00E33B4C">
        <w:rPr>
          <w:rFonts w:ascii="Univers" w:hAnsi="Univers" w:cs="Arial"/>
          <w:sz w:val="22"/>
          <w:lang w:val="es-AR"/>
        </w:rPr>
        <w:t xml:space="preserve">En virtud de que el desarrollo de estándares en esta materia afecta de manera relevante el orden público interamericano, de conformidad con el artículo 35.1 f) del Reglamento de la Corte Interamericana, la Comisión se permite ofrecer la siguiente declaración pericial: </w:t>
      </w:r>
    </w:p>
    <w:p w:rsidR="00F86661" w:rsidRPr="00E33B4C" w:rsidRDefault="00F86661" w:rsidP="00F86661">
      <w:pPr>
        <w:tabs>
          <w:tab w:val="left" w:pos="0"/>
          <w:tab w:val="left" w:pos="8550"/>
        </w:tabs>
        <w:ind w:firstLine="720"/>
        <w:jc w:val="both"/>
        <w:rPr>
          <w:rFonts w:ascii="Univers" w:hAnsi="Univers" w:cs="Arial"/>
          <w:sz w:val="22"/>
        </w:rPr>
      </w:pPr>
    </w:p>
    <w:p w:rsidR="00F86661" w:rsidRPr="00E33B4C" w:rsidRDefault="00F86661" w:rsidP="00F86661">
      <w:pPr>
        <w:tabs>
          <w:tab w:val="left" w:pos="720"/>
          <w:tab w:val="left" w:pos="8550"/>
        </w:tabs>
        <w:jc w:val="both"/>
        <w:rPr>
          <w:rFonts w:ascii="Univers" w:hAnsi="Univers" w:cs="Arial"/>
          <w:sz w:val="22"/>
          <w:szCs w:val="20"/>
          <w:lang w:val="es-EC"/>
        </w:rPr>
      </w:pPr>
      <w:r w:rsidRPr="00E33B4C">
        <w:rPr>
          <w:rFonts w:ascii="Univers" w:hAnsi="Univers" w:cs="Arial"/>
          <w:sz w:val="22"/>
        </w:rPr>
        <w:tab/>
      </w:r>
      <w:r w:rsidRPr="001E4FD1">
        <w:rPr>
          <w:rFonts w:ascii="Univers" w:hAnsi="Univers" w:cs="Arial"/>
          <w:b/>
          <w:sz w:val="22"/>
        </w:rPr>
        <w:t>1. Julio César Rivera,</w:t>
      </w:r>
      <w:r w:rsidRPr="00E33B4C">
        <w:rPr>
          <w:rFonts w:ascii="Univers" w:hAnsi="Univers" w:cs="Arial"/>
          <w:sz w:val="22"/>
        </w:rPr>
        <w:t xml:space="preserve"> quien declarará sobre la relación existente entre el derecho a la libertad de expresión y las garantías judiciales, específicamente, la garantía de plazo razonable. El perito ofrecerá los elementos relevantes a considerar al momento de analizar si la demora en un proceso sancionatorio relacionado con el derecho a la libertad de expresión, puede constituir una violación de dicho derecho, con independencia del resultado del proceso. Asimismo, el perito analizará los efectos en el ejercicio del derecho a la libertad de expresión derivados de la imposición prolongada de medidas cautelares en dichos procesos. </w:t>
      </w:r>
    </w:p>
    <w:p w:rsidR="00F86661" w:rsidRPr="00364F66" w:rsidRDefault="00F86661" w:rsidP="00F86661">
      <w:pPr>
        <w:ind w:left="720" w:right="720"/>
        <w:rPr>
          <w:sz w:val="20"/>
          <w:lang w:val="es-AR"/>
        </w:rPr>
      </w:pPr>
    </w:p>
    <w:p w:rsidR="00F86661" w:rsidRPr="0011481C" w:rsidRDefault="00F86661" w:rsidP="00F86661">
      <w:pPr>
        <w:ind w:firstLine="720"/>
        <w:jc w:val="both"/>
        <w:rPr>
          <w:rFonts w:ascii="Univers" w:hAnsi="Univers"/>
          <w:sz w:val="22"/>
          <w:szCs w:val="22"/>
        </w:rPr>
      </w:pPr>
      <w:r w:rsidRPr="0011481C">
        <w:rPr>
          <w:rFonts w:ascii="Univers" w:hAnsi="Univers"/>
          <w:sz w:val="22"/>
          <w:szCs w:val="22"/>
          <w:lang w:val="es-AR"/>
        </w:rPr>
        <w:t xml:space="preserve"> El </w:t>
      </w:r>
      <w:r w:rsidRPr="0011481C">
        <w:rPr>
          <w:rFonts w:ascii="Univers" w:hAnsi="Univers" w:hint="eastAsia"/>
          <w:i/>
          <w:sz w:val="22"/>
          <w:szCs w:val="22"/>
        </w:rPr>
        <w:t>currículum</w:t>
      </w:r>
      <w:r w:rsidRPr="0011481C">
        <w:rPr>
          <w:rFonts w:ascii="Univers" w:hAnsi="Univers"/>
          <w:i/>
          <w:sz w:val="22"/>
          <w:szCs w:val="22"/>
        </w:rPr>
        <w:t xml:space="preserve"> vitae</w:t>
      </w:r>
      <w:r w:rsidRPr="0011481C">
        <w:rPr>
          <w:rFonts w:ascii="Univers" w:hAnsi="Univers"/>
          <w:sz w:val="22"/>
          <w:szCs w:val="22"/>
        </w:rPr>
        <w:t xml:space="preserve"> del perito propuesto será incluido en los anexos al informe de fondo 74/11. </w:t>
      </w:r>
    </w:p>
    <w:p w:rsidR="001A5A7A" w:rsidRPr="0011481C" w:rsidRDefault="001A5A7A" w:rsidP="00F86661">
      <w:pPr>
        <w:pStyle w:val="Default"/>
        <w:jc w:val="both"/>
        <w:rPr>
          <w:rFonts w:ascii="Univers" w:hAnsi="Univers"/>
          <w:sz w:val="22"/>
          <w:szCs w:val="22"/>
          <w:lang w:val="es-ES_tradnl"/>
        </w:rPr>
      </w:pPr>
    </w:p>
    <w:p w:rsidR="00F86661" w:rsidRPr="0011481C" w:rsidRDefault="00F86661" w:rsidP="00F86661">
      <w:pPr>
        <w:pStyle w:val="Default"/>
        <w:jc w:val="both"/>
        <w:rPr>
          <w:sz w:val="22"/>
          <w:szCs w:val="22"/>
          <w:lang w:val="es-ES_tradnl"/>
        </w:rPr>
      </w:pPr>
      <w:r w:rsidRPr="0011481C">
        <w:rPr>
          <w:rFonts w:ascii="Univers" w:hAnsi="Univers"/>
          <w:sz w:val="22"/>
          <w:szCs w:val="22"/>
          <w:lang w:val="es-ES_tradnl"/>
        </w:rPr>
        <w:tab/>
        <w:t xml:space="preserve">Finalmente, la Comisión pone en conocimiento de la Corte que los señores Carlos y Pablo Carlos Mémoli actuaron directamente como peticionarios en el trámite del caso. Los datos de contacto con que cuenta la Comisión son: </w:t>
      </w:r>
    </w:p>
    <w:p w:rsidR="00F86661" w:rsidRPr="0011481C" w:rsidRDefault="00F86661" w:rsidP="00F86661">
      <w:pPr>
        <w:pStyle w:val="Default"/>
        <w:ind w:left="720"/>
        <w:rPr>
          <w:sz w:val="22"/>
          <w:szCs w:val="22"/>
          <w:lang w:val="es-ES_tradnl"/>
        </w:rPr>
      </w:pPr>
    </w:p>
    <w:p w:rsidR="00F86661" w:rsidRPr="0011481C" w:rsidRDefault="00F86661" w:rsidP="00F86661">
      <w:pPr>
        <w:pStyle w:val="Default"/>
        <w:ind w:left="720"/>
        <w:jc w:val="center"/>
        <w:rPr>
          <w:rFonts w:ascii="Univers" w:hAnsi="Univers"/>
          <w:bCs/>
          <w:sz w:val="22"/>
          <w:szCs w:val="22"/>
          <w:lang w:val="es-ES_tradnl"/>
        </w:rPr>
      </w:pPr>
      <w:r w:rsidRPr="0011481C">
        <w:rPr>
          <w:rFonts w:ascii="Univers" w:hAnsi="Univers"/>
          <w:bCs/>
          <w:sz w:val="22"/>
          <w:szCs w:val="22"/>
          <w:lang w:val="es-ES_tradnl"/>
        </w:rPr>
        <w:t>Carlos y Pablo Carlos Mémoli</w:t>
      </w:r>
    </w:p>
    <w:p w:rsidR="005D3B86" w:rsidRPr="005D3B86" w:rsidRDefault="005D3B86" w:rsidP="005D3B86">
      <w:pPr>
        <w:pStyle w:val="Default"/>
        <w:ind w:left="720"/>
        <w:jc w:val="center"/>
        <w:rPr>
          <w:rFonts w:ascii="Univers" w:hAnsi="Univers"/>
          <w:color w:val="auto"/>
          <w:sz w:val="22"/>
          <w:szCs w:val="22"/>
          <w:lang w:val="es-ES_tradnl"/>
        </w:rPr>
      </w:pPr>
      <w:proofErr w:type="gramStart"/>
      <w:r w:rsidRPr="005D3B86">
        <w:rPr>
          <w:rFonts w:ascii="Univers" w:hAnsi="Univers"/>
          <w:bCs/>
          <w:color w:val="auto"/>
          <w:sz w:val="22"/>
          <w:szCs w:val="22"/>
          <w:highlight w:val="black"/>
          <w:lang w:val="es-ES_tradnl"/>
        </w:rPr>
        <w:t>xxxxxxxxxxxxxxxxxxxxxx</w:t>
      </w:r>
      <w:proofErr w:type="gramEnd"/>
    </w:p>
    <w:p w:rsidR="00F86661" w:rsidRPr="0011481C" w:rsidRDefault="005D3B86" w:rsidP="005D3B86">
      <w:pPr>
        <w:pStyle w:val="Default"/>
        <w:ind w:left="720"/>
        <w:rPr>
          <w:rFonts w:ascii="Univers" w:hAnsi="Univers"/>
          <w:bCs/>
          <w:sz w:val="22"/>
          <w:szCs w:val="22"/>
          <w:lang w:val="es-ES_tradnl"/>
        </w:rPr>
      </w:pPr>
      <w:r>
        <w:rPr>
          <w:rFonts w:ascii="Univers" w:hAnsi="Univers"/>
          <w:bCs/>
          <w:sz w:val="22"/>
          <w:szCs w:val="22"/>
          <w:lang w:val="es-ES_tradnl"/>
        </w:rPr>
        <w:lastRenderedPageBreak/>
        <w:t xml:space="preserve">                                   </w:t>
      </w:r>
      <w:r w:rsidR="00F86661" w:rsidRPr="0011481C">
        <w:rPr>
          <w:rFonts w:ascii="Univers" w:hAnsi="Univers"/>
          <w:bCs/>
          <w:sz w:val="22"/>
          <w:szCs w:val="22"/>
          <w:lang w:val="es-ES_tradnl"/>
        </w:rPr>
        <w:t>(6720) San Andrés de Giles</w:t>
      </w:r>
    </w:p>
    <w:p w:rsidR="00F86661" w:rsidRPr="0011481C" w:rsidRDefault="00F86661" w:rsidP="00F86661">
      <w:pPr>
        <w:pStyle w:val="Default"/>
        <w:ind w:left="720"/>
        <w:jc w:val="center"/>
        <w:rPr>
          <w:rFonts w:ascii="Univers" w:hAnsi="Univers"/>
          <w:bCs/>
          <w:sz w:val="22"/>
          <w:szCs w:val="22"/>
          <w:lang w:val="es-ES_tradnl"/>
        </w:rPr>
      </w:pPr>
      <w:r w:rsidRPr="0011481C">
        <w:rPr>
          <w:rFonts w:ascii="Univers" w:hAnsi="Univers"/>
          <w:bCs/>
          <w:sz w:val="22"/>
          <w:szCs w:val="22"/>
          <w:lang w:val="es-ES_tradnl"/>
        </w:rPr>
        <w:t xml:space="preserve">Buenos Aires, Argentina </w:t>
      </w:r>
    </w:p>
    <w:p w:rsidR="00F86661" w:rsidRPr="0011481C" w:rsidRDefault="00F86661" w:rsidP="00F86661">
      <w:pPr>
        <w:pStyle w:val="Default"/>
        <w:ind w:left="720"/>
        <w:jc w:val="center"/>
        <w:rPr>
          <w:rFonts w:ascii="Univers" w:hAnsi="Univers"/>
          <w:bCs/>
          <w:sz w:val="22"/>
          <w:szCs w:val="22"/>
          <w:lang w:val="es-ES_tradnl"/>
        </w:rPr>
      </w:pPr>
    </w:p>
    <w:p w:rsidR="00F86661" w:rsidRPr="005D3B86" w:rsidRDefault="005D3B86" w:rsidP="00F86661">
      <w:pPr>
        <w:pStyle w:val="Default"/>
        <w:ind w:left="720"/>
        <w:jc w:val="center"/>
        <w:rPr>
          <w:rFonts w:ascii="Univers" w:hAnsi="Univers"/>
          <w:color w:val="auto"/>
          <w:sz w:val="22"/>
          <w:szCs w:val="22"/>
          <w:lang w:val="es-ES_tradnl"/>
        </w:rPr>
      </w:pPr>
      <w:proofErr w:type="gramStart"/>
      <w:r w:rsidRPr="005D3B86">
        <w:rPr>
          <w:rFonts w:ascii="Univers" w:hAnsi="Univers"/>
          <w:bCs/>
          <w:color w:val="auto"/>
          <w:sz w:val="22"/>
          <w:szCs w:val="22"/>
          <w:highlight w:val="black"/>
          <w:lang w:val="es-ES_tradnl"/>
        </w:rPr>
        <w:t>xxxxxxxxxxxxxxxxxxxxxx</w:t>
      </w:r>
      <w:proofErr w:type="gramEnd"/>
    </w:p>
    <w:p w:rsidR="00F86661" w:rsidRPr="0011481C" w:rsidRDefault="00F86661" w:rsidP="00F86661">
      <w:pPr>
        <w:ind w:firstLine="720"/>
        <w:jc w:val="both"/>
        <w:rPr>
          <w:rFonts w:ascii="Univers" w:hAnsi="Univers" w:cs="Arial"/>
          <w:sz w:val="22"/>
          <w:szCs w:val="22"/>
          <w:lang w:val="es-CO"/>
        </w:rPr>
      </w:pPr>
    </w:p>
    <w:p w:rsidR="00F86661" w:rsidRPr="0011481C" w:rsidRDefault="00F86661" w:rsidP="00F86661">
      <w:pPr>
        <w:ind w:firstLine="720"/>
        <w:jc w:val="both"/>
        <w:rPr>
          <w:rFonts w:ascii="Univers" w:hAnsi="Univers" w:cs="Arial"/>
          <w:sz w:val="22"/>
          <w:szCs w:val="22"/>
          <w:lang w:val="es-CO"/>
        </w:rPr>
      </w:pPr>
    </w:p>
    <w:p w:rsidR="00F86661" w:rsidRPr="0011481C" w:rsidRDefault="00F86661" w:rsidP="00F86661">
      <w:pPr>
        <w:ind w:firstLine="720"/>
        <w:jc w:val="both"/>
        <w:rPr>
          <w:rFonts w:ascii="Univers" w:hAnsi="Univers" w:cs="Arial"/>
          <w:sz w:val="22"/>
          <w:szCs w:val="22"/>
          <w:lang w:val="es-CO"/>
        </w:rPr>
      </w:pPr>
      <w:r w:rsidRPr="0011481C">
        <w:rPr>
          <w:rFonts w:ascii="Univers" w:hAnsi="Univers" w:cs="Arial"/>
          <w:sz w:val="22"/>
          <w:szCs w:val="22"/>
          <w:lang w:val="es-CO"/>
        </w:rPr>
        <w:t xml:space="preserve">Aprovecho la oportunidad para </w:t>
      </w:r>
      <w:r>
        <w:rPr>
          <w:rFonts w:ascii="Univers" w:hAnsi="Univers" w:cs="Arial"/>
          <w:sz w:val="22"/>
          <w:szCs w:val="22"/>
          <w:lang w:val="es-CO"/>
        </w:rPr>
        <w:t>saludar a usted muy atentamente,</w:t>
      </w:r>
    </w:p>
    <w:p w:rsidR="00F86661" w:rsidRPr="001E1041" w:rsidRDefault="00F86661" w:rsidP="00F86661">
      <w:pPr>
        <w:jc w:val="both"/>
        <w:rPr>
          <w:rFonts w:ascii="Univers" w:hAnsi="Univers" w:cs="Arial"/>
          <w:sz w:val="22"/>
          <w:szCs w:val="22"/>
          <w:lang w:val="es-CO"/>
        </w:rPr>
      </w:pPr>
    </w:p>
    <w:p w:rsidR="00F86661" w:rsidRPr="0011481C" w:rsidRDefault="00F86661" w:rsidP="00F86661">
      <w:pPr>
        <w:jc w:val="both"/>
        <w:rPr>
          <w:rFonts w:ascii="Univers" w:hAnsi="Univers" w:cs="Arial"/>
          <w:sz w:val="22"/>
          <w:szCs w:val="22"/>
          <w:lang w:val="es-AR"/>
        </w:rPr>
      </w:pPr>
    </w:p>
    <w:p w:rsidR="00F86661" w:rsidRDefault="00F86661" w:rsidP="00F86661">
      <w:pPr>
        <w:ind w:left="5040"/>
        <w:jc w:val="center"/>
        <w:rPr>
          <w:rFonts w:ascii="Univers" w:hAnsi="Univers" w:cs="Arial"/>
          <w:sz w:val="22"/>
          <w:szCs w:val="22"/>
          <w:lang w:val="es-CO"/>
        </w:rPr>
      </w:pPr>
    </w:p>
    <w:p w:rsidR="005D3B86" w:rsidRDefault="005D3B86" w:rsidP="00F86661">
      <w:pPr>
        <w:ind w:left="5040"/>
        <w:jc w:val="center"/>
        <w:rPr>
          <w:rFonts w:ascii="Univers" w:hAnsi="Univers" w:cs="Arial"/>
          <w:sz w:val="22"/>
          <w:szCs w:val="22"/>
          <w:lang w:val="es-CO"/>
        </w:rPr>
      </w:pPr>
    </w:p>
    <w:p w:rsidR="005D3B86" w:rsidRPr="0011481C" w:rsidRDefault="005D3B86" w:rsidP="00F86661">
      <w:pPr>
        <w:ind w:left="5040"/>
        <w:jc w:val="center"/>
        <w:rPr>
          <w:rFonts w:ascii="Univers" w:hAnsi="Univers" w:cs="Arial"/>
          <w:sz w:val="22"/>
          <w:szCs w:val="22"/>
          <w:lang w:val="es-CO"/>
        </w:rPr>
      </w:pPr>
    </w:p>
    <w:p w:rsidR="00F86661" w:rsidRPr="005D3B86" w:rsidRDefault="005D3B86" w:rsidP="00F86661">
      <w:pPr>
        <w:ind w:left="5040"/>
        <w:jc w:val="center"/>
        <w:rPr>
          <w:rFonts w:ascii="Univers" w:hAnsi="Univers" w:cs="Arial"/>
          <w:b/>
          <w:i/>
          <w:color w:val="808080"/>
          <w:sz w:val="22"/>
          <w:szCs w:val="22"/>
          <w:lang w:val="es-CO"/>
        </w:rPr>
      </w:pPr>
      <w:r w:rsidRPr="005D3B86">
        <w:rPr>
          <w:rFonts w:ascii="Univers" w:hAnsi="Univers" w:cs="Arial"/>
          <w:b/>
          <w:i/>
          <w:color w:val="808080"/>
          <w:sz w:val="22"/>
          <w:szCs w:val="22"/>
          <w:lang w:val="es-CO"/>
        </w:rPr>
        <w:t>Firmado en el original</w:t>
      </w:r>
    </w:p>
    <w:p w:rsidR="005D3B86" w:rsidRDefault="005D3B86" w:rsidP="00F86661">
      <w:pPr>
        <w:ind w:left="5040"/>
        <w:jc w:val="center"/>
        <w:rPr>
          <w:rFonts w:ascii="Univers" w:hAnsi="Univers" w:cs="Arial"/>
          <w:sz w:val="22"/>
          <w:szCs w:val="22"/>
          <w:lang w:val="es-CO"/>
        </w:rPr>
      </w:pPr>
    </w:p>
    <w:p w:rsidR="005D3B86" w:rsidRDefault="005D3B86" w:rsidP="00F86661">
      <w:pPr>
        <w:ind w:left="5040"/>
        <w:jc w:val="center"/>
        <w:rPr>
          <w:rFonts w:ascii="Univers" w:hAnsi="Univers" w:cs="Arial"/>
          <w:sz w:val="22"/>
          <w:szCs w:val="22"/>
          <w:lang w:val="es-CO"/>
        </w:rPr>
      </w:pPr>
    </w:p>
    <w:p w:rsidR="00F86661" w:rsidRPr="0011481C" w:rsidRDefault="00F86661" w:rsidP="00F86661">
      <w:pPr>
        <w:ind w:left="5040"/>
        <w:jc w:val="center"/>
        <w:rPr>
          <w:rFonts w:ascii="Univers" w:hAnsi="Univers" w:cs="Arial"/>
          <w:sz w:val="22"/>
          <w:szCs w:val="22"/>
          <w:lang w:val="es-CO"/>
        </w:rPr>
      </w:pPr>
      <w:r w:rsidRPr="0011481C">
        <w:rPr>
          <w:rFonts w:ascii="Univers" w:hAnsi="Univers" w:cs="Arial"/>
          <w:sz w:val="22"/>
          <w:szCs w:val="22"/>
          <w:lang w:val="es-CO"/>
        </w:rPr>
        <w:t>Elizabeth Abi-Mershed</w:t>
      </w:r>
    </w:p>
    <w:p w:rsidR="00F86661" w:rsidRPr="0011481C" w:rsidRDefault="00F86661" w:rsidP="00F86661">
      <w:pPr>
        <w:tabs>
          <w:tab w:val="left" w:pos="5760"/>
        </w:tabs>
        <w:ind w:left="5040"/>
        <w:jc w:val="center"/>
        <w:rPr>
          <w:rFonts w:ascii="Univers" w:hAnsi="Univers" w:cs="Arial"/>
          <w:sz w:val="22"/>
          <w:szCs w:val="22"/>
        </w:rPr>
      </w:pPr>
      <w:r w:rsidRPr="0011481C">
        <w:rPr>
          <w:rFonts w:ascii="Univers" w:hAnsi="Univers" w:cs="Arial"/>
          <w:sz w:val="22"/>
          <w:szCs w:val="22"/>
        </w:rPr>
        <w:t>Secretaria Ejecutiva Adjunta</w:t>
      </w:r>
    </w:p>
    <w:p w:rsidR="00F86661" w:rsidRPr="0011481C" w:rsidRDefault="00F86661" w:rsidP="00F86661">
      <w:pPr>
        <w:rPr>
          <w:sz w:val="22"/>
          <w:szCs w:val="22"/>
        </w:rPr>
      </w:pPr>
    </w:p>
    <w:p w:rsidR="00F86661" w:rsidRPr="0011481C" w:rsidRDefault="00F86661" w:rsidP="00F86661">
      <w:pPr>
        <w:rPr>
          <w:sz w:val="22"/>
          <w:szCs w:val="22"/>
        </w:rPr>
      </w:pPr>
    </w:p>
    <w:p w:rsidR="00F86661" w:rsidRPr="0011481C" w:rsidRDefault="00F86661">
      <w:pPr>
        <w:rPr>
          <w:sz w:val="22"/>
          <w:szCs w:val="22"/>
        </w:rPr>
      </w:pPr>
    </w:p>
    <w:p w:rsidR="00F86661" w:rsidRDefault="00F86661"/>
    <w:sectPr w:rsidR="00F86661" w:rsidSect="00F86661">
      <w:headerReference w:type="default" r:id="rId9"/>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0E9" w:rsidRDefault="006870E9">
      <w:r>
        <w:separator/>
      </w:r>
    </w:p>
  </w:endnote>
  <w:endnote w:type="continuationSeparator" w:id="0">
    <w:p w:rsidR="006870E9" w:rsidRDefault="00687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0E9" w:rsidRDefault="006870E9">
      <w:r>
        <w:separator/>
      </w:r>
    </w:p>
  </w:footnote>
  <w:footnote w:type="continuationSeparator" w:id="0">
    <w:p w:rsidR="006870E9" w:rsidRDefault="00687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72C" w:rsidRDefault="0057172C">
    <w:pPr>
      <w:pStyle w:val="Encabezado"/>
    </w:pPr>
  </w:p>
  <w:p w:rsidR="0057172C" w:rsidRDefault="0057172C" w:rsidP="00F86661">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3D4AAE">
      <w:rPr>
        <w:rStyle w:val="Nmerodepgina"/>
        <w:noProof/>
      </w:rPr>
      <w:t>4</w:t>
    </w:r>
    <w:r>
      <w:rPr>
        <w:rStyle w:val="Nmerodepgina"/>
      </w:rPr>
      <w:fldChar w:fldCharType="end"/>
    </w:r>
  </w:p>
  <w:p w:rsidR="0057172C" w:rsidRDefault="005717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E4FAA"/>
    <w:multiLevelType w:val="hybridMultilevel"/>
    <w:tmpl w:val="0B58894E"/>
    <w:lvl w:ilvl="0" w:tplc="881EA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
    <w:nsid w:val="4EDF7500"/>
    <w:multiLevelType w:val="hybridMultilevel"/>
    <w:tmpl w:val="D7CE8832"/>
    <w:lvl w:ilvl="0" w:tplc="93362888">
      <w:start w:val="1"/>
      <w:numFmt w:val="decimal"/>
      <w:lvlText w:val="%1."/>
      <w:lvlJc w:val="left"/>
      <w:pPr>
        <w:tabs>
          <w:tab w:val="num" w:pos="1095"/>
        </w:tabs>
        <w:ind w:left="1095" w:hanging="37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F4E52F7"/>
    <w:multiLevelType w:val="hybridMultilevel"/>
    <w:tmpl w:val="0666B016"/>
    <w:lvl w:ilvl="0" w:tplc="7758CE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8DC66D6"/>
    <w:multiLevelType w:val="hybridMultilevel"/>
    <w:tmpl w:val="B9903D14"/>
    <w:lvl w:ilvl="0" w:tplc="953E0978">
      <w:start w:val="1"/>
      <w:numFmt w:val="lowerLetter"/>
      <w:lvlText w:val="%1)"/>
      <w:lvlJc w:val="left"/>
      <w:pPr>
        <w:tabs>
          <w:tab w:val="num" w:pos="1440"/>
        </w:tabs>
        <w:ind w:left="1440" w:hanging="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1A5A7A"/>
    <w:rsid w:val="003D4AAE"/>
    <w:rsid w:val="0057172C"/>
    <w:rsid w:val="005D3B86"/>
    <w:rsid w:val="00686EB6"/>
    <w:rsid w:val="006870E9"/>
    <w:rsid w:val="006F056C"/>
    <w:rsid w:val="008407C2"/>
    <w:rsid w:val="00A85ABC"/>
    <w:rsid w:val="00B26B25"/>
    <w:rsid w:val="00B66376"/>
    <w:rsid w:val="00DE4C8E"/>
    <w:rsid w:val="00F866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74A4"/>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EC74A4"/>
    <w:pPr>
      <w:tabs>
        <w:tab w:val="center" w:pos="4320"/>
        <w:tab w:val="right" w:pos="8640"/>
      </w:tabs>
    </w:pPr>
  </w:style>
  <w:style w:type="character" w:styleId="Nmerodepgina">
    <w:name w:val="page number"/>
    <w:basedOn w:val="Fuentedeprrafopredeter"/>
    <w:rsid w:val="00EC74A4"/>
  </w:style>
  <w:style w:type="paragraph" w:customStyle="1" w:styleId="Default">
    <w:name w:val="Default"/>
    <w:rsid w:val="00EC74A4"/>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7773</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9168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2018-06-05T19:46:00Z</cp:lastPrinted>
  <dcterms:created xsi:type="dcterms:W3CDTF">2018-06-05T19:46:00Z</dcterms:created>
  <dcterms:modified xsi:type="dcterms:W3CDTF">2018-06-05T19:46:00Z</dcterms:modified>
</cp:coreProperties>
</file>