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431" w:rsidRDefault="00D32431" w:rsidP="008B438A">
      <w:pPr>
        <w:pStyle w:val="Ttulo"/>
        <w:spacing w:before="60"/>
        <w:rPr>
          <w:lang w:val="es-CR"/>
        </w:rPr>
      </w:pPr>
      <w:bookmarkStart w:id="0" w:name="_GoBack"/>
      <w:bookmarkEnd w:id="0"/>
    </w:p>
    <w:p w:rsidR="00547C57" w:rsidRDefault="00547C57" w:rsidP="008B438A">
      <w:pPr>
        <w:pStyle w:val="Ttulo"/>
        <w:spacing w:before="60"/>
        <w:rPr>
          <w:lang w:val="es-CR"/>
        </w:rPr>
      </w:pPr>
    </w:p>
    <w:p w:rsidR="00547C57" w:rsidRPr="00547C57" w:rsidRDefault="00547C57" w:rsidP="008B438A">
      <w:pPr>
        <w:pStyle w:val="Ttulo"/>
        <w:spacing w:before="60"/>
        <w:rPr>
          <w:lang w:val="es-CR"/>
        </w:rPr>
      </w:pPr>
    </w:p>
    <w:p w:rsidR="00D32431" w:rsidRDefault="00D32431" w:rsidP="008B438A">
      <w:pPr>
        <w:pStyle w:val="Ttulo"/>
        <w:spacing w:before="60"/>
        <w:rPr>
          <w:lang w:val="es-CR"/>
        </w:rPr>
      </w:pPr>
    </w:p>
    <w:p w:rsidR="008B438A" w:rsidRDefault="008B438A" w:rsidP="008B438A">
      <w:pPr>
        <w:pStyle w:val="Ttulo"/>
        <w:spacing w:before="60"/>
        <w:rPr>
          <w:lang w:val="es-CR"/>
        </w:rPr>
      </w:pPr>
    </w:p>
    <w:p w:rsidR="00C1325B" w:rsidRDefault="00C1325B" w:rsidP="008B438A">
      <w:pPr>
        <w:pStyle w:val="Ttulo"/>
        <w:spacing w:before="60"/>
        <w:rPr>
          <w:lang w:val="es-CR"/>
        </w:rPr>
      </w:pPr>
    </w:p>
    <w:p w:rsidR="00FA0765" w:rsidRPr="000F1E4F" w:rsidRDefault="00FA0765" w:rsidP="00C1325B">
      <w:pPr>
        <w:spacing w:line="360" w:lineRule="auto"/>
        <w:jc w:val="center"/>
        <w:rPr>
          <w:rFonts w:ascii="Verdana" w:hAnsi="Verdana"/>
          <w:b/>
          <w:sz w:val="20"/>
          <w:lang w:val="es-MX"/>
        </w:rPr>
      </w:pPr>
      <w:r w:rsidRPr="000F1E4F">
        <w:rPr>
          <w:rFonts w:ascii="Verdana" w:hAnsi="Verdana"/>
          <w:b/>
          <w:sz w:val="20"/>
          <w:lang w:val="es-MX"/>
        </w:rPr>
        <w:t xml:space="preserve">RESOLUCIÓN DE LA </w:t>
      </w:r>
    </w:p>
    <w:p w:rsidR="008B438A" w:rsidRDefault="00FA0765" w:rsidP="008B438A">
      <w:pPr>
        <w:spacing w:line="360" w:lineRule="auto"/>
        <w:jc w:val="center"/>
        <w:rPr>
          <w:lang w:eastAsia="es-CR"/>
        </w:rPr>
      </w:pPr>
      <w:r w:rsidRPr="00B71CCB">
        <w:rPr>
          <w:rFonts w:ascii="Verdana" w:hAnsi="Verdana"/>
          <w:b/>
          <w:sz w:val="20"/>
          <w:lang w:val="es-MX"/>
        </w:rPr>
        <w:t xml:space="preserve">CORTE </w:t>
      </w:r>
      <w:r w:rsidRPr="008B438A">
        <w:rPr>
          <w:rFonts w:ascii="Verdana" w:hAnsi="Verdana"/>
          <w:b/>
          <w:sz w:val="20"/>
          <w:lang w:val="es-MX"/>
        </w:rPr>
        <w:t>INTERAMERICANA</w:t>
      </w:r>
      <w:r w:rsidRPr="00B71CCB">
        <w:rPr>
          <w:rFonts w:ascii="Verdana" w:hAnsi="Verdana"/>
          <w:b/>
          <w:sz w:val="20"/>
          <w:lang w:val="es-MX"/>
        </w:rPr>
        <w:t xml:space="preserve"> DE DERECHOS HUMANOS</w:t>
      </w:r>
      <w:r w:rsidR="00424569">
        <w:rPr>
          <w:rStyle w:val="Refdenotaalpie"/>
          <w:rFonts w:ascii="Verdana" w:hAnsi="Verdana"/>
          <w:b/>
          <w:sz w:val="20"/>
          <w:szCs w:val="20"/>
        </w:rPr>
        <w:footnoteReference w:customMarkFollows="1" w:id="1"/>
        <w:t>*</w:t>
      </w:r>
      <w:r w:rsidR="00424569">
        <w:rPr>
          <w:lang w:eastAsia="es-CR"/>
        </w:rPr>
        <w:t xml:space="preserve"> </w:t>
      </w:r>
    </w:p>
    <w:p w:rsidR="0065520B" w:rsidRPr="00F10321" w:rsidRDefault="00AF1972" w:rsidP="008B438A">
      <w:pPr>
        <w:spacing w:line="360" w:lineRule="auto"/>
        <w:jc w:val="center"/>
        <w:rPr>
          <w:rFonts w:ascii="Verdana" w:hAnsi="Verdana"/>
          <w:b/>
          <w:smallCaps/>
          <w:sz w:val="20"/>
        </w:rPr>
      </w:pPr>
      <w:r w:rsidRPr="00AB04CC">
        <w:rPr>
          <w:rFonts w:ascii="Verdana" w:hAnsi="Verdana"/>
          <w:b/>
          <w:smallCaps/>
          <w:sz w:val="20"/>
        </w:rPr>
        <w:t xml:space="preserve">DE </w:t>
      </w:r>
      <w:r w:rsidR="007066EE" w:rsidRPr="008B438A">
        <w:rPr>
          <w:rFonts w:ascii="Verdana" w:hAnsi="Verdana"/>
          <w:b/>
          <w:sz w:val="20"/>
          <w:lang w:val="es-MX"/>
        </w:rPr>
        <w:t>30</w:t>
      </w:r>
      <w:r w:rsidRPr="00AB04CC">
        <w:rPr>
          <w:rFonts w:ascii="Verdana" w:hAnsi="Verdana"/>
          <w:b/>
          <w:smallCaps/>
          <w:sz w:val="20"/>
        </w:rPr>
        <w:t xml:space="preserve"> </w:t>
      </w:r>
      <w:r w:rsidR="0065520B" w:rsidRPr="00AB04CC">
        <w:rPr>
          <w:rFonts w:ascii="Verdana" w:hAnsi="Verdana"/>
          <w:b/>
          <w:smallCaps/>
          <w:sz w:val="20"/>
        </w:rPr>
        <w:t>DE</w:t>
      </w:r>
      <w:r w:rsidRPr="00AB04CC">
        <w:rPr>
          <w:rFonts w:ascii="Verdana" w:hAnsi="Verdana"/>
          <w:b/>
          <w:smallCaps/>
          <w:sz w:val="20"/>
        </w:rPr>
        <w:t xml:space="preserve"> </w:t>
      </w:r>
      <w:r w:rsidR="00386A17">
        <w:rPr>
          <w:rFonts w:ascii="Verdana" w:hAnsi="Verdana"/>
          <w:b/>
          <w:smallCaps/>
          <w:sz w:val="20"/>
        </w:rPr>
        <w:t>MAYO</w:t>
      </w:r>
      <w:r w:rsidRPr="00AB04CC">
        <w:rPr>
          <w:rFonts w:ascii="Verdana" w:hAnsi="Verdana"/>
          <w:b/>
          <w:smallCaps/>
          <w:sz w:val="20"/>
        </w:rPr>
        <w:t xml:space="preserve"> DE </w:t>
      </w:r>
      <w:r w:rsidR="0065520B" w:rsidRPr="00AB04CC">
        <w:rPr>
          <w:rFonts w:ascii="Verdana" w:hAnsi="Verdana"/>
          <w:b/>
          <w:smallCaps/>
          <w:sz w:val="20"/>
        </w:rPr>
        <w:t xml:space="preserve"> 201</w:t>
      </w:r>
      <w:r w:rsidR="00B60B27">
        <w:rPr>
          <w:rFonts w:ascii="Verdana" w:hAnsi="Verdana"/>
          <w:b/>
          <w:smallCaps/>
          <w:sz w:val="20"/>
        </w:rPr>
        <w:t>8</w:t>
      </w:r>
    </w:p>
    <w:p w:rsidR="0065520B" w:rsidRPr="00F10321" w:rsidRDefault="00F40386" w:rsidP="008B438A">
      <w:pPr>
        <w:spacing w:line="360" w:lineRule="auto"/>
        <w:jc w:val="center"/>
        <w:rPr>
          <w:rFonts w:ascii="Verdana" w:hAnsi="Verdana"/>
          <w:b/>
          <w:smallCaps/>
          <w:sz w:val="20"/>
          <w:szCs w:val="20"/>
        </w:rPr>
      </w:pPr>
      <w:r>
        <w:rPr>
          <w:rFonts w:ascii="Verdana" w:hAnsi="Verdana"/>
          <w:b/>
          <w:smallCaps/>
          <w:sz w:val="20"/>
          <w:szCs w:val="20"/>
        </w:rPr>
        <w:t xml:space="preserve">REINTEGRO AL </w:t>
      </w:r>
      <w:r w:rsidR="0065520B" w:rsidRPr="00F10321">
        <w:rPr>
          <w:rFonts w:ascii="Verdana" w:hAnsi="Verdana"/>
          <w:b/>
          <w:smallCaps/>
          <w:sz w:val="20"/>
          <w:szCs w:val="20"/>
        </w:rPr>
        <w:t>FONDO DE ASISTENCIA LEGAL DE VÍCTIMAS</w:t>
      </w:r>
    </w:p>
    <w:p w:rsidR="0065520B" w:rsidRPr="00142A27" w:rsidRDefault="00142A27" w:rsidP="008B438A">
      <w:pPr>
        <w:spacing w:line="360" w:lineRule="auto"/>
        <w:jc w:val="center"/>
        <w:rPr>
          <w:rFonts w:ascii="Verdana" w:hAnsi="Verdana"/>
          <w:b/>
          <w:sz w:val="20"/>
          <w:szCs w:val="20"/>
        </w:rPr>
      </w:pPr>
      <w:r w:rsidRPr="00142A27">
        <w:rPr>
          <w:rFonts w:ascii="Verdana" w:hAnsi="Verdana"/>
          <w:b/>
          <w:sz w:val="20"/>
          <w:szCs w:val="20"/>
        </w:rPr>
        <w:t>CASO</w:t>
      </w:r>
      <w:r w:rsidR="00B60B27">
        <w:rPr>
          <w:rFonts w:ascii="Verdana" w:hAnsi="Verdana"/>
          <w:b/>
          <w:sz w:val="20"/>
          <w:szCs w:val="20"/>
        </w:rPr>
        <w:t>S POLLO RIVERA Y OTROS Y LAGOS DEL CAMPO</w:t>
      </w:r>
      <w:r w:rsidR="00E10995">
        <w:rPr>
          <w:rFonts w:ascii="Verdana" w:hAnsi="Verdana"/>
          <w:b/>
          <w:sz w:val="20"/>
          <w:szCs w:val="20"/>
        </w:rPr>
        <w:t xml:space="preserve"> V</w:t>
      </w:r>
      <w:r w:rsidR="000A08E5">
        <w:rPr>
          <w:rFonts w:ascii="Verdana" w:hAnsi="Verdana"/>
          <w:b/>
          <w:sz w:val="20"/>
          <w:szCs w:val="20"/>
        </w:rPr>
        <w:t>S</w:t>
      </w:r>
      <w:r w:rsidR="00B60B27">
        <w:rPr>
          <w:rFonts w:ascii="Verdana" w:hAnsi="Verdana"/>
          <w:b/>
          <w:sz w:val="20"/>
          <w:szCs w:val="20"/>
        </w:rPr>
        <w:t>. PERÚ</w:t>
      </w:r>
    </w:p>
    <w:p w:rsidR="00C1325B" w:rsidRPr="00066893" w:rsidRDefault="00C1325B" w:rsidP="00D1436E">
      <w:pPr>
        <w:jc w:val="both"/>
        <w:rPr>
          <w:rFonts w:ascii="Verdana" w:hAnsi="Verdana"/>
          <w:sz w:val="20"/>
          <w:szCs w:val="20"/>
        </w:rPr>
      </w:pPr>
    </w:p>
    <w:p w:rsidR="0065520B" w:rsidRPr="00F10321" w:rsidRDefault="0065520B" w:rsidP="0065520B">
      <w:pPr>
        <w:rPr>
          <w:rFonts w:ascii="Verdana" w:hAnsi="Verdana"/>
          <w:b/>
          <w:sz w:val="20"/>
        </w:rPr>
      </w:pPr>
      <w:r w:rsidRPr="00F10321">
        <w:rPr>
          <w:rFonts w:ascii="Verdana" w:hAnsi="Verdana"/>
          <w:b/>
          <w:sz w:val="20"/>
        </w:rPr>
        <w:t>VISTO:</w:t>
      </w:r>
    </w:p>
    <w:p w:rsidR="0065520B" w:rsidRPr="00F10321" w:rsidRDefault="0065520B" w:rsidP="0065520B">
      <w:pPr>
        <w:rPr>
          <w:rFonts w:ascii="Verdana" w:hAnsi="Verdana"/>
          <w:sz w:val="20"/>
          <w:szCs w:val="20"/>
        </w:rPr>
      </w:pPr>
    </w:p>
    <w:p w:rsidR="002B0F81" w:rsidRDefault="00B60B27" w:rsidP="002B0F81">
      <w:pPr>
        <w:numPr>
          <w:ilvl w:val="0"/>
          <w:numId w:val="8"/>
        </w:numPr>
        <w:ind w:left="0" w:firstLine="0"/>
        <w:jc w:val="both"/>
        <w:rPr>
          <w:rFonts w:ascii="Verdana" w:hAnsi="Verdana"/>
          <w:sz w:val="20"/>
          <w:szCs w:val="20"/>
        </w:rPr>
      </w:pPr>
      <w:bookmarkStart w:id="1" w:name="_Ref511894694"/>
      <w:r w:rsidRPr="002B0F81">
        <w:rPr>
          <w:rFonts w:ascii="Verdana" w:hAnsi="Verdana"/>
          <w:sz w:val="20"/>
          <w:szCs w:val="20"/>
        </w:rPr>
        <w:t xml:space="preserve">Las </w:t>
      </w:r>
      <w:r w:rsidR="00FC5BBF" w:rsidRPr="002B0F81">
        <w:rPr>
          <w:rFonts w:ascii="Verdana" w:hAnsi="Verdana"/>
          <w:sz w:val="20"/>
          <w:szCs w:val="20"/>
        </w:rPr>
        <w:t>Sentencia</w:t>
      </w:r>
      <w:r w:rsidRPr="002B0F81">
        <w:rPr>
          <w:rFonts w:ascii="Verdana" w:hAnsi="Verdana"/>
          <w:sz w:val="20"/>
          <w:szCs w:val="20"/>
        </w:rPr>
        <w:t>s emitidas por la Corte Interamericana de Derechos Humanos (en adelante “la Corte”, “la Corte Interamericana” o “el Tribunal”) el 21 de octubre de 2016 en el caso Pollo Rivera y otros</w:t>
      </w:r>
      <w:r w:rsidR="00547C57" w:rsidRPr="00C76D04">
        <w:rPr>
          <w:rStyle w:val="Refdenotaalpie"/>
          <w:rFonts w:ascii="Verdana" w:hAnsi="Verdana"/>
          <w:sz w:val="20"/>
          <w:szCs w:val="20"/>
        </w:rPr>
        <w:footnoteReference w:id="2"/>
      </w:r>
      <w:r w:rsidR="00EF393E" w:rsidRPr="002B0F81">
        <w:rPr>
          <w:rFonts w:ascii="Verdana" w:hAnsi="Verdana"/>
          <w:sz w:val="20"/>
          <w:szCs w:val="20"/>
        </w:rPr>
        <w:t>,</w:t>
      </w:r>
      <w:r w:rsidR="00AF32F4" w:rsidRPr="002B0F81">
        <w:rPr>
          <w:rFonts w:ascii="Verdana" w:hAnsi="Verdana"/>
          <w:sz w:val="20"/>
          <w:szCs w:val="20"/>
        </w:rPr>
        <w:t xml:space="preserve"> </w:t>
      </w:r>
      <w:r w:rsidRPr="002B0F81">
        <w:rPr>
          <w:rFonts w:ascii="Verdana" w:hAnsi="Verdana"/>
          <w:sz w:val="20"/>
          <w:szCs w:val="20"/>
        </w:rPr>
        <w:t>y el 31 de agosto de 2017 en el caso Lagos del Campo</w:t>
      </w:r>
      <w:r w:rsidR="00547C57" w:rsidRPr="00C76D04">
        <w:rPr>
          <w:rStyle w:val="Refdenotaalpie"/>
          <w:rFonts w:ascii="Verdana" w:hAnsi="Verdana"/>
          <w:sz w:val="20"/>
          <w:szCs w:val="20"/>
        </w:rPr>
        <w:footnoteReference w:id="3"/>
      </w:r>
      <w:r w:rsidRPr="002B0F81">
        <w:rPr>
          <w:rFonts w:ascii="Verdana" w:hAnsi="Verdana"/>
          <w:sz w:val="20"/>
          <w:szCs w:val="20"/>
        </w:rPr>
        <w:t xml:space="preserve"> (en adelante “los </w:t>
      </w:r>
      <w:r w:rsidR="00AF32F4" w:rsidRPr="002B0F81">
        <w:rPr>
          <w:rFonts w:ascii="Verdana" w:hAnsi="Verdana"/>
          <w:sz w:val="20"/>
          <w:szCs w:val="20"/>
        </w:rPr>
        <w:t>dos</w:t>
      </w:r>
      <w:r w:rsidRPr="002B0F81">
        <w:rPr>
          <w:rFonts w:ascii="Verdana" w:hAnsi="Verdana"/>
          <w:sz w:val="20"/>
          <w:szCs w:val="20"/>
        </w:rPr>
        <w:t xml:space="preserve"> casos”)</w:t>
      </w:r>
      <w:r w:rsidR="00E71695">
        <w:rPr>
          <w:rStyle w:val="Refdenotaalpie"/>
          <w:rFonts w:ascii="Verdana" w:hAnsi="Verdana"/>
          <w:sz w:val="20"/>
          <w:szCs w:val="20"/>
        </w:rPr>
        <w:footnoteReference w:id="4"/>
      </w:r>
      <w:r w:rsidRPr="002B0F81">
        <w:rPr>
          <w:rFonts w:ascii="Verdana" w:hAnsi="Verdana"/>
          <w:sz w:val="20"/>
          <w:szCs w:val="20"/>
        </w:rPr>
        <w:t xml:space="preserve">, </w:t>
      </w:r>
      <w:r w:rsidR="00C158E4" w:rsidRPr="002B0F81">
        <w:rPr>
          <w:rFonts w:ascii="Verdana" w:hAnsi="Verdana"/>
          <w:sz w:val="20"/>
          <w:szCs w:val="20"/>
        </w:rPr>
        <w:t>ambas</w:t>
      </w:r>
      <w:r w:rsidRPr="002B0F81">
        <w:rPr>
          <w:rFonts w:ascii="Verdana" w:hAnsi="Verdana"/>
          <w:sz w:val="20"/>
          <w:szCs w:val="20"/>
        </w:rPr>
        <w:t xml:space="preserve"> contra la República del Perú (en adelante “el Estado” o “Perú</w:t>
      </w:r>
      <w:r w:rsidR="00DE4B0F" w:rsidRPr="002B0F81">
        <w:rPr>
          <w:rFonts w:ascii="Verdana" w:hAnsi="Verdana"/>
          <w:sz w:val="20"/>
          <w:szCs w:val="20"/>
        </w:rPr>
        <w:t>”</w:t>
      </w:r>
      <w:r w:rsidRPr="002B0F81">
        <w:rPr>
          <w:rFonts w:ascii="Verdana" w:hAnsi="Verdana"/>
          <w:sz w:val="20"/>
          <w:szCs w:val="20"/>
        </w:rPr>
        <w:t>)</w:t>
      </w:r>
      <w:r w:rsidR="007C5785" w:rsidRPr="002B0F81">
        <w:rPr>
          <w:rFonts w:ascii="Verdana" w:hAnsi="Verdana"/>
          <w:sz w:val="20"/>
          <w:szCs w:val="20"/>
        </w:rPr>
        <w:t xml:space="preserve">. </w:t>
      </w:r>
      <w:r w:rsidR="00FC5BBF" w:rsidRPr="002B0F81">
        <w:rPr>
          <w:rFonts w:ascii="Verdana" w:hAnsi="Verdana"/>
          <w:sz w:val="20"/>
          <w:szCs w:val="20"/>
        </w:rPr>
        <w:t xml:space="preserve">En </w:t>
      </w:r>
      <w:r w:rsidR="00E02976" w:rsidRPr="002B0F81">
        <w:rPr>
          <w:rFonts w:ascii="Verdana" w:hAnsi="Verdana"/>
          <w:sz w:val="20"/>
          <w:szCs w:val="20"/>
        </w:rPr>
        <w:t>dicha</w:t>
      </w:r>
      <w:r w:rsidR="007C5785" w:rsidRPr="002B0F81">
        <w:rPr>
          <w:rFonts w:ascii="Verdana" w:hAnsi="Verdana"/>
          <w:sz w:val="20"/>
          <w:szCs w:val="20"/>
        </w:rPr>
        <w:t>s</w:t>
      </w:r>
      <w:r w:rsidR="00E02976" w:rsidRPr="002B0F81">
        <w:rPr>
          <w:rFonts w:ascii="Verdana" w:hAnsi="Verdana"/>
          <w:sz w:val="20"/>
          <w:szCs w:val="20"/>
        </w:rPr>
        <w:t xml:space="preserve"> Sentencia</w:t>
      </w:r>
      <w:r w:rsidR="007C5785" w:rsidRPr="002B0F81">
        <w:rPr>
          <w:rFonts w:ascii="Verdana" w:hAnsi="Verdana"/>
          <w:sz w:val="20"/>
          <w:szCs w:val="20"/>
        </w:rPr>
        <w:t>s se o</w:t>
      </w:r>
      <w:r w:rsidR="00E02976" w:rsidRPr="002B0F81">
        <w:rPr>
          <w:rFonts w:ascii="Verdana" w:hAnsi="Verdana"/>
          <w:sz w:val="20"/>
          <w:szCs w:val="20"/>
        </w:rPr>
        <w:t xml:space="preserve">rdenó al Estado </w:t>
      </w:r>
      <w:r w:rsidR="00DE4B0F" w:rsidRPr="002B0F81">
        <w:rPr>
          <w:rFonts w:ascii="Verdana" w:hAnsi="Verdana"/>
          <w:sz w:val="20"/>
          <w:szCs w:val="20"/>
        </w:rPr>
        <w:t xml:space="preserve">reintegrar </w:t>
      </w:r>
      <w:r w:rsidR="00E02976" w:rsidRPr="002B0F81">
        <w:rPr>
          <w:rFonts w:ascii="Verdana" w:hAnsi="Verdana"/>
          <w:sz w:val="20"/>
          <w:szCs w:val="20"/>
        </w:rPr>
        <w:t>determinad</w:t>
      </w:r>
      <w:r w:rsidR="007C5785" w:rsidRPr="002B0F81">
        <w:rPr>
          <w:rFonts w:ascii="Verdana" w:hAnsi="Verdana"/>
          <w:sz w:val="20"/>
          <w:szCs w:val="20"/>
        </w:rPr>
        <w:t>o</w:t>
      </w:r>
      <w:r w:rsidR="00E02976" w:rsidRPr="002B0F81">
        <w:rPr>
          <w:rFonts w:ascii="Verdana" w:hAnsi="Verdana"/>
          <w:sz w:val="20"/>
          <w:szCs w:val="20"/>
        </w:rPr>
        <w:t xml:space="preserve">s </w:t>
      </w:r>
      <w:r w:rsidR="007C5785" w:rsidRPr="002B0F81">
        <w:rPr>
          <w:rFonts w:ascii="Verdana" w:hAnsi="Verdana"/>
          <w:sz w:val="20"/>
          <w:szCs w:val="20"/>
        </w:rPr>
        <w:t xml:space="preserve">montos al Fondo de Asistencia Legal de Víctimas de la Corte Interamericana </w:t>
      </w:r>
      <w:r w:rsidR="00706644" w:rsidRPr="002B0F81">
        <w:rPr>
          <w:rFonts w:ascii="Verdana" w:hAnsi="Verdana"/>
          <w:sz w:val="20"/>
          <w:szCs w:val="20"/>
        </w:rPr>
        <w:t>(en adelante el “Fondo de Asistencia”)</w:t>
      </w:r>
      <w:r w:rsidR="00706644">
        <w:rPr>
          <w:rStyle w:val="Refdenotaalpie"/>
          <w:rFonts w:ascii="Verdana" w:hAnsi="Verdana"/>
          <w:sz w:val="20"/>
          <w:szCs w:val="20"/>
        </w:rPr>
        <w:footnoteReference w:id="5"/>
      </w:r>
      <w:r w:rsidR="00706644" w:rsidRPr="002B0F81">
        <w:rPr>
          <w:rFonts w:ascii="Verdana" w:hAnsi="Verdana"/>
          <w:sz w:val="20"/>
          <w:szCs w:val="20"/>
        </w:rPr>
        <w:t xml:space="preserve"> (</w:t>
      </w:r>
      <w:r w:rsidR="00706644" w:rsidRPr="002B0F81">
        <w:rPr>
          <w:rFonts w:ascii="Verdana" w:hAnsi="Verdana"/>
          <w:i/>
          <w:sz w:val="20"/>
          <w:szCs w:val="20"/>
        </w:rPr>
        <w:t xml:space="preserve">infra </w:t>
      </w:r>
      <w:r w:rsidR="00706644" w:rsidRPr="002B0F81">
        <w:rPr>
          <w:rFonts w:ascii="Verdana" w:hAnsi="Verdana"/>
          <w:sz w:val="20"/>
          <w:szCs w:val="20"/>
        </w:rPr>
        <w:t xml:space="preserve">Considerando </w:t>
      </w:r>
      <w:r w:rsidR="00E71695" w:rsidRPr="002B0F81">
        <w:rPr>
          <w:rFonts w:ascii="Verdana" w:hAnsi="Verdana"/>
          <w:sz w:val="20"/>
          <w:szCs w:val="20"/>
        </w:rPr>
        <w:fldChar w:fldCharType="begin"/>
      </w:r>
      <w:r w:rsidR="00E71695" w:rsidRPr="002B0F81">
        <w:rPr>
          <w:rFonts w:ascii="Verdana" w:hAnsi="Verdana"/>
          <w:sz w:val="20"/>
          <w:szCs w:val="20"/>
        </w:rPr>
        <w:instrText xml:space="preserve"> REF _Ref511893770 \r \h </w:instrText>
      </w:r>
      <w:r w:rsidR="00E71695">
        <w:rPr>
          <w:rFonts w:ascii="Verdana" w:hAnsi="Verdana"/>
          <w:sz w:val="20"/>
          <w:szCs w:val="20"/>
        </w:rPr>
      </w:r>
      <w:r w:rsidR="00E71695" w:rsidRPr="002B0F81">
        <w:rPr>
          <w:rFonts w:ascii="Verdana" w:hAnsi="Verdana"/>
          <w:sz w:val="20"/>
          <w:szCs w:val="20"/>
        </w:rPr>
        <w:fldChar w:fldCharType="separate"/>
      </w:r>
      <w:r w:rsidR="009B3833">
        <w:rPr>
          <w:rFonts w:ascii="Verdana" w:hAnsi="Verdana"/>
          <w:sz w:val="20"/>
          <w:szCs w:val="20"/>
        </w:rPr>
        <w:t>1</w:t>
      </w:r>
      <w:r w:rsidR="00E71695" w:rsidRPr="002B0F81">
        <w:rPr>
          <w:rFonts w:ascii="Verdana" w:hAnsi="Verdana"/>
          <w:sz w:val="20"/>
          <w:szCs w:val="20"/>
        </w:rPr>
        <w:fldChar w:fldCharType="end"/>
      </w:r>
      <w:r w:rsidR="00706644" w:rsidRPr="002B0F81">
        <w:rPr>
          <w:rFonts w:ascii="Verdana" w:hAnsi="Verdana"/>
          <w:sz w:val="20"/>
          <w:szCs w:val="20"/>
        </w:rPr>
        <w:t>).</w:t>
      </w:r>
      <w:bookmarkEnd w:id="1"/>
      <w:r w:rsidR="00706644" w:rsidRPr="002B0F81">
        <w:rPr>
          <w:rFonts w:ascii="Verdana" w:hAnsi="Verdana"/>
          <w:sz w:val="20"/>
          <w:szCs w:val="20"/>
        </w:rPr>
        <w:t xml:space="preserve"> </w:t>
      </w:r>
    </w:p>
    <w:p w:rsidR="002B0F81" w:rsidRDefault="002B0F81" w:rsidP="002B0F81">
      <w:pPr>
        <w:jc w:val="both"/>
        <w:rPr>
          <w:rFonts w:ascii="Verdana" w:hAnsi="Verdana"/>
          <w:sz w:val="20"/>
          <w:szCs w:val="20"/>
        </w:rPr>
      </w:pPr>
    </w:p>
    <w:p w:rsidR="002B0F81" w:rsidRDefault="005540BF" w:rsidP="002B0F81">
      <w:pPr>
        <w:numPr>
          <w:ilvl w:val="0"/>
          <w:numId w:val="8"/>
        </w:numPr>
        <w:ind w:left="0" w:firstLine="0"/>
        <w:jc w:val="both"/>
        <w:rPr>
          <w:rFonts w:ascii="Verdana" w:hAnsi="Verdana"/>
          <w:sz w:val="20"/>
          <w:szCs w:val="20"/>
        </w:rPr>
      </w:pPr>
      <w:r w:rsidRPr="002B0F81">
        <w:rPr>
          <w:rFonts w:ascii="Verdana" w:hAnsi="Verdana"/>
          <w:sz w:val="20"/>
          <w:szCs w:val="20"/>
        </w:rPr>
        <w:t xml:space="preserve">La transferencia electrónica recibida el </w:t>
      </w:r>
      <w:r w:rsidR="003175E3" w:rsidRPr="002B0F81">
        <w:rPr>
          <w:rFonts w:ascii="Verdana" w:hAnsi="Verdana"/>
          <w:sz w:val="20"/>
          <w:szCs w:val="20"/>
        </w:rPr>
        <w:t>14</w:t>
      </w:r>
      <w:r w:rsidRPr="002B0F81">
        <w:rPr>
          <w:rFonts w:ascii="Verdana" w:hAnsi="Verdana"/>
          <w:sz w:val="20"/>
          <w:szCs w:val="20"/>
        </w:rPr>
        <w:t xml:space="preserve"> de </w:t>
      </w:r>
      <w:r w:rsidR="003175E3" w:rsidRPr="002B0F81">
        <w:rPr>
          <w:rFonts w:ascii="Verdana" w:hAnsi="Verdana"/>
          <w:sz w:val="20"/>
          <w:szCs w:val="20"/>
        </w:rPr>
        <w:t>febrero</w:t>
      </w:r>
      <w:r w:rsidRPr="002B0F81">
        <w:rPr>
          <w:rFonts w:ascii="Verdana" w:hAnsi="Verdana"/>
          <w:sz w:val="20"/>
          <w:szCs w:val="20"/>
        </w:rPr>
        <w:t xml:space="preserve"> de 2018, mediante la cual Perú realizó el reintegro al Fondo de Asistencia</w:t>
      </w:r>
      <w:r w:rsidR="00DF4F4A" w:rsidRPr="002B0F81">
        <w:rPr>
          <w:rFonts w:ascii="Verdana" w:hAnsi="Verdana"/>
          <w:sz w:val="20"/>
          <w:szCs w:val="20"/>
        </w:rPr>
        <w:t xml:space="preserve"> (</w:t>
      </w:r>
      <w:r w:rsidR="00DF4F4A" w:rsidRPr="002B0F81">
        <w:rPr>
          <w:rFonts w:ascii="Verdana" w:hAnsi="Verdana"/>
          <w:i/>
          <w:sz w:val="20"/>
          <w:szCs w:val="20"/>
        </w:rPr>
        <w:t>infra</w:t>
      </w:r>
      <w:r w:rsidR="00DF4F4A" w:rsidRPr="002B0F81">
        <w:rPr>
          <w:rFonts w:ascii="Verdana" w:hAnsi="Verdana"/>
          <w:sz w:val="20"/>
          <w:szCs w:val="20"/>
        </w:rPr>
        <w:t xml:space="preserve"> Considerando </w:t>
      </w:r>
      <w:r w:rsidR="00E71695" w:rsidRPr="002B0F81">
        <w:rPr>
          <w:rFonts w:ascii="Verdana" w:hAnsi="Verdana"/>
          <w:sz w:val="20"/>
          <w:szCs w:val="20"/>
        </w:rPr>
        <w:fldChar w:fldCharType="begin"/>
      </w:r>
      <w:r w:rsidR="00E71695" w:rsidRPr="002B0F81">
        <w:rPr>
          <w:rFonts w:ascii="Verdana" w:hAnsi="Verdana"/>
          <w:sz w:val="20"/>
          <w:szCs w:val="20"/>
        </w:rPr>
        <w:instrText xml:space="preserve"> REF _Ref511893802 \r \h </w:instrText>
      </w:r>
      <w:r w:rsidR="00E71695">
        <w:rPr>
          <w:rFonts w:ascii="Verdana" w:hAnsi="Verdana"/>
          <w:sz w:val="20"/>
          <w:szCs w:val="20"/>
        </w:rPr>
      </w:r>
      <w:r w:rsidR="00E71695" w:rsidRPr="002B0F81">
        <w:rPr>
          <w:rFonts w:ascii="Verdana" w:hAnsi="Verdana"/>
          <w:sz w:val="20"/>
          <w:szCs w:val="20"/>
        </w:rPr>
        <w:fldChar w:fldCharType="separate"/>
      </w:r>
      <w:r w:rsidR="009B3833">
        <w:rPr>
          <w:rFonts w:ascii="Verdana" w:hAnsi="Verdana"/>
          <w:sz w:val="20"/>
          <w:szCs w:val="20"/>
        </w:rPr>
        <w:t>3</w:t>
      </w:r>
      <w:r w:rsidR="00E71695" w:rsidRPr="002B0F81">
        <w:rPr>
          <w:rFonts w:ascii="Verdana" w:hAnsi="Verdana"/>
          <w:sz w:val="20"/>
          <w:szCs w:val="20"/>
        </w:rPr>
        <w:fldChar w:fldCharType="end"/>
      </w:r>
      <w:r w:rsidR="00DF4F4A" w:rsidRPr="002B0F81">
        <w:rPr>
          <w:rFonts w:ascii="Verdana" w:hAnsi="Verdana"/>
          <w:sz w:val="20"/>
          <w:szCs w:val="20"/>
        </w:rPr>
        <w:t>)</w:t>
      </w:r>
      <w:r w:rsidRPr="002B0F81">
        <w:rPr>
          <w:rFonts w:ascii="Verdana" w:hAnsi="Verdana"/>
          <w:sz w:val="20"/>
          <w:szCs w:val="20"/>
        </w:rPr>
        <w:t xml:space="preserve">. </w:t>
      </w:r>
      <w:r w:rsidRPr="002B0F81">
        <w:rPr>
          <w:rFonts w:ascii="Verdana" w:hAnsi="Verdana"/>
          <w:sz w:val="20"/>
          <w:szCs w:val="20"/>
        </w:rPr>
        <w:tab/>
      </w:r>
    </w:p>
    <w:p w:rsidR="002B0F81" w:rsidRDefault="002B0F81" w:rsidP="002B0F81">
      <w:pPr>
        <w:jc w:val="both"/>
        <w:rPr>
          <w:rFonts w:ascii="Verdana" w:hAnsi="Verdana"/>
          <w:sz w:val="20"/>
          <w:szCs w:val="20"/>
        </w:rPr>
      </w:pPr>
    </w:p>
    <w:p w:rsidR="00A44A4F" w:rsidRPr="002B0F81" w:rsidRDefault="00A44A4F" w:rsidP="002B0F81">
      <w:pPr>
        <w:numPr>
          <w:ilvl w:val="0"/>
          <w:numId w:val="8"/>
        </w:numPr>
        <w:ind w:left="0" w:firstLine="0"/>
        <w:jc w:val="both"/>
        <w:rPr>
          <w:rFonts w:ascii="Verdana" w:hAnsi="Verdana"/>
          <w:sz w:val="20"/>
          <w:szCs w:val="20"/>
        </w:rPr>
      </w:pPr>
      <w:r w:rsidRPr="002B0F81">
        <w:rPr>
          <w:rFonts w:ascii="Verdana" w:hAnsi="Verdana"/>
          <w:sz w:val="20"/>
          <w:szCs w:val="20"/>
        </w:rPr>
        <w:t>La nota de la Secretaría de la Corte de 16 de abril de 2018, mediante la cual se remitió al Estado el recibo del pago realizado mediante transferencia electrónica efectuada el 14 de febrero de 2018 respecto al reintegro al Fondo de Asistencia.</w:t>
      </w:r>
    </w:p>
    <w:p w:rsidR="00DF4F4A" w:rsidRDefault="00DF4F4A" w:rsidP="0065520B">
      <w:pPr>
        <w:tabs>
          <w:tab w:val="left" w:pos="680"/>
        </w:tabs>
        <w:jc w:val="both"/>
        <w:rPr>
          <w:rFonts w:ascii="Verdana" w:hAnsi="Verdana"/>
          <w:b/>
          <w:sz w:val="20"/>
        </w:rPr>
      </w:pPr>
    </w:p>
    <w:p w:rsidR="0065520B" w:rsidRPr="00F10321" w:rsidRDefault="0065520B" w:rsidP="0065520B">
      <w:pPr>
        <w:tabs>
          <w:tab w:val="left" w:pos="680"/>
        </w:tabs>
        <w:jc w:val="both"/>
        <w:rPr>
          <w:rFonts w:ascii="Verdana" w:hAnsi="Verdana"/>
          <w:sz w:val="20"/>
        </w:rPr>
      </w:pPr>
      <w:r w:rsidRPr="00F10321">
        <w:rPr>
          <w:rFonts w:ascii="Verdana" w:hAnsi="Verdana"/>
          <w:b/>
          <w:sz w:val="20"/>
        </w:rPr>
        <w:t>CONSIDERANDO QUE:</w:t>
      </w:r>
    </w:p>
    <w:p w:rsidR="0065520B" w:rsidRPr="00F10321" w:rsidRDefault="0065520B" w:rsidP="0065520B">
      <w:pPr>
        <w:jc w:val="both"/>
        <w:rPr>
          <w:rFonts w:ascii="Verdana" w:hAnsi="Verdana"/>
          <w:strike/>
          <w:sz w:val="20"/>
          <w:szCs w:val="20"/>
        </w:rPr>
      </w:pPr>
    </w:p>
    <w:p w:rsidR="00E71695" w:rsidRDefault="00FF7C60" w:rsidP="00547C57">
      <w:pPr>
        <w:numPr>
          <w:ilvl w:val="0"/>
          <w:numId w:val="7"/>
        </w:numPr>
        <w:ind w:left="0" w:firstLine="0"/>
        <w:jc w:val="both"/>
        <w:rPr>
          <w:rFonts w:ascii="Verdana" w:hAnsi="Verdana" w:cs="Verdana"/>
          <w:sz w:val="20"/>
          <w:szCs w:val="20"/>
        </w:rPr>
      </w:pPr>
      <w:bookmarkStart w:id="2" w:name="_Ref511893770"/>
      <w:r w:rsidRPr="00E71695">
        <w:rPr>
          <w:rFonts w:ascii="Verdana" w:hAnsi="Verdana"/>
          <w:sz w:val="20"/>
          <w:szCs w:val="20"/>
        </w:rPr>
        <w:t>En el ejercicio de su funció</w:t>
      </w:r>
      <w:r w:rsidR="0065520B" w:rsidRPr="00E71695">
        <w:rPr>
          <w:rFonts w:ascii="Verdana" w:hAnsi="Verdana"/>
          <w:sz w:val="20"/>
          <w:szCs w:val="20"/>
        </w:rPr>
        <w:t>n jurisdiccional</w:t>
      </w:r>
      <w:r w:rsidRPr="00E71695">
        <w:rPr>
          <w:rFonts w:ascii="Verdana" w:hAnsi="Verdana"/>
          <w:sz w:val="20"/>
          <w:szCs w:val="20"/>
        </w:rPr>
        <w:t xml:space="preserve"> </w:t>
      </w:r>
      <w:r w:rsidR="00B2680C" w:rsidRPr="00E71695">
        <w:rPr>
          <w:rFonts w:ascii="Verdana" w:hAnsi="Verdana"/>
          <w:sz w:val="20"/>
          <w:szCs w:val="20"/>
        </w:rPr>
        <w:t xml:space="preserve">de </w:t>
      </w:r>
      <w:r w:rsidR="0065520B" w:rsidRPr="00E71695">
        <w:rPr>
          <w:rFonts w:ascii="Verdana" w:hAnsi="Verdana"/>
          <w:sz w:val="20"/>
          <w:szCs w:val="20"/>
        </w:rPr>
        <w:t>supervisar el cumplimiento de sus decisiones</w:t>
      </w:r>
      <w:r w:rsidRPr="004F4966">
        <w:rPr>
          <w:rStyle w:val="Refdenotaalpie"/>
          <w:rFonts w:ascii="Verdana" w:hAnsi="Verdana"/>
          <w:sz w:val="20"/>
          <w:szCs w:val="20"/>
        </w:rPr>
        <w:footnoteReference w:id="6"/>
      </w:r>
      <w:r w:rsidRPr="00E71695">
        <w:rPr>
          <w:rFonts w:ascii="Verdana" w:hAnsi="Verdana"/>
          <w:sz w:val="20"/>
          <w:szCs w:val="20"/>
        </w:rPr>
        <w:t xml:space="preserve">, corresponde a la Corte verificar el cumplimiento por parte del Estado de la </w:t>
      </w:r>
      <w:r w:rsidRPr="00E71695">
        <w:rPr>
          <w:rFonts w:ascii="Verdana" w:hAnsi="Verdana"/>
          <w:sz w:val="20"/>
          <w:szCs w:val="20"/>
        </w:rPr>
        <w:lastRenderedPageBreak/>
        <w:t>obligación de reintegrar al Fondo de Asistencia</w:t>
      </w:r>
      <w:r w:rsidR="005540BF" w:rsidRPr="00E71695">
        <w:rPr>
          <w:rFonts w:ascii="Verdana" w:hAnsi="Verdana"/>
          <w:sz w:val="20"/>
          <w:szCs w:val="20"/>
        </w:rPr>
        <w:t xml:space="preserve"> las siguientes cantidades ordenadas en las referidas decisiones emitidas </w:t>
      </w:r>
      <w:r w:rsidR="0068309F" w:rsidRPr="00E71695">
        <w:rPr>
          <w:rFonts w:ascii="Verdana" w:hAnsi="Verdana"/>
          <w:sz w:val="20"/>
          <w:szCs w:val="20"/>
        </w:rPr>
        <w:t xml:space="preserve">en </w:t>
      </w:r>
      <w:r w:rsidR="005540BF" w:rsidRPr="00E71695">
        <w:rPr>
          <w:rFonts w:ascii="Verdana" w:hAnsi="Verdana"/>
          <w:sz w:val="20"/>
          <w:szCs w:val="20"/>
        </w:rPr>
        <w:t xml:space="preserve">el 2016 y </w:t>
      </w:r>
      <w:r w:rsidR="0068309F" w:rsidRPr="00E71695">
        <w:rPr>
          <w:rFonts w:ascii="Verdana" w:hAnsi="Verdana"/>
          <w:sz w:val="20"/>
          <w:szCs w:val="20"/>
        </w:rPr>
        <w:t xml:space="preserve">el </w:t>
      </w:r>
      <w:r w:rsidR="005540BF" w:rsidRPr="00E71695">
        <w:rPr>
          <w:rFonts w:ascii="Verdana" w:hAnsi="Verdana"/>
          <w:sz w:val="20"/>
          <w:szCs w:val="20"/>
        </w:rPr>
        <w:t>2017 (</w:t>
      </w:r>
      <w:r w:rsidR="005540BF" w:rsidRPr="00E71695">
        <w:rPr>
          <w:rFonts w:ascii="Verdana" w:hAnsi="Verdana"/>
          <w:i/>
          <w:sz w:val="20"/>
          <w:szCs w:val="20"/>
        </w:rPr>
        <w:t xml:space="preserve">supra </w:t>
      </w:r>
      <w:r w:rsidR="005540BF" w:rsidRPr="00E71695">
        <w:rPr>
          <w:rFonts w:ascii="Verdana" w:hAnsi="Verdana"/>
          <w:sz w:val="20"/>
          <w:szCs w:val="20"/>
        </w:rPr>
        <w:t xml:space="preserve">Visto </w:t>
      </w:r>
      <w:r w:rsidR="00E71695">
        <w:rPr>
          <w:rFonts w:ascii="Verdana" w:hAnsi="Verdana"/>
          <w:sz w:val="20"/>
          <w:szCs w:val="20"/>
        </w:rPr>
        <w:fldChar w:fldCharType="begin"/>
      </w:r>
      <w:r w:rsidR="00E71695">
        <w:rPr>
          <w:rFonts w:ascii="Verdana" w:hAnsi="Verdana"/>
          <w:sz w:val="20"/>
          <w:szCs w:val="20"/>
        </w:rPr>
        <w:instrText xml:space="preserve"> REF _Ref511893770 \r \h </w:instrText>
      </w:r>
      <w:r w:rsidR="00E71695">
        <w:rPr>
          <w:rFonts w:ascii="Verdana" w:hAnsi="Verdana"/>
          <w:sz w:val="20"/>
          <w:szCs w:val="20"/>
        </w:rPr>
      </w:r>
      <w:r w:rsidR="00E71695">
        <w:rPr>
          <w:rFonts w:ascii="Verdana" w:hAnsi="Verdana"/>
          <w:sz w:val="20"/>
          <w:szCs w:val="20"/>
        </w:rPr>
        <w:fldChar w:fldCharType="separate"/>
      </w:r>
      <w:r w:rsidR="009B3833">
        <w:rPr>
          <w:rFonts w:ascii="Verdana" w:hAnsi="Verdana"/>
          <w:sz w:val="20"/>
          <w:szCs w:val="20"/>
        </w:rPr>
        <w:t>1</w:t>
      </w:r>
      <w:r w:rsidR="00E71695">
        <w:rPr>
          <w:rFonts w:ascii="Verdana" w:hAnsi="Verdana"/>
          <w:sz w:val="20"/>
          <w:szCs w:val="20"/>
        </w:rPr>
        <w:fldChar w:fldCharType="end"/>
      </w:r>
      <w:r w:rsidR="005540BF" w:rsidRPr="00E71695">
        <w:rPr>
          <w:rFonts w:ascii="Verdana" w:hAnsi="Verdana"/>
          <w:sz w:val="20"/>
          <w:szCs w:val="20"/>
        </w:rPr>
        <w:t xml:space="preserve">): i) en el caso </w:t>
      </w:r>
      <w:r w:rsidR="005540BF" w:rsidRPr="00E71695">
        <w:rPr>
          <w:rFonts w:ascii="Verdana" w:hAnsi="Verdana"/>
          <w:i/>
          <w:sz w:val="20"/>
          <w:szCs w:val="20"/>
        </w:rPr>
        <w:t>Pollo Rivera y otros</w:t>
      </w:r>
      <w:r w:rsidR="005540BF" w:rsidRPr="00E71695">
        <w:rPr>
          <w:rFonts w:ascii="Verdana" w:hAnsi="Verdana"/>
          <w:sz w:val="20"/>
          <w:szCs w:val="20"/>
        </w:rPr>
        <w:t>, la cantidad de US$ 4.330,76 (cuatro mil trescientos treinta dólares de los Estados Unidos de Améri</w:t>
      </w:r>
      <w:r w:rsidR="0085155A" w:rsidRPr="00E71695">
        <w:rPr>
          <w:rFonts w:ascii="Verdana" w:hAnsi="Verdana"/>
          <w:sz w:val="20"/>
          <w:szCs w:val="20"/>
        </w:rPr>
        <w:t>ca con setenta y seis centavos)</w:t>
      </w:r>
      <w:r w:rsidR="00C76D04">
        <w:rPr>
          <w:rStyle w:val="Refdenotaalpie"/>
          <w:rFonts w:ascii="Verdana" w:hAnsi="Verdana"/>
          <w:sz w:val="20"/>
          <w:szCs w:val="20"/>
        </w:rPr>
        <w:footnoteReference w:id="7"/>
      </w:r>
      <w:r w:rsidR="0085155A" w:rsidRPr="00E71695">
        <w:rPr>
          <w:rFonts w:ascii="Verdana" w:hAnsi="Verdana"/>
          <w:sz w:val="20"/>
          <w:szCs w:val="20"/>
        </w:rPr>
        <w:t>, y</w:t>
      </w:r>
      <w:r w:rsidR="005540BF" w:rsidRPr="00E71695">
        <w:rPr>
          <w:rFonts w:ascii="Verdana" w:hAnsi="Verdana"/>
          <w:sz w:val="20"/>
          <w:szCs w:val="20"/>
        </w:rPr>
        <w:t xml:space="preserve"> ii) en el caso </w:t>
      </w:r>
      <w:r w:rsidR="005540BF" w:rsidRPr="00E71695">
        <w:rPr>
          <w:rFonts w:ascii="Verdana" w:hAnsi="Verdana"/>
          <w:i/>
          <w:sz w:val="20"/>
          <w:szCs w:val="20"/>
        </w:rPr>
        <w:t>Lagos del Campo</w:t>
      </w:r>
      <w:r w:rsidR="005540BF" w:rsidRPr="00E71695">
        <w:rPr>
          <w:rFonts w:ascii="Verdana" w:hAnsi="Verdana"/>
          <w:sz w:val="20"/>
          <w:szCs w:val="20"/>
        </w:rPr>
        <w:t>, la cantidad de US$ 1.336,81 (mil trescientos treinta y seis dólares de los Estados Unidos de América</w:t>
      </w:r>
      <w:r w:rsidR="0068309F" w:rsidRPr="00E71695">
        <w:rPr>
          <w:rFonts w:ascii="Verdana" w:hAnsi="Verdana"/>
          <w:sz w:val="20"/>
          <w:szCs w:val="20"/>
        </w:rPr>
        <w:t xml:space="preserve"> con ochenta y un centavos</w:t>
      </w:r>
      <w:r w:rsidR="005540BF" w:rsidRPr="00E71695">
        <w:rPr>
          <w:rFonts w:ascii="Verdana" w:hAnsi="Verdana"/>
          <w:sz w:val="20"/>
          <w:szCs w:val="20"/>
        </w:rPr>
        <w:t>)</w:t>
      </w:r>
      <w:r w:rsidR="00C76D04">
        <w:rPr>
          <w:rStyle w:val="Refdenotaalpie"/>
          <w:rFonts w:ascii="Verdana" w:hAnsi="Verdana"/>
          <w:sz w:val="20"/>
          <w:szCs w:val="20"/>
        </w:rPr>
        <w:footnoteReference w:id="8"/>
      </w:r>
      <w:r w:rsidR="005540BF" w:rsidRPr="00E71695">
        <w:rPr>
          <w:rFonts w:ascii="Verdana" w:hAnsi="Verdana"/>
          <w:sz w:val="20"/>
          <w:szCs w:val="20"/>
        </w:rPr>
        <w:t>.</w:t>
      </w:r>
      <w:bookmarkEnd w:id="2"/>
      <w:r w:rsidR="005540BF" w:rsidRPr="00E71695">
        <w:rPr>
          <w:rFonts w:ascii="Verdana" w:hAnsi="Verdana"/>
          <w:sz w:val="20"/>
          <w:szCs w:val="20"/>
        </w:rPr>
        <w:t xml:space="preserve"> </w:t>
      </w:r>
    </w:p>
    <w:p w:rsidR="00E71695" w:rsidRPr="00E71695" w:rsidRDefault="00E71695" w:rsidP="00547C57">
      <w:pPr>
        <w:jc w:val="both"/>
        <w:rPr>
          <w:rFonts w:ascii="Verdana" w:hAnsi="Verdana" w:cs="Verdana"/>
          <w:sz w:val="20"/>
          <w:szCs w:val="20"/>
        </w:rPr>
      </w:pPr>
    </w:p>
    <w:p w:rsidR="00E71695" w:rsidRDefault="005540BF" w:rsidP="00547C57">
      <w:pPr>
        <w:numPr>
          <w:ilvl w:val="0"/>
          <w:numId w:val="7"/>
        </w:numPr>
        <w:ind w:left="0" w:firstLine="0"/>
        <w:jc w:val="both"/>
        <w:rPr>
          <w:rFonts w:ascii="Verdana" w:hAnsi="Verdana" w:cs="Verdana"/>
          <w:sz w:val="20"/>
          <w:szCs w:val="20"/>
        </w:rPr>
      </w:pPr>
      <w:bookmarkStart w:id="3" w:name="_Ref511894701"/>
      <w:r w:rsidRPr="00E71695">
        <w:rPr>
          <w:rFonts w:ascii="Verdana" w:hAnsi="Verdana"/>
          <w:sz w:val="20"/>
          <w:szCs w:val="20"/>
        </w:rPr>
        <w:t xml:space="preserve">La Corte determinó en las referidas Sentencias que el Estado debía reintegrar las cantidades referidas </w:t>
      </w:r>
      <w:r w:rsidR="00EC2770" w:rsidRPr="00E71695">
        <w:rPr>
          <w:rFonts w:ascii="Verdana" w:hAnsi="Verdana"/>
          <w:sz w:val="20"/>
          <w:szCs w:val="20"/>
        </w:rPr>
        <w:t xml:space="preserve">en el plazo de noventa días en </w:t>
      </w:r>
      <w:r w:rsidR="0085155A" w:rsidRPr="00E71695">
        <w:rPr>
          <w:rFonts w:ascii="Verdana" w:hAnsi="Verdana"/>
          <w:sz w:val="20"/>
          <w:szCs w:val="20"/>
        </w:rPr>
        <w:t>el caso</w:t>
      </w:r>
      <w:r w:rsidR="00EC2770" w:rsidRPr="00E71695">
        <w:rPr>
          <w:rFonts w:ascii="Verdana" w:hAnsi="Verdana"/>
          <w:i/>
          <w:sz w:val="20"/>
          <w:szCs w:val="20"/>
        </w:rPr>
        <w:t xml:space="preserve"> Lagos del Campo</w:t>
      </w:r>
      <w:r w:rsidR="006E4FC0" w:rsidRPr="00E71695">
        <w:rPr>
          <w:rFonts w:ascii="Verdana" w:hAnsi="Verdana"/>
          <w:sz w:val="20"/>
          <w:szCs w:val="20"/>
        </w:rPr>
        <w:t xml:space="preserve"> y en el plazo de seis meses en el caso </w:t>
      </w:r>
      <w:r w:rsidR="006E4FC0" w:rsidRPr="00E71695">
        <w:rPr>
          <w:rFonts w:ascii="Verdana" w:hAnsi="Verdana"/>
          <w:i/>
          <w:sz w:val="20"/>
          <w:szCs w:val="20"/>
        </w:rPr>
        <w:t>Pollo Rivera y otros</w:t>
      </w:r>
      <w:r w:rsidR="00EC2770" w:rsidRPr="00E71695">
        <w:rPr>
          <w:rFonts w:ascii="Verdana" w:hAnsi="Verdana"/>
          <w:i/>
          <w:sz w:val="20"/>
          <w:szCs w:val="20"/>
        </w:rPr>
        <w:t xml:space="preserve">, </w:t>
      </w:r>
      <w:r w:rsidR="0085155A" w:rsidRPr="00E71695">
        <w:rPr>
          <w:rFonts w:ascii="Verdana" w:hAnsi="Verdana"/>
          <w:sz w:val="20"/>
          <w:szCs w:val="20"/>
        </w:rPr>
        <w:t>ambos</w:t>
      </w:r>
      <w:r w:rsidR="00EC2770" w:rsidRPr="00E71695">
        <w:rPr>
          <w:rFonts w:ascii="Verdana" w:hAnsi="Verdana"/>
          <w:sz w:val="20"/>
          <w:szCs w:val="20"/>
        </w:rPr>
        <w:t xml:space="preserve"> plazos a partir de la notificación de los Fallos</w:t>
      </w:r>
      <w:r w:rsidR="00296450">
        <w:rPr>
          <w:rStyle w:val="Refdenotaalpie"/>
          <w:rFonts w:ascii="Verdana" w:hAnsi="Verdana" w:cs="Verdana"/>
          <w:sz w:val="20"/>
          <w:szCs w:val="20"/>
        </w:rPr>
        <w:footnoteReference w:id="9"/>
      </w:r>
      <w:r w:rsidR="00707546" w:rsidRPr="00E71695">
        <w:rPr>
          <w:rFonts w:ascii="Verdana" w:hAnsi="Verdana" w:cs="Verdana"/>
          <w:sz w:val="20"/>
          <w:szCs w:val="20"/>
        </w:rPr>
        <w:t xml:space="preserve">. </w:t>
      </w:r>
      <w:r w:rsidR="00826A6F" w:rsidRPr="00E71695">
        <w:rPr>
          <w:rFonts w:ascii="Verdana" w:hAnsi="Verdana" w:cs="Verdana"/>
          <w:sz w:val="20"/>
          <w:szCs w:val="20"/>
        </w:rPr>
        <w:t>Asimismo, en las mencionadas Sentencias, el Tribunal indicó que en caso de que el Estado incurriera en mora, debía pagar un interés sobre la cantidad adeudada, correspondiente al interés bancario moratorio en el Perú.</w:t>
      </w:r>
      <w:bookmarkEnd w:id="3"/>
    </w:p>
    <w:p w:rsidR="002B0F81" w:rsidRDefault="002B0F81" w:rsidP="00547C57">
      <w:pPr>
        <w:jc w:val="both"/>
        <w:rPr>
          <w:rFonts w:ascii="Verdana" w:hAnsi="Verdana" w:cs="Verdana"/>
          <w:sz w:val="20"/>
          <w:szCs w:val="20"/>
        </w:rPr>
      </w:pPr>
    </w:p>
    <w:p w:rsidR="00E71695" w:rsidRPr="002B0F81" w:rsidRDefault="003801B5" w:rsidP="00547C57">
      <w:pPr>
        <w:numPr>
          <w:ilvl w:val="0"/>
          <w:numId w:val="7"/>
        </w:numPr>
        <w:ind w:left="0" w:firstLine="0"/>
        <w:jc w:val="both"/>
        <w:rPr>
          <w:rFonts w:ascii="Verdana" w:hAnsi="Verdana"/>
          <w:sz w:val="20"/>
          <w:szCs w:val="20"/>
        </w:rPr>
      </w:pPr>
      <w:bookmarkStart w:id="4" w:name="_Ref511893802"/>
      <w:r w:rsidRPr="00E71695">
        <w:rPr>
          <w:rFonts w:ascii="Verdana" w:hAnsi="Verdana" w:cs="Verdana"/>
          <w:sz w:val="20"/>
          <w:szCs w:val="20"/>
        </w:rPr>
        <w:t>El Tribuna</w:t>
      </w:r>
      <w:r w:rsidR="008B781F" w:rsidRPr="00E71695">
        <w:rPr>
          <w:rFonts w:ascii="Verdana" w:hAnsi="Verdana" w:cs="Verdana"/>
          <w:sz w:val="20"/>
          <w:szCs w:val="20"/>
        </w:rPr>
        <w:t>l ha constatado que</w:t>
      </w:r>
      <w:r w:rsidR="007E7081" w:rsidRPr="00E71695">
        <w:rPr>
          <w:rFonts w:ascii="Verdana" w:hAnsi="Verdana" w:cs="Verdana"/>
          <w:sz w:val="20"/>
          <w:szCs w:val="20"/>
        </w:rPr>
        <w:t xml:space="preserve">, mediante </w:t>
      </w:r>
      <w:r w:rsidR="005D2F6B" w:rsidRPr="00E71695">
        <w:rPr>
          <w:rFonts w:ascii="Verdana" w:hAnsi="Verdana" w:cs="Verdana"/>
          <w:sz w:val="20"/>
          <w:szCs w:val="20"/>
        </w:rPr>
        <w:t xml:space="preserve">transferencia bancaria realizada el </w:t>
      </w:r>
      <w:r w:rsidR="00A44A4F" w:rsidRPr="00E71695">
        <w:rPr>
          <w:rFonts w:ascii="Verdana" w:hAnsi="Verdana" w:cs="Verdana"/>
          <w:sz w:val="20"/>
          <w:szCs w:val="20"/>
        </w:rPr>
        <w:t>14</w:t>
      </w:r>
      <w:r w:rsidR="005D2F6B" w:rsidRPr="00E71695">
        <w:rPr>
          <w:rFonts w:ascii="Verdana" w:hAnsi="Verdana" w:cs="Verdana"/>
          <w:sz w:val="20"/>
          <w:szCs w:val="20"/>
        </w:rPr>
        <w:t xml:space="preserve"> de </w:t>
      </w:r>
      <w:r w:rsidR="00A44A4F" w:rsidRPr="00E71695">
        <w:rPr>
          <w:rFonts w:ascii="Verdana" w:hAnsi="Verdana" w:cs="Verdana"/>
          <w:sz w:val="20"/>
          <w:szCs w:val="20"/>
        </w:rPr>
        <w:t>febrero</w:t>
      </w:r>
      <w:r w:rsidR="005D2F6B" w:rsidRPr="00E71695">
        <w:rPr>
          <w:rFonts w:ascii="Verdana" w:hAnsi="Verdana" w:cs="Verdana"/>
          <w:sz w:val="20"/>
          <w:szCs w:val="20"/>
        </w:rPr>
        <w:t xml:space="preserve"> de </w:t>
      </w:r>
      <w:r w:rsidR="0080538D" w:rsidRPr="00E71695">
        <w:rPr>
          <w:rFonts w:ascii="Verdana" w:hAnsi="Verdana" w:cs="Verdana"/>
          <w:sz w:val="20"/>
          <w:szCs w:val="20"/>
        </w:rPr>
        <w:t>2018</w:t>
      </w:r>
      <w:r w:rsidR="005D2F6B" w:rsidRPr="00E71695">
        <w:rPr>
          <w:rFonts w:ascii="Verdana" w:hAnsi="Verdana" w:cs="Verdana"/>
          <w:sz w:val="20"/>
          <w:szCs w:val="20"/>
        </w:rPr>
        <w:t xml:space="preserve"> por el Ministerio de Justicia y Derechos Humanos del Perú, el Estado ha cumplido con reintegrar al Fondo de Asistencia Legal la cantidad de US$ </w:t>
      </w:r>
      <w:r w:rsidR="0085155A" w:rsidRPr="00E71695">
        <w:rPr>
          <w:rFonts w:ascii="Verdana" w:hAnsi="Verdana" w:cs="Verdana"/>
          <w:sz w:val="20"/>
          <w:szCs w:val="20"/>
        </w:rPr>
        <w:t>5</w:t>
      </w:r>
      <w:r w:rsidR="005D2F6B" w:rsidRPr="00E71695">
        <w:rPr>
          <w:rFonts w:ascii="Verdana" w:hAnsi="Verdana" w:cs="Verdana"/>
          <w:sz w:val="20"/>
          <w:szCs w:val="20"/>
        </w:rPr>
        <w:t>.</w:t>
      </w:r>
      <w:r w:rsidR="0085155A" w:rsidRPr="00E71695">
        <w:rPr>
          <w:rFonts w:ascii="Verdana" w:hAnsi="Verdana" w:cs="Verdana"/>
          <w:sz w:val="20"/>
          <w:szCs w:val="20"/>
        </w:rPr>
        <w:t>667</w:t>
      </w:r>
      <w:r w:rsidR="005D2F6B" w:rsidRPr="00E71695">
        <w:rPr>
          <w:rFonts w:ascii="Verdana" w:hAnsi="Verdana" w:cs="Verdana"/>
          <w:sz w:val="20"/>
          <w:szCs w:val="20"/>
        </w:rPr>
        <w:t>,57</w:t>
      </w:r>
      <w:r w:rsidR="007E7081" w:rsidRPr="00E71695">
        <w:rPr>
          <w:rFonts w:ascii="Verdana" w:hAnsi="Verdana" w:cs="Verdana"/>
          <w:sz w:val="20"/>
          <w:szCs w:val="20"/>
        </w:rPr>
        <w:t xml:space="preserve"> </w:t>
      </w:r>
      <w:r w:rsidR="005D2F6B" w:rsidRPr="00E71695">
        <w:rPr>
          <w:rFonts w:ascii="Verdana" w:hAnsi="Verdana" w:cs="Verdana"/>
          <w:sz w:val="20"/>
          <w:szCs w:val="20"/>
        </w:rPr>
        <w:t>(</w:t>
      </w:r>
      <w:r w:rsidR="0085155A" w:rsidRPr="00E71695">
        <w:rPr>
          <w:rFonts w:ascii="Verdana" w:hAnsi="Verdana" w:cs="Verdana"/>
          <w:sz w:val="20"/>
          <w:szCs w:val="20"/>
        </w:rPr>
        <w:t>cinco</w:t>
      </w:r>
      <w:r w:rsidR="005D2F6B" w:rsidRPr="00E71695">
        <w:rPr>
          <w:rFonts w:ascii="Verdana" w:hAnsi="Verdana" w:cs="Verdana"/>
          <w:sz w:val="20"/>
          <w:szCs w:val="20"/>
        </w:rPr>
        <w:t xml:space="preserve"> mil </w:t>
      </w:r>
      <w:r w:rsidR="0085155A" w:rsidRPr="00E71695">
        <w:rPr>
          <w:rFonts w:ascii="Verdana" w:hAnsi="Verdana" w:cs="Verdana"/>
          <w:sz w:val="20"/>
          <w:szCs w:val="20"/>
        </w:rPr>
        <w:t>seis</w:t>
      </w:r>
      <w:r w:rsidR="005D2F6B" w:rsidRPr="00E71695">
        <w:rPr>
          <w:rFonts w:ascii="Verdana" w:hAnsi="Verdana" w:cs="Verdana"/>
          <w:sz w:val="20"/>
          <w:szCs w:val="20"/>
        </w:rPr>
        <w:t>ciento</w:t>
      </w:r>
      <w:r w:rsidR="0085155A" w:rsidRPr="00E71695">
        <w:rPr>
          <w:rFonts w:ascii="Verdana" w:hAnsi="Verdana" w:cs="Verdana"/>
          <w:sz w:val="20"/>
          <w:szCs w:val="20"/>
        </w:rPr>
        <w:t>s</w:t>
      </w:r>
      <w:r w:rsidR="005D2F6B" w:rsidRPr="00E71695">
        <w:rPr>
          <w:rFonts w:ascii="Verdana" w:hAnsi="Verdana" w:cs="Verdana"/>
          <w:sz w:val="20"/>
          <w:szCs w:val="20"/>
        </w:rPr>
        <w:t xml:space="preserve"> </w:t>
      </w:r>
      <w:r w:rsidR="0085155A" w:rsidRPr="00E71695">
        <w:rPr>
          <w:rFonts w:ascii="Verdana" w:hAnsi="Verdana" w:cs="Verdana"/>
          <w:sz w:val="20"/>
          <w:szCs w:val="20"/>
        </w:rPr>
        <w:t>sesenta y siete</w:t>
      </w:r>
      <w:r w:rsidR="005D2F6B" w:rsidRPr="00E71695">
        <w:rPr>
          <w:rFonts w:ascii="Verdana" w:hAnsi="Verdana" w:cs="Verdana"/>
          <w:sz w:val="20"/>
          <w:szCs w:val="20"/>
        </w:rPr>
        <w:t xml:space="preserve"> dólares de los Estados Unidos de América y cincuenta y siete centavos), correspondiente a los </w:t>
      </w:r>
      <w:r w:rsidR="0085155A" w:rsidRPr="00E71695">
        <w:rPr>
          <w:rFonts w:ascii="Verdana" w:hAnsi="Verdana" w:cs="Verdana"/>
          <w:sz w:val="20"/>
          <w:szCs w:val="20"/>
        </w:rPr>
        <w:t>dos</w:t>
      </w:r>
      <w:r w:rsidR="005D2F6B" w:rsidRPr="00E71695">
        <w:rPr>
          <w:rFonts w:ascii="Verdana" w:hAnsi="Verdana" w:cs="Verdana"/>
          <w:sz w:val="20"/>
          <w:szCs w:val="20"/>
        </w:rPr>
        <w:t xml:space="preserve"> casos referidos</w:t>
      </w:r>
      <w:r w:rsidR="0080538D">
        <w:rPr>
          <w:rStyle w:val="Refdenotaalpie"/>
          <w:rFonts w:ascii="Verdana" w:hAnsi="Verdana" w:cs="Verdana"/>
          <w:sz w:val="20"/>
          <w:szCs w:val="20"/>
        </w:rPr>
        <w:footnoteReference w:id="10"/>
      </w:r>
      <w:r w:rsidR="005D2F6B" w:rsidRPr="00E71695">
        <w:rPr>
          <w:rFonts w:ascii="Verdana" w:hAnsi="Verdana" w:cs="Verdana"/>
          <w:sz w:val="20"/>
          <w:szCs w:val="20"/>
        </w:rPr>
        <w:t xml:space="preserve">. Sin embargo, realizó dicho pago ocho meses después del vencimiento del plazo de seis meses dispuesto en el caso </w:t>
      </w:r>
      <w:r w:rsidR="005D2F6B" w:rsidRPr="00E71695">
        <w:rPr>
          <w:rFonts w:ascii="Verdana" w:hAnsi="Verdana" w:cs="Verdana"/>
          <w:i/>
          <w:sz w:val="20"/>
          <w:szCs w:val="20"/>
        </w:rPr>
        <w:t xml:space="preserve">Pollo Rivera y otros </w:t>
      </w:r>
      <w:r w:rsidR="005D2F6B" w:rsidRPr="00E71695">
        <w:rPr>
          <w:rFonts w:ascii="Verdana" w:hAnsi="Verdana" w:cs="Verdana"/>
          <w:sz w:val="20"/>
          <w:szCs w:val="20"/>
        </w:rPr>
        <w:t>y</w:t>
      </w:r>
      <w:r w:rsidR="00547C57">
        <w:rPr>
          <w:rFonts w:ascii="Verdana" w:hAnsi="Verdana" w:cs="Verdana"/>
          <w:sz w:val="20"/>
          <w:szCs w:val="20"/>
        </w:rPr>
        <w:t xml:space="preserve"> dos días después del vencimiento del plazo de noventa días dispuesto en el caso </w:t>
      </w:r>
      <w:r w:rsidR="00547C57">
        <w:rPr>
          <w:rFonts w:ascii="Verdana" w:hAnsi="Verdana" w:cs="Verdana"/>
          <w:i/>
          <w:sz w:val="20"/>
          <w:szCs w:val="20"/>
        </w:rPr>
        <w:t>Lagos del Campo</w:t>
      </w:r>
      <w:r w:rsidR="005D2F6B" w:rsidRPr="00E71695">
        <w:rPr>
          <w:rFonts w:ascii="Verdana" w:hAnsi="Verdana" w:cs="Verdana"/>
          <w:sz w:val="20"/>
          <w:szCs w:val="20"/>
        </w:rPr>
        <w:t xml:space="preserve"> (</w:t>
      </w:r>
      <w:r w:rsidR="005D2F6B" w:rsidRPr="00E71695">
        <w:rPr>
          <w:rFonts w:ascii="Verdana" w:hAnsi="Verdana" w:cs="Verdana"/>
          <w:i/>
          <w:sz w:val="20"/>
          <w:szCs w:val="20"/>
        </w:rPr>
        <w:t>supra</w:t>
      </w:r>
      <w:r w:rsidR="005D2F6B" w:rsidRPr="00E71695">
        <w:rPr>
          <w:rFonts w:ascii="Verdana" w:hAnsi="Verdana" w:cs="Verdana"/>
          <w:sz w:val="20"/>
          <w:szCs w:val="20"/>
        </w:rPr>
        <w:t xml:space="preserve"> Visto </w:t>
      </w:r>
      <w:r w:rsidR="002B0F81">
        <w:rPr>
          <w:rFonts w:ascii="Verdana" w:hAnsi="Verdana" w:cs="Verdana"/>
          <w:sz w:val="20"/>
          <w:szCs w:val="20"/>
        </w:rPr>
        <w:fldChar w:fldCharType="begin"/>
      </w:r>
      <w:r w:rsidR="002B0F81">
        <w:rPr>
          <w:rFonts w:ascii="Verdana" w:hAnsi="Verdana" w:cs="Verdana"/>
          <w:sz w:val="20"/>
          <w:szCs w:val="20"/>
        </w:rPr>
        <w:instrText xml:space="preserve"> REF _Ref511894694 \r \h </w:instrText>
      </w:r>
      <w:r w:rsidR="002B0F81">
        <w:rPr>
          <w:rFonts w:ascii="Verdana" w:hAnsi="Verdana" w:cs="Verdana"/>
          <w:sz w:val="20"/>
          <w:szCs w:val="20"/>
        </w:rPr>
      </w:r>
      <w:r w:rsidR="002B0F81">
        <w:rPr>
          <w:rFonts w:ascii="Verdana" w:hAnsi="Verdana" w:cs="Verdana"/>
          <w:sz w:val="20"/>
          <w:szCs w:val="20"/>
        </w:rPr>
        <w:fldChar w:fldCharType="separate"/>
      </w:r>
      <w:r w:rsidR="009B3833">
        <w:rPr>
          <w:rFonts w:ascii="Verdana" w:hAnsi="Verdana" w:cs="Verdana"/>
          <w:sz w:val="20"/>
          <w:szCs w:val="20"/>
        </w:rPr>
        <w:t>1</w:t>
      </w:r>
      <w:r w:rsidR="002B0F81">
        <w:rPr>
          <w:rFonts w:ascii="Verdana" w:hAnsi="Verdana" w:cs="Verdana"/>
          <w:sz w:val="20"/>
          <w:szCs w:val="20"/>
        </w:rPr>
        <w:fldChar w:fldCharType="end"/>
      </w:r>
      <w:r w:rsidR="005D2F6B" w:rsidRPr="00E71695">
        <w:rPr>
          <w:rFonts w:ascii="Verdana" w:hAnsi="Verdana" w:cs="Verdana"/>
          <w:sz w:val="20"/>
          <w:szCs w:val="20"/>
        </w:rPr>
        <w:t xml:space="preserve"> y Considerando </w:t>
      </w:r>
      <w:r w:rsidR="002B0F81">
        <w:rPr>
          <w:rFonts w:ascii="Verdana" w:hAnsi="Verdana" w:cs="Verdana"/>
          <w:sz w:val="20"/>
          <w:szCs w:val="20"/>
        </w:rPr>
        <w:fldChar w:fldCharType="begin"/>
      </w:r>
      <w:r w:rsidR="002B0F81">
        <w:rPr>
          <w:rFonts w:ascii="Verdana" w:hAnsi="Verdana" w:cs="Verdana"/>
          <w:sz w:val="20"/>
          <w:szCs w:val="20"/>
        </w:rPr>
        <w:instrText xml:space="preserve"> REF _Ref511894701 \r \h </w:instrText>
      </w:r>
      <w:r w:rsidR="002B0F81">
        <w:rPr>
          <w:rFonts w:ascii="Verdana" w:hAnsi="Verdana" w:cs="Verdana"/>
          <w:sz w:val="20"/>
          <w:szCs w:val="20"/>
        </w:rPr>
      </w:r>
      <w:r w:rsidR="002B0F81">
        <w:rPr>
          <w:rFonts w:ascii="Verdana" w:hAnsi="Verdana" w:cs="Verdana"/>
          <w:sz w:val="20"/>
          <w:szCs w:val="20"/>
        </w:rPr>
        <w:fldChar w:fldCharType="separate"/>
      </w:r>
      <w:r w:rsidR="009B3833">
        <w:rPr>
          <w:rFonts w:ascii="Verdana" w:hAnsi="Verdana" w:cs="Verdana"/>
          <w:sz w:val="20"/>
          <w:szCs w:val="20"/>
        </w:rPr>
        <w:t>2</w:t>
      </w:r>
      <w:r w:rsidR="002B0F81">
        <w:rPr>
          <w:rFonts w:ascii="Verdana" w:hAnsi="Verdana" w:cs="Verdana"/>
          <w:sz w:val="20"/>
          <w:szCs w:val="20"/>
        </w:rPr>
        <w:fldChar w:fldCharType="end"/>
      </w:r>
      <w:r w:rsidR="005D2F6B" w:rsidRPr="00E71695">
        <w:rPr>
          <w:rFonts w:ascii="Verdana" w:hAnsi="Verdana" w:cs="Verdana"/>
          <w:sz w:val="20"/>
          <w:szCs w:val="20"/>
        </w:rPr>
        <w:t>), y no incluyó un monto por concepto de los intereses moratorios derivados de ese tiempo de retraso. Por lo tanto, se requiere al Estado que, a la brevedad, pague al Fondo de Asistencia de la Corte el monto correspondiente a los referidos intereses moratorios.</w:t>
      </w:r>
      <w:bookmarkEnd w:id="4"/>
      <w:r w:rsidR="005D2F6B" w:rsidRPr="00E71695">
        <w:rPr>
          <w:rFonts w:ascii="Verdana" w:hAnsi="Verdana" w:cs="Verdana"/>
          <w:sz w:val="20"/>
          <w:szCs w:val="20"/>
        </w:rPr>
        <w:t xml:space="preserve"> </w:t>
      </w:r>
    </w:p>
    <w:p w:rsidR="002B0F81" w:rsidRPr="00E71695" w:rsidRDefault="002B0F81" w:rsidP="0041618C">
      <w:pPr>
        <w:jc w:val="both"/>
        <w:rPr>
          <w:rFonts w:ascii="Verdana" w:hAnsi="Verdana"/>
          <w:sz w:val="20"/>
          <w:szCs w:val="20"/>
        </w:rPr>
      </w:pPr>
    </w:p>
    <w:p w:rsidR="0065520B" w:rsidRPr="00E71695" w:rsidRDefault="0065520B" w:rsidP="008B438A">
      <w:pPr>
        <w:numPr>
          <w:ilvl w:val="0"/>
          <w:numId w:val="7"/>
        </w:numPr>
        <w:ind w:left="0" w:firstLine="0"/>
        <w:jc w:val="both"/>
        <w:rPr>
          <w:rFonts w:ascii="Verdana" w:hAnsi="Verdana"/>
          <w:sz w:val="20"/>
          <w:szCs w:val="20"/>
        </w:rPr>
      </w:pPr>
      <w:r w:rsidRPr="00E71695">
        <w:rPr>
          <w:rFonts w:ascii="Verdana" w:hAnsi="Verdana"/>
          <w:sz w:val="20"/>
          <w:szCs w:val="20"/>
        </w:rPr>
        <w:t>El Tribunal recuerda que</w:t>
      </w:r>
      <w:r w:rsidR="00DC2794" w:rsidRPr="00E71695">
        <w:rPr>
          <w:rFonts w:ascii="Verdana" w:hAnsi="Verdana"/>
          <w:sz w:val="20"/>
          <w:szCs w:val="20"/>
        </w:rPr>
        <w:t xml:space="preserve"> la cr</w:t>
      </w:r>
      <w:r w:rsidR="005C081E" w:rsidRPr="00E71695">
        <w:rPr>
          <w:rFonts w:ascii="Verdana" w:hAnsi="Verdana"/>
          <w:sz w:val="20"/>
          <w:szCs w:val="20"/>
        </w:rPr>
        <w:t>eación del Fondo de Asistencia L</w:t>
      </w:r>
      <w:r w:rsidR="00DC2794" w:rsidRPr="00E71695">
        <w:rPr>
          <w:rFonts w:ascii="Verdana" w:hAnsi="Verdana"/>
          <w:sz w:val="20"/>
          <w:szCs w:val="20"/>
        </w:rPr>
        <w:t xml:space="preserve">egal del Sistema Interamericano </w:t>
      </w:r>
      <w:r w:rsidR="000418EE" w:rsidRPr="00E71695">
        <w:rPr>
          <w:rFonts w:ascii="Verdana" w:hAnsi="Verdana"/>
          <w:sz w:val="20"/>
          <w:szCs w:val="20"/>
        </w:rPr>
        <w:t xml:space="preserve">fue </w:t>
      </w:r>
      <w:r w:rsidR="00DC2794" w:rsidRPr="00E71695">
        <w:rPr>
          <w:rFonts w:ascii="Verdana" w:hAnsi="Verdana"/>
          <w:sz w:val="20"/>
          <w:szCs w:val="20"/>
        </w:rPr>
        <w:t>aprobada en el 2008 por la Asamblea General de la OEA</w:t>
      </w:r>
      <w:r w:rsidR="00DC2794" w:rsidRPr="00011A45">
        <w:rPr>
          <w:rStyle w:val="Refdenotaalpie"/>
          <w:rFonts w:ascii="Verdana" w:hAnsi="Verdana"/>
          <w:sz w:val="20"/>
          <w:szCs w:val="20"/>
        </w:rPr>
        <w:footnoteReference w:id="11"/>
      </w:r>
      <w:r w:rsidR="00DC2794" w:rsidRPr="00E71695">
        <w:rPr>
          <w:rFonts w:ascii="Verdana" w:hAnsi="Verdana"/>
          <w:sz w:val="20"/>
          <w:szCs w:val="20"/>
        </w:rPr>
        <w:t xml:space="preserve">, </w:t>
      </w:r>
      <w:r w:rsidR="00336F0F" w:rsidRPr="00E71695">
        <w:rPr>
          <w:rFonts w:ascii="Verdana" w:hAnsi="Verdana"/>
          <w:sz w:val="20"/>
          <w:szCs w:val="20"/>
        </w:rPr>
        <w:t>y se aprobó que tuviera dos cuentas separadas: una para la Comisión Interamericana y otra para la Corte</w:t>
      </w:r>
      <w:r w:rsidR="00AB48F8" w:rsidRPr="00E71695">
        <w:rPr>
          <w:rFonts w:ascii="Verdana" w:hAnsi="Verdana"/>
          <w:sz w:val="20"/>
          <w:szCs w:val="20"/>
        </w:rPr>
        <w:t xml:space="preserve"> Interamericana</w:t>
      </w:r>
      <w:r w:rsidR="00AB48F8" w:rsidRPr="00011A45">
        <w:rPr>
          <w:rStyle w:val="Refdenotaalpie"/>
          <w:rFonts w:ascii="Verdana" w:hAnsi="Verdana"/>
          <w:sz w:val="20"/>
          <w:szCs w:val="20"/>
        </w:rPr>
        <w:footnoteReference w:id="12"/>
      </w:r>
      <w:r w:rsidR="00336F0F" w:rsidRPr="00E71695">
        <w:rPr>
          <w:rFonts w:ascii="Verdana" w:hAnsi="Verdana"/>
          <w:sz w:val="20"/>
          <w:szCs w:val="20"/>
        </w:rPr>
        <w:t>.</w:t>
      </w:r>
      <w:r w:rsidRPr="00E71695">
        <w:rPr>
          <w:rFonts w:ascii="Verdana" w:hAnsi="Verdana"/>
          <w:sz w:val="20"/>
          <w:szCs w:val="20"/>
        </w:rPr>
        <w:t xml:space="preserve"> </w:t>
      </w:r>
      <w:r w:rsidR="00AB48F8" w:rsidRPr="00E71695">
        <w:rPr>
          <w:rFonts w:ascii="Verdana" w:hAnsi="Verdana"/>
          <w:sz w:val="20"/>
          <w:szCs w:val="20"/>
        </w:rPr>
        <w:t>E</w:t>
      </w:r>
      <w:r w:rsidR="00613A26" w:rsidRPr="00E71695">
        <w:rPr>
          <w:rFonts w:ascii="Verdana" w:hAnsi="Verdana"/>
          <w:sz w:val="20"/>
          <w:szCs w:val="20"/>
        </w:rPr>
        <w:t xml:space="preserve">n lo que respecta </w:t>
      </w:r>
      <w:r w:rsidR="00B82DF7" w:rsidRPr="00E71695">
        <w:rPr>
          <w:rFonts w:ascii="Verdana" w:hAnsi="Verdana"/>
          <w:sz w:val="20"/>
          <w:szCs w:val="20"/>
        </w:rPr>
        <w:t xml:space="preserve">al financiamiento del Fondo de Asistencia de la Corte, </w:t>
      </w:r>
      <w:r w:rsidR="005C081E" w:rsidRPr="00E71695">
        <w:rPr>
          <w:rFonts w:ascii="Verdana" w:hAnsi="Verdana"/>
          <w:sz w:val="20"/>
          <w:szCs w:val="20"/>
        </w:rPr>
        <w:t xml:space="preserve">el Tribunal recuerda que </w:t>
      </w:r>
      <w:r w:rsidR="00613A26" w:rsidRPr="00E71695">
        <w:rPr>
          <w:rFonts w:ascii="Verdana" w:hAnsi="Verdana"/>
          <w:sz w:val="20"/>
          <w:szCs w:val="20"/>
        </w:rPr>
        <w:t xml:space="preserve">desde su funcionamiento a partir del 2010, este ha dependido </w:t>
      </w:r>
      <w:r w:rsidR="0031129C" w:rsidRPr="00E71695">
        <w:rPr>
          <w:rFonts w:ascii="Verdana" w:hAnsi="Verdana"/>
          <w:sz w:val="20"/>
          <w:szCs w:val="20"/>
        </w:rPr>
        <w:t xml:space="preserve">de </w:t>
      </w:r>
      <w:r w:rsidR="005C081E" w:rsidRPr="00E71695">
        <w:rPr>
          <w:rFonts w:ascii="Verdana" w:hAnsi="Verdana"/>
          <w:sz w:val="20"/>
          <w:szCs w:val="20"/>
        </w:rPr>
        <w:t xml:space="preserve">los </w:t>
      </w:r>
      <w:r w:rsidRPr="00E71695">
        <w:rPr>
          <w:rFonts w:ascii="Verdana" w:hAnsi="Verdana" w:cs="Verdana"/>
          <w:sz w:val="20"/>
          <w:szCs w:val="20"/>
        </w:rPr>
        <w:t xml:space="preserve">aportes </w:t>
      </w:r>
      <w:r w:rsidR="005C081E" w:rsidRPr="00E71695">
        <w:rPr>
          <w:rFonts w:ascii="Verdana" w:hAnsi="Verdana" w:cs="Verdana"/>
          <w:sz w:val="20"/>
          <w:szCs w:val="20"/>
        </w:rPr>
        <w:t xml:space="preserve">de capital </w:t>
      </w:r>
      <w:r w:rsidRPr="00E71695">
        <w:rPr>
          <w:rFonts w:ascii="Verdana" w:hAnsi="Verdana" w:cs="Verdana"/>
          <w:sz w:val="20"/>
          <w:szCs w:val="20"/>
        </w:rPr>
        <w:t>voluntarios de fuentes cooperantes</w:t>
      </w:r>
      <w:r w:rsidR="00613A26" w:rsidRPr="00E71695">
        <w:rPr>
          <w:rFonts w:ascii="Verdana" w:hAnsi="Verdana" w:cs="Verdana"/>
          <w:sz w:val="20"/>
          <w:szCs w:val="20"/>
        </w:rPr>
        <w:t xml:space="preserve"> y de</w:t>
      </w:r>
      <w:r w:rsidR="001C3239" w:rsidRPr="00E71695">
        <w:rPr>
          <w:rFonts w:ascii="Verdana" w:hAnsi="Verdana" w:cs="Verdana"/>
          <w:sz w:val="20"/>
          <w:szCs w:val="20"/>
        </w:rPr>
        <w:t>l aporte de</w:t>
      </w:r>
      <w:r w:rsidR="00613A26" w:rsidRPr="00E71695">
        <w:rPr>
          <w:rFonts w:ascii="Verdana" w:hAnsi="Verdana" w:cs="Verdana"/>
          <w:sz w:val="20"/>
          <w:szCs w:val="20"/>
        </w:rPr>
        <w:t xml:space="preserve"> un Estado miembro de la OEA</w:t>
      </w:r>
      <w:r w:rsidR="005C081E" w:rsidRPr="00011A45">
        <w:rPr>
          <w:rStyle w:val="Refdenotaalpie"/>
          <w:rFonts w:ascii="Verdana" w:hAnsi="Verdana" w:cs="Verdana"/>
          <w:sz w:val="20"/>
          <w:szCs w:val="20"/>
        </w:rPr>
        <w:footnoteReference w:id="13"/>
      </w:r>
      <w:r w:rsidRPr="00E71695">
        <w:rPr>
          <w:rFonts w:ascii="Verdana" w:hAnsi="Verdana" w:cs="Verdana"/>
          <w:sz w:val="20"/>
          <w:szCs w:val="20"/>
        </w:rPr>
        <w:t xml:space="preserve">, </w:t>
      </w:r>
      <w:r w:rsidR="00613A26" w:rsidRPr="00E71695">
        <w:rPr>
          <w:rFonts w:ascii="Verdana" w:hAnsi="Verdana" w:cs="Verdana"/>
          <w:sz w:val="20"/>
          <w:szCs w:val="20"/>
        </w:rPr>
        <w:t xml:space="preserve">así como de los reintegros que realicen los Estados </w:t>
      </w:r>
      <w:r w:rsidR="00613A26" w:rsidRPr="00E71695">
        <w:rPr>
          <w:rFonts w:ascii="Verdana" w:hAnsi="Verdana" w:cs="Verdana"/>
          <w:sz w:val="20"/>
          <w:szCs w:val="20"/>
        </w:rPr>
        <w:lastRenderedPageBreak/>
        <w:t xml:space="preserve">responsables, </w:t>
      </w:r>
      <w:r w:rsidRPr="00E71695">
        <w:rPr>
          <w:rFonts w:ascii="Verdana" w:hAnsi="Verdana" w:cs="Verdana"/>
          <w:sz w:val="20"/>
          <w:szCs w:val="20"/>
        </w:rPr>
        <w:t xml:space="preserve">razón por la cual los recursos </w:t>
      </w:r>
      <w:r w:rsidRPr="00E71695">
        <w:rPr>
          <w:rFonts w:ascii="Verdana" w:hAnsi="Verdana" w:cs="Verdana"/>
          <w:bCs/>
          <w:sz w:val="20"/>
          <w:szCs w:val="20"/>
        </w:rPr>
        <w:t xml:space="preserve">disponibles en el mismo son limitados. Es por ello que el </w:t>
      </w:r>
      <w:r w:rsidRPr="00E71695">
        <w:rPr>
          <w:rFonts w:ascii="Verdana" w:hAnsi="Verdana"/>
          <w:sz w:val="20"/>
          <w:szCs w:val="20"/>
        </w:rPr>
        <w:t>Tribunal</w:t>
      </w:r>
      <w:r w:rsidRPr="00E71695">
        <w:rPr>
          <w:rFonts w:ascii="Verdana" w:hAnsi="Verdana" w:cs="Verdana"/>
          <w:bCs/>
          <w:sz w:val="20"/>
          <w:szCs w:val="20"/>
        </w:rPr>
        <w:t xml:space="preserve"> </w:t>
      </w:r>
      <w:r w:rsidRPr="00E71695">
        <w:rPr>
          <w:rFonts w:ascii="Verdana" w:hAnsi="Verdana"/>
          <w:sz w:val="20"/>
          <w:szCs w:val="20"/>
        </w:rPr>
        <w:t>resalta la voluntad de cumplimiento de sus obligaciones internacionales demostrada por el Estado de</w:t>
      </w:r>
      <w:r w:rsidR="008713AD" w:rsidRPr="00E71695">
        <w:rPr>
          <w:rFonts w:ascii="Verdana" w:hAnsi="Verdana"/>
          <w:sz w:val="20"/>
          <w:szCs w:val="20"/>
        </w:rPr>
        <w:t>l Perú</w:t>
      </w:r>
      <w:r w:rsidRPr="00E71695">
        <w:rPr>
          <w:rFonts w:ascii="Verdana" w:hAnsi="Verdana"/>
          <w:sz w:val="20"/>
          <w:szCs w:val="20"/>
        </w:rPr>
        <w:t xml:space="preserve"> al reintegrar los </w:t>
      </w:r>
      <w:r w:rsidR="00613A26" w:rsidRPr="00E71695">
        <w:rPr>
          <w:rFonts w:ascii="Verdana" w:hAnsi="Verdana"/>
          <w:sz w:val="20"/>
          <w:szCs w:val="20"/>
        </w:rPr>
        <w:t>recursos</w:t>
      </w:r>
      <w:r w:rsidRPr="00E71695">
        <w:rPr>
          <w:rFonts w:ascii="Verdana" w:hAnsi="Verdana"/>
          <w:sz w:val="20"/>
          <w:szCs w:val="20"/>
        </w:rPr>
        <w:t xml:space="preserve"> al</w:t>
      </w:r>
      <w:r w:rsidR="00B82DF7" w:rsidRPr="00E71695">
        <w:rPr>
          <w:rFonts w:ascii="Verdana" w:hAnsi="Verdana"/>
          <w:sz w:val="20"/>
          <w:szCs w:val="20"/>
        </w:rPr>
        <w:t xml:space="preserve"> referido</w:t>
      </w:r>
      <w:r w:rsidRPr="00E71695">
        <w:rPr>
          <w:rFonts w:ascii="Verdana" w:hAnsi="Verdana"/>
          <w:sz w:val="20"/>
          <w:szCs w:val="20"/>
        </w:rPr>
        <w:t xml:space="preserve"> Fondo de Asistencia. El reintegro realizado por </w:t>
      </w:r>
      <w:r w:rsidR="008713AD" w:rsidRPr="00E71695">
        <w:rPr>
          <w:rFonts w:ascii="Verdana" w:hAnsi="Verdana"/>
          <w:sz w:val="20"/>
          <w:szCs w:val="20"/>
        </w:rPr>
        <w:t>el Perú</w:t>
      </w:r>
      <w:r w:rsidRPr="00E71695">
        <w:rPr>
          <w:rFonts w:ascii="Verdana" w:hAnsi="Verdana"/>
          <w:sz w:val="20"/>
          <w:szCs w:val="20"/>
        </w:rPr>
        <w:t xml:space="preserve"> contribuirá a la sostenibilidad de dicho Fondo, el cual está dirigido a brindar asistencia económica a las presuntas víctimas que carecen de recursos económicos suficientes para sufragar los gastos del litigio ante la Corte Interamericana, garantizando su acceso a la justicia en términos igualitarios.</w:t>
      </w:r>
    </w:p>
    <w:p w:rsidR="005C0F77" w:rsidRDefault="005C0F77" w:rsidP="008B438A">
      <w:pPr>
        <w:jc w:val="both"/>
        <w:rPr>
          <w:rFonts w:ascii="Verdana" w:hAnsi="Verdana"/>
          <w:sz w:val="20"/>
          <w:szCs w:val="20"/>
        </w:rPr>
      </w:pPr>
    </w:p>
    <w:p w:rsidR="0065520B" w:rsidRPr="00F10321" w:rsidRDefault="0065520B" w:rsidP="008B438A">
      <w:pPr>
        <w:ind w:right="366"/>
        <w:jc w:val="both"/>
        <w:rPr>
          <w:rFonts w:ascii="Verdana" w:hAnsi="Verdana"/>
          <w:b/>
          <w:sz w:val="20"/>
          <w:szCs w:val="20"/>
        </w:rPr>
      </w:pPr>
      <w:r w:rsidRPr="00F10321">
        <w:rPr>
          <w:rFonts w:ascii="Verdana" w:hAnsi="Verdana"/>
          <w:b/>
          <w:sz w:val="20"/>
          <w:szCs w:val="20"/>
        </w:rPr>
        <w:t>POR TANTO:</w:t>
      </w:r>
    </w:p>
    <w:p w:rsidR="0065520B" w:rsidRPr="00F10321" w:rsidRDefault="0065520B" w:rsidP="008B438A">
      <w:pPr>
        <w:ind w:right="366"/>
        <w:jc w:val="both"/>
        <w:rPr>
          <w:rFonts w:ascii="Verdana" w:hAnsi="Verdana"/>
          <w:sz w:val="20"/>
          <w:szCs w:val="20"/>
        </w:rPr>
      </w:pPr>
    </w:p>
    <w:p w:rsidR="0065520B" w:rsidRPr="00F10321" w:rsidRDefault="0065520B" w:rsidP="008B438A">
      <w:pPr>
        <w:ind w:right="366"/>
        <w:jc w:val="both"/>
        <w:rPr>
          <w:rFonts w:ascii="Verdana" w:hAnsi="Verdana"/>
          <w:sz w:val="20"/>
          <w:szCs w:val="20"/>
        </w:rPr>
      </w:pPr>
      <w:r w:rsidRPr="00F10321">
        <w:rPr>
          <w:rFonts w:ascii="Verdana" w:hAnsi="Verdana"/>
          <w:b/>
          <w:sz w:val="20"/>
          <w:szCs w:val="20"/>
        </w:rPr>
        <w:t>LA CORTE INTERAMERICANA DE DERECHOS HUMANOS,</w:t>
      </w:r>
    </w:p>
    <w:p w:rsidR="0065520B" w:rsidRPr="0085155A" w:rsidRDefault="0065520B" w:rsidP="008B438A">
      <w:pPr>
        <w:spacing w:before="100" w:beforeAutospacing="1" w:after="80"/>
        <w:jc w:val="both"/>
        <w:rPr>
          <w:rFonts w:ascii="Verdana" w:hAnsi="Verdana" w:cs="Verdana"/>
          <w:sz w:val="20"/>
        </w:rPr>
      </w:pPr>
      <w:r w:rsidRPr="00F10321">
        <w:rPr>
          <w:rFonts w:ascii="Verdana" w:hAnsi="Verdana"/>
          <w:sz w:val="20"/>
        </w:rPr>
        <w:t xml:space="preserve">de conformidad con los artículos 67 y 68 de la Convención Americana, 25.1 y 25.2 del Estatuto de la Corte, 69 del Reglamento del Tribunal, así como con los artículos 1, 4 y 5 del Reglamento del Fondo de Asistencia Legal de Víctimas, </w:t>
      </w:r>
    </w:p>
    <w:p w:rsidR="0065520B" w:rsidRPr="00F10321" w:rsidRDefault="0065520B" w:rsidP="0065520B">
      <w:pPr>
        <w:ind w:right="366"/>
        <w:jc w:val="both"/>
        <w:rPr>
          <w:rFonts w:ascii="Verdana" w:hAnsi="Verdana"/>
          <w:sz w:val="20"/>
          <w:szCs w:val="20"/>
        </w:rPr>
      </w:pPr>
    </w:p>
    <w:p w:rsidR="0065520B" w:rsidRPr="00F10321" w:rsidRDefault="0065520B" w:rsidP="0065520B">
      <w:pPr>
        <w:ind w:right="366"/>
        <w:jc w:val="both"/>
        <w:rPr>
          <w:rFonts w:ascii="Verdana" w:hAnsi="Verdana"/>
          <w:b/>
          <w:caps/>
          <w:sz w:val="20"/>
          <w:szCs w:val="20"/>
        </w:rPr>
      </w:pPr>
      <w:r w:rsidRPr="00F10321">
        <w:rPr>
          <w:rFonts w:ascii="Verdana" w:hAnsi="Verdana"/>
          <w:b/>
          <w:caps/>
          <w:sz w:val="20"/>
          <w:szCs w:val="20"/>
        </w:rPr>
        <w:t>Resuelve:</w:t>
      </w:r>
    </w:p>
    <w:p w:rsidR="0065520B" w:rsidRPr="00F10321" w:rsidRDefault="0065520B" w:rsidP="0065520B"/>
    <w:p w:rsidR="00487E72" w:rsidRPr="00487E72" w:rsidRDefault="003119FE" w:rsidP="00487E72">
      <w:pPr>
        <w:numPr>
          <w:ilvl w:val="0"/>
          <w:numId w:val="1"/>
        </w:numPr>
        <w:ind w:left="0" w:firstLine="0"/>
        <w:jc w:val="both"/>
        <w:rPr>
          <w:rFonts w:ascii="Verdana" w:hAnsi="Verdana"/>
          <w:sz w:val="20"/>
          <w:szCs w:val="20"/>
        </w:rPr>
      </w:pPr>
      <w:r w:rsidRPr="008713AD">
        <w:rPr>
          <w:rFonts w:ascii="Verdana" w:hAnsi="Verdana"/>
          <w:sz w:val="20"/>
        </w:rPr>
        <w:t>Declarar q</w:t>
      </w:r>
      <w:r w:rsidR="0065520B" w:rsidRPr="008713AD">
        <w:rPr>
          <w:rFonts w:ascii="Verdana" w:hAnsi="Verdana"/>
          <w:sz w:val="20"/>
        </w:rPr>
        <w:t xml:space="preserve">ue </w:t>
      </w:r>
      <w:r w:rsidR="003B3976" w:rsidRPr="008713AD">
        <w:rPr>
          <w:rFonts w:ascii="Verdana" w:hAnsi="Verdana"/>
          <w:sz w:val="20"/>
        </w:rPr>
        <w:t>la República de</w:t>
      </w:r>
      <w:r w:rsidR="008713AD" w:rsidRPr="008713AD">
        <w:rPr>
          <w:rFonts w:ascii="Verdana" w:hAnsi="Verdana"/>
          <w:sz w:val="20"/>
        </w:rPr>
        <w:t xml:space="preserve">l Perú </w:t>
      </w:r>
      <w:r w:rsidR="00707915" w:rsidRPr="008713AD">
        <w:rPr>
          <w:rFonts w:ascii="Verdana" w:hAnsi="Verdana" w:cs="Verdana"/>
          <w:sz w:val="20"/>
          <w:szCs w:val="20"/>
        </w:rPr>
        <w:t xml:space="preserve">ha cumplido con reintegrar al Fondo de Asistencia Legal de Víctimas de la Corte Interamericana </w:t>
      </w:r>
      <w:r w:rsidR="003B6CBE">
        <w:rPr>
          <w:rFonts w:ascii="Verdana" w:hAnsi="Verdana" w:cs="Verdana"/>
          <w:sz w:val="20"/>
          <w:szCs w:val="20"/>
        </w:rPr>
        <w:t xml:space="preserve">de Derechos Humanos </w:t>
      </w:r>
      <w:r w:rsidR="00707915" w:rsidRPr="008713AD">
        <w:rPr>
          <w:rFonts w:ascii="Verdana" w:hAnsi="Verdana" w:cs="Verdana"/>
          <w:sz w:val="20"/>
          <w:szCs w:val="20"/>
        </w:rPr>
        <w:t>la</w:t>
      </w:r>
      <w:r w:rsidR="008713AD" w:rsidRPr="008713AD">
        <w:rPr>
          <w:rFonts w:ascii="Verdana" w:hAnsi="Verdana" w:cs="Verdana"/>
          <w:sz w:val="20"/>
          <w:szCs w:val="20"/>
        </w:rPr>
        <w:t>s</w:t>
      </w:r>
      <w:r w:rsidR="00707915" w:rsidRPr="008713AD">
        <w:rPr>
          <w:rFonts w:ascii="Verdana" w:hAnsi="Verdana" w:cs="Verdana"/>
          <w:sz w:val="20"/>
          <w:szCs w:val="20"/>
        </w:rPr>
        <w:t xml:space="preserve"> ca</w:t>
      </w:r>
      <w:r w:rsidR="00C92E60" w:rsidRPr="008713AD">
        <w:rPr>
          <w:rFonts w:ascii="Verdana" w:hAnsi="Verdana" w:cs="Verdana"/>
          <w:sz w:val="20"/>
          <w:szCs w:val="20"/>
        </w:rPr>
        <w:t>ntidad</w:t>
      </w:r>
      <w:r w:rsidR="008713AD" w:rsidRPr="008713AD">
        <w:rPr>
          <w:rFonts w:ascii="Verdana" w:hAnsi="Verdana" w:cs="Verdana"/>
          <w:sz w:val="20"/>
          <w:szCs w:val="20"/>
        </w:rPr>
        <w:t>es</w:t>
      </w:r>
      <w:r w:rsidR="00C92E60" w:rsidRPr="008713AD">
        <w:rPr>
          <w:rFonts w:ascii="Verdana" w:hAnsi="Verdana" w:cs="Verdana"/>
          <w:sz w:val="20"/>
          <w:szCs w:val="20"/>
        </w:rPr>
        <w:t xml:space="preserve"> dispuesta</w:t>
      </w:r>
      <w:r w:rsidR="008713AD" w:rsidRPr="008713AD">
        <w:rPr>
          <w:rFonts w:ascii="Verdana" w:hAnsi="Verdana" w:cs="Verdana"/>
          <w:sz w:val="20"/>
          <w:szCs w:val="20"/>
        </w:rPr>
        <w:t xml:space="preserve">s en: i) el punto dispositivo noveno de la Sentencia del caso </w:t>
      </w:r>
      <w:r w:rsidR="0085155A">
        <w:rPr>
          <w:rFonts w:ascii="Verdana" w:hAnsi="Verdana" w:cs="Verdana"/>
          <w:i/>
          <w:sz w:val="20"/>
          <w:szCs w:val="20"/>
        </w:rPr>
        <w:t xml:space="preserve">Pollo Rivera y otros, </w:t>
      </w:r>
      <w:r w:rsidR="0085155A">
        <w:rPr>
          <w:rFonts w:ascii="Verdana" w:hAnsi="Verdana" w:cs="Verdana"/>
          <w:sz w:val="20"/>
          <w:szCs w:val="20"/>
        </w:rPr>
        <w:t>y</w:t>
      </w:r>
      <w:r w:rsidR="008713AD" w:rsidRPr="008713AD">
        <w:rPr>
          <w:rFonts w:ascii="Verdana" w:hAnsi="Verdana" w:cs="Verdana"/>
          <w:i/>
          <w:sz w:val="20"/>
          <w:szCs w:val="20"/>
        </w:rPr>
        <w:t xml:space="preserve"> </w:t>
      </w:r>
      <w:r w:rsidR="008713AD" w:rsidRPr="008713AD">
        <w:rPr>
          <w:rFonts w:ascii="Verdana" w:hAnsi="Verdana" w:cs="Verdana"/>
          <w:sz w:val="20"/>
          <w:szCs w:val="20"/>
        </w:rPr>
        <w:t xml:space="preserve">ii) el punto dispositivo décimo segundo de la Sentencia del caso </w:t>
      </w:r>
      <w:r w:rsidR="008713AD" w:rsidRPr="008713AD">
        <w:rPr>
          <w:rFonts w:ascii="Verdana" w:hAnsi="Verdana" w:cs="Verdana"/>
          <w:i/>
          <w:sz w:val="20"/>
          <w:szCs w:val="20"/>
        </w:rPr>
        <w:t xml:space="preserve">Lagos del Campo. </w:t>
      </w:r>
      <w:r w:rsidR="00C92E60" w:rsidRPr="008713AD">
        <w:rPr>
          <w:rFonts w:ascii="Verdana" w:hAnsi="Verdana" w:cs="Verdana"/>
          <w:sz w:val="20"/>
          <w:szCs w:val="20"/>
        </w:rPr>
        <w:t xml:space="preserve"> </w:t>
      </w:r>
    </w:p>
    <w:p w:rsidR="00487E72" w:rsidRPr="00487E72" w:rsidRDefault="00487E72" w:rsidP="007066EE">
      <w:pPr>
        <w:jc w:val="both"/>
        <w:rPr>
          <w:rFonts w:ascii="Verdana" w:hAnsi="Verdana"/>
          <w:sz w:val="20"/>
          <w:szCs w:val="20"/>
        </w:rPr>
      </w:pPr>
    </w:p>
    <w:p w:rsidR="00487E72" w:rsidRPr="00487E72" w:rsidRDefault="00487E72" w:rsidP="00487E72">
      <w:pPr>
        <w:numPr>
          <w:ilvl w:val="0"/>
          <w:numId w:val="1"/>
        </w:numPr>
        <w:ind w:left="0" w:firstLine="0"/>
        <w:jc w:val="both"/>
        <w:rPr>
          <w:rFonts w:ascii="Verdana" w:hAnsi="Verdana"/>
          <w:sz w:val="20"/>
          <w:szCs w:val="20"/>
        </w:rPr>
      </w:pPr>
      <w:r>
        <w:rPr>
          <w:rFonts w:ascii="Verdana" w:hAnsi="Verdana" w:cs="Verdana"/>
          <w:sz w:val="20"/>
          <w:szCs w:val="20"/>
        </w:rPr>
        <w:t xml:space="preserve">Mantener abierto el procedimiento de supervisión de cumplimiento de las siguientes medidas de reparación ordenadas en el caso </w:t>
      </w:r>
      <w:r>
        <w:rPr>
          <w:rFonts w:ascii="Verdana" w:hAnsi="Verdana" w:cs="Verdana"/>
          <w:i/>
          <w:sz w:val="20"/>
          <w:szCs w:val="20"/>
        </w:rPr>
        <w:t>Pollo Rivera y otros</w:t>
      </w:r>
      <w:r>
        <w:rPr>
          <w:rFonts w:ascii="Verdana" w:hAnsi="Verdana" w:cs="Verdana"/>
          <w:sz w:val="20"/>
          <w:szCs w:val="20"/>
        </w:rPr>
        <w:t>:</w:t>
      </w:r>
    </w:p>
    <w:p w:rsidR="00487E72" w:rsidRPr="008B438A" w:rsidRDefault="00487E72" w:rsidP="008B438A">
      <w:pPr>
        <w:pStyle w:val="Prrafodelista"/>
        <w:numPr>
          <w:ilvl w:val="0"/>
          <w:numId w:val="9"/>
        </w:numPr>
        <w:spacing w:line="240" w:lineRule="auto"/>
        <w:jc w:val="both"/>
        <w:rPr>
          <w:rFonts w:ascii="Verdana" w:hAnsi="Verdana" w:cs="Verdana"/>
          <w:sz w:val="20"/>
          <w:szCs w:val="20"/>
          <w:lang w:val="es-CR"/>
        </w:rPr>
      </w:pPr>
      <w:r w:rsidRPr="008B438A">
        <w:rPr>
          <w:rFonts w:ascii="Verdana" w:hAnsi="Verdana" w:cs="Verdana"/>
          <w:sz w:val="20"/>
          <w:szCs w:val="20"/>
          <w:lang w:val="es-CR"/>
        </w:rPr>
        <w:t>Continuar y concluir, con la debida diligencia y en un plazo razonable, la investigación en curso por los hechos de tortura y otros tratos crueles, inhumanos o degradantes sufridos por el señor Pollo Rivera y, de ser procedente, procesar y, en su caso, sancionar a los responsables (</w:t>
      </w:r>
      <w:r w:rsidRPr="008B438A">
        <w:rPr>
          <w:rFonts w:ascii="Verdana" w:hAnsi="Verdana" w:cs="Verdana"/>
          <w:i/>
          <w:sz w:val="20"/>
          <w:szCs w:val="20"/>
          <w:lang w:val="es-CR"/>
        </w:rPr>
        <w:t>punto resolutivo séptimo de la Sentencia</w:t>
      </w:r>
      <w:r w:rsidRPr="008B438A">
        <w:rPr>
          <w:rFonts w:ascii="Verdana" w:hAnsi="Verdana" w:cs="Verdana"/>
          <w:sz w:val="20"/>
          <w:szCs w:val="20"/>
          <w:lang w:val="es-CR"/>
        </w:rPr>
        <w:t>);</w:t>
      </w:r>
    </w:p>
    <w:p w:rsidR="00487E72" w:rsidRPr="008B438A" w:rsidRDefault="00487E72" w:rsidP="008B438A">
      <w:pPr>
        <w:pStyle w:val="Prrafodelista"/>
        <w:numPr>
          <w:ilvl w:val="0"/>
          <w:numId w:val="9"/>
        </w:numPr>
        <w:spacing w:line="240" w:lineRule="auto"/>
        <w:jc w:val="both"/>
        <w:rPr>
          <w:rFonts w:ascii="Verdana" w:hAnsi="Verdana" w:cs="Verdana"/>
          <w:sz w:val="20"/>
          <w:szCs w:val="20"/>
          <w:lang w:val="es-CR"/>
        </w:rPr>
      </w:pPr>
      <w:r w:rsidRPr="008B438A">
        <w:rPr>
          <w:rFonts w:ascii="Verdana" w:hAnsi="Verdana" w:cs="Verdana"/>
          <w:sz w:val="20"/>
          <w:szCs w:val="20"/>
          <w:lang w:val="es-CR"/>
        </w:rPr>
        <w:t>Realizar las publicaciones</w:t>
      </w:r>
      <w:r w:rsidR="008B438A" w:rsidRPr="008B438A">
        <w:rPr>
          <w:rFonts w:ascii="Verdana" w:hAnsi="Verdana" w:cs="Verdana"/>
          <w:sz w:val="20"/>
          <w:szCs w:val="20"/>
          <w:lang w:val="es-CR"/>
        </w:rPr>
        <w:t xml:space="preserve"> de la Sentencia y resumen oficial</w:t>
      </w:r>
      <w:r w:rsidRPr="008B438A">
        <w:rPr>
          <w:rFonts w:ascii="Verdana" w:hAnsi="Verdana" w:cs="Verdana"/>
          <w:sz w:val="20"/>
          <w:szCs w:val="20"/>
          <w:lang w:val="es-CR"/>
        </w:rPr>
        <w:t xml:space="preserve"> indicadas en el párrafo 279 de la </w:t>
      </w:r>
      <w:r w:rsidR="008B438A" w:rsidRPr="008B438A">
        <w:rPr>
          <w:rFonts w:ascii="Verdana" w:hAnsi="Verdana" w:cs="Verdana"/>
          <w:sz w:val="20"/>
          <w:szCs w:val="20"/>
          <w:lang w:val="es-CR"/>
        </w:rPr>
        <w:t>misma</w:t>
      </w:r>
      <w:r w:rsidRPr="008B438A">
        <w:rPr>
          <w:rFonts w:ascii="Verdana" w:hAnsi="Verdana" w:cs="Verdana"/>
          <w:sz w:val="20"/>
          <w:szCs w:val="20"/>
          <w:lang w:val="es-CR"/>
        </w:rPr>
        <w:t xml:space="preserve"> (</w:t>
      </w:r>
      <w:r w:rsidRPr="008B438A">
        <w:rPr>
          <w:rFonts w:ascii="Verdana" w:hAnsi="Verdana" w:cs="Verdana"/>
          <w:i/>
          <w:sz w:val="20"/>
          <w:szCs w:val="20"/>
          <w:lang w:val="es-CR"/>
        </w:rPr>
        <w:t>punto resolutivo octavo de la Sentencia</w:t>
      </w:r>
      <w:r w:rsidRPr="008B438A">
        <w:rPr>
          <w:rFonts w:ascii="Verdana" w:hAnsi="Verdana" w:cs="Verdana"/>
          <w:sz w:val="20"/>
          <w:szCs w:val="20"/>
          <w:lang w:val="es-CR"/>
        </w:rPr>
        <w:t>)</w:t>
      </w:r>
      <w:r w:rsidR="008B438A" w:rsidRPr="008B438A">
        <w:rPr>
          <w:rFonts w:ascii="Verdana" w:hAnsi="Verdana" w:cs="Verdana"/>
          <w:sz w:val="20"/>
          <w:szCs w:val="20"/>
          <w:lang w:val="es-CR"/>
        </w:rPr>
        <w:t>,</w:t>
      </w:r>
      <w:r w:rsidRPr="008B438A">
        <w:rPr>
          <w:rFonts w:ascii="Verdana" w:hAnsi="Verdana" w:cs="Verdana"/>
          <w:sz w:val="20"/>
          <w:szCs w:val="20"/>
          <w:lang w:val="es-CR"/>
        </w:rPr>
        <w:t xml:space="preserve"> y</w:t>
      </w:r>
    </w:p>
    <w:p w:rsidR="00487E72" w:rsidRPr="008B438A" w:rsidRDefault="00487E72" w:rsidP="008B438A">
      <w:pPr>
        <w:pStyle w:val="Prrafodelista"/>
        <w:numPr>
          <w:ilvl w:val="0"/>
          <w:numId w:val="9"/>
        </w:numPr>
        <w:spacing w:after="0" w:line="240" w:lineRule="auto"/>
        <w:ind w:left="1060" w:hanging="357"/>
        <w:jc w:val="both"/>
        <w:rPr>
          <w:rFonts w:ascii="Verdana" w:hAnsi="Verdana" w:cs="Verdana"/>
          <w:sz w:val="20"/>
          <w:szCs w:val="20"/>
          <w:lang w:val="es-CR"/>
        </w:rPr>
      </w:pPr>
      <w:r w:rsidRPr="008B438A">
        <w:rPr>
          <w:rFonts w:ascii="Verdana" w:hAnsi="Verdana" w:cs="Verdana"/>
          <w:sz w:val="20"/>
          <w:szCs w:val="20"/>
          <w:lang w:val="es-CR"/>
        </w:rPr>
        <w:t>Pagar las cantidades fijadas en la Sentencia por concepto de indemnizaciones por daños materiales e inmateriales y por el reintegro de costas y gastos (</w:t>
      </w:r>
      <w:r w:rsidRPr="008B438A">
        <w:rPr>
          <w:rFonts w:ascii="Verdana" w:hAnsi="Verdana" w:cs="Verdana"/>
          <w:i/>
          <w:sz w:val="20"/>
          <w:szCs w:val="20"/>
          <w:lang w:val="es-CR"/>
        </w:rPr>
        <w:t>punto resolutivo noveno de la Sentencia</w:t>
      </w:r>
      <w:r w:rsidRPr="008B438A">
        <w:rPr>
          <w:rFonts w:ascii="Verdana" w:hAnsi="Verdana" w:cs="Verdana"/>
          <w:sz w:val="20"/>
          <w:szCs w:val="20"/>
          <w:lang w:val="es-CR"/>
        </w:rPr>
        <w:t xml:space="preserve">). </w:t>
      </w:r>
    </w:p>
    <w:p w:rsidR="008B438A" w:rsidRPr="007066EE" w:rsidRDefault="008B438A" w:rsidP="008B438A">
      <w:pPr>
        <w:pStyle w:val="Prrafodelista"/>
        <w:spacing w:after="0" w:line="240" w:lineRule="auto"/>
        <w:ind w:left="0"/>
        <w:jc w:val="both"/>
        <w:rPr>
          <w:rFonts w:ascii="Verdana" w:hAnsi="Verdana" w:cs="Verdana"/>
          <w:sz w:val="20"/>
          <w:szCs w:val="20"/>
          <w:lang w:val="es-CR"/>
        </w:rPr>
      </w:pPr>
    </w:p>
    <w:p w:rsidR="00487E72" w:rsidRPr="00487E72" w:rsidRDefault="00487E72" w:rsidP="00487E72">
      <w:pPr>
        <w:numPr>
          <w:ilvl w:val="0"/>
          <w:numId w:val="1"/>
        </w:numPr>
        <w:ind w:left="0" w:firstLine="0"/>
        <w:jc w:val="both"/>
        <w:rPr>
          <w:rFonts w:ascii="Verdana" w:hAnsi="Verdana"/>
          <w:sz w:val="20"/>
          <w:szCs w:val="20"/>
        </w:rPr>
      </w:pPr>
      <w:r>
        <w:rPr>
          <w:rFonts w:ascii="Verdana" w:hAnsi="Verdana" w:cs="Verdana"/>
          <w:sz w:val="20"/>
          <w:szCs w:val="20"/>
        </w:rPr>
        <w:t xml:space="preserve">Mantener abierto el procedimiento de supervisión de cumplimiento de las siguientes medidas de reparación ordenadas en el caso </w:t>
      </w:r>
      <w:r>
        <w:rPr>
          <w:rFonts w:ascii="Verdana" w:hAnsi="Verdana" w:cs="Verdana"/>
          <w:i/>
          <w:sz w:val="20"/>
          <w:szCs w:val="20"/>
        </w:rPr>
        <w:t>Lagos del Campo</w:t>
      </w:r>
      <w:r>
        <w:rPr>
          <w:rFonts w:ascii="Verdana" w:hAnsi="Verdana" w:cs="Verdana"/>
          <w:sz w:val="20"/>
          <w:szCs w:val="20"/>
        </w:rPr>
        <w:t xml:space="preserve">: </w:t>
      </w:r>
    </w:p>
    <w:p w:rsidR="00C1325B" w:rsidRPr="008B438A" w:rsidRDefault="00D4080E" w:rsidP="007066EE">
      <w:pPr>
        <w:numPr>
          <w:ilvl w:val="0"/>
          <w:numId w:val="10"/>
        </w:numPr>
        <w:ind w:left="1080"/>
        <w:jc w:val="both"/>
        <w:rPr>
          <w:rFonts w:ascii="Verdana" w:hAnsi="Verdana"/>
          <w:sz w:val="20"/>
          <w:szCs w:val="20"/>
        </w:rPr>
      </w:pPr>
      <w:r w:rsidRPr="008B438A">
        <w:rPr>
          <w:rFonts w:ascii="Verdana" w:hAnsi="Verdana"/>
          <w:sz w:val="20"/>
          <w:szCs w:val="20"/>
        </w:rPr>
        <w:t>Realizar las publicaciones</w:t>
      </w:r>
      <w:r w:rsidR="008B438A" w:rsidRPr="008B438A">
        <w:rPr>
          <w:rFonts w:ascii="Verdana" w:hAnsi="Verdana"/>
          <w:sz w:val="20"/>
          <w:szCs w:val="20"/>
        </w:rPr>
        <w:t xml:space="preserve"> de la Sentencia y su resumen oficial</w:t>
      </w:r>
      <w:r w:rsidRPr="008B438A">
        <w:rPr>
          <w:rFonts w:ascii="Verdana" w:hAnsi="Verdana"/>
          <w:sz w:val="20"/>
          <w:szCs w:val="20"/>
        </w:rPr>
        <w:t xml:space="preserve"> indicadas en el párrafo 200 de la </w:t>
      </w:r>
      <w:r w:rsidR="008B438A" w:rsidRPr="008B438A">
        <w:rPr>
          <w:rFonts w:ascii="Verdana" w:hAnsi="Verdana"/>
          <w:sz w:val="20"/>
          <w:szCs w:val="20"/>
        </w:rPr>
        <w:t>misma</w:t>
      </w:r>
      <w:r w:rsidRPr="008B438A">
        <w:rPr>
          <w:rFonts w:ascii="Verdana" w:hAnsi="Verdana"/>
          <w:sz w:val="20"/>
          <w:szCs w:val="20"/>
        </w:rPr>
        <w:t xml:space="preserve"> (</w:t>
      </w:r>
      <w:r w:rsidRPr="008B438A">
        <w:rPr>
          <w:rFonts w:ascii="Verdana" w:hAnsi="Verdana"/>
          <w:i/>
          <w:sz w:val="20"/>
          <w:szCs w:val="20"/>
        </w:rPr>
        <w:t>punto resolutivo décimo de la Sentencia</w:t>
      </w:r>
      <w:r w:rsidRPr="008B438A">
        <w:rPr>
          <w:rFonts w:ascii="Verdana" w:hAnsi="Verdana"/>
          <w:sz w:val="20"/>
          <w:szCs w:val="20"/>
        </w:rPr>
        <w:t>)</w:t>
      </w:r>
      <w:r w:rsidR="008B438A" w:rsidRPr="008B438A">
        <w:rPr>
          <w:rFonts w:ascii="Verdana" w:hAnsi="Verdana"/>
          <w:sz w:val="20"/>
          <w:szCs w:val="20"/>
        </w:rPr>
        <w:t>, y</w:t>
      </w:r>
    </w:p>
    <w:p w:rsidR="00D4080E" w:rsidRPr="008B438A" w:rsidRDefault="00D4080E" w:rsidP="008B438A">
      <w:pPr>
        <w:numPr>
          <w:ilvl w:val="0"/>
          <w:numId w:val="10"/>
        </w:numPr>
        <w:ind w:left="1077" w:hanging="357"/>
        <w:jc w:val="both"/>
        <w:rPr>
          <w:rFonts w:ascii="Verdana" w:hAnsi="Verdana"/>
          <w:sz w:val="20"/>
          <w:szCs w:val="20"/>
        </w:rPr>
      </w:pPr>
      <w:r w:rsidRPr="008B438A">
        <w:rPr>
          <w:rFonts w:ascii="Verdana" w:hAnsi="Verdana"/>
          <w:sz w:val="20"/>
          <w:szCs w:val="20"/>
        </w:rPr>
        <w:t>Pagar las cantidades fijadas en la Sentencia por concepto de compensación por daño material e inmaterial y por el reintegro de costas y gastos (</w:t>
      </w:r>
      <w:r w:rsidRPr="008B438A">
        <w:rPr>
          <w:rFonts w:ascii="Verdana" w:hAnsi="Verdana"/>
          <w:i/>
          <w:sz w:val="20"/>
          <w:szCs w:val="20"/>
        </w:rPr>
        <w:t>punto resolutivo décimo primero de la Sentencia</w:t>
      </w:r>
      <w:r w:rsidRPr="008B438A">
        <w:rPr>
          <w:rFonts w:ascii="Verdana" w:hAnsi="Verdana"/>
          <w:sz w:val="20"/>
          <w:szCs w:val="20"/>
        </w:rPr>
        <w:t>).</w:t>
      </w:r>
    </w:p>
    <w:p w:rsidR="00D4080E" w:rsidRPr="007D3DA8" w:rsidRDefault="00D4080E" w:rsidP="00D4080E">
      <w:pPr>
        <w:jc w:val="both"/>
        <w:rPr>
          <w:rFonts w:ascii="Verdana" w:hAnsi="Verdana"/>
          <w:sz w:val="20"/>
          <w:szCs w:val="20"/>
        </w:rPr>
      </w:pPr>
    </w:p>
    <w:p w:rsidR="00A830DE" w:rsidRDefault="009E094C" w:rsidP="00642D02">
      <w:pPr>
        <w:numPr>
          <w:ilvl w:val="0"/>
          <w:numId w:val="1"/>
        </w:numPr>
        <w:ind w:left="0" w:firstLine="0"/>
        <w:jc w:val="both"/>
        <w:rPr>
          <w:rFonts w:ascii="Verdana" w:hAnsi="Verdana"/>
          <w:sz w:val="20"/>
          <w:szCs w:val="20"/>
        </w:rPr>
      </w:pPr>
      <w:r w:rsidRPr="007D3DA8">
        <w:rPr>
          <w:rFonts w:ascii="Verdana" w:hAnsi="Verdana"/>
          <w:sz w:val="20"/>
          <w:szCs w:val="20"/>
        </w:rPr>
        <w:t>Disponer q</w:t>
      </w:r>
      <w:r w:rsidR="0065520B" w:rsidRPr="007D3DA8">
        <w:rPr>
          <w:rFonts w:ascii="Verdana" w:hAnsi="Verdana"/>
          <w:sz w:val="20"/>
          <w:szCs w:val="20"/>
        </w:rPr>
        <w:t>ue</w:t>
      </w:r>
      <w:r w:rsidR="0065520B" w:rsidRPr="0099633E">
        <w:rPr>
          <w:rFonts w:ascii="Verdana" w:hAnsi="Verdana"/>
          <w:sz w:val="20"/>
          <w:szCs w:val="20"/>
        </w:rPr>
        <w:t xml:space="preserve"> la </w:t>
      </w:r>
      <w:r w:rsidR="0065520B" w:rsidRPr="0099633E">
        <w:rPr>
          <w:rFonts w:ascii="Verdana" w:hAnsi="Verdana" w:cs="Verdana"/>
          <w:sz w:val="20"/>
          <w:szCs w:val="20"/>
        </w:rPr>
        <w:t xml:space="preserve">Secretaría de la Corte Interamericana </w:t>
      </w:r>
      <w:r w:rsidR="0065520B" w:rsidRPr="0099633E">
        <w:rPr>
          <w:rFonts w:ascii="Verdana" w:hAnsi="Verdana" w:cs="TTE3F96A70t00"/>
          <w:sz w:val="20"/>
        </w:rPr>
        <w:t>de Derechos Humanos</w:t>
      </w:r>
      <w:r w:rsidR="0065520B" w:rsidRPr="0099633E">
        <w:rPr>
          <w:rFonts w:ascii="Verdana" w:hAnsi="Verdana" w:cs="Verdana"/>
          <w:sz w:val="20"/>
          <w:szCs w:val="20"/>
        </w:rPr>
        <w:t xml:space="preserve"> notifique la presente Resolución </w:t>
      </w:r>
      <w:r w:rsidR="002B4F4B">
        <w:rPr>
          <w:rFonts w:ascii="Verdana" w:hAnsi="Verdana" w:cs="Verdana"/>
          <w:sz w:val="20"/>
          <w:szCs w:val="20"/>
        </w:rPr>
        <w:t>a</w:t>
      </w:r>
      <w:r w:rsidR="003B3976">
        <w:rPr>
          <w:rFonts w:ascii="Verdana" w:hAnsi="Verdana" w:cs="Verdana"/>
          <w:sz w:val="20"/>
          <w:szCs w:val="20"/>
        </w:rPr>
        <w:t xml:space="preserve"> </w:t>
      </w:r>
      <w:r w:rsidR="005C4BB8">
        <w:rPr>
          <w:rFonts w:ascii="Verdana" w:hAnsi="Verdana" w:cs="Verdana"/>
          <w:sz w:val="20"/>
          <w:szCs w:val="20"/>
        </w:rPr>
        <w:t>l</w:t>
      </w:r>
      <w:r w:rsidR="003B3976">
        <w:rPr>
          <w:rFonts w:ascii="Verdana" w:hAnsi="Verdana" w:cs="Verdana"/>
          <w:sz w:val="20"/>
          <w:szCs w:val="20"/>
        </w:rPr>
        <w:t>a</w:t>
      </w:r>
      <w:r w:rsidR="005C4BB8">
        <w:rPr>
          <w:rFonts w:ascii="Verdana" w:hAnsi="Verdana" w:cs="Verdana"/>
          <w:sz w:val="20"/>
          <w:szCs w:val="20"/>
        </w:rPr>
        <w:t xml:space="preserve"> </w:t>
      </w:r>
      <w:r w:rsidR="008713AD">
        <w:rPr>
          <w:rFonts w:ascii="Verdana" w:hAnsi="Verdana"/>
          <w:sz w:val="20"/>
        </w:rPr>
        <w:t>República del Perú</w:t>
      </w:r>
      <w:r w:rsidR="007D3DA8">
        <w:rPr>
          <w:rFonts w:ascii="Verdana" w:hAnsi="Verdana" w:cs="Verdana"/>
          <w:sz w:val="20"/>
          <w:szCs w:val="20"/>
        </w:rPr>
        <w:t>,</w:t>
      </w:r>
      <w:r w:rsidR="00CA2E20">
        <w:rPr>
          <w:rFonts w:ascii="Verdana" w:hAnsi="Verdana" w:cs="Verdana"/>
          <w:sz w:val="20"/>
          <w:szCs w:val="20"/>
        </w:rPr>
        <w:t xml:space="preserve"> a</w:t>
      </w:r>
      <w:r w:rsidR="007D3DA8">
        <w:rPr>
          <w:rFonts w:ascii="Verdana" w:hAnsi="Verdana" w:cs="Verdana"/>
          <w:sz w:val="20"/>
          <w:szCs w:val="20"/>
        </w:rPr>
        <w:t xml:space="preserve"> </w:t>
      </w:r>
      <w:r w:rsidR="0065520B" w:rsidRPr="0099633E">
        <w:rPr>
          <w:rFonts w:ascii="Verdana" w:hAnsi="Verdana" w:cs="Verdana"/>
          <w:sz w:val="20"/>
          <w:szCs w:val="20"/>
        </w:rPr>
        <w:t xml:space="preserve">los representantes de las víctimas y </w:t>
      </w:r>
      <w:r w:rsidR="00CA2E20">
        <w:rPr>
          <w:rFonts w:ascii="Verdana" w:hAnsi="Verdana" w:cs="Verdana"/>
          <w:sz w:val="20"/>
          <w:szCs w:val="20"/>
        </w:rPr>
        <w:t xml:space="preserve">a </w:t>
      </w:r>
      <w:r w:rsidR="007D3DA8" w:rsidRPr="0099633E">
        <w:rPr>
          <w:rFonts w:ascii="Verdana" w:hAnsi="Verdana" w:cs="Verdana"/>
          <w:sz w:val="20"/>
          <w:szCs w:val="20"/>
        </w:rPr>
        <w:t>la Comisión Intera</w:t>
      </w:r>
      <w:r w:rsidR="007D3DA8">
        <w:rPr>
          <w:rFonts w:ascii="Verdana" w:hAnsi="Verdana" w:cs="Verdana"/>
          <w:sz w:val="20"/>
          <w:szCs w:val="20"/>
        </w:rPr>
        <w:t>mericana de Derechos Humanos</w:t>
      </w:r>
      <w:r w:rsidR="0065520B" w:rsidRPr="0099633E">
        <w:rPr>
          <w:rFonts w:ascii="Verdana" w:hAnsi="Verdana"/>
          <w:sz w:val="20"/>
          <w:szCs w:val="20"/>
        </w:rPr>
        <w:t>.</w:t>
      </w:r>
    </w:p>
    <w:p w:rsidR="009A5299" w:rsidRDefault="009A5299" w:rsidP="009A5299">
      <w:pPr>
        <w:jc w:val="both"/>
        <w:rPr>
          <w:rFonts w:ascii="Verdana" w:hAnsi="Verdana"/>
          <w:sz w:val="20"/>
          <w:szCs w:val="20"/>
        </w:rPr>
      </w:pPr>
    </w:p>
    <w:p w:rsidR="009A5299" w:rsidRDefault="009A5299" w:rsidP="009A5299">
      <w:pPr>
        <w:jc w:val="both"/>
        <w:rPr>
          <w:rFonts w:ascii="Verdana" w:hAnsi="Verdana"/>
          <w:sz w:val="20"/>
          <w:szCs w:val="20"/>
        </w:rPr>
      </w:pPr>
    </w:p>
    <w:p w:rsidR="009A5299" w:rsidRDefault="009A5299" w:rsidP="009A5299">
      <w:pPr>
        <w:jc w:val="both"/>
        <w:rPr>
          <w:rFonts w:ascii="Verdana" w:hAnsi="Verdana"/>
          <w:sz w:val="20"/>
          <w:szCs w:val="20"/>
        </w:rPr>
      </w:pPr>
    </w:p>
    <w:p w:rsidR="009A5299" w:rsidRDefault="009A5299" w:rsidP="009A5299">
      <w:pPr>
        <w:jc w:val="both"/>
        <w:rPr>
          <w:rFonts w:ascii="Verdana" w:hAnsi="Verdana"/>
          <w:sz w:val="20"/>
          <w:szCs w:val="20"/>
        </w:rPr>
      </w:pPr>
    </w:p>
    <w:p w:rsidR="009A5299" w:rsidRDefault="009A5299" w:rsidP="009A5299">
      <w:pPr>
        <w:jc w:val="both"/>
        <w:rPr>
          <w:rFonts w:ascii="Verdana" w:hAnsi="Verdana"/>
          <w:sz w:val="20"/>
          <w:szCs w:val="20"/>
        </w:rPr>
      </w:pPr>
    </w:p>
    <w:p w:rsidR="00C01178" w:rsidRDefault="00C01178" w:rsidP="00C01178">
      <w:pPr>
        <w:keepNext/>
        <w:jc w:val="both"/>
        <w:outlineLvl w:val="0"/>
        <w:rPr>
          <w:rFonts w:ascii="Verdana" w:hAnsi="Verdana" w:cs="Verdana"/>
          <w:b/>
          <w:bCs/>
          <w:sz w:val="20"/>
          <w:lang w:val="es-ES"/>
        </w:rPr>
      </w:pPr>
      <w:r w:rsidRPr="00E95134">
        <w:rPr>
          <w:rFonts w:ascii="Verdana" w:hAnsi="Verdana" w:cs="Courier New"/>
          <w:noProof/>
          <w:sz w:val="20"/>
          <w:lang w:val="es-AR"/>
        </w:rPr>
        <w:lastRenderedPageBreak/>
        <w:t xml:space="preserve">Corte IDH. </w:t>
      </w:r>
      <w:r w:rsidRPr="00E95134">
        <w:rPr>
          <w:rFonts w:ascii="Verdana" w:hAnsi="Verdana"/>
          <w:bCs/>
          <w:i/>
          <w:sz w:val="20"/>
        </w:rPr>
        <w:t>Caso</w:t>
      </w:r>
      <w:r>
        <w:rPr>
          <w:rFonts w:ascii="Verdana" w:hAnsi="Verdana"/>
          <w:bCs/>
          <w:i/>
          <w:sz w:val="20"/>
        </w:rPr>
        <w:t>s</w:t>
      </w:r>
      <w:r w:rsidRPr="00E95134">
        <w:rPr>
          <w:rFonts w:ascii="Verdana" w:hAnsi="Verdana"/>
          <w:bCs/>
          <w:i/>
          <w:sz w:val="20"/>
        </w:rPr>
        <w:t xml:space="preserve"> </w:t>
      </w:r>
      <w:r>
        <w:rPr>
          <w:rFonts w:ascii="Verdana" w:hAnsi="Verdana"/>
          <w:bCs/>
          <w:i/>
          <w:sz w:val="20"/>
        </w:rPr>
        <w:t>Pollo Rivera y otros y Lagos del Campo</w:t>
      </w:r>
      <w:r w:rsidRPr="00E95134">
        <w:rPr>
          <w:rFonts w:ascii="Verdana" w:hAnsi="Verdana"/>
          <w:bCs/>
          <w:i/>
          <w:sz w:val="20"/>
        </w:rPr>
        <w:t xml:space="preserve"> Vs. Perú</w:t>
      </w:r>
      <w:r w:rsidRPr="00E95134">
        <w:rPr>
          <w:rFonts w:ascii="Verdana" w:hAnsi="Verdana"/>
          <w:i/>
          <w:sz w:val="20"/>
          <w:lang w:val="es-ES"/>
        </w:rPr>
        <w:t>.</w:t>
      </w:r>
      <w:r w:rsidRPr="00D70EEE">
        <w:rPr>
          <w:rFonts w:ascii="Verdana" w:hAnsi="Verdana" w:cs="Arial"/>
          <w:sz w:val="20"/>
        </w:rPr>
        <w:t xml:space="preserve"> Fondo de Asistencia Legal de Víctimas</w:t>
      </w:r>
      <w:r>
        <w:rPr>
          <w:rFonts w:ascii="Verdana" w:hAnsi="Verdana" w:cs="Arial"/>
          <w:i/>
          <w:sz w:val="20"/>
        </w:rPr>
        <w:t xml:space="preserve">. </w:t>
      </w:r>
      <w:r>
        <w:rPr>
          <w:rFonts w:ascii="Verdana" w:hAnsi="Verdana"/>
          <w:sz w:val="20"/>
        </w:rPr>
        <w:t>Supervisión de Cumplimiento de Sentencia</w:t>
      </w:r>
      <w:r w:rsidRPr="00E95134">
        <w:rPr>
          <w:rFonts w:ascii="Verdana" w:hAnsi="Verdana"/>
          <w:sz w:val="20"/>
        </w:rPr>
        <w:t xml:space="preserve">. </w:t>
      </w:r>
      <w:r w:rsidRPr="00E95134">
        <w:rPr>
          <w:rFonts w:ascii="Verdana" w:hAnsi="Verdana"/>
          <w:sz w:val="20"/>
          <w:lang w:val="es-ES"/>
        </w:rPr>
        <w:t xml:space="preserve">Resolución de la Corte Interamericana de Derechos Humanos de </w:t>
      </w:r>
      <w:r>
        <w:rPr>
          <w:rFonts w:ascii="Verdana" w:hAnsi="Verdana"/>
          <w:sz w:val="20"/>
        </w:rPr>
        <w:t>30</w:t>
      </w:r>
      <w:r w:rsidRPr="00E95134">
        <w:rPr>
          <w:rFonts w:ascii="Verdana" w:hAnsi="Verdana"/>
          <w:sz w:val="20"/>
        </w:rPr>
        <w:t xml:space="preserve"> de </w:t>
      </w:r>
      <w:r>
        <w:rPr>
          <w:rFonts w:ascii="Verdana" w:hAnsi="Verdana"/>
          <w:sz w:val="20"/>
        </w:rPr>
        <w:t>mayo</w:t>
      </w:r>
      <w:r w:rsidRPr="00E95134">
        <w:rPr>
          <w:rFonts w:ascii="Verdana" w:hAnsi="Verdana"/>
          <w:sz w:val="20"/>
        </w:rPr>
        <w:t xml:space="preserve"> de 2018</w:t>
      </w:r>
      <w:r w:rsidRPr="00E95134">
        <w:rPr>
          <w:rFonts w:ascii="Verdana" w:hAnsi="Verdana"/>
          <w:sz w:val="20"/>
          <w:lang w:val="es-ES"/>
        </w:rPr>
        <w:t>.</w:t>
      </w:r>
      <w:r>
        <w:rPr>
          <w:rFonts w:ascii="Verdana" w:hAnsi="Verdana"/>
          <w:sz w:val="20"/>
          <w:lang w:val="es-ES"/>
        </w:rPr>
        <w:t xml:space="preserve"> </w:t>
      </w: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es-ES"/>
        </w:rPr>
      </w:pPr>
    </w:p>
    <w:p w:rsidR="00C01178" w:rsidRDefault="00C01178" w:rsidP="00C01178">
      <w:pPr>
        <w:jc w:val="center"/>
        <w:rPr>
          <w:rFonts w:ascii="Verdana" w:hAnsi="Verdana"/>
          <w:sz w:val="20"/>
          <w:lang w:val="pt-BR"/>
        </w:rPr>
      </w:pPr>
      <w:r w:rsidRPr="00D0325C">
        <w:rPr>
          <w:rFonts w:ascii="Verdana" w:hAnsi="Verdana"/>
          <w:sz w:val="20"/>
          <w:lang w:val="pt-BR"/>
        </w:rPr>
        <w:t xml:space="preserve">Eduardo Ferrer Mac-Gregor Poisot </w:t>
      </w:r>
    </w:p>
    <w:p w:rsidR="00C01178" w:rsidRPr="00D0325C" w:rsidRDefault="00C01178" w:rsidP="00C01178">
      <w:pPr>
        <w:jc w:val="center"/>
        <w:rPr>
          <w:rFonts w:ascii="Verdana" w:hAnsi="Verdana"/>
          <w:sz w:val="20"/>
          <w:lang w:val="pt-BR"/>
        </w:rPr>
      </w:pPr>
      <w:r w:rsidRPr="00D0325C">
        <w:rPr>
          <w:rFonts w:ascii="Verdana" w:hAnsi="Verdana"/>
          <w:sz w:val="20"/>
          <w:lang w:val="pt-BR"/>
        </w:rPr>
        <w:t>Presidente</w:t>
      </w:r>
    </w:p>
    <w:p w:rsidR="00C01178" w:rsidRPr="00D032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r w:rsidRPr="00CC275C">
        <w:rPr>
          <w:rFonts w:ascii="Verdana" w:hAnsi="Verdana"/>
          <w:sz w:val="20"/>
          <w:lang w:val="pt-BR"/>
        </w:rPr>
        <w:t>Eduardo Vio Grossi</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t>Humberto Antonio Sierra Porto</w:t>
      </w:r>
      <w:r w:rsidRPr="00CC275C">
        <w:rPr>
          <w:rFonts w:ascii="Verdana" w:hAnsi="Verdana"/>
          <w:sz w:val="20"/>
          <w:lang w:val="pt-BR"/>
        </w:rPr>
        <w:tab/>
      </w:r>
      <w:r w:rsidRPr="00CC275C">
        <w:rPr>
          <w:rFonts w:ascii="Verdana" w:hAnsi="Verdana"/>
          <w:sz w:val="20"/>
          <w:lang w:val="pt-BR"/>
        </w:rPr>
        <w:tab/>
        <w:t xml:space="preserve">        </w:t>
      </w:r>
    </w:p>
    <w:p w:rsidR="00C01178" w:rsidRPr="00CC275C"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r w:rsidRPr="00CC275C">
        <w:rPr>
          <w:rFonts w:ascii="Verdana" w:hAnsi="Verdana"/>
          <w:sz w:val="20"/>
          <w:lang w:val="pt-BR"/>
        </w:rPr>
        <w:t>Elizabeth Odio Benito</w:t>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r w:rsidRPr="00CC275C">
        <w:rPr>
          <w:rFonts w:ascii="Verdana" w:hAnsi="Verdana"/>
          <w:sz w:val="20"/>
          <w:lang w:val="pt-BR"/>
        </w:rPr>
        <w:tab/>
      </w:r>
      <w:proofErr w:type="gramStart"/>
      <w:r w:rsidRPr="00CC275C">
        <w:rPr>
          <w:rFonts w:ascii="Verdana" w:hAnsi="Verdana"/>
          <w:sz w:val="20"/>
          <w:lang w:val="pt-BR"/>
        </w:rPr>
        <w:t xml:space="preserve">    </w:t>
      </w:r>
      <w:proofErr w:type="gramEnd"/>
      <w:r>
        <w:rPr>
          <w:rFonts w:ascii="Verdana" w:hAnsi="Verdana"/>
          <w:sz w:val="20"/>
          <w:lang w:val="pt-BR"/>
        </w:rPr>
        <w:tab/>
        <w:t xml:space="preserve">        </w:t>
      </w:r>
      <w:r w:rsidRPr="00CC275C">
        <w:rPr>
          <w:rFonts w:ascii="Verdana" w:hAnsi="Verdana"/>
          <w:sz w:val="20"/>
          <w:lang w:val="pt-BR"/>
        </w:rPr>
        <w:t>L. Patricio Pazmiño Freire</w:t>
      </w:r>
    </w:p>
    <w:p w:rsidR="00C01178"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center"/>
        <w:rPr>
          <w:rFonts w:ascii="Verdana" w:hAnsi="Verdana"/>
          <w:sz w:val="20"/>
          <w:lang w:val="pt-BR"/>
        </w:rPr>
      </w:pPr>
      <w:r w:rsidRPr="00CC275C">
        <w:rPr>
          <w:rFonts w:ascii="Verdana" w:hAnsi="Verdana"/>
          <w:sz w:val="20"/>
          <w:lang w:val="pt-BR"/>
        </w:rPr>
        <w:t>Pablo Saavedra Alessandri</w:t>
      </w:r>
    </w:p>
    <w:p w:rsidR="00C01178" w:rsidRPr="00CC275C" w:rsidRDefault="00C01178" w:rsidP="00C01178">
      <w:pPr>
        <w:jc w:val="center"/>
        <w:rPr>
          <w:rFonts w:ascii="Verdana" w:hAnsi="Verdana"/>
          <w:sz w:val="20"/>
          <w:lang w:val="pt-BR"/>
        </w:rPr>
      </w:pPr>
      <w:r w:rsidRPr="00CC275C">
        <w:rPr>
          <w:rFonts w:ascii="Verdana" w:hAnsi="Verdana"/>
          <w:sz w:val="20"/>
          <w:lang w:val="pt-BR"/>
        </w:rPr>
        <w:t>Secretario</w:t>
      </w:r>
    </w:p>
    <w:p w:rsidR="00C01178" w:rsidRPr="00CC275C" w:rsidRDefault="00C01178" w:rsidP="00C01178">
      <w:pPr>
        <w:rPr>
          <w:rFonts w:ascii="Verdana" w:hAnsi="Verdana"/>
          <w:sz w:val="20"/>
          <w:lang w:val="pt-BR"/>
        </w:rPr>
      </w:pPr>
    </w:p>
    <w:p w:rsidR="00C01178" w:rsidRPr="00CC275C" w:rsidRDefault="00C01178" w:rsidP="00C01178">
      <w:pPr>
        <w:pStyle w:val="Textonotapie"/>
        <w:rPr>
          <w:rFonts w:ascii="Verdana" w:hAnsi="Verdana"/>
          <w:lang w:val="pt-BR"/>
        </w:rPr>
      </w:pPr>
    </w:p>
    <w:p w:rsidR="00C01178" w:rsidRPr="00CC275C" w:rsidRDefault="00C01178" w:rsidP="00C01178">
      <w:pPr>
        <w:jc w:val="both"/>
        <w:rPr>
          <w:rFonts w:ascii="Verdana" w:hAnsi="Verdana"/>
          <w:sz w:val="20"/>
          <w:lang w:val="pt-BR"/>
        </w:rPr>
      </w:pPr>
      <w:r w:rsidRPr="00CC275C">
        <w:rPr>
          <w:rFonts w:ascii="Verdana" w:hAnsi="Verdana"/>
          <w:sz w:val="20"/>
          <w:lang w:val="pt-BR"/>
        </w:rPr>
        <w:t>Comuníquese y ejecútese,</w:t>
      </w: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Default="00C01178" w:rsidP="00C01178">
      <w:pPr>
        <w:ind w:left="4956"/>
        <w:jc w:val="center"/>
        <w:rPr>
          <w:rFonts w:ascii="Verdana" w:hAnsi="Verdana"/>
          <w:sz w:val="20"/>
          <w:lang w:val="pt-BR"/>
        </w:rPr>
      </w:pPr>
      <w:r w:rsidRPr="00D0325C">
        <w:rPr>
          <w:rFonts w:ascii="Verdana" w:hAnsi="Verdana"/>
          <w:sz w:val="20"/>
          <w:lang w:val="pt-BR"/>
        </w:rPr>
        <w:t xml:space="preserve">Eduardo Ferrer Mac-Gregor Poisot </w:t>
      </w:r>
    </w:p>
    <w:p w:rsidR="00C01178" w:rsidRPr="00D0325C" w:rsidRDefault="00C01178" w:rsidP="00C01178">
      <w:pPr>
        <w:ind w:left="4956"/>
        <w:jc w:val="center"/>
        <w:rPr>
          <w:rFonts w:ascii="Verdana" w:hAnsi="Verdana"/>
          <w:sz w:val="20"/>
          <w:lang w:val="pt-BR"/>
        </w:rPr>
      </w:pPr>
      <w:r w:rsidRPr="00D0325C">
        <w:rPr>
          <w:rFonts w:ascii="Verdana" w:hAnsi="Verdana"/>
          <w:sz w:val="20"/>
          <w:lang w:val="pt-BR"/>
        </w:rPr>
        <w:t>Presidente</w:t>
      </w: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CC275C" w:rsidRDefault="00C01178" w:rsidP="00C01178">
      <w:pPr>
        <w:jc w:val="both"/>
        <w:rPr>
          <w:rFonts w:ascii="Verdana" w:hAnsi="Verdana"/>
          <w:sz w:val="20"/>
          <w:lang w:val="pt-BR"/>
        </w:rPr>
      </w:pPr>
    </w:p>
    <w:p w:rsidR="00C01178" w:rsidRPr="004B7A1D" w:rsidRDefault="00C01178" w:rsidP="00C01178">
      <w:pPr>
        <w:jc w:val="both"/>
        <w:rPr>
          <w:rFonts w:ascii="Verdana" w:hAnsi="Verdana"/>
          <w:sz w:val="20"/>
          <w:lang w:val="es-ES"/>
        </w:rPr>
      </w:pPr>
      <w:r w:rsidRPr="004B7A1D">
        <w:rPr>
          <w:rFonts w:ascii="Verdana" w:hAnsi="Verdana"/>
          <w:sz w:val="20"/>
          <w:lang w:val="es-ES"/>
        </w:rPr>
        <w:t>Pablo Saavedra Alessandri</w:t>
      </w:r>
    </w:p>
    <w:p w:rsidR="009A5299" w:rsidRPr="00C01178" w:rsidRDefault="00C01178" w:rsidP="00C01178">
      <w:pPr>
        <w:rPr>
          <w:rFonts w:ascii="Verdana" w:hAnsi="Verdana"/>
          <w:sz w:val="20"/>
        </w:rPr>
      </w:pPr>
      <w:r w:rsidRPr="004B7A1D">
        <w:rPr>
          <w:rFonts w:ascii="Verdana" w:hAnsi="Verdana"/>
          <w:sz w:val="20"/>
          <w:lang w:val="es-ES"/>
        </w:rPr>
        <w:tab/>
      </w:r>
      <w:r w:rsidRPr="004B7A1D">
        <w:rPr>
          <w:rFonts w:ascii="Verdana" w:hAnsi="Verdana"/>
          <w:sz w:val="20"/>
        </w:rPr>
        <w:t>Secretario</w:t>
      </w:r>
    </w:p>
    <w:sectPr w:rsidR="009A5299" w:rsidRPr="00C01178" w:rsidSect="00547C5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31C" w:rsidRDefault="0027631C" w:rsidP="0065520B">
      <w:r>
        <w:separator/>
      </w:r>
    </w:p>
  </w:endnote>
  <w:endnote w:type="continuationSeparator" w:id="0">
    <w:p w:rsidR="0027631C" w:rsidRDefault="0027631C" w:rsidP="0065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TE3F96A70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31C" w:rsidRDefault="0027631C" w:rsidP="0065520B">
      <w:r>
        <w:separator/>
      </w:r>
    </w:p>
  </w:footnote>
  <w:footnote w:type="continuationSeparator" w:id="0">
    <w:p w:rsidR="0027631C" w:rsidRDefault="0027631C" w:rsidP="0065520B">
      <w:r>
        <w:continuationSeparator/>
      </w:r>
    </w:p>
  </w:footnote>
  <w:footnote w:id="1">
    <w:p w:rsidR="00424569" w:rsidRPr="00424569" w:rsidRDefault="00424569" w:rsidP="00424569">
      <w:pPr>
        <w:pStyle w:val="Textonotapie"/>
        <w:jc w:val="both"/>
        <w:rPr>
          <w:rFonts w:ascii="Verdana" w:hAnsi="Verdana"/>
          <w:sz w:val="16"/>
          <w:szCs w:val="16"/>
          <w:lang w:val="es-CR" w:eastAsia="en-US"/>
        </w:rPr>
      </w:pPr>
      <w:r>
        <w:rPr>
          <w:rStyle w:val="Refdenotaalpie"/>
          <w:rFonts w:ascii="Verdana" w:hAnsi="Verdana"/>
          <w:sz w:val="16"/>
          <w:szCs w:val="16"/>
          <w:lang w:val="es-CR"/>
        </w:rPr>
        <w:t>*</w:t>
      </w:r>
      <w:r>
        <w:rPr>
          <w:rFonts w:ascii="Verdana" w:hAnsi="Verdana"/>
          <w:sz w:val="16"/>
          <w:szCs w:val="16"/>
          <w:lang w:val="es-CR"/>
        </w:rPr>
        <w:t xml:space="preserve"> </w:t>
      </w:r>
      <w:r>
        <w:rPr>
          <w:rFonts w:ascii="Verdana" w:hAnsi="Verdana"/>
          <w:sz w:val="16"/>
          <w:szCs w:val="16"/>
          <w:lang w:val="es-CR"/>
        </w:rPr>
        <w:tab/>
      </w:r>
      <w:r w:rsidR="007066EE" w:rsidRPr="007066EE">
        <w:rPr>
          <w:rFonts w:ascii="Verdana" w:hAnsi="Verdana"/>
          <w:sz w:val="16"/>
          <w:szCs w:val="16"/>
          <w:lang w:val="es-CR"/>
        </w:rPr>
        <w:t>El Juez Eugenio Raúl Zaffaroni no asistió al 124º Período Ordinario de Sesiones de la Corte Interamericana por motivos de fuerza mayor, lo cual fue aceptado por el Pleno. Por esa razón no participó en la deliberación y firma de esta Resolución.</w:t>
      </w:r>
    </w:p>
  </w:footnote>
  <w:footnote w:id="2">
    <w:p w:rsidR="00547C57" w:rsidRPr="00C76D04" w:rsidRDefault="00547C57" w:rsidP="00C76D04">
      <w:pPr>
        <w:pStyle w:val="Textonotapie"/>
        <w:jc w:val="both"/>
        <w:rPr>
          <w:rFonts w:ascii="Verdana" w:hAnsi="Verdana"/>
          <w:sz w:val="16"/>
          <w:szCs w:val="16"/>
          <w:lang w:val="es-CR"/>
        </w:rPr>
      </w:pPr>
      <w:r w:rsidRPr="00C76D04">
        <w:rPr>
          <w:rStyle w:val="Refdenotaalpie"/>
          <w:rFonts w:ascii="Verdana" w:hAnsi="Verdana"/>
          <w:sz w:val="16"/>
          <w:szCs w:val="16"/>
        </w:rPr>
        <w:footnoteRef/>
      </w:r>
      <w:r w:rsidRPr="00C76D04">
        <w:rPr>
          <w:rFonts w:ascii="Verdana" w:hAnsi="Verdana"/>
          <w:sz w:val="16"/>
          <w:szCs w:val="16"/>
        </w:rPr>
        <w:t xml:space="preserve"> </w:t>
      </w:r>
      <w:r w:rsidR="00C76D04" w:rsidRPr="00C76D04">
        <w:rPr>
          <w:rFonts w:ascii="Verdana" w:hAnsi="Verdana"/>
          <w:sz w:val="16"/>
          <w:szCs w:val="16"/>
          <w:lang w:val="es-CR"/>
        </w:rPr>
        <w:tab/>
      </w:r>
      <w:r w:rsidR="00C76D04" w:rsidRPr="00C76D04">
        <w:rPr>
          <w:rFonts w:ascii="Verdana" w:hAnsi="Verdana"/>
          <w:i/>
          <w:sz w:val="16"/>
          <w:szCs w:val="16"/>
          <w:lang w:val="es-CR"/>
        </w:rPr>
        <w:t>Cfr</w:t>
      </w:r>
      <w:r w:rsidR="00C76D04" w:rsidRPr="00C76D04">
        <w:rPr>
          <w:rFonts w:ascii="Verdana" w:hAnsi="Verdana"/>
          <w:sz w:val="16"/>
          <w:szCs w:val="16"/>
          <w:lang w:val="es-CR"/>
        </w:rPr>
        <w:t xml:space="preserve">. </w:t>
      </w:r>
      <w:r w:rsidR="00C76D04" w:rsidRPr="00C76D04">
        <w:rPr>
          <w:rFonts w:ascii="Verdana" w:hAnsi="Verdana"/>
          <w:i/>
          <w:sz w:val="16"/>
          <w:szCs w:val="16"/>
          <w:lang w:val="es-CR"/>
        </w:rPr>
        <w:t>Caso Pollo Rivera y otros Vs. Perú. Fondo, Reparaciones y Costas</w:t>
      </w:r>
      <w:r w:rsidR="00C76D04" w:rsidRPr="00C76D04">
        <w:rPr>
          <w:rFonts w:ascii="Verdana" w:hAnsi="Verdana"/>
          <w:sz w:val="16"/>
          <w:szCs w:val="16"/>
          <w:lang w:val="es-CR"/>
        </w:rPr>
        <w:t xml:space="preserve">. Sentencia de 21 de octubre de 2016. Serie C No. 319. El texto íntegro de la Sentencia se encuentra en </w:t>
      </w:r>
      <w:hyperlink r:id="rId1" w:history="1">
        <w:r w:rsidR="00C76D04" w:rsidRPr="00C76D04">
          <w:rPr>
            <w:rStyle w:val="Hipervnculo"/>
            <w:rFonts w:ascii="Verdana" w:hAnsi="Verdana"/>
            <w:sz w:val="16"/>
            <w:szCs w:val="16"/>
            <w:lang w:val="es-CR"/>
          </w:rPr>
          <w:t>http://www.corteidh.or.cr/docs/casos/articulos/seriec_319_esp.pdf</w:t>
        </w:r>
      </w:hyperlink>
      <w:r w:rsidR="00C76D04" w:rsidRPr="00C76D04">
        <w:rPr>
          <w:rFonts w:ascii="Verdana" w:hAnsi="Verdana"/>
          <w:sz w:val="16"/>
          <w:szCs w:val="16"/>
          <w:lang w:val="es-CR"/>
        </w:rPr>
        <w:t xml:space="preserve">. La Sentencia fue notificada el </w:t>
      </w:r>
      <w:r w:rsidR="00C76D04">
        <w:rPr>
          <w:rFonts w:ascii="Verdana" w:hAnsi="Verdana"/>
          <w:sz w:val="16"/>
          <w:szCs w:val="16"/>
          <w:lang w:val="es-CR"/>
        </w:rPr>
        <w:t>9 de diciembre de 2016.</w:t>
      </w:r>
    </w:p>
  </w:footnote>
  <w:footnote w:id="3">
    <w:p w:rsidR="00547C57" w:rsidRPr="00C76D04" w:rsidRDefault="00547C57" w:rsidP="00C76D04">
      <w:pPr>
        <w:pStyle w:val="Textonotapie"/>
        <w:jc w:val="both"/>
        <w:rPr>
          <w:rFonts w:ascii="Verdana" w:hAnsi="Verdana"/>
          <w:sz w:val="16"/>
          <w:szCs w:val="16"/>
          <w:lang w:val="es-CR"/>
        </w:rPr>
      </w:pPr>
      <w:r w:rsidRPr="00C76D04">
        <w:rPr>
          <w:rStyle w:val="Refdenotaalpie"/>
          <w:rFonts w:ascii="Verdana" w:hAnsi="Verdana"/>
          <w:sz w:val="16"/>
          <w:szCs w:val="16"/>
        </w:rPr>
        <w:footnoteRef/>
      </w:r>
      <w:r w:rsidRPr="00C76D04">
        <w:rPr>
          <w:rFonts w:ascii="Verdana" w:hAnsi="Verdana"/>
          <w:sz w:val="16"/>
          <w:szCs w:val="16"/>
        </w:rPr>
        <w:t xml:space="preserve"> </w:t>
      </w:r>
      <w:r w:rsidR="00C76D04" w:rsidRPr="00C76D04">
        <w:rPr>
          <w:rFonts w:ascii="Verdana" w:hAnsi="Verdana"/>
          <w:sz w:val="16"/>
          <w:szCs w:val="16"/>
          <w:lang w:val="es-CR"/>
        </w:rPr>
        <w:tab/>
      </w:r>
      <w:r w:rsidR="00C76D04" w:rsidRPr="00C76D04">
        <w:rPr>
          <w:rFonts w:ascii="Verdana" w:hAnsi="Verdana"/>
          <w:i/>
          <w:sz w:val="16"/>
          <w:szCs w:val="16"/>
          <w:lang w:val="es-CR"/>
        </w:rPr>
        <w:t xml:space="preserve">Cfr. Caso Lagos del Campo Vs. Perú. Excepciones Preliminares, Fondo, Reparaciones y Costas. </w:t>
      </w:r>
      <w:r w:rsidR="00C76D04" w:rsidRPr="00C76D04">
        <w:rPr>
          <w:rFonts w:ascii="Verdana" w:hAnsi="Verdana"/>
          <w:sz w:val="16"/>
          <w:szCs w:val="16"/>
          <w:lang w:val="es-CR"/>
        </w:rPr>
        <w:t xml:space="preserve">Sentencia de 31 de agosto de 2017. Serie C No. 340. El texto íntegro de la Sentencia se encuentra en </w:t>
      </w:r>
      <w:hyperlink r:id="rId2" w:history="1">
        <w:r w:rsidR="00C76D04" w:rsidRPr="00C76D04">
          <w:rPr>
            <w:rStyle w:val="Hipervnculo"/>
            <w:rFonts w:ascii="Verdana" w:hAnsi="Verdana"/>
            <w:sz w:val="16"/>
            <w:szCs w:val="16"/>
            <w:lang w:val="es-CR"/>
          </w:rPr>
          <w:t>http://www.corteidh.or.cr/docs/casos/articulos/seriec_340_esp.pdf</w:t>
        </w:r>
      </w:hyperlink>
      <w:r w:rsidR="00C76D04" w:rsidRPr="00C76D04">
        <w:rPr>
          <w:rFonts w:ascii="Verdana" w:hAnsi="Verdana"/>
          <w:sz w:val="16"/>
          <w:szCs w:val="16"/>
          <w:lang w:val="es-CR"/>
        </w:rPr>
        <w:t xml:space="preserve">. La Sentencia fue notificada el </w:t>
      </w:r>
      <w:r w:rsidR="00C76D04">
        <w:rPr>
          <w:rFonts w:ascii="Verdana" w:hAnsi="Verdana"/>
          <w:sz w:val="16"/>
          <w:szCs w:val="16"/>
          <w:lang w:val="es-CR"/>
        </w:rPr>
        <w:t>13 de noviembre de 2017</w:t>
      </w:r>
      <w:r w:rsidR="00C76D04" w:rsidRPr="00C76D04">
        <w:rPr>
          <w:rFonts w:ascii="Verdana" w:hAnsi="Verdana"/>
          <w:sz w:val="16"/>
          <w:szCs w:val="16"/>
          <w:lang w:val="es-CR"/>
        </w:rPr>
        <w:t>.</w:t>
      </w:r>
    </w:p>
  </w:footnote>
  <w:footnote w:id="4">
    <w:p w:rsidR="00E71695" w:rsidRPr="00547C57" w:rsidRDefault="00E71695" w:rsidP="00547C57">
      <w:pPr>
        <w:pStyle w:val="Textonotapie"/>
        <w:jc w:val="both"/>
        <w:rPr>
          <w:rFonts w:ascii="Verdana" w:hAnsi="Verdana"/>
          <w:sz w:val="16"/>
          <w:szCs w:val="16"/>
          <w:lang w:val="es-CR"/>
        </w:rPr>
      </w:pPr>
      <w:r w:rsidRPr="00547C57">
        <w:rPr>
          <w:rStyle w:val="Refdenotaalpie"/>
          <w:rFonts w:ascii="Verdana" w:hAnsi="Verdana"/>
          <w:sz w:val="16"/>
          <w:szCs w:val="16"/>
        </w:rPr>
        <w:footnoteRef/>
      </w:r>
      <w:r w:rsidRPr="00547C57">
        <w:rPr>
          <w:rFonts w:ascii="Verdana" w:hAnsi="Verdana"/>
          <w:sz w:val="16"/>
          <w:szCs w:val="16"/>
        </w:rPr>
        <w:t xml:space="preserve"> </w:t>
      </w:r>
      <w:r w:rsidRPr="00547C57">
        <w:rPr>
          <w:rFonts w:ascii="Verdana" w:hAnsi="Verdana"/>
          <w:sz w:val="16"/>
          <w:szCs w:val="16"/>
          <w:lang w:val="es-CR"/>
        </w:rPr>
        <w:tab/>
        <w:t xml:space="preserve">Los textos íntegros de las Sentencias de los dos casos se encuentran disponibles en: </w:t>
      </w:r>
      <w:hyperlink r:id="rId3" w:history="1">
        <w:r w:rsidRPr="00547C57">
          <w:rPr>
            <w:rStyle w:val="Hipervnculo"/>
            <w:rFonts w:ascii="Verdana" w:hAnsi="Verdana"/>
            <w:sz w:val="16"/>
            <w:szCs w:val="16"/>
            <w:lang w:val="es-CR"/>
          </w:rPr>
          <w:t>http://www.corteidh.or.cr/cf/Jurisprudencia2/busqueda_casos_contenciosos.cfm?lang=es</w:t>
        </w:r>
      </w:hyperlink>
      <w:r w:rsidRPr="00547C57">
        <w:rPr>
          <w:rFonts w:ascii="Verdana" w:hAnsi="Verdana"/>
          <w:sz w:val="16"/>
          <w:szCs w:val="16"/>
          <w:lang w:val="es-CR"/>
        </w:rPr>
        <w:t xml:space="preserve"> </w:t>
      </w:r>
    </w:p>
  </w:footnote>
  <w:footnote w:id="5">
    <w:p w:rsidR="00706644" w:rsidRPr="00706644" w:rsidRDefault="00706644" w:rsidP="00706644">
      <w:pPr>
        <w:pStyle w:val="Textonotapie"/>
        <w:jc w:val="both"/>
        <w:rPr>
          <w:rFonts w:ascii="Verdana" w:hAnsi="Verdana"/>
          <w:sz w:val="16"/>
          <w:szCs w:val="16"/>
          <w:lang w:val="es-CR"/>
        </w:rPr>
      </w:pPr>
      <w:r w:rsidRPr="00706644">
        <w:rPr>
          <w:rStyle w:val="Refdenotaalpie"/>
          <w:rFonts w:ascii="Verdana" w:hAnsi="Verdana"/>
          <w:sz w:val="16"/>
          <w:szCs w:val="16"/>
        </w:rPr>
        <w:footnoteRef/>
      </w:r>
      <w:r w:rsidRPr="00706644">
        <w:rPr>
          <w:rFonts w:ascii="Verdana" w:hAnsi="Verdana"/>
          <w:sz w:val="16"/>
          <w:szCs w:val="16"/>
        </w:rPr>
        <w:t xml:space="preserve"> </w:t>
      </w:r>
      <w:r w:rsidRPr="00706644">
        <w:rPr>
          <w:rFonts w:ascii="Verdana" w:hAnsi="Verdana"/>
          <w:sz w:val="16"/>
          <w:szCs w:val="16"/>
          <w:lang w:val="es-CR"/>
        </w:rPr>
        <w:tab/>
      </w:r>
      <w:r w:rsidRPr="00706644">
        <w:rPr>
          <w:rFonts w:ascii="Verdana" w:hAnsi="Verdana"/>
          <w:sz w:val="16"/>
          <w:szCs w:val="16"/>
        </w:rPr>
        <w:t xml:space="preserve">Reglamento de la Corte Interamericana de Derechos Humanos sobre el Funcionamiento del Fondo de Asistencia Legal de Víctimas, aprobado por el Tribunal el 4 de febrero de 2010, y en vigor a partir del 1 de junio de 2010. Disponible en: </w:t>
      </w:r>
      <w:hyperlink r:id="rId4" w:history="1">
        <w:r w:rsidR="00AF32F4" w:rsidRPr="009823C0">
          <w:rPr>
            <w:rStyle w:val="Hipervnculo"/>
            <w:rFonts w:ascii="Verdana" w:hAnsi="Verdana"/>
            <w:sz w:val="16"/>
            <w:szCs w:val="16"/>
            <w:lang w:val="es-CR"/>
          </w:rPr>
          <w:t>h</w:t>
        </w:r>
        <w:r w:rsidR="00AF32F4" w:rsidRPr="009823C0">
          <w:rPr>
            <w:rStyle w:val="Hipervnculo"/>
            <w:rFonts w:ascii="Verdana" w:hAnsi="Verdana"/>
            <w:sz w:val="16"/>
            <w:szCs w:val="16"/>
          </w:rPr>
          <w:t>ttp://www.corteidh.or.cr/docs/regla_victimas/victimas_esp.pdf</w:t>
        </w:r>
      </w:hyperlink>
      <w:r w:rsidR="00AF32F4">
        <w:rPr>
          <w:rFonts w:ascii="Verdana" w:hAnsi="Verdana"/>
          <w:sz w:val="16"/>
          <w:szCs w:val="16"/>
          <w:lang w:val="es-CR"/>
        </w:rPr>
        <w:t>.</w:t>
      </w:r>
    </w:p>
  </w:footnote>
  <w:footnote w:id="6">
    <w:p w:rsidR="00813E35" w:rsidRPr="00011A45" w:rsidRDefault="00813E35" w:rsidP="00FF7C60">
      <w:pPr>
        <w:pStyle w:val="Textonotapie"/>
        <w:jc w:val="both"/>
        <w:rPr>
          <w:rFonts w:ascii="Verdana" w:hAnsi="Verdana"/>
          <w:sz w:val="19"/>
          <w:szCs w:val="19"/>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011A45">
        <w:rPr>
          <w:rFonts w:ascii="Verdana" w:hAnsi="Verdana"/>
          <w:sz w:val="16"/>
          <w:szCs w:val="16"/>
        </w:rPr>
        <w:t>Facultad que además se desprende de lo dispuesto en los artículos 33, 62.1, 62.3 y 65 de la Convención Americana y 30 de su Estatuto y se encuentra regulada en el artículo 69 de su Reglamento.</w:t>
      </w:r>
    </w:p>
  </w:footnote>
  <w:footnote w:id="7">
    <w:p w:rsidR="00C76D04" w:rsidRPr="00C76D04" w:rsidRDefault="00C76D04">
      <w:pPr>
        <w:pStyle w:val="Textonotapie"/>
        <w:rPr>
          <w:rFonts w:ascii="Verdana" w:hAnsi="Verdana"/>
          <w:sz w:val="16"/>
          <w:szCs w:val="16"/>
          <w:lang w:val="es-CR"/>
        </w:rPr>
      </w:pPr>
      <w:r w:rsidRPr="00C76D04">
        <w:rPr>
          <w:rStyle w:val="Refdenotaalpie"/>
          <w:rFonts w:ascii="Verdana" w:hAnsi="Verdana"/>
          <w:sz w:val="16"/>
          <w:szCs w:val="16"/>
        </w:rPr>
        <w:footnoteRef/>
      </w:r>
      <w:r w:rsidRPr="00C76D04">
        <w:rPr>
          <w:rFonts w:ascii="Verdana" w:hAnsi="Verdana"/>
          <w:sz w:val="16"/>
          <w:szCs w:val="16"/>
        </w:rPr>
        <w:t xml:space="preserve"> </w:t>
      </w:r>
      <w:r w:rsidRPr="00C76D04">
        <w:rPr>
          <w:rFonts w:ascii="Verdana" w:hAnsi="Verdana"/>
          <w:sz w:val="16"/>
          <w:szCs w:val="16"/>
          <w:lang w:val="es-CR"/>
        </w:rPr>
        <w:tab/>
        <w:t>Punto resolutivo</w:t>
      </w:r>
      <w:r>
        <w:rPr>
          <w:rFonts w:ascii="Verdana" w:hAnsi="Verdana"/>
          <w:sz w:val="16"/>
          <w:szCs w:val="16"/>
          <w:lang w:val="es-CR"/>
        </w:rPr>
        <w:t xml:space="preserve"> noveno de la Sentencia. </w:t>
      </w:r>
    </w:p>
  </w:footnote>
  <w:footnote w:id="8">
    <w:p w:rsidR="00C76D04" w:rsidRPr="00C76D04" w:rsidRDefault="00C76D04" w:rsidP="00C76D04">
      <w:pPr>
        <w:pStyle w:val="Textonotapie"/>
        <w:jc w:val="both"/>
        <w:rPr>
          <w:rFonts w:ascii="Verdana" w:hAnsi="Verdana"/>
          <w:sz w:val="16"/>
          <w:szCs w:val="16"/>
          <w:lang w:val="es-CR"/>
        </w:rPr>
      </w:pPr>
      <w:r w:rsidRPr="00C76D04">
        <w:rPr>
          <w:rStyle w:val="Refdenotaalpie"/>
          <w:rFonts w:ascii="Verdana" w:hAnsi="Verdana"/>
          <w:sz w:val="16"/>
          <w:szCs w:val="16"/>
        </w:rPr>
        <w:footnoteRef/>
      </w:r>
      <w:r w:rsidRPr="00C76D04">
        <w:rPr>
          <w:rFonts w:ascii="Verdana" w:hAnsi="Verdana"/>
          <w:sz w:val="16"/>
          <w:szCs w:val="16"/>
        </w:rPr>
        <w:t xml:space="preserve"> </w:t>
      </w:r>
      <w:r w:rsidRPr="00C76D04">
        <w:rPr>
          <w:rFonts w:ascii="Verdana" w:hAnsi="Verdana"/>
          <w:sz w:val="16"/>
          <w:szCs w:val="16"/>
          <w:lang w:val="es-CR"/>
        </w:rPr>
        <w:tab/>
        <w:t>Punto resolutivo d</w:t>
      </w:r>
      <w:r>
        <w:rPr>
          <w:rFonts w:ascii="Verdana" w:hAnsi="Verdana"/>
          <w:sz w:val="16"/>
          <w:szCs w:val="16"/>
          <w:lang w:val="es-CR"/>
        </w:rPr>
        <w:t xml:space="preserve">écimo segundo de la Sentencia. </w:t>
      </w:r>
    </w:p>
  </w:footnote>
  <w:footnote w:id="9">
    <w:p w:rsidR="00296450" w:rsidRPr="00EC2770" w:rsidRDefault="00296450" w:rsidP="00296450">
      <w:pPr>
        <w:pStyle w:val="Textonotapie"/>
        <w:jc w:val="both"/>
        <w:rPr>
          <w:rFonts w:ascii="Verdana" w:hAnsi="Verdana"/>
          <w:sz w:val="16"/>
          <w:szCs w:val="16"/>
          <w:lang w:val="es-CR"/>
        </w:rPr>
      </w:pPr>
      <w:r w:rsidRPr="00296450">
        <w:rPr>
          <w:rStyle w:val="Refdenotaalpie"/>
          <w:rFonts w:ascii="Verdana" w:hAnsi="Verdana"/>
          <w:sz w:val="16"/>
          <w:szCs w:val="16"/>
        </w:rPr>
        <w:footnoteRef/>
      </w:r>
      <w:r w:rsidRPr="00296450">
        <w:rPr>
          <w:rFonts w:ascii="Verdana" w:hAnsi="Verdana"/>
          <w:sz w:val="16"/>
          <w:szCs w:val="16"/>
        </w:rPr>
        <w:t xml:space="preserve"> </w:t>
      </w:r>
      <w:r w:rsidRPr="00296450">
        <w:rPr>
          <w:rFonts w:ascii="Verdana" w:hAnsi="Verdana"/>
          <w:sz w:val="16"/>
          <w:szCs w:val="16"/>
          <w:lang w:val="es-CR"/>
        </w:rPr>
        <w:tab/>
      </w:r>
      <w:r w:rsidR="00EC2770">
        <w:rPr>
          <w:rFonts w:ascii="Verdana" w:hAnsi="Verdana"/>
          <w:sz w:val="16"/>
          <w:szCs w:val="16"/>
          <w:lang w:val="es-CR"/>
        </w:rPr>
        <w:t xml:space="preserve">Los plazos vencían: i) para el caso </w:t>
      </w:r>
      <w:r w:rsidR="00EC2770">
        <w:rPr>
          <w:rFonts w:ascii="Verdana" w:hAnsi="Verdana"/>
          <w:i/>
          <w:sz w:val="16"/>
          <w:szCs w:val="16"/>
          <w:lang w:val="es-CR"/>
        </w:rPr>
        <w:t>Pollo Rivera y otros</w:t>
      </w:r>
      <w:r w:rsidR="0085155A">
        <w:rPr>
          <w:rFonts w:ascii="Verdana" w:hAnsi="Verdana"/>
          <w:sz w:val="16"/>
          <w:szCs w:val="16"/>
          <w:lang w:val="es-CR"/>
        </w:rPr>
        <w:t>, el 9 de junio de 2017, y</w:t>
      </w:r>
      <w:r w:rsidR="00EC2770">
        <w:rPr>
          <w:rFonts w:ascii="Verdana" w:hAnsi="Verdana"/>
          <w:sz w:val="16"/>
          <w:szCs w:val="16"/>
          <w:lang w:val="es-CR"/>
        </w:rPr>
        <w:t xml:space="preserve"> ii) para el caso </w:t>
      </w:r>
      <w:r w:rsidR="00EC2770">
        <w:rPr>
          <w:rFonts w:ascii="Verdana" w:hAnsi="Verdana"/>
          <w:i/>
          <w:sz w:val="16"/>
          <w:szCs w:val="16"/>
          <w:lang w:val="es-CR"/>
        </w:rPr>
        <w:t>Lagos del Campo</w:t>
      </w:r>
      <w:r w:rsidR="00EC2770">
        <w:rPr>
          <w:rFonts w:ascii="Verdana" w:hAnsi="Verdana"/>
          <w:sz w:val="16"/>
          <w:szCs w:val="16"/>
          <w:lang w:val="es-CR"/>
        </w:rPr>
        <w:t xml:space="preserve">, el </w:t>
      </w:r>
      <w:r w:rsidR="00826A6F">
        <w:rPr>
          <w:rFonts w:ascii="Verdana" w:hAnsi="Verdana"/>
          <w:sz w:val="16"/>
          <w:szCs w:val="16"/>
          <w:lang w:val="es-CR"/>
        </w:rPr>
        <w:t>12 de febrero de 2018</w:t>
      </w:r>
      <w:r w:rsidR="00EC2770">
        <w:rPr>
          <w:rFonts w:ascii="Verdana" w:hAnsi="Verdana"/>
          <w:sz w:val="16"/>
          <w:szCs w:val="16"/>
          <w:lang w:val="es-CR"/>
        </w:rPr>
        <w:t xml:space="preserve">. </w:t>
      </w:r>
    </w:p>
  </w:footnote>
  <w:footnote w:id="10">
    <w:p w:rsidR="0080538D" w:rsidRPr="00CB6017" w:rsidRDefault="0080538D" w:rsidP="0080538D">
      <w:pPr>
        <w:pStyle w:val="Textonotapie"/>
        <w:jc w:val="both"/>
        <w:rPr>
          <w:rFonts w:ascii="Verdana" w:hAnsi="Verdana"/>
          <w:sz w:val="16"/>
          <w:szCs w:val="16"/>
          <w:lang w:val="es-CR"/>
        </w:rPr>
      </w:pPr>
      <w:r w:rsidRPr="0080538D">
        <w:rPr>
          <w:rStyle w:val="Refdenotaalpie"/>
          <w:rFonts w:ascii="Verdana" w:hAnsi="Verdana"/>
          <w:sz w:val="16"/>
          <w:szCs w:val="16"/>
        </w:rPr>
        <w:footnoteRef/>
      </w:r>
      <w:r w:rsidRPr="0080538D">
        <w:rPr>
          <w:rFonts w:ascii="Verdana" w:hAnsi="Verdana"/>
          <w:sz w:val="16"/>
          <w:szCs w:val="16"/>
        </w:rPr>
        <w:t xml:space="preserve"> </w:t>
      </w:r>
      <w:r w:rsidRPr="0080538D">
        <w:rPr>
          <w:rFonts w:ascii="Verdana" w:hAnsi="Verdana"/>
          <w:sz w:val="16"/>
          <w:szCs w:val="16"/>
          <w:lang w:val="es-CR"/>
        </w:rPr>
        <w:tab/>
        <w:t xml:space="preserve">En dicha transferencia, también realizó el reintegro al Fondo de Asistencia </w:t>
      </w:r>
      <w:r w:rsidR="008B438A">
        <w:rPr>
          <w:rFonts w:ascii="Verdana" w:hAnsi="Verdana"/>
          <w:sz w:val="16"/>
          <w:szCs w:val="16"/>
          <w:lang w:val="es-CR"/>
        </w:rPr>
        <w:t>Legal de Víctimas</w:t>
      </w:r>
      <w:r w:rsidRPr="0080538D">
        <w:rPr>
          <w:rFonts w:ascii="Verdana" w:hAnsi="Verdana"/>
          <w:sz w:val="16"/>
          <w:szCs w:val="16"/>
          <w:lang w:val="es-CR"/>
        </w:rPr>
        <w:t xml:space="preserve"> correspondiente al caso Zegarra Marín. </w:t>
      </w:r>
      <w:r w:rsidR="00CB6017">
        <w:rPr>
          <w:rFonts w:ascii="Verdana" w:hAnsi="Verdana"/>
          <w:sz w:val="16"/>
          <w:szCs w:val="16"/>
          <w:lang w:val="es-CR"/>
        </w:rPr>
        <w:t xml:space="preserve"> </w:t>
      </w:r>
      <w:r w:rsidR="00CB6017">
        <w:rPr>
          <w:rFonts w:ascii="Verdana" w:hAnsi="Verdana"/>
          <w:i/>
          <w:sz w:val="16"/>
          <w:szCs w:val="16"/>
          <w:lang w:val="es-CR"/>
        </w:rPr>
        <w:t>Cfr. Caso Zegarra Marín Vs. Perú</w:t>
      </w:r>
      <w:r w:rsidR="00CB6017">
        <w:rPr>
          <w:rFonts w:ascii="Verdana" w:hAnsi="Verdana"/>
          <w:sz w:val="16"/>
          <w:szCs w:val="16"/>
          <w:lang w:val="es-CR"/>
        </w:rPr>
        <w:t>. Supervisión de Cumplimiento de Sentencia. Resolución de la Corte Interamericana de Derechos Humanos de 30 de mayo de 2018, Considerando 8.</w:t>
      </w:r>
    </w:p>
  </w:footnote>
  <w:footnote w:id="11">
    <w:p w:rsidR="00813E35" w:rsidRPr="00011A45" w:rsidRDefault="00813E35" w:rsidP="00DC2794">
      <w:pPr>
        <w:pStyle w:val="Textonotapie"/>
        <w:jc w:val="both"/>
        <w:rPr>
          <w:rFonts w:ascii="Verdana" w:hAnsi="Verdana"/>
          <w:sz w:val="16"/>
          <w:szCs w:val="16"/>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011A45">
        <w:rPr>
          <w:rFonts w:ascii="Verdana" w:hAnsi="Verdana"/>
          <w:sz w:val="16"/>
          <w:szCs w:val="16"/>
        </w:rPr>
        <w:t>Con el “objeto [de] facilitar acceso al sistema interamericano de derechos humanos a aquellas personas que actualmente no tienen los recursos necesarios para llevar su caso al sistema”. AG/RES. 2426 (XXXVIII-O/08) Resolución adoptada por la Asamblea General de la OEA durante la celebración del XXXVIII Período Ordinario de Sesiones de la OEA, en la cuarta sesión plenaria, celebrada el 3 de junio de 2008, “Creación del Fondo de Asistencia Legal del Sistema Interamericano de Derechos Humanos”, párrafo dispositivo 2.</w:t>
      </w:r>
      <w:r>
        <w:rPr>
          <w:rFonts w:ascii="Verdana" w:hAnsi="Verdana"/>
          <w:sz w:val="16"/>
          <w:szCs w:val="16"/>
          <w:lang w:val="es-ES"/>
        </w:rPr>
        <w:t>a</w:t>
      </w:r>
      <w:r w:rsidRPr="00011A45">
        <w:rPr>
          <w:rFonts w:ascii="Verdana" w:hAnsi="Verdana"/>
          <w:sz w:val="16"/>
          <w:szCs w:val="16"/>
        </w:rPr>
        <w:t>.</w:t>
      </w:r>
    </w:p>
  </w:footnote>
  <w:footnote w:id="12">
    <w:p w:rsidR="00813E35" w:rsidRPr="00011A45" w:rsidRDefault="00813E35" w:rsidP="00AB48F8">
      <w:pPr>
        <w:pStyle w:val="Textonotapie"/>
        <w:jc w:val="both"/>
        <w:rPr>
          <w:rFonts w:ascii="Verdana" w:hAnsi="Verdana"/>
          <w:sz w:val="16"/>
          <w:szCs w:val="16"/>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011A45">
        <w:rPr>
          <w:rFonts w:ascii="Verdana" w:hAnsi="Verdana"/>
          <w:sz w:val="16"/>
          <w:szCs w:val="16"/>
        </w:rPr>
        <w:t>El artículo 2.1 del Reglamento del Fondo de Asistencia Legal de Víctimas del Sistema Interamericano, estipuló que éste se financia por medio de los “[a]portes de capital voluntarios de los Estados miembros de la OEA, de los Estados Observadores Permanentes, y de otros Estados y donantes que deseen colaborar”</w:t>
      </w:r>
      <w:r w:rsidRPr="00011A45">
        <w:rPr>
          <w:rStyle w:val="Refdecomentario"/>
          <w:rFonts w:ascii="Verdana" w:hAnsi="Verdana"/>
        </w:rPr>
        <w:t/>
      </w:r>
      <w:r w:rsidRPr="00011A45">
        <w:rPr>
          <w:rFonts w:ascii="Verdana" w:hAnsi="Verdana"/>
          <w:sz w:val="16"/>
          <w:szCs w:val="16"/>
        </w:rPr>
        <w:t xml:space="preserve">. CP/RES. 963 (1728/09), Resolución adoptada el 11 de noviembre de 2009 por el Consejo Permanente de la OEA, “Reglamento para el Funcionamiento del Fondo de Asistencia Legal del Sistema Interamericano de Derechos Humanos”, artículo 2.1. </w:t>
      </w:r>
    </w:p>
  </w:footnote>
  <w:footnote w:id="13">
    <w:p w:rsidR="00813E35" w:rsidRPr="00C76D04" w:rsidRDefault="00813E35" w:rsidP="00B82DF7">
      <w:pPr>
        <w:pStyle w:val="Textonotapie"/>
        <w:jc w:val="both"/>
        <w:rPr>
          <w:rFonts w:ascii="Verdana" w:hAnsi="Verdana"/>
          <w:sz w:val="16"/>
          <w:szCs w:val="16"/>
          <w:lang w:val="es-CR"/>
        </w:rPr>
      </w:pPr>
      <w:r w:rsidRPr="00011A45">
        <w:rPr>
          <w:rStyle w:val="Refdenotaalpie"/>
          <w:rFonts w:ascii="Verdana" w:hAnsi="Verdana"/>
          <w:sz w:val="16"/>
          <w:szCs w:val="16"/>
        </w:rPr>
        <w:footnoteRef/>
      </w:r>
      <w:r w:rsidRPr="00011A45">
        <w:rPr>
          <w:rFonts w:ascii="Verdana" w:hAnsi="Verdana"/>
          <w:sz w:val="16"/>
          <w:szCs w:val="16"/>
        </w:rPr>
        <w:t xml:space="preserve"> </w:t>
      </w:r>
      <w:r w:rsidRPr="00011A45">
        <w:rPr>
          <w:rFonts w:ascii="Verdana" w:hAnsi="Verdana"/>
          <w:sz w:val="16"/>
          <w:szCs w:val="16"/>
        </w:rPr>
        <w:tab/>
      </w:r>
      <w:r w:rsidRPr="00EC18B3">
        <w:rPr>
          <w:rFonts w:ascii="Verdana" w:hAnsi="Verdana"/>
          <w:sz w:val="16"/>
          <w:szCs w:val="16"/>
        </w:rPr>
        <w:t>El Fondo de Asistencia Legal de Víctimas de la Corte Interamericana no cuenta con recursos del presupuesto ordinario de la OEA. Hasta la fecha los fondos provienen de proyectos de cooperación firmados por el Tribunal con Noruega y Dinamarca, y del aporte voluntario realizado por Colombia. Al respecto ver: Informe Anual de la Corte Interamericana de Derechos Humanos de 201</w:t>
      </w:r>
      <w:r w:rsidR="00C76D04">
        <w:rPr>
          <w:rFonts w:ascii="Verdana" w:hAnsi="Verdana"/>
          <w:sz w:val="16"/>
          <w:szCs w:val="16"/>
          <w:lang w:val="es-CR"/>
        </w:rPr>
        <w:t>7</w:t>
      </w:r>
      <w:r w:rsidRPr="00EC18B3">
        <w:rPr>
          <w:rFonts w:ascii="Verdana" w:hAnsi="Verdana"/>
          <w:sz w:val="16"/>
          <w:szCs w:val="16"/>
        </w:rPr>
        <w:t xml:space="preserve">, págs. </w:t>
      </w:r>
      <w:r w:rsidR="00C76D04">
        <w:rPr>
          <w:rFonts w:ascii="Verdana" w:hAnsi="Verdana"/>
          <w:sz w:val="16"/>
          <w:szCs w:val="16"/>
          <w:lang w:val="es-CR"/>
        </w:rPr>
        <w:t xml:space="preserve">163 a </w:t>
      </w:r>
      <w:r w:rsidR="00EC18B3">
        <w:rPr>
          <w:rFonts w:ascii="Verdana" w:hAnsi="Verdana"/>
          <w:sz w:val="16"/>
          <w:szCs w:val="16"/>
          <w:lang w:val="es-CR"/>
        </w:rPr>
        <w:t>17</w:t>
      </w:r>
      <w:r w:rsidR="00C76D04">
        <w:rPr>
          <w:rFonts w:ascii="Verdana" w:hAnsi="Verdana"/>
          <w:sz w:val="16"/>
          <w:szCs w:val="16"/>
          <w:lang w:val="es-CR"/>
        </w:rPr>
        <w:t>6</w:t>
      </w:r>
      <w:r w:rsidRPr="00EC18B3">
        <w:rPr>
          <w:rFonts w:ascii="Verdana" w:hAnsi="Verdana"/>
          <w:sz w:val="16"/>
          <w:szCs w:val="16"/>
        </w:rPr>
        <w:t xml:space="preserve">, disponible en: </w:t>
      </w:r>
      <w:hyperlink r:id="rId5" w:history="1">
        <w:r w:rsidR="00C76D04" w:rsidRPr="00E34210">
          <w:rPr>
            <w:rStyle w:val="Hipervnculo"/>
            <w:rFonts w:ascii="Verdana" w:hAnsi="Verdana"/>
            <w:sz w:val="16"/>
            <w:szCs w:val="16"/>
          </w:rPr>
          <w:t>http://www.corteidh.or.cr/tablas/informe2017/espanol.pdf</w:t>
        </w:r>
      </w:hyperlink>
      <w:r w:rsidR="00C76D04">
        <w:rPr>
          <w:rFonts w:ascii="Verdana" w:hAnsi="Verdana"/>
          <w:sz w:val="16"/>
          <w:szCs w:val="16"/>
          <w:lang w:val="es-CR"/>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E35" w:rsidRPr="00CB6017" w:rsidRDefault="00CB6017">
    <w:pPr>
      <w:pStyle w:val="Encabezado"/>
      <w:jc w:val="center"/>
      <w:rPr>
        <w:rFonts w:ascii="Verdana" w:hAnsi="Verdana"/>
        <w:noProof/>
        <w:sz w:val="20"/>
        <w:szCs w:val="20"/>
        <w:lang w:val="es-CR"/>
      </w:rPr>
    </w:pPr>
    <w:r>
      <w:rPr>
        <w:rFonts w:ascii="Verdana" w:hAnsi="Verdana"/>
        <w:sz w:val="20"/>
        <w:szCs w:val="20"/>
        <w:lang w:val="es-CR"/>
      </w:rPr>
      <w:t>-</w:t>
    </w:r>
    <w:r w:rsidR="00813E35" w:rsidRPr="00CB6017">
      <w:rPr>
        <w:rFonts w:ascii="Verdana" w:hAnsi="Verdana"/>
        <w:sz w:val="20"/>
        <w:szCs w:val="20"/>
      </w:rPr>
      <w:fldChar w:fldCharType="begin"/>
    </w:r>
    <w:r w:rsidR="00813E35" w:rsidRPr="00CB6017">
      <w:rPr>
        <w:rFonts w:ascii="Verdana" w:hAnsi="Verdana"/>
        <w:sz w:val="20"/>
        <w:szCs w:val="20"/>
      </w:rPr>
      <w:instrText xml:space="preserve"> PAGE   \* MERGEFORMAT </w:instrText>
    </w:r>
    <w:r w:rsidR="00813E35" w:rsidRPr="00CB6017">
      <w:rPr>
        <w:rFonts w:ascii="Verdana" w:hAnsi="Verdana"/>
        <w:sz w:val="20"/>
        <w:szCs w:val="20"/>
      </w:rPr>
      <w:fldChar w:fldCharType="separate"/>
    </w:r>
    <w:r w:rsidR="009B3833">
      <w:rPr>
        <w:rFonts w:ascii="Verdana" w:hAnsi="Verdana"/>
        <w:noProof/>
        <w:sz w:val="20"/>
        <w:szCs w:val="20"/>
      </w:rPr>
      <w:t>2</w:t>
    </w:r>
    <w:r w:rsidR="00813E35" w:rsidRPr="00CB6017">
      <w:rPr>
        <w:rFonts w:ascii="Verdana" w:hAnsi="Verdana"/>
        <w:noProof/>
        <w:sz w:val="20"/>
        <w:szCs w:val="20"/>
      </w:rPr>
      <w:fldChar w:fldCharType="end"/>
    </w:r>
    <w:r>
      <w:rPr>
        <w:rFonts w:ascii="Verdana" w:hAnsi="Verdana"/>
        <w:noProof/>
        <w:sz w:val="20"/>
        <w:szCs w:val="20"/>
        <w:lang w:val="es-CR"/>
      </w:rPr>
      <w:t>-</w:t>
    </w:r>
  </w:p>
  <w:p w:rsidR="00813E35" w:rsidRDefault="00813E35" w:rsidP="00A830DE">
    <w:pPr>
      <w:pStyle w:val="Encabezado"/>
    </w:pPr>
  </w:p>
  <w:p w:rsidR="00813E35" w:rsidRDefault="00813E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6D28E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336EF5"/>
    <w:multiLevelType w:val="hybridMultilevel"/>
    <w:tmpl w:val="2FB6C44E"/>
    <w:lvl w:ilvl="0" w:tplc="6A744E00">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A696370"/>
    <w:multiLevelType w:val="hybridMultilevel"/>
    <w:tmpl w:val="4F04CC02"/>
    <w:lvl w:ilvl="0" w:tplc="140A0017">
      <w:start w:val="1"/>
      <w:numFmt w:val="lowerLetter"/>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E723011"/>
    <w:multiLevelType w:val="hybridMultilevel"/>
    <w:tmpl w:val="752EF9FE"/>
    <w:lvl w:ilvl="0" w:tplc="140A000F">
      <w:start w:val="1"/>
      <w:numFmt w:val="decimal"/>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1EE8600E"/>
    <w:multiLevelType w:val="hybridMultilevel"/>
    <w:tmpl w:val="32400CCA"/>
    <w:lvl w:ilvl="0" w:tplc="140A0017">
      <w:start w:val="1"/>
      <w:numFmt w:val="lowerLetter"/>
      <w:lvlText w:val="%1)"/>
      <w:lvlJc w:val="left"/>
      <w:pPr>
        <w:ind w:left="1065" w:hanging="360"/>
      </w:pPr>
      <w:rPr>
        <w:rFonts w:hint="default"/>
        <w:sz w:val="20"/>
      </w:rPr>
    </w:lvl>
    <w:lvl w:ilvl="1" w:tplc="140A0019" w:tentative="1">
      <w:start w:val="1"/>
      <w:numFmt w:val="lowerLetter"/>
      <w:lvlText w:val="%2."/>
      <w:lvlJc w:val="left"/>
      <w:pPr>
        <w:ind w:left="1785" w:hanging="360"/>
      </w:pPr>
    </w:lvl>
    <w:lvl w:ilvl="2" w:tplc="140A001B" w:tentative="1">
      <w:start w:val="1"/>
      <w:numFmt w:val="lowerRoman"/>
      <w:lvlText w:val="%3."/>
      <w:lvlJc w:val="right"/>
      <w:pPr>
        <w:ind w:left="2505" w:hanging="180"/>
      </w:pPr>
    </w:lvl>
    <w:lvl w:ilvl="3" w:tplc="140A000F" w:tentative="1">
      <w:start w:val="1"/>
      <w:numFmt w:val="decimal"/>
      <w:lvlText w:val="%4."/>
      <w:lvlJc w:val="left"/>
      <w:pPr>
        <w:ind w:left="3225" w:hanging="360"/>
      </w:pPr>
    </w:lvl>
    <w:lvl w:ilvl="4" w:tplc="140A0019" w:tentative="1">
      <w:start w:val="1"/>
      <w:numFmt w:val="lowerLetter"/>
      <w:lvlText w:val="%5."/>
      <w:lvlJc w:val="left"/>
      <w:pPr>
        <w:ind w:left="3945" w:hanging="360"/>
      </w:pPr>
    </w:lvl>
    <w:lvl w:ilvl="5" w:tplc="140A001B" w:tentative="1">
      <w:start w:val="1"/>
      <w:numFmt w:val="lowerRoman"/>
      <w:lvlText w:val="%6."/>
      <w:lvlJc w:val="right"/>
      <w:pPr>
        <w:ind w:left="4665" w:hanging="180"/>
      </w:pPr>
    </w:lvl>
    <w:lvl w:ilvl="6" w:tplc="140A000F" w:tentative="1">
      <w:start w:val="1"/>
      <w:numFmt w:val="decimal"/>
      <w:lvlText w:val="%7."/>
      <w:lvlJc w:val="left"/>
      <w:pPr>
        <w:ind w:left="5385" w:hanging="360"/>
      </w:pPr>
    </w:lvl>
    <w:lvl w:ilvl="7" w:tplc="140A0019" w:tentative="1">
      <w:start w:val="1"/>
      <w:numFmt w:val="lowerLetter"/>
      <w:lvlText w:val="%8."/>
      <w:lvlJc w:val="left"/>
      <w:pPr>
        <w:ind w:left="6105" w:hanging="360"/>
      </w:pPr>
    </w:lvl>
    <w:lvl w:ilvl="8" w:tplc="140A001B" w:tentative="1">
      <w:start w:val="1"/>
      <w:numFmt w:val="lowerRoman"/>
      <w:lvlText w:val="%9."/>
      <w:lvlJc w:val="right"/>
      <w:pPr>
        <w:ind w:left="6825" w:hanging="180"/>
      </w:pPr>
    </w:lvl>
  </w:abstractNum>
  <w:abstractNum w:abstractNumId="6">
    <w:nsid w:val="209B00B6"/>
    <w:multiLevelType w:val="hybridMultilevel"/>
    <w:tmpl w:val="A47A82C0"/>
    <w:lvl w:ilvl="0" w:tplc="A550A06C">
      <w:start w:val="1"/>
      <w:numFmt w:val="decimal"/>
      <w:lvlText w:val="%1."/>
      <w:lvlJc w:val="left"/>
      <w:pPr>
        <w:ind w:left="720" w:hanging="360"/>
      </w:pPr>
      <w:rPr>
        <w:rFonts w:hint="default"/>
        <w:strike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76E55E3"/>
    <w:multiLevelType w:val="hybridMultilevel"/>
    <w:tmpl w:val="09985A76"/>
    <w:lvl w:ilvl="0" w:tplc="68420E5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38A1355E"/>
    <w:multiLevelType w:val="hybridMultilevel"/>
    <w:tmpl w:val="E3B403A0"/>
    <w:lvl w:ilvl="0" w:tplc="8D2669C8">
      <w:start w:val="1"/>
      <w:numFmt w:val="decimal"/>
      <w:lvlText w:val="%1."/>
      <w:lvlJc w:val="left"/>
      <w:pPr>
        <w:ind w:left="360" w:hanging="360"/>
      </w:pPr>
      <w:rPr>
        <w:rFonts w:ascii="Verdana" w:eastAsia="Calibri" w:hAnsi="Verdana" w:cs="Verdana" w:hint="default"/>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nsid w:val="3B783BD6"/>
    <w:multiLevelType w:val="hybridMultilevel"/>
    <w:tmpl w:val="7484749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7"/>
  </w:num>
  <w:num w:numId="5">
    <w:abstractNumId w:val="0"/>
  </w:num>
  <w:num w:numId="6">
    <w:abstractNumId w:val="9"/>
  </w:num>
  <w:num w:numId="7">
    <w:abstractNumId w:val="6"/>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520B"/>
    <w:rsid w:val="00002792"/>
    <w:rsid w:val="0000305B"/>
    <w:rsid w:val="00006348"/>
    <w:rsid w:val="00011A45"/>
    <w:rsid w:val="0001586D"/>
    <w:rsid w:val="0003198B"/>
    <w:rsid w:val="000411F3"/>
    <w:rsid w:val="000418EE"/>
    <w:rsid w:val="00053E2A"/>
    <w:rsid w:val="00057DDD"/>
    <w:rsid w:val="00066893"/>
    <w:rsid w:val="000741B4"/>
    <w:rsid w:val="000817ED"/>
    <w:rsid w:val="00087CE8"/>
    <w:rsid w:val="000906E9"/>
    <w:rsid w:val="000A08E5"/>
    <w:rsid w:val="000A481A"/>
    <w:rsid w:val="000D3AB1"/>
    <w:rsid w:val="000D6BB3"/>
    <w:rsid w:val="000E07DA"/>
    <w:rsid w:val="000E39CA"/>
    <w:rsid w:val="000F614E"/>
    <w:rsid w:val="0010107F"/>
    <w:rsid w:val="00101760"/>
    <w:rsid w:val="0013292A"/>
    <w:rsid w:val="00137D31"/>
    <w:rsid w:val="00140C83"/>
    <w:rsid w:val="00142A27"/>
    <w:rsid w:val="001457B1"/>
    <w:rsid w:val="00150DC8"/>
    <w:rsid w:val="0016151F"/>
    <w:rsid w:val="00165749"/>
    <w:rsid w:val="00171A49"/>
    <w:rsid w:val="001819E8"/>
    <w:rsid w:val="001832EF"/>
    <w:rsid w:val="00197AB2"/>
    <w:rsid w:val="00197C19"/>
    <w:rsid w:val="001A254F"/>
    <w:rsid w:val="001C3239"/>
    <w:rsid w:val="001C541C"/>
    <w:rsid w:val="001C5EC6"/>
    <w:rsid w:val="001E1D26"/>
    <w:rsid w:val="001E4D18"/>
    <w:rsid w:val="001E5A40"/>
    <w:rsid w:val="001E6645"/>
    <w:rsid w:val="001F18A9"/>
    <w:rsid w:val="00204BF2"/>
    <w:rsid w:val="00210C83"/>
    <w:rsid w:val="0021622B"/>
    <w:rsid w:val="00221351"/>
    <w:rsid w:val="00224C62"/>
    <w:rsid w:val="0024162C"/>
    <w:rsid w:val="00244418"/>
    <w:rsid w:val="00263548"/>
    <w:rsid w:val="0027631C"/>
    <w:rsid w:val="002860E3"/>
    <w:rsid w:val="00296450"/>
    <w:rsid w:val="002A4BCC"/>
    <w:rsid w:val="002A4D28"/>
    <w:rsid w:val="002B0F81"/>
    <w:rsid w:val="002B1627"/>
    <w:rsid w:val="002B27F0"/>
    <w:rsid w:val="002B4F4B"/>
    <w:rsid w:val="002D260D"/>
    <w:rsid w:val="002D5646"/>
    <w:rsid w:val="002D69F1"/>
    <w:rsid w:val="002E7D03"/>
    <w:rsid w:val="002F5BC5"/>
    <w:rsid w:val="00300969"/>
    <w:rsid w:val="00306494"/>
    <w:rsid w:val="0031129C"/>
    <w:rsid w:val="003119FE"/>
    <w:rsid w:val="003175E3"/>
    <w:rsid w:val="00320837"/>
    <w:rsid w:val="00321A6E"/>
    <w:rsid w:val="00330F52"/>
    <w:rsid w:val="00333A55"/>
    <w:rsid w:val="00336F0F"/>
    <w:rsid w:val="00337D3B"/>
    <w:rsid w:val="00343CDF"/>
    <w:rsid w:val="003468F3"/>
    <w:rsid w:val="0035777D"/>
    <w:rsid w:val="00371076"/>
    <w:rsid w:val="00372925"/>
    <w:rsid w:val="003801B5"/>
    <w:rsid w:val="00381BA1"/>
    <w:rsid w:val="003836FD"/>
    <w:rsid w:val="00386A17"/>
    <w:rsid w:val="00394007"/>
    <w:rsid w:val="003A2E33"/>
    <w:rsid w:val="003B3976"/>
    <w:rsid w:val="003B6CBE"/>
    <w:rsid w:val="003C101C"/>
    <w:rsid w:val="003C7197"/>
    <w:rsid w:val="003D073C"/>
    <w:rsid w:val="003D22BE"/>
    <w:rsid w:val="003F4299"/>
    <w:rsid w:val="003F5319"/>
    <w:rsid w:val="003F7FE7"/>
    <w:rsid w:val="00411882"/>
    <w:rsid w:val="0041618C"/>
    <w:rsid w:val="00424569"/>
    <w:rsid w:val="004249DE"/>
    <w:rsid w:val="00424A36"/>
    <w:rsid w:val="00434B40"/>
    <w:rsid w:val="00444BEC"/>
    <w:rsid w:val="00451228"/>
    <w:rsid w:val="004517BE"/>
    <w:rsid w:val="0045463F"/>
    <w:rsid w:val="00460732"/>
    <w:rsid w:val="004853A8"/>
    <w:rsid w:val="00487E72"/>
    <w:rsid w:val="004A358F"/>
    <w:rsid w:val="004A4094"/>
    <w:rsid w:val="004B22E7"/>
    <w:rsid w:val="004C6EF8"/>
    <w:rsid w:val="004D6B6D"/>
    <w:rsid w:val="004E42C7"/>
    <w:rsid w:val="004E493A"/>
    <w:rsid w:val="004E64BD"/>
    <w:rsid w:val="004F4966"/>
    <w:rsid w:val="005067D4"/>
    <w:rsid w:val="005160B4"/>
    <w:rsid w:val="00523EEB"/>
    <w:rsid w:val="005313ED"/>
    <w:rsid w:val="005317EC"/>
    <w:rsid w:val="00547C57"/>
    <w:rsid w:val="005540BF"/>
    <w:rsid w:val="005734F9"/>
    <w:rsid w:val="00575E62"/>
    <w:rsid w:val="00585226"/>
    <w:rsid w:val="00595FF1"/>
    <w:rsid w:val="005A2690"/>
    <w:rsid w:val="005A5FA7"/>
    <w:rsid w:val="005B0583"/>
    <w:rsid w:val="005B0B51"/>
    <w:rsid w:val="005C081E"/>
    <w:rsid w:val="005C0F77"/>
    <w:rsid w:val="005C13DA"/>
    <w:rsid w:val="005C1FC2"/>
    <w:rsid w:val="005C31BF"/>
    <w:rsid w:val="005C4BB8"/>
    <w:rsid w:val="005C5211"/>
    <w:rsid w:val="005C75B8"/>
    <w:rsid w:val="005C7717"/>
    <w:rsid w:val="005D2F6B"/>
    <w:rsid w:val="005D4406"/>
    <w:rsid w:val="005F6402"/>
    <w:rsid w:val="005F7BB7"/>
    <w:rsid w:val="005F7C45"/>
    <w:rsid w:val="006060F7"/>
    <w:rsid w:val="00613522"/>
    <w:rsid w:val="00613A26"/>
    <w:rsid w:val="0061533F"/>
    <w:rsid w:val="006168A8"/>
    <w:rsid w:val="00626898"/>
    <w:rsid w:val="0063510A"/>
    <w:rsid w:val="006417D7"/>
    <w:rsid w:val="00642D02"/>
    <w:rsid w:val="0064526F"/>
    <w:rsid w:val="00645E23"/>
    <w:rsid w:val="0065520B"/>
    <w:rsid w:val="006624B7"/>
    <w:rsid w:val="00664E56"/>
    <w:rsid w:val="00673DCD"/>
    <w:rsid w:val="0068309F"/>
    <w:rsid w:val="00692823"/>
    <w:rsid w:val="00693A5F"/>
    <w:rsid w:val="006A40CD"/>
    <w:rsid w:val="006A53AF"/>
    <w:rsid w:val="006B117A"/>
    <w:rsid w:val="006B7911"/>
    <w:rsid w:val="006D04D1"/>
    <w:rsid w:val="006E4FC0"/>
    <w:rsid w:val="006F17EA"/>
    <w:rsid w:val="00701B76"/>
    <w:rsid w:val="00706644"/>
    <w:rsid w:val="007066EE"/>
    <w:rsid w:val="00707546"/>
    <w:rsid w:val="00707915"/>
    <w:rsid w:val="00711E3E"/>
    <w:rsid w:val="00721195"/>
    <w:rsid w:val="007547B9"/>
    <w:rsid w:val="0077307A"/>
    <w:rsid w:val="007762CE"/>
    <w:rsid w:val="00776847"/>
    <w:rsid w:val="007A255C"/>
    <w:rsid w:val="007C0C51"/>
    <w:rsid w:val="007C5785"/>
    <w:rsid w:val="007D1F4E"/>
    <w:rsid w:val="007D3DA8"/>
    <w:rsid w:val="007E7081"/>
    <w:rsid w:val="007E7CBD"/>
    <w:rsid w:val="007F0685"/>
    <w:rsid w:val="00800889"/>
    <w:rsid w:val="008020D2"/>
    <w:rsid w:val="0080538D"/>
    <w:rsid w:val="00812937"/>
    <w:rsid w:val="00813E35"/>
    <w:rsid w:val="008160C1"/>
    <w:rsid w:val="0081674C"/>
    <w:rsid w:val="00826A6F"/>
    <w:rsid w:val="008350FF"/>
    <w:rsid w:val="00843FEA"/>
    <w:rsid w:val="0085155A"/>
    <w:rsid w:val="00861269"/>
    <w:rsid w:val="00863B8D"/>
    <w:rsid w:val="008713AD"/>
    <w:rsid w:val="0087767F"/>
    <w:rsid w:val="008836DC"/>
    <w:rsid w:val="008B438A"/>
    <w:rsid w:val="008B781F"/>
    <w:rsid w:val="008C2E56"/>
    <w:rsid w:val="008F01C7"/>
    <w:rsid w:val="008F76C9"/>
    <w:rsid w:val="009067B5"/>
    <w:rsid w:val="00912502"/>
    <w:rsid w:val="009178F6"/>
    <w:rsid w:val="0092020F"/>
    <w:rsid w:val="009366A1"/>
    <w:rsid w:val="00942872"/>
    <w:rsid w:val="00963157"/>
    <w:rsid w:val="009710A4"/>
    <w:rsid w:val="00972493"/>
    <w:rsid w:val="00985F14"/>
    <w:rsid w:val="009860D1"/>
    <w:rsid w:val="00990623"/>
    <w:rsid w:val="00990A71"/>
    <w:rsid w:val="009A1B4E"/>
    <w:rsid w:val="009A490C"/>
    <w:rsid w:val="009A5299"/>
    <w:rsid w:val="009B3833"/>
    <w:rsid w:val="009C59A6"/>
    <w:rsid w:val="009D0265"/>
    <w:rsid w:val="009D1286"/>
    <w:rsid w:val="009E094C"/>
    <w:rsid w:val="009F28E5"/>
    <w:rsid w:val="00A019B7"/>
    <w:rsid w:val="00A13E9F"/>
    <w:rsid w:val="00A430C6"/>
    <w:rsid w:val="00A44A4F"/>
    <w:rsid w:val="00A54AA4"/>
    <w:rsid w:val="00A55184"/>
    <w:rsid w:val="00A60E7D"/>
    <w:rsid w:val="00A66378"/>
    <w:rsid w:val="00A73C47"/>
    <w:rsid w:val="00A830DE"/>
    <w:rsid w:val="00A83818"/>
    <w:rsid w:val="00A85A67"/>
    <w:rsid w:val="00AA5A58"/>
    <w:rsid w:val="00AA78DB"/>
    <w:rsid w:val="00AB04CC"/>
    <w:rsid w:val="00AB48F8"/>
    <w:rsid w:val="00AC0007"/>
    <w:rsid w:val="00AE1402"/>
    <w:rsid w:val="00AF1972"/>
    <w:rsid w:val="00AF32F4"/>
    <w:rsid w:val="00B12113"/>
    <w:rsid w:val="00B172B8"/>
    <w:rsid w:val="00B17B0F"/>
    <w:rsid w:val="00B17B64"/>
    <w:rsid w:val="00B2680C"/>
    <w:rsid w:val="00B416F8"/>
    <w:rsid w:val="00B60B27"/>
    <w:rsid w:val="00B61CA0"/>
    <w:rsid w:val="00B6682A"/>
    <w:rsid w:val="00B7367C"/>
    <w:rsid w:val="00B74D01"/>
    <w:rsid w:val="00B817EE"/>
    <w:rsid w:val="00B82DF7"/>
    <w:rsid w:val="00B866DE"/>
    <w:rsid w:val="00BA4549"/>
    <w:rsid w:val="00BB5B08"/>
    <w:rsid w:val="00BC2119"/>
    <w:rsid w:val="00BC5816"/>
    <w:rsid w:val="00BD357A"/>
    <w:rsid w:val="00BD358F"/>
    <w:rsid w:val="00BE219D"/>
    <w:rsid w:val="00BF2A3D"/>
    <w:rsid w:val="00C01178"/>
    <w:rsid w:val="00C01A61"/>
    <w:rsid w:val="00C11B7F"/>
    <w:rsid w:val="00C122F0"/>
    <w:rsid w:val="00C12CC4"/>
    <w:rsid w:val="00C1325B"/>
    <w:rsid w:val="00C158E4"/>
    <w:rsid w:val="00C3585B"/>
    <w:rsid w:val="00C506D3"/>
    <w:rsid w:val="00C50B6D"/>
    <w:rsid w:val="00C61044"/>
    <w:rsid w:val="00C63C15"/>
    <w:rsid w:val="00C70044"/>
    <w:rsid w:val="00C72575"/>
    <w:rsid w:val="00C76D04"/>
    <w:rsid w:val="00C83A92"/>
    <w:rsid w:val="00C91262"/>
    <w:rsid w:val="00C92E60"/>
    <w:rsid w:val="00CA2E20"/>
    <w:rsid w:val="00CA462B"/>
    <w:rsid w:val="00CA4D9C"/>
    <w:rsid w:val="00CB12DE"/>
    <w:rsid w:val="00CB6017"/>
    <w:rsid w:val="00CD23D6"/>
    <w:rsid w:val="00CD3346"/>
    <w:rsid w:val="00CE061B"/>
    <w:rsid w:val="00CE2356"/>
    <w:rsid w:val="00CE6EFB"/>
    <w:rsid w:val="00CF3059"/>
    <w:rsid w:val="00CF7C6B"/>
    <w:rsid w:val="00D0007E"/>
    <w:rsid w:val="00D12261"/>
    <w:rsid w:val="00D1436E"/>
    <w:rsid w:val="00D230DE"/>
    <w:rsid w:val="00D258F8"/>
    <w:rsid w:val="00D27DC0"/>
    <w:rsid w:val="00D32431"/>
    <w:rsid w:val="00D32666"/>
    <w:rsid w:val="00D40064"/>
    <w:rsid w:val="00D4075C"/>
    <w:rsid w:val="00D4080E"/>
    <w:rsid w:val="00D44BEB"/>
    <w:rsid w:val="00D63CAC"/>
    <w:rsid w:val="00D72282"/>
    <w:rsid w:val="00D72E47"/>
    <w:rsid w:val="00D73C6E"/>
    <w:rsid w:val="00D76D85"/>
    <w:rsid w:val="00D8206B"/>
    <w:rsid w:val="00D9762B"/>
    <w:rsid w:val="00DA0E34"/>
    <w:rsid w:val="00DB7F9B"/>
    <w:rsid w:val="00DC2794"/>
    <w:rsid w:val="00DC36D5"/>
    <w:rsid w:val="00DE2FC4"/>
    <w:rsid w:val="00DE4B0F"/>
    <w:rsid w:val="00DF4F4A"/>
    <w:rsid w:val="00E02976"/>
    <w:rsid w:val="00E10995"/>
    <w:rsid w:val="00E10ADA"/>
    <w:rsid w:val="00E10E93"/>
    <w:rsid w:val="00E12DCD"/>
    <w:rsid w:val="00E30F64"/>
    <w:rsid w:val="00E420FE"/>
    <w:rsid w:val="00E53F65"/>
    <w:rsid w:val="00E55372"/>
    <w:rsid w:val="00E56C67"/>
    <w:rsid w:val="00E71695"/>
    <w:rsid w:val="00E85BC2"/>
    <w:rsid w:val="00E960E6"/>
    <w:rsid w:val="00EA075E"/>
    <w:rsid w:val="00EB340B"/>
    <w:rsid w:val="00EC18B3"/>
    <w:rsid w:val="00EC2770"/>
    <w:rsid w:val="00EC7035"/>
    <w:rsid w:val="00ED329E"/>
    <w:rsid w:val="00ED6058"/>
    <w:rsid w:val="00ED6F8F"/>
    <w:rsid w:val="00EF393E"/>
    <w:rsid w:val="00F03338"/>
    <w:rsid w:val="00F2351E"/>
    <w:rsid w:val="00F25AE1"/>
    <w:rsid w:val="00F40386"/>
    <w:rsid w:val="00F52E19"/>
    <w:rsid w:val="00F54D3E"/>
    <w:rsid w:val="00F60CAE"/>
    <w:rsid w:val="00F93576"/>
    <w:rsid w:val="00FA0765"/>
    <w:rsid w:val="00FA1146"/>
    <w:rsid w:val="00FA4BDB"/>
    <w:rsid w:val="00FB76F5"/>
    <w:rsid w:val="00FC5BBF"/>
    <w:rsid w:val="00FD6C07"/>
    <w:rsid w:val="00FE14AC"/>
    <w:rsid w:val="00FE77CA"/>
    <w:rsid w:val="00FE79A2"/>
    <w:rsid w:val="00FF3EF4"/>
    <w:rsid w:val="00FF7C6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20B"/>
    <w:rPr>
      <w:rFonts w:ascii="Times New Roman" w:eastAsia="Times New Roman" w:hAnsi="Times New Roman"/>
      <w:sz w:val="24"/>
      <w:szCs w:val="24"/>
      <w:lang w:val="es-CR"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65520B"/>
    <w:pPr>
      <w:jc w:val="center"/>
    </w:pPr>
    <w:rPr>
      <w:rFonts w:ascii="Verdana" w:hAnsi="Verdana"/>
      <w:b/>
      <w:smallCaps/>
      <w:sz w:val="20"/>
      <w:lang w:val="x-none"/>
    </w:rPr>
  </w:style>
  <w:style w:type="character" w:customStyle="1" w:styleId="TtuloCar">
    <w:name w:val="Título Car"/>
    <w:link w:val="Ttulo"/>
    <w:uiPriority w:val="10"/>
    <w:rsid w:val="0065520B"/>
    <w:rPr>
      <w:rFonts w:ascii="Verdana" w:eastAsia="Times New Roman" w:hAnsi="Verdana" w:cs="Times New Roman"/>
      <w:b/>
      <w:smallCaps/>
      <w:sz w:val="20"/>
      <w:szCs w:val="24"/>
      <w:lang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65520B"/>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65520B"/>
    <w:rPr>
      <w:rFonts w:ascii="Times New Roman" w:eastAsia="Times New Roman" w:hAnsi="Times New Roman" w:cs="Times New Roman"/>
      <w:sz w:val="24"/>
      <w:szCs w:val="24"/>
      <w:lang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uiPriority w:val="99"/>
    <w:qFormat/>
    <w:rsid w:val="0065520B"/>
    <w:rPr>
      <w:vertAlign w:val="superscript"/>
    </w:rPr>
  </w:style>
  <w:style w:type="paragraph" w:styleId="Encabezado">
    <w:name w:val="header"/>
    <w:basedOn w:val="Normal"/>
    <w:link w:val="EncabezadoCar"/>
    <w:uiPriority w:val="99"/>
    <w:unhideWhenUsed/>
    <w:rsid w:val="0065520B"/>
    <w:pPr>
      <w:tabs>
        <w:tab w:val="center" w:pos="4419"/>
        <w:tab w:val="right" w:pos="8838"/>
      </w:tabs>
    </w:pPr>
    <w:rPr>
      <w:lang w:val="x-none"/>
    </w:rPr>
  </w:style>
  <w:style w:type="character" w:customStyle="1" w:styleId="EncabezadoCar">
    <w:name w:val="Encabezado Car"/>
    <w:link w:val="Encabezado"/>
    <w:uiPriority w:val="99"/>
    <w:rsid w:val="0065520B"/>
    <w:rPr>
      <w:rFonts w:ascii="Times New Roman" w:eastAsia="Times New Roman" w:hAnsi="Times New Roman" w:cs="Times New Roman"/>
      <w:sz w:val="24"/>
      <w:szCs w:val="24"/>
      <w:lang w:eastAsia="es-ES"/>
    </w:rPr>
  </w:style>
  <w:style w:type="character" w:styleId="Textoennegrita">
    <w:name w:val="Strong"/>
    <w:uiPriority w:val="22"/>
    <w:qFormat/>
    <w:rsid w:val="00B172B8"/>
    <w:rPr>
      <w:b/>
      <w:bCs/>
    </w:rPr>
  </w:style>
  <w:style w:type="paragraph" w:styleId="Listavistosa-nfasis1">
    <w:name w:val="Colorful List Accent 1"/>
    <w:basedOn w:val="Normal"/>
    <w:uiPriority w:val="34"/>
    <w:qFormat/>
    <w:rsid w:val="00FC5BBF"/>
    <w:pPr>
      <w:spacing w:after="200" w:line="276" w:lineRule="auto"/>
      <w:ind w:left="720"/>
      <w:contextualSpacing/>
    </w:pPr>
    <w:rPr>
      <w:rFonts w:ascii="Calibri" w:eastAsia="Calibri" w:hAnsi="Calibri"/>
      <w:sz w:val="22"/>
      <w:szCs w:val="22"/>
      <w:lang w:eastAsia="en-US"/>
    </w:rPr>
  </w:style>
  <w:style w:type="character" w:styleId="Hipervnculo">
    <w:name w:val="Hyperlink"/>
    <w:uiPriority w:val="99"/>
    <w:unhideWhenUsed/>
    <w:rsid w:val="00DE2FC4"/>
    <w:rPr>
      <w:color w:val="0000FF"/>
      <w:u w:val="single"/>
    </w:rPr>
  </w:style>
  <w:style w:type="paragraph" w:styleId="Textodeglobo">
    <w:name w:val="Balloon Text"/>
    <w:basedOn w:val="Normal"/>
    <w:link w:val="TextodegloboCar"/>
    <w:uiPriority w:val="99"/>
    <w:semiHidden/>
    <w:unhideWhenUsed/>
    <w:rsid w:val="00F40386"/>
    <w:rPr>
      <w:rFonts w:ascii="Tahoma" w:hAnsi="Tahoma"/>
      <w:sz w:val="16"/>
      <w:szCs w:val="16"/>
    </w:rPr>
  </w:style>
  <w:style w:type="character" w:customStyle="1" w:styleId="TextodegloboCar">
    <w:name w:val="Texto de globo Car"/>
    <w:link w:val="Textodeglobo"/>
    <w:uiPriority w:val="99"/>
    <w:semiHidden/>
    <w:rsid w:val="00F40386"/>
    <w:rPr>
      <w:rFonts w:ascii="Tahoma" w:eastAsia="Times New Roman" w:hAnsi="Tahoma" w:cs="Tahoma"/>
      <w:sz w:val="16"/>
      <w:szCs w:val="16"/>
      <w:lang w:val="es-CR" w:eastAsia="es-ES"/>
    </w:rPr>
  </w:style>
  <w:style w:type="character" w:styleId="Refdecomentario">
    <w:name w:val="annotation reference"/>
    <w:uiPriority w:val="99"/>
    <w:semiHidden/>
    <w:unhideWhenUsed/>
    <w:rsid w:val="00F40386"/>
    <w:rPr>
      <w:sz w:val="16"/>
      <w:szCs w:val="16"/>
    </w:rPr>
  </w:style>
  <w:style w:type="paragraph" w:styleId="Textocomentario">
    <w:name w:val="annotation text"/>
    <w:basedOn w:val="Normal"/>
    <w:link w:val="TextocomentarioCar"/>
    <w:uiPriority w:val="99"/>
    <w:semiHidden/>
    <w:unhideWhenUsed/>
    <w:rsid w:val="00F40386"/>
    <w:rPr>
      <w:sz w:val="20"/>
      <w:szCs w:val="20"/>
    </w:rPr>
  </w:style>
  <w:style w:type="character" w:customStyle="1" w:styleId="TextocomentarioCar">
    <w:name w:val="Texto comentario Car"/>
    <w:link w:val="Textocomentario"/>
    <w:uiPriority w:val="99"/>
    <w:semiHidden/>
    <w:rsid w:val="00F40386"/>
    <w:rPr>
      <w:rFonts w:ascii="Times New Roman" w:eastAsia="Times New Roman" w:hAnsi="Times New Roman"/>
      <w:lang w:val="es-CR" w:eastAsia="es-ES"/>
    </w:rPr>
  </w:style>
  <w:style w:type="paragraph" w:styleId="Asuntodelcomentario">
    <w:name w:val="annotation subject"/>
    <w:basedOn w:val="Textocomentario"/>
    <w:next w:val="Textocomentario"/>
    <w:link w:val="AsuntodelcomentarioCar"/>
    <w:uiPriority w:val="99"/>
    <w:semiHidden/>
    <w:unhideWhenUsed/>
    <w:rsid w:val="00F40386"/>
    <w:rPr>
      <w:b/>
      <w:bCs/>
    </w:rPr>
  </w:style>
  <w:style w:type="character" w:customStyle="1" w:styleId="AsuntodelcomentarioCar">
    <w:name w:val="Asunto del comentario Car"/>
    <w:link w:val="Asuntodelcomentario"/>
    <w:uiPriority w:val="99"/>
    <w:semiHidden/>
    <w:rsid w:val="00F40386"/>
    <w:rPr>
      <w:rFonts w:ascii="Times New Roman" w:eastAsia="Times New Roman" w:hAnsi="Times New Roman"/>
      <w:b/>
      <w:bCs/>
      <w:lang w:val="es-CR" w:eastAsia="es-ES"/>
    </w:rPr>
  </w:style>
  <w:style w:type="character" w:customStyle="1" w:styleId="apple-converted-space">
    <w:name w:val="apple-converted-space"/>
    <w:basedOn w:val="Fuentedeprrafopredeter"/>
    <w:rsid w:val="00CE061B"/>
  </w:style>
  <w:style w:type="paragraph" w:styleId="Piedepgina">
    <w:name w:val="footer"/>
    <w:basedOn w:val="Normal"/>
    <w:link w:val="PiedepginaCar"/>
    <w:uiPriority w:val="99"/>
    <w:unhideWhenUsed/>
    <w:rsid w:val="00066893"/>
    <w:pPr>
      <w:tabs>
        <w:tab w:val="center" w:pos="4419"/>
        <w:tab w:val="right" w:pos="8838"/>
      </w:tabs>
    </w:pPr>
    <w:rPr>
      <w:lang w:val="x-none"/>
    </w:rPr>
  </w:style>
  <w:style w:type="character" w:customStyle="1" w:styleId="PiedepginaCar">
    <w:name w:val="Pie de página Car"/>
    <w:link w:val="Piedepgina"/>
    <w:uiPriority w:val="99"/>
    <w:rsid w:val="00066893"/>
    <w:rPr>
      <w:rFonts w:ascii="Times New Roman" w:eastAsia="Times New Roman" w:hAnsi="Times New Roman"/>
      <w:sz w:val="24"/>
      <w:szCs w:val="24"/>
      <w:lang w:eastAsia="es-ES"/>
    </w:rPr>
  </w:style>
  <w:style w:type="character" w:styleId="Nmerodelnea">
    <w:name w:val="line number"/>
    <w:uiPriority w:val="99"/>
    <w:semiHidden/>
    <w:unhideWhenUsed/>
    <w:rsid w:val="00066893"/>
  </w:style>
  <w:style w:type="character" w:styleId="Hipervnculovisitado">
    <w:name w:val="FollowedHyperlink"/>
    <w:uiPriority w:val="99"/>
    <w:semiHidden/>
    <w:unhideWhenUsed/>
    <w:rsid w:val="00BA4549"/>
    <w:rPr>
      <w:color w:val="800080"/>
      <w:u w:val="single"/>
    </w:rPr>
  </w:style>
  <w:style w:type="paragraph" w:styleId="Prrafodelista">
    <w:name w:val="List Paragraph"/>
    <w:basedOn w:val="Normal"/>
    <w:uiPriority w:val="34"/>
    <w:qFormat/>
    <w:rsid w:val="00A44A4F"/>
    <w:pPr>
      <w:spacing w:after="200" w:line="276" w:lineRule="auto"/>
      <w:ind w:left="72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61713">
      <w:bodyDiv w:val="1"/>
      <w:marLeft w:val="0"/>
      <w:marRight w:val="0"/>
      <w:marTop w:val="0"/>
      <w:marBottom w:val="0"/>
      <w:divBdr>
        <w:top w:val="none" w:sz="0" w:space="0" w:color="auto"/>
        <w:left w:val="none" w:sz="0" w:space="0" w:color="auto"/>
        <w:bottom w:val="none" w:sz="0" w:space="0" w:color="auto"/>
        <w:right w:val="none" w:sz="0" w:space="0" w:color="auto"/>
      </w:divBdr>
    </w:div>
    <w:div w:id="1036810780">
      <w:bodyDiv w:val="1"/>
      <w:marLeft w:val="0"/>
      <w:marRight w:val="0"/>
      <w:marTop w:val="0"/>
      <w:marBottom w:val="0"/>
      <w:divBdr>
        <w:top w:val="none" w:sz="0" w:space="0" w:color="auto"/>
        <w:left w:val="none" w:sz="0" w:space="0" w:color="auto"/>
        <w:bottom w:val="none" w:sz="0" w:space="0" w:color="auto"/>
        <w:right w:val="none" w:sz="0" w:space="0" w:color="auto"/>
      </w:divBdr>
    </w:div>
    <w:div w:id="1172259748">
      <w:bodyDiv w:val="1"/>
      <w:marLeft w:val="0"/>
      <w:marRight w:val="0"/>
      <w:marTop w:val="0"/>
      <w:marBottom w:val="0"/>
      <w:divBdr>
        <w:top w:val="none" w:sz="0" w:space="0" w:color="auto"/>
        <w:left w:val="none" w:sz="0" w:space="0" w:color="auto"/>
        <w:bottom w:val="none" w:sz="0" w:space="0" w:color="auto"/>
        <w:right w:val="none" w:sz="0" w:space="0" w:color="auto"/>
      </w:divBdr>
    </w:div>
    <w:div w:id="1728409170">
      <w:bodyDiv w:val="1"/>
      <w:marLeft w:val="0"/>
      <w:marRight w:val="0"/>
      <w:marTop w:val="0"/>
      <w:marBottom w:val="0"/>
      <w:divBdr>
        <w:top w:val="none" w:sz="0" w:space="0" w:color="auto"/>
        <w:left w:val="none" w:sz="0" w:space="0" w:color="auto"/>
        <w:bottom w:val="none" w:sz="0" w:space="0" w:color="auto"/>
        <w:right w:val="none" w:sz="0" w:space="0" w:color="auto"/>
      </w:divBdr>
      <w:divsChild>
        <w:div w:id="498883788">
          <w:marLeft w:val="0"/>
          <w:marRight w:val="0"/>
          <w:marTop w:val="0"/>
          <w:marBottom w:val="0"/>
          <w:divBdr>
            <w:top w:val="none" w:sz="0" w:space="0" w:color="auto"/>
            <w:left w:val="none" w:sz="0" w:space="0" w:color="auto"/>
            <w:bottom w:val="none" w:sz="0" w:space="0" w:color="auto"/>
            <w:right w:val="none" w:sz="0" w:space="0" w:color="auto"/>
          </w:divBdr>
          <w:divsChild>
            <w:div w:id="17437110">
              <w:marLeft w:val="0"/>
              <w:marRight w:val="0"/>
              <w:marTop w:val="0"/>
              <w:marBottom w:val="0"/>
              <w:divBdr>
                <w:top w:val="none" w:sz="0" w:space="0" w:color="auto"/>
                <w:left w:val="none" w:sz="0" w:space="0" w:color="auto"/>
                <w:bottom w:val="none" w:sz="0" w:space="0" w:color="auto"/>
                <w:right w:val="none" w:sz="0" w:space="0" w:color="auto"/>
              </w:divBdr>
              <w:divsChild>
                <w:div w:id="1898710620">
                  <w:marLeft w:val="0"/>
                  <w:marRight w:val="0"/>
                  <w:marTop w:val="0"/>
                  <w:marBottom w:val="0"/>
                  <w:divBdr>
                    <w:top w:val="none" w:sz="0" w:space="0" w:color="auto"/>
                    <w:left w:val="none" w:sz="0" w:space="0" w:color="auto"/>
                    <w:bottom w:val="none" w:sz="0" w:space="0" w:color="auto"/>
                    <w:right w:val="none" w:sz="0" w:space="0" w:color="auto"/>
                  </w:divBdr>
                </w:div>
              </w:divsChild>
            </w:div>
            <w:div w:id="275674021">
              <w:marLeft w:val="-15"/>
              <w:marRight w:val="0"/>
              <w:marTop w:val="0"/>
              <w:marBottom w:val="0"/>
              <w:divBdr>
                <w:top w:val="none" w:sz="0" w:space="0" w:color="auto"/>
                <w:left w:val="none" w:sz="0" w:space="0" w:color="auto"/>
                <w:bottom w:val="none" w:sz="0" w:space="0" w:color="auto"/>
                <w:right w:val="none" w:sz="0" w:space="0" w:color="auto"/>
              </w:divBdr>
            </w:div>
            <w:div w:id="461968983">
              <w:marLeft w:val="0"/>
              <w:marRight w:val="0"/>
              <w:marTop w:val="0"/>
              <w:marBottom w:val="0"/>
              <w:divBdr>
                <w:top w:val="none" w:sz="0" w:space="0" w:color="auto"/>
                <w:left w:val="none" w:sz="0" w:space="0" w:color="auto"/>
                <w:bottom w:val="none" w:sz="0" w:space="0" w:color="auto"/>
                <w:right w:val="none" w:sz="0" w:space="0" w:color="auto"/>
              </w:divBdr>
            </w:div>
            <w:div w:id="564485780">
              <w:marLeft w:val="75"/>
              <w:marRight w:val="0"/>
              <w:marTop w:val="0"/>
              <w:marBottom w:val="0"/>
              <w:divBdr>
                <w:top w:val="none" w:sz="0" w:space="0" w:color="auto"/>
                <w:left w:val="none" w:sz="0" w:space="0" w:color="auto"/>
                <w:bottom w:val="none" w:sz="0" w:space="0" w:color="auto"/>
                <w:right w:val="none" w:sz="0" w:space="0" w:color="auto"/>
              </w:divBdr>
            </w:div>
          </w:divsChild>
        </w:div>
        <w:div w:id="607741875">
          <w:marLeft w:val="0"/>
          <w:marRight w:val="225"/>
          <w:marTop w:val="75"/>
          <w:marBottom w:val="0"/>
          <w:divBdr>
            <w:top w:val="none" w:sz="0" w:space="0" w:color="auto"/>
            <w:left w:val="none" w:sz="0" w:space="0" w:color="auto"/>
            <w:bottom w:val="none" w:sz="0" w:space="0" w:color="auto"/>
            <w:right w:val="none" w:sz="0" w:space="0" w:color="auto"/>
          </w:divBdr>
          <w:divsChild>
            <w:div w:id="149444351">
              <w:marLeft w:val="0"/>
              <w:marRight w:val="0"/>
              <w:marTop w:val="0"/>
              <w:marBottom w:val="0"/>
              <w:divBdr>
                <w:top w:val="none" w:sz="0" w:space="0" w:color="auto"/>
                <w:left w:val="none" w:sz="0" w:space="0" w:color="auto"/>
                <w:bottom w:val="none" w:sz="0" w:space="0" w:color="auto"/>
                <w:right w:val="none" w:sz="0" w:space="0" w:color="auto"/>
              </w:divBdr>
              <w:divsChild>
                <w:div w:id="1153451350">
                  <w:marLeft w:val="0"/>
                  <w:marRight w:val="0"/>
                  <w:marTop w:val="0"/>
                  <w:marBottom w:val="0"/>
                  <w:divBdr>
                    <w:top w:val="none" w:sz="0" w:space="0" w:color="auto"/>
                    <w:left w:val="none" w:sz="0" w:space="0" w:color="auto"/>
                    <w:bottom w:val="none" w:sz="0" w:space="0" w:color="auto"/>
                    <w:right w:val="none" w:sz="0" w:space="0" w:color="auto"/>
                  </w:divBdr>
                  <w:divsChild>
                    <w:div w:id="1684629736">
                      <w:marLeft w:val="0"/>
                      <w:marRight w:val="0"/>
                      <w:marTop w:val="0"/>
                      <w:marBottom w:val="0"/>
                      <w:divBdr>
                        <w:top w:val="none" w:sz="0" w:space="0" w:color="auto"/>
                        <w:left w:val="none" w:sz="0" w:space="0" w:color="auto"/>
                        <w:bottom w:val="none" w:sz="0" w:space="0" w:color="auto"/>
                        <w:right w:val="none" w:sz="0" w:space="0" w:color="auto"/>
                      </w:divBdr>
                      <w:divsChild>
                        <w:div w:id="198974344">
                          <w:marLeft w:val="0"/>
                          <w:marRight w:val="0"/>
                          <w:marTop w:val="0"/>
                          <w:marBottom w:val="0"/>
                          <w:divBdr>
                            <w:top w:val="none" w:sz="0" w:space="0" w:color="auto"/>
                            <w:left w:val="none" w:sz="0" w:space="0" w:color="auto"/>
                            <w:bottom w:val="none" w:sz="0" w:space="0" w:color="auto"/>
                            <w:right w:val="none" w:sz="0" w:space="0" w:color="auto"/>
                          </w:divBdr>
                        </w:div>
                        <w:div w:id="237398020">
                          <w:marLeft w:val="0"/>
                          <w:marRight w:val="0"/>
                          <w:marTop w:val="0"/>
                          <w:marBottom w:val="0"/>
                          <w:divBdr>
                            <w:top w:val="none" w:sz="0" w:space="0" w:color="auto"/>
                            <w:left w:val="none" w:sz="0" w:space="0" w:color="auto"/>
                            <w:bottom w:val="none" w:sz="0" w:space="0" w:color="auto"/>
                            <w:right w:val="none" w:sz="0" w:space="0" w:color="auto"/>
                          </w:divBdr>
                        </w:div>
                        <w:div w:id="473568266">
                          <w:marLeft w:val="0"/>
                          <w:marRight w:val="0"/>
                          <w:marTop w:val="0"/>
                          <w:marBottom w:val="0"/>
                          <w:divBdr>
                            <w:top w:val="none" w:sz="0" w:space="0" w:color="auto"/>
                            <w:left w:val="none" w:sz="0" w:space="0" w:color="auto"/>
                            <w:bottom w:val="none" w:sz="0" w:space="0" w:color="auto"/>
                            <w:right w:val="none" w:sz="0" w:space="0" w:color="auto"/>
                          </w:divBdr>
                        </w:div>
                        <w:div w:id="897713426">
                          <w:marLeft w:val="0"/>
                          <w:marRight w:val="0"/>
                          <w:marTop w:val="0"/>
                          <w:marBottom w:val="0"/>
                          <w:divBdr>
                            <w:top w:val="none" w:sz="0" w:space="0" w:color="auto"/>
                            <w:left w:val="none" w:sz="0" w:space="0" w:color="auto"/>
                            <w:bottom w:val="none" w:sz="0" w:space="0" w:color="auto"/>
                            <w:right w:val="none" w:sz="0" w:space="0" w:color="auto"/>
                          </w:divBdr>
                        </w:div>
                        <w:div w:id="970137882">
                          <w:marLeft w:val="0"/>
                          <w:marRight w:val="0"/>
                          <w:marTop w:val="0"/>
                          <w:marBottom w:val="0"/>
                          <w:divBdr>
                            <w:top w:val="none" w:sz="0" w:space="0" w:color="auto"/>
                            <w:left w:val="none" w:sz="0" w:space="0" w:color="auto"/>
                            <w:bottom w:val="none" w:sz="0" w:space="0" w:color="auto"/>
                            <w:right w:val="none" w:sz="0" w:space="0" w:color="auto"/>
                          </w:divBdr>
                        </w:div>
                        <w:div w:id="1040324428">
                          <w:marLeft w:val="0"/>
                          <w:marRight w:val="0"/>
                          <w:marTop w:val="0"/>
                          <w:marBottom w:val="0"/>
                          <w:divBdr>
                            <w:top w:val="none" w:sz="0" w:space="0" w:color="auto"/>
                            <w:left w:val="none" w:sz="0" w:space="0" w:color="auto"/>
                            <w:bottom w:val="none" w:sz="0" w:space="0" w:color="auto"/>
                            <w:right w:val="none" w:sz="0" w:space="0" w:color="auto"/>
                          </w:divBdr>
                        </w:div>
                        <w:div w:id="1405569531">
                          <w:marLeft w:val="0"/>
                          <w:marRight w:val="0"/>
                          <w:marTop w:val="0"/>
                          <w:marBottom w:val="0"/>
                          <w:divBdr>
                            <w:top w:val="none" w:sz="0" w:space="0" w:color="auto"/>
                            <w:left w:val="none" w:sz="0" w:space="0" w:color="auto"/>
                            <w:bottom w:val="none" w:sz="0" w:space="0" w:color="auto"/>
                            <w:right w:val="none" w:sz="0" w:space="0" w:color="auto"/>
                          </w:divBdr>
                        </w:div>
                        <w:div w:id="1637030576">
                          <w:marLeft w:val="0"/>
                          <w:marRight w:val="0"/>
                          <w:marTop w:val="0"/>
                          <w:marBottom w:val="0"/>
                          <w:divBdr>
                            <w:top w:val="none" w:sz="0" w:space="0" w:color="auto"/>
                            <w:left w:val="none" w:sz="0" w:space="0" w:color="auto"/>
                            <w:bottom w:val="none" w:sz="0" w:space="0" w:color="auto"/>
                            <w:right w:val="none" w:sz="0" w:space="0" w:color="auto"/>
                          </w:divBdr>
                        </w:div>
                        <w:div w:id="1750273448">
                          <w:marLeft w:val="0"/>
                          <w:marRight w:val="0"/>
                          <w:marTop w:val="0"/>
                          <w:marBottom w:val="0"/>
                          <w:divBdr>
                            <w:top w:val="none" w:sz="0" w:space="0" w:color="auto"/>
                            <w:left w:val="none" w:sz="0" w:space="0" w:color="auto"/>
                            <w:bottom w:val="none" w:sz="0" w:space="0" w:color="auto"/>
                            <w:right w:val="none" w:sz="0" w:space="0" w:color="auto"/>
                          </w:divBdr>
                        </w:div>
                        <w:div w:id="1884050408">
                          <w:marLeft w:val="0"/>
                          <w:marRight w:val="0"/>
                          <w:marTop w:val="0"/>
                          <w:marBottom w:val="0"/>
                          <w:divBdr>
                            <w:top w:val="none" w:sz="0" w:space="0" w:color="auto"/>
                            <w:left w:val="none" w:sz="0" w:space="0" w:color="auto"/>
                            <w:bottom w:val="none" w:sz="0" w:space="0" w:color="auto"/>
                            <w:right w:val="none" w:sz="0" w:space="0" w:color="auto"/>
                          </w:divBdr>
                        </w:div>
                        <w:div w:id="1989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cf/Jurisprudencia2/busqueda_casos_contenciosos.cfm?lang=es" TargetMode="External"/><Relationship Id="rId2" Type="http://schemas.openxmlformats.org/officeDocument/2006/relationships/hyperlink" Target="http://www.corteidh.or.cr/docs/casos/articulos/seriec_340_esp.pdf" TargetMode="External"/><Relationship Id="rId1" Type="http://schemas.openxmlformats.org/officeDocument/2006/relationships/hyperlink" Target="http://www.corteidh.or.cr/docs/casos/articulos/seriec_319_esp.pdf" TargetMode="External"/><Relationship Id="rId5" Type="http://schemas.openxmlformats.org/officeDocument/2006/relationships/hyperlink" Target="http://www.corteidh.or.cr/tablas/informe2017/espanol.pdf" TargetMode="External"/><Relationship Id="rId4" Type="http://schemas.openxmlformats.org/officeDocument/2006/relationships/hyperlink" Target="http://www.corteidh.or.cr/docs/regla_victimas/victimas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458D6-1B5A-4004-80BC-9679D850B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1138</Words>
  <Characters>6259</Characters>
  <Application>Microsoft Office Word</Application>
  <DocSecurity>0</DocSecurity>
  <Lines>52</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7383</CharactersWithSpaces>
  <SharedDoc>false</SharedDoc>
  <HLinks>
    <vt:vector size="30" baseType="variant">
      <vt:variant>
        <vt:i4>4915286</vt:i4>
      </vt:variant>
      <vt:variant>
        <vt:i4>12</vt:i4>
      </vt:variant>
      <vt:variant>
        <vt:i4>0</vt:i4>
      </vt:variant>
      <vt:variant>
        <vt:i4>5</vt:i4>
      </vt:variant>
      <vt:variant>
        <vt:lpwstr>http://www.corteidh.or.cr/tablas/informe2017/espanol.pdf</vt:lpwstr>
      </vt:variant>
      <vt:variant>
        <vt:lpwstr/>
      </vt:variant>
      <vt:variant>
        <vt:i4>7405695</vt:i4>
      </vt:variant>
      <vt:variant>
        <vt:i4>9</vt:i4>
      </vt:variant>
      <vt:variant>
        <vt:i4>0</vt:i4>
      </vt:variant>
      <vt:variant>
        <vt:i4>5</vt:i4>
      </vt:variant>
      <vt:variant>
        <vt:lpwstr>http://www.corteidh.or.cr/docs/regla_victimas/victimas_esp.pdf</vt:lpwstr>
      </vt:variant>
      <vt:variant>
        <vt:lpwstr/>
      </vt:variant>
      <vt:variant>
        <vt:i4>5570584</vt:i4>
      </vt:variant>
      <vt:variant>
        <vt:i4>6</vt:i4>
      </vt:variant>
      <vt:variant>
        <vt:i4>0</vt:i4>
      </vt:variant>
      <vt:variant>
        <vt:i4>5</vt:i4>
      </vt:variant>
      <vt:variant>
        <vt:lpwstr>http://www.corteidh.or.cr/cf/Jurisprudencia2/busqueda_casos_contenciosos.cfm?lang=es</vt:lpwstr>
      </vt:variant>
      <vt:variant>
        <vt:lpwstr/>
      </vt:variant>
      <vt:variant>
        <vt:i4>5505111</vt:i4>
      </vt:variant>
      <vt:variant>
        <vt:i4>3</vt:i4>
      </vt:variant>
      <vt:variant>
        <vt:i4>0</vt:i4>
      </vt:variant>
      <vt:variant>
        <vt:i4>5</vt:i4>
      </vt:variant>
      <vt:variant>
        <vt:lpwstr>http://www.corteidh.or.cr/docs/casos/articulos/seriec_340_esp.pdf</vt:lpwstr>
      </vt:variant>
      <vt:variant>
        <vt:lpwstr/>
      </vt:variant>
      <vt:variant>
        <vt:i4>5308510</vt:i4>
      </vt:variant>
      <vt:variant>
        <vt:i4>0</vt:i4>
      </vt:variant>
      <vt:variant>
        <vt:i4>0</vt:i4>
      </vt:variant>
      <vt:variant>
        <vt:i4>5</vt:i4>
      </vt:variant>
      <vt:variant>
        <vt:lpwstr>http://www.corteidh.or.cr/docs/casos/articulos/seriec_319_esp.pdf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2018-08-06T22:57:00Z</cp:lastPrinted>
  <dcterms:created xsi:type="dcterms:W3CDTF">2018-08-06T22:57:00Z</dcterms:created>
  <dcterms:modified xsi:type="dcterms:W3CDTF">2018-08-06T22:57:00Z</dcterms:modified>
</cp:coreProperties>
</file>