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526" w:rsidRPr="00576D03" w:rsidRDefault="00E22526" w:rsidP="00544D8C">
      <w:pPr>
        <w:tabs>
          <w:tab w:val="left" w:pos="810"/>
        </w:tabs>
        <w:suppressAutoHyphens/>
        <w:spacing w:after="0" w:line="240" w:lineRule="auto"/>
        <w:jc w:val="right"/>
        <w:rPr>
          <w:rFonts w:ascii="Cambria" w:hAnsi="Cambria" w:cs="Arial"/>
          <w:lang w:val="es-PE"/>
        </w:rPr>
      </w:pPr>
      <w:bookmarkStart w:id="0" w:name="_GoBack"/>
      <w:bookmarkEnd w:id="0"/>
    </w:p>
    <w:p w:rsidR="00544D8C" w:rsidRPr="00C53C5C" w:rsidRDefault="00997854" w:rsidP="00544D8C">
      <w:pPr>
        <w:tabs>
          <w:tab w:val="left" w:pos="810"/>
        </w:tabs>
        <w:suppressAutoHyphens/>
        <w:spacing w:after="0" w:line="240" w:lineRule="auto"/>
        <w:jc w:val="right"/>
        <w:rPr>
          <w:rFonts w:ascii="Cambria" w:hAnsi="Cambria" w:cs="Arial"/>
          <w:b/>
          <w:lang w:val="pt-BR"/>
        </w:rPr>
      </w:pPr>
      <w:proofErr w:type="gramStart"/>
      <w:r w:rsidRPr="00C53C5C">
        <w:rPr>
          <w:rFonts w:ascii="Cambria" w:hAnsi="Cambria" w:cs="Arial"/>
          <w:lang w:val="pt-BR"/>
        </w:rPr>
        <w:t>7</w:t>
      </w:r>
      <w:proofErr w:type="gramEnd"/>
      <w:r w:rsidR="00544D8C" w:rsidRPr="00C53C5C">
        <w:rPr>
          <w:rFonts w:ascii="Cambria" w:hAnsi="Cambria" w:cs="Arial"/>
          <w:lang w:val="pt-BR"/>
        </w:rPr>
        <w:t xml:space="preserve"> de </w:t>
      </w:r>
      <w:r w:rsidRPr="00C53C5C">
        <w:rPr>
          <w:rFonts w:ascii="Cambria" w:hAnsi="Cambria" w:cs="Arial"/>
          <w:lang w:val="pt-BR"/>
        </w:rPr>
        <w:t>agosto</w:t>
      </w:r>
      <w:r w:rsidR="004877BE" w:rsidRPr="00C53C5C">
        <w:rPr>
          <w:rFonts w:ascii="Cambria" w:hAnsi="Cambria" w:cs="Arial"/>
          <w:lang w:val="pt-BR"/>
        </w:rPr>
        <w:t xml:space="preserve"> de 2018</w:t>
      </w:r>
    </w:p>
    <w:p w:rsidR="00544D8C" w:rsidRPr="00C53C5C" w:rsidRDefault="00544D8C" w:rsidP="00544D8C">
      <w:pPr>
        <w:widowControl w:val="0"/>
        <w:tabs>
          <w:tab w:val="left" w:pos="720"/>
        </w:tabs>
        <w:autoSpaceDE w:val="0"/>
        <w:autoSpaceDN w:val="0"/>
        <w:adjustRightInd w:val="0"/>
        <w:spacing w:after="0" w:line="240" w:lineRule="auto"/>
        <w:jc w:val="both"/>
        <w:rPr>
          <w:rFonts w:ascii="Cambria" w:hAnsi="Cambria" w:cs="Arial"/>
          <w:b/>
          <w:lang w:val="pt-BR"/>
        </w:rPr>
      </w:pPr>
      <w:r w:rsidRPr="00C53C5C">
        <w:rPr>
          <w:rFonts w:ascii="Cambria" w:hAnsi="Cambria" w:cs="Arial"/>
          <w:b/>
          <w:lang w:val="pt-BR"/>
        </w:rPr>
        <w:t>REF.:</w:t>
      </w:r>
      <w:bookmarkStart w:id="1" w:name="Peticion_n"/>
      <w:bookmarkEnd w:id="1"/>
      <w:r w:rsidRPr="00C53C5C">
        <w:rPr>
          <w:rFonts w:ascii="Cambria" w:hAnsi="Cambria" w:cs="Arial"/>
          <w:b/>
          <w:lang w:val="pt-BR"/>
        </w:rPr>
        <w:tab/>
        <w:t xml:space="preserve">Caso Nº </w:t>
      </w:r>
      <w:r w:rsidRPr="00C53C5C">
        <w:rPr>
          <w:rFonts w:ascii="Cambria" w:hAnsi="Cambria"/>
          <w:b/>
          <w:lang w:val="pt-BR"/>
        </w:rPr>
        <w:t>1</w:t>
      </w:r>
      <w:r w:rsidR="00997854" w:rsidRPr="00C53C5C">
        <w:rPr>
          <w:rFonts w:ascii="Cambria" w:hAnsi="Cambria"/>
          <w:b/>
          <w:lang w:val="pt-BR"/>
        </w:rPr>
        <w:t>3.044</w:t>
      </w:r>
    </w:p>
    <w:p w:rsidR="00544D8C" w:rsidRPr="00AD22E6" w:rsidRDefault="00997854" w:rsidP="00AD22E6">
      <w:pPr>
        <w:widowControl w:val="0"/>
        <w:tabs>
          <w:tab w:val="left" w:pos="810"/>
        </w:tabs>
        <w:autoSpaceDE w:val="0"/>
        <w:autoSpaceDN w:val="0"/>
        <w:adjustRightInd w:val="0"/>
        <w:spacing w:after="0" w:line="240" w:lineRule="auto"/>
        <w:ind w:firstLine="720"/>
        <w:jc w:val="both"/>
        <w:rPr>
          <w:rFonts w:ascii="Cambria" w:hAnsi="Cambria"/>
          <w:b/>
          <w:lang w:val="es-ES"/>
        </w:rPr>
      </w:pPr>
      <w:r>
        <w:rPr>
          <w:rFonts w:ascii="Cambria" w:hAnsi="Cambria"/>
          <w:b/>
          <w:lang w:val="es-ES"/>
        </w:rPr>
        <w:t>Gustavo Petro Urrego</w:t>
      </w:r>
    </w:p>
    <w:p w:rsidR="00544D8C" w:rsidRPr="00576D03" w:rsidRDefault="004877BE" w:rsidP="00544D8C">
      <w:pPr>
        <w:tabs>
          <w:tab w:val="left" w:pos="720"/>
          <w:tab w:val="left" w:pos="810"/>
          <w:tab w:val="center" w:pos="6480"/>
        </w:tabs>
        <w:spacing w:after="0" w:line="240" w:lineRule="auto"/>
        <w:ind w:left="720"/>
        <w:jc w:val="both"/>
        <w:rPr>
          <w:rFonts w:ascii="Cambria" w:hAnsi="Cambria" w:cs="Arial"/>
          <w:b/>
          <w:lang w:val="es-ES_tradnl"/>
        </w:rPr>
      </w:pPr>
      <w:r>
        <w:rPr>
          <w:rFonts w:ascii="Cambria" w:hAnsi="Cambria" w:cs="Arial"/>
          <w:b/>
          <w:lang w:val="es-CR"/>
        </w:rPr>
        <w:t>Colombia</w:t>
      </w:r>
    </w:p>
    <w:p w:rsidR="00544D8C" w:rsidRPr="00576D03" w:rsidRDefault="00544D8C" w:rsidP="00544D8C">
      <w:pPr>
        <w:tabs>
          <w:tab w:val="left" w:pos="720"/>
          <w:tab w:val="left" w:pos="810"/>
          <w:tab w:val="center" w:pos="6480"/>
        </w:tabs>
        <w:spacing w:after="0" w:line="240" w:lineRule="auto"/>
        <w:jc w:val="both"/>
        <w:rPr>
          <w:rFonts w:ascii="Cambria" w:hAnsi="Cambria" w:cs="Arial"/>
          <w:lang w:val="es-PE"/>
        </w:rPr>
      </w:pPr>
    </w:p>
    <w:p w:rsidR="00544D8C" w:rsidRPr="00576D03" w:rsidRDefault="00544D8C" w:rsidP="00544D8C">
      <w:pPr>
        <w:tabs>
          <w:tab w:val="left" w:pos="720"/>
          <w:tab w:val="left" w:pos="810"/>
          <w:tab w:val="center" w:pos="6480"/>
        </w:tabs>
        <w:spacing w:after="0" w:line="240" w:lineRule="auto"/>
        <w:jc w:val="both"/>
        <w:rPr>
          <w:rFonts w:ascii="Cambria" w:hAnsi="Cambria" w:cs="Arial"/>
          <w:lang w:val="es-PE"/>
        </w:rPr>
      </w:pPr>
      <w:r w:rsidRPr="00576D03">
        <w:rPr>
          <w:rFonts w:ascii="Cambria" w:hAnsi="Cambria" w:cs="Arial"/>
          <w:lang w:val="es-PE"/>
        </w:rPr>
        <w:t>Señor Secretario:</w:t>
      </w:r>
    </w:p>
    <w:p w:rsidR="00544D8C" w:rsidRPr="00576D03" w:rsidRDefault="00544D8C" w:rsidP="00544D8C">
      <w:pPr>
        <w:widowControl w:val="0"/>
        <w:tabs>
          <w:tab w:val="left" w:pos="810"/>
        </w:tabs>
        <w:autoSpaceDE w:val="0"/>
        <w:autoSpaceDN w:val="0"/>
        <w:adjustRightInd w:val="0"/>
        <w:spacing w:after="0" w:line="240" w:lineRule="auto"/>
        <w:jc w:val="both"/>
        <w:rPr>
          <w:rFonts w:ascii="Cambria" w:hAnsi="Cambria"/>
          <w:lang w:val="es-CO"/>
        </w:rPr>
      </w:pPr>
    </w:p>
    <w:p w:rsidR="00997854" w:rsidRDefault="00997854" w:rsidP="00C16363">
      <w:pPr>
        <w:tabs>
          <w:tab w:val="left" w:pos="360"/>
          <w:tab w:val="left" w:pos="2880"/>
        </w:tabs>
        <w:spacing w:after="0" w:line="240" w:lineRule="auto"/>
        <w:jc w:val="both"/>
        <w:rPr>
          <w:rFonts w:ascii="Cambria" w:hAnsi="Cambria"/>
          <w:lang w:val="es-VE"/>
        </w:rPr>
      </w:pPr>
      <w:r>
        <w:rPr>
          <w:rFonts w:ascii="Cambria" w:hAnsi="Cambria"/>
          <w:lang w:val="es-CO"/>
        </w:rPr>
        <w:tab/>
      </w:r>
      <w:r w:rsidR="00544D8C" w:rsidRPr="00576D03">
        <w:rPr>
          <w:rFonts w:ascii="Cambria" w:hAnsi="Cambria"/>
          <w:lang w:val="es-CO"/>
        </w:rPr>
        <w:t>Tengo el agrado de dirigirme a usted, en nombre de la Comisión Interamericana de Derechos Humanos, con el objeto</w:t>
      </w:r>
      <w:r w:rsidR="00544D8C" w:rsidRPr="00576D03">
        <w:rPr>
          <w:rFonts w:ascii="Cambria" w:hAnsi="Cambria" w:cs="Arial"/>
          <w:lang w:val="es-CO"/>
        </w:rPr>
        <w:t xml:space="preserve"> de presentar ante la Honorable Corte Interamericana de Derechos Humanos, el </w:t>
      </w:r>
      <w:r w:rsidR="00DA637E">
        <w:rPr>
          <w:rFonts w:ascii="Cambria" w:hAnsi="Cambria" w:cs="Arial"/>
          <w:lang w:val="es-CO"/>
        </w:rPr>
        <w:t>c</w:t>
      </w:r>
      <w:r w:rsidR="00544D8C" w:rsidRPr="00576D03">
        <w:rPr>
          <w:rFonts w:ascii="Cambria" w:hAnsi="Cambria" w:cs="Arial"/>
          <w:lang w:val="es-CO"/>
        </w:rPr>
        <w:t xml:space="preserve">aso Nº </w:t>
      </w:r>
      <w:r>
        <w:rPr>
          <w:rFonts w:ascii="Cambria" w:hAnsi="Cambria" w:cs="Arial"/>
          <w:lang w:val="es-CO"/>
        </w:rPr>
        <w:t>13.044</w:t>
      </w:r>
      <w:r w:rsidR="00544D8C" w:rsidRPr="00576D03">
        <w:rPr>
          <w:rFonts w:ascii="Cambria" w:hAnsi="Cambria" w:cs="Arial"/>
          <w:lang w:val="es-CO"/>
        </w:rPr>
        <w:t xml:space="preserve"> – </w:t>
      </w:r>
      <w:r>
        <w:rPr>
          <w:rFonts w:ascii="Cambria" w:hAnsi="Cambria" w:cs="Arial"/>
          <w:lang w:val="es-CO"/>
        </w:rPr>
        <w:t>Gustavo Petro U</w:t>
      </w:r>
      <w:r w:rsidRPr="00997854">
        <w:rPr>
          <w:rFonts w:ascii="Cambria" w:hAnsi="Cambria"/>
          <w:lang w:val="es-VE"/>
        </w:rPr>
        <w:t>rrego</w:t>
      </w:r>
      <w:r w:rsidR="00544D8C" w:rsidRPr="00997854">
        <w:rPr>
          <w:rFonts w:ascii="Cambria" w:hAnsi="Cambria"/>
          <w:lang w:val="es-VE"/>
        </w:rPr>
        <w:t xml:space="preserve"> respecto de la República de </w:t>
      </w:r>
      <w:r w:rsidR="004877BE" w:rsidRPr="00997854">
        <w:rPr>
          <w:rFonts w:ascii="Cambria" w:hAnsi="Cambria"/>
          <w:lang w:val="es-VE"/>
        </w:rPr>
        <w:t>Colombia</w:t>
      </w:r>
      <w:r w:rsidR="00544D8C" w:rsidRPr="00997854">
        <w:rPr>
          <w:rFonts w:ascii="Cambria" w:hAnsi="Cambria"/>
          <w:lang w:val="es-VE"/>
        </w:rPr>
        <w:t xml:space="preserve"> (en adelante “el Estado”, “el Estado </w:t>
      </w:r>
      <w:r w:rsidR="004877BE" w:rsidRPr="00997854">
        <w:rPr>
          <w:rFonts w:ascii="Cambria" w:hAnsi="Cambria"/>
          <w:lang w:val="es-VE"/>
        </w:rPr>
        <w:t>colombiano</w:t>
      </w:r>
      <w:r w:rsidR="00544D8C" w:rsidRPr="00997854">
        <w:rPr>
          <w:rFonts w:ascii="Cambria" w:hAnsi="Cambria"/>
          <w:lang w:val="es-VE"/>
        </w:rPr>
        <w:t>” o “</w:t>
      </w:r>
      <w:r w:rsidR="004877BE" w:rsidRPr="00997854">
        <w:rPr>
          <w:rFonts w:ascii="Cambria" w:hAnsi="Cambria"/>
          <w:lang w:val="es-VE"/>
        </w:rPr>
        <w:t>Colombia</w:t>
      </w:r>
      <w:r w:rsidR="00544D8C" w:rsidRPr="00997854">
        <w:rPr>
          <w:rFonts w:ascii="Cambria" w:hAnsi="Cambria"/>
          <w:lang w:val="es-VE"/>
        </w:rPr>
        <w:t>”), relacionado con</w:t>
      </w:r>
      <w:r w:rsidRPr="00997854">
        <w:rPr>
          <w:rFonts w:ascii="Cambria" w:hAnsi="Cambria"/>
          <w:lang w:val="es-VE"/>
        </w:rPr>
        <w:t xml:space="preserve"> una</w:t>
      </w:r>
      <w:r w:rsidR="00544D8C" w:rsidRPr="00997854">
        <w:rPr>
          <w:rFonts w:ascii="Cambria" w:hAnsi="Cambria"/>
          <w:lang w:val="es-VE"/>
        </w:rPr>
        <w:t xml:space="preserve"> </w:t>
      </w:r>
      <w:r w:rsidRPr="00997854">
        <w:rPr>
          <w:rFonts w:ascii="Cambria" w:hAnsi="Cambria"/>
          <w:lang w:val="es-VE"/>
        </w:rPr>
        <w:t>serie de violaciones de derechos humanos cometidas en el marco del proceso disciplinario que culminó con la destitución de Gustavo Petro como Alcalde de Bogotá, Colombia.</w:t>
      </w:r>
    </w:p>
    <w:p w:rsidR="00997854" w:rsidRDefault="00997854" w:rsidP="00C16363">
      <w:pPr>
        <w:tabs>
          <w:tab w:val="left" w:pos="360"/>
          <w:tab w:val="left" w:pos="2880"/>
        </w:tabs>
        <w:spacing w:after="0" w:line="240" w:lineRule="auto"/>
        <w:jc w:val="both"/>
        <w:rPr>
          <w:rFonts w:ascii="Cambria" w:hAnsi="Cambria"/>
          <w:lang w:val="es-VE"/>
        </w:rPr>
      </w:pPr>
    </w:p>
    <w:p w:rsidR="00997854" w:rsidRDefault="00997854" w:rsidP="00C16363">
      <w:pPr>
        <w:tabs>
          <w:tab w:val="left" w:pos="360"/>
          <w:tab w:val="left" w:pos="2880"/>
        </w:tabs>
        <w:spacing w:after="0" w:line="240" w:lineRule="auto"/>
        <w:jc w:val="both"/>
        <w:rPr>
          <w:rFonts w:ascii="Cambria" w:hAnsi="Cambria"/>
          <w:lang w:val="es-VE"/>
        </w:rPr>
      </w:pPr>
      <w:r>
        <w:rPr>
          <w:rFonts w:ascii="Cambria" w:hAnsi="Cambria"/>
          <w:lang w:val="es-VE"/>
        </w:rPr>
        <w:tab/>
      </w:r>
      <w:r w:rsidRPr="00997854">
        <w:rPr>
          <w:rFonts w:ascii="Cambria" w:hAnsi="Cambria"/>
          <w:lang w:val="es-VE"/>
        </w:rPr>
        <w:t xml:space="preserve">La Comisión </w:t>
      </w:r>
      <w:r w:rsidR="000E13EA">
        <w:rPr>
          <w:rFonts w:ascii="Cambria" w:hAnsi="Cambria"/>
          <w:lang w:val="es-VE"/>
        </w:rPr>
        <w:t xml:space="preserve">determinó que el 9 de diciembre de 2013 </w:t>
      </w:r>
      <w:r w:rsidRPr="00997854">
        <w:rPr>
          <w:rFonts w:ascii="Cambria" w:hAnsi="Cambria"/>
          <w:lang w:val="es-VE"/>
        </w:rPr>
        <w:t>el Procurador General de la Nación impuso la</w:t>
      </w:r>
      <w:r w:rsidR="00E843A7">
        <w:rPr>
          <w:rFonts w:ascii="Cambria" w:hAnsi="Cambria"/>
          <w:lang w:val="es-VE"/>
        </w:rPr>
        <w:t>s sancio</w:t>
      </w:r>
      <w:r w:rsidRPr="00997854">
        <w:rPr>
          <w:rFonts w:ascii="Cambria" w:hAnsi="Cambria"/>
          <w:lang w:val="es-VE"/>
        </w:rPr>
        <w:t>n</w:t>
      </w:r>
      <w:r w:rsidR="00E843A7">
        <w:rPr>
          <w:rFonts w:ascii="Cambria" w:hAnsi="Cambria"/>
          <w:lang w:val="es-VE"/>
        </w:rPr>
        <w:t>es</w:t>
      </w:r>
      <w:r w:rsidRPr="00997854">
        <w:rPr>
          <w:rFonts w:ascii="Cambria" w:hAnsi="Cambria"/>
          <w:lang w:val="es-VE"/>
        </w:rPr>
        <w:t xml:space="preserve"> de destitución e inhabilitación general por el término de quince años a la víctima del caso. La Comisión concluyó que dichas sanciones violar</w:t>
      </w:r>
      <w:r w:rsidR="00E843A7">
        <w:rPr>
          <w:rFonts w:ascii="Cambria" w:hAnsi="Cambria"/>
          <w:lang w:val="es-VE"/>
        </w:rPr>
        <w:t xml:space="preserve">on los derechos políticos del señor Petro. </w:t>
      </w:r>
      <w:r w:rsidRPr="00997854">
        <w:rPr>
          <w:rFonts w:ascii="Cambria" w:hAnsi="Cambria"/>
          <w:lang w:val="es-VE"/>
        </w:rPr>
        <w:t xml:space="preserve">Al respecto, recordó que conforme </w:t>
      </w:r>
      <w:r w:rsidR="00763ACA">
        <w:rPr>
          <w:rFonts w:ascii="Cambria" w:hAnsi="Cambria"/>
          <w:lang w:val="es-VE"/>
        </w:rPr>
        <w:t xml:space="preserve">al </w:t>
      </w:r>
      <w:r w:rsidRPr="00997854">
        <w:rPr>
          <w:rFonts w:ascii="Cambria" w:hAnsi="Cambria"/>
          <w:lang w:val="es-VE"/>
        </w:rPr>
        <w:t>artículo 23.2 de la Convención</w:t>
      </w:r>
      <w:r w:rsidR="00B26B59">
        <w:rPr>
          <w:rFonts w:ascii="Cambria" w:hAnsi="Cambria"/>
          <w:lang w:val="es-VE"/>
        </w:rPr>
        <w:t xml:space="preserve"> Americana</w:t>
      </w:r>
      <w:r w:rsidRPr="00997854">
        <w:rPr>
          <w:rFonts w:ascii="Cambria" w:hAnsi="Cambria"/>
          <w:lang w:val="es-VE"/>
        </w:rPr>
        <w:t>, ambas sanciones deben imponerse por u</w:t>
      </w:r>
      <w:r w:rsidR="000507B2">
        <w:rPr>
          <w:rFonts w:ascii="Cambria" w:hAnsi="Cambria"/>
          <w:lang w:val="es-VE"/>
        </w:rPr>
        <w:t xml:space="preserve">na autoridad judicial </w:t>
      </w:r>
      <w:r w:rsidRPr="00997854">
        <w:rPr>
          <w:rFonts w:ascii="Cambria" w:hAnsi="Cambria"/>
          <w:lang w:val="es-VE"/>
        </w:rPr>
        <w:t>penal mediante condena en firme.  La CIDH consideró que la imposición de sanciones de este tipo por vía administrativa puede afectar el juego democrático, porque es en principio al electorado al que le corresponde determinar la idoneidad de los candidatos mediante el derecho al sufragio pasivo.</w:t>
      </w:r>
    </w:p>
    <w:p w:rsidR="00997854" w:rsidRDefault="00997854" w:rsidP="00C16363">
      <w:pPr>
        <w:tabs>
          <w:tab w:val="left" w:pos="360"/>
          <w:tab w:val="left" w:pos="2880"/>
        </w:tabs>
        <w:spacing w:after="0" w:line="240" w:lineRule="auto"/>
        <w:jc w:val="both"/>
        <w:rPr>
          <w:rFonts w:ascii="Cambria" w:hAnsi="Cambria"/>
          <w:lang w:val="es-VE"/>
        </w:rPr>
      </w:pPr>
    </w:p>
    <w:p w:rsidR="00997854" w:rsidRDefault="00997854" w:rsidP="00C16363">
      <w:pPr>
        <w:tabs>
          <w:tab w:val="left" w:pos="360"/>
          <w:tab w:val="left" w:pos="2880"/>
        </w:tabs>
        <w:spacing w:after="0" w:line="240" w:lineRule="auto"/>
        <w:jc w:val="both"/>
        <w:rPr>
          <w:rFonts w:ascii="Cambria" w:hAnsi="Cambria"/>
          <w:lang w:val="es-VE"/>
        </w:rPr>
      </w:pPr>
      <w:r>
        <w:rPr>
          <w:rFonts w:ascii="Cambria" w:hAnsi="Cambria"/>
          <w:lang w:val="es-VE"/>
        </w:rPr>
        <w:tab/>
      </w:r>
      <w:r w:rsidRPr="00997854">
        <w:rPr>
          <w:rFonts w:ascii="Cambria" w:hAnsi="Cambria"/>
          <w:lang w:val="es-VE"/>
        </w:rPr>
        <w:t xml:space="preserve"> Por otra parte, la CIDH concluyó que en el marco del proceso se afectó la garantía de imparcialidad en relación con el principio de presunción de inocencia porque la misma autoridad que formuló los cargos disciplinarios fue la que decidió la responsabilida</w:t>
      </w:r>
      <w:r w:rsidR="00D11FDA">
        <w:rPr>
          <w:rFonts w:ascii="Cambria" w:hAnsi="Cambria"/>
          <w:lang w:val="es-VE"/>
        </w:rPr>
        <w:t xml:space="preserve">d disciplinaria de la víctima, </w:t>
      </w:r>
      <w:r>
        <w:rPr>
          <w:rFonts w:ascii="Cambria" w:hAnsi="Cambria"/>
          <w:lang w:val="es-VE"/>
        </w:rPr>
        <w:t>y ello</w:t>
      </w:r>
      <w:r w:rsidRPr="00997854">
        <w:rPr>
          <w:rFonts w:ascii="Cambria" w:hAnsi="Cambria"/>
          <w:lang w:val="es-VE"/>
        </w:rPr>
        <w:t xml:space="preserve"> implicó que la autoridad disciplinaria se fo</w:t>
      </w:r>
      <w:r w:rsidR="00D11FDA">
        <w:rPr>
          <w:rFonts w:ascii="Cambria" w:hAnsi="Cambria"/>
          <w:lang w:val="es-VE"/>
        </w:rPr>
        <w:t>rmó</w:t>
      </w:r>
      <w:r w:rsidRPr="00997854">
        <w:rPr>
          <w:rFonts w:ascii="Cambria" w:hAnsi="Cambria"/>
          <w:lang w:val="es-VE"/>
        </w:rPr>
        <w:t xml:space="preserve"> previamente una idea sobre los hechos y la manera en que estos encuadra</w:t>
      </w:r>
      <w:r>
        <w:rPr>
          <w:rFonts w:ascii="Cambria" w:hAnsi="Cambria"/>
          <w:lang w:val="es-VE"/>
        </w:rPr>
        <w:t>ba</w:t>
      </w:r>
      <w:r w:rsidRPr="00997854">
        <w:rPr>
          <w:rFonts w:ascii="Cambria" w:hAnsi="Cambria"/>
          <w:lang w:val="es-VE"/>
        </w:rPr>
        <w:t xml:space="preserve">n en </w:t>
      </w:r>
      <w:r w:rsidR="00D11FDA">
        <w:rPr>
          <w:rFonts w:ascii="Cambria" w:hAnsi="Cambria"/>
          <w:lang w:val="es-VE"/>
        </w:rPr>
        <w:t>las causales</w:t>
      </w:r>
      <w:r w:rsidRPr="00997854">
        <w:rPr>
          <w:rFonts w:ascii="Cambria" w:hAnsi="Cambria"/>
          <w:lang w:val="es-VE"/>
        </w:rPr>
        <w:t xml:space="preserve">. Asimismo, la CIDH determinó que se </w:t>
      </w:r>
      <w:proofErr w:type="gramStart"/>
      <w:r w:rsidRPr="00997854">
        <w:rPr>
          <w:rFonts w:ascii="Cambria" w:hAnsi="Cambria"/>
          <w:lang w:val="es-VE"/>
        </w:rPr>
        <w:t>violó</w:t>
      </w:r>
      <w:proofErr w:type="gramEnd"/>
      <w:r w:rsidRPr="00997854">
        <w:rPr>
          <w:rFonts w:ascii="Cambria" w:hAnsi="Cambria"/>
          <w:lang w:val="es-VE"/>
        </w:rPr>
        <w:t xml:space="preserve"> el derecho a recurrir el fallo tomando en cuenta que el recurso de reposición que interpuso la víctima en contra de la decisión sancionatoria, en virtud de la ley, fue resuelto por la misma autoridad que dictó la sanción. </w:t>
      </w:r>
    </w:p>
    <w:p w:rsidR="00997854" w:rsidRDefault="00997854" w:rsidP="00C16363">
      <w:pPr>
        <w:tabs>
          <w:tab w:val="left" w:pos="360"/>
          <w:tab w:val="left" w:pos="2880"/>
        </w:tabs>
        <w:spacing w:after="0" w:line="240" w:lineRule="auto"/>
        <w:jc w:val="both"/>
        <w:rPr>
          <w:rFonts w:ascii="Cambria" w:hAnsi="Cambria"/>
          <w:lang w:val="es-VE"/>
        </w:rPr>
      </w:pPr>
    </w:p>
    <w:p w:rsidR="00997854" w:rsidRDefault="00997854" w:rsidP="00C16363">
      <w:pPr>
        <w:tabs>
          <w:tab w:val="left" w:pos="360"/>
          <w:tab w:val="left" w:pos="2880"/>
        </w:tabs>
        <w:spacing w:after="0" w:line="240" w:lineRule="auto"/>
        <w:jc w:val="both"/>
        <w:rPr>
          <w:rFonts w:ascii="Cambria" w:hAnsi="Cambria"/>
          <w:lang w:val="es-VE"/>
        </w:rPr>
      </w:pPr>
      <w:r>
        <w:rPr>
          <w:rFonts w:ascii="Cambria" w:hAnsi="Cambria"/>
          <w:lang w:val="es-VE"/>
        </w:rPr>
        <w:tab/>
      </w:r>
      <w:r w:rsidRPr="00997854">
        <w:rPr>
          <w:rFonts w:ascii="Cambria" w:hAnsi="Cambria"/>
          <w:lang w:val="es-VE"/>
        </w:rPr>
        <w:t>Adicionalmente, la CIDH determinó que se violó la garantía del plazo razonable y la protección judicial porque con posterior</w:t>
      </w:r>
      <w:r w:rsidR="00D11FDA">
        <w:rPr>
          <w:rFonts w:ascii="Cambria" w:hAnsi="Cambria"/>
          <w:lang w:val="es-VE"/>
        </w:rPr>
        <w:t>idad</w:t>
      </w:r>
      <w:r w:rsidRPr="00997854">
        <w:rPr>
          <w:rFonts w:ascii="Cambria" w:hAnsi="Cambria"/>
          <w:lang w:val="es-VE"/>
        </w:rPr>
        <w:t xml:space="preserve"> a la denegatoria del recurso de reposición, el 31 de marzo de 2014, la víctima presentó una demanda de nulidad y restablecimiento que a la fecha de aprobación del informe</w:t>
      </w:r>
      <w:r w:rsidR="00E91D0F">
        <w:rPr>
          <w:rFonts w:ascii="Cambria" w:hAnsi="Cambria"/>
          <w:lang w:val="es-VE"/>
        </w:rPr>
        <w:t xml:space="preserve"> de fondo</w:t>
      </w:r>
      <w:r w:rsidRPr="00997854">
        <w:rPr>
          <w:rFonts w:ascii="Cambria" w:hAnsi="Cambria"/>
          <w:lang w:val="es-VE"/>
        </w:rPr>
        <w:t xml:space="preserve">, transcurridos más de 3 años y 6 meses, no había sido resuelto. </w:t>
      </w:r>
    </w:p>
    <w:p w:rsidR="00997854" w:rsidRDefault="00997854" w:rsidP="00C16363">
      <w:pPr>
        <w:tabs>
          <w:tab w:val="left" w:pos="360"/>
          <w:tab w:val="left" w:pos="2880"/>
        </w:tabs>
        <w:spacing w:after="0" w:line="240" w:lineRule="auto"/>
        <w:jc w:val="both"/>
        <w:rPr>
          <w:rFonts w:ascii="Cambria" w:hAnsi="Cambria"/>
          <w:lang w:val="es-VE"/>
        </w:rPr>
      </w:pPr>
    </w:p>
    <w:p w:rsidR="00997854" w:rsidRDefault="00997854" w:rsidP="00C16363">
      <w:pPr>
        <w:tabs>
          <w:tab w:val="left" w:pos="360"/>
          <w:tab w:val="left" w:pos="2880"/>
        </w:tabs>
        <w:spacing w:after="0" w:line="240" w:lineRule="auto"/>
        <w:jc w:val="both"/>
        <w:rPr>
          <w:rFonts w:ascii="Cambria" w:hAnsi="Cambria"/>
          <w:lang w:val="es-VE"/>
        </w:rPr>
      </w:pPr>
    </w:p>
    <w:p w:rsidR="00997854" w:rsidRDefault="00997854" w:rsidP="00C16363">
      <w:pPr>
        <w:tabs>
          <w:tab w:val="left" w:pos="360"/>
          <w:tab w:val="left" w:pos="2880"/>
        </w:tabs>
        <w:spacing w:after="0" w:line="240" w:lineRule="auto"/>
        <w:jc w:val="both"/>
        <w:rPr>
          <w:rFonts w:ascii="Cambria" w:hAnsi="Cambria"/>
          <w:lang w:val="es-VE"/>
        </w:rPr>
      </w:pPr>
    </w:p>
    <w:p w:rsidR="00997854" w:rsidRDefault="00997854" w:rsidP="00C16363">
      <w:pPr>
        <w:tabs>
          <w:tab w:val="left" w:pos="360"/>
          <w:tab w:val="left" w:pos="2880"/>
        </w:tabs>
        <w:spacing w:after="0" w:line="240" w:lineRule="auto"/>
        <w:jc w:val="both"/>
        <w:rPr>
          <w:rFonts w:ascii="Cambria" w:hAnsi="Cambria"/>
          <w:lang w:val="es-VE"/>
        </w:rPr>
      </w:pPr>
    </w:p>
    <w:p w:rsidR="00997854" w:rsidRPr="00576D03" w:rsidRDefault="00997854" w:rsidP="00997854">
      <w:pPr>
        <w:widowControl w:val="0"/>
        <w:tabs>
          <w:tab w:val="left" w:pos="810"/>
        </w:tabs>
        <w:autoSpaceDE w:val="0"/>
        <w:autoSpaceDN w:val="0"/>
        <w:adjustRightInd w:val="0"/>
        <w:spacing w:after="0" w:line="240" w:lineRule="auto"/>
        <w:jc w:val="both"/>
        <w:rPr>
          <w:rFonts w:ascii="Cambria" w:hAnsi="Cambria" w:cs="Arial"/>
          <w:snapToGrid w:val="0"/>
          <w:lang w:val="es-CO"/>
        </w:rPr>
      </w:pPr>
      <w:r w:rsidRPr="00576D03">
        <w:rPr>
          <w:rFonts w:ascii="Cambria" w:hAnsi="Cambria" w:cs="Arial"/>
          <w:snapToGrid w:val="0"/>
          <w:lang w:val="es-ES_tradnl"/>
        </w:rPr>
        <w:t>Señor</w:t>
      </w:r>
    </w:p>
    <w:p w:rsidR="00997854" w:rsidRPr="00576D03" w:rsidRDefault="00997854" w:rsidP="00997854">
      <w:pPr>
        <w:widowControl w:val="0"/>
        <w:tabs>
          <w:tab w:val="left" w:pos="810"/>
        </w:tabs>
        <w:autoSpaceDE w:val="0"/>
        <w:autoSpaceDN w:val="0"/>
        <w:adjustRightInd w:val="0"/>
        <w:spacing w:after="0" w:line="240" w:lineRule="auto"/>
        <w:jc w:val="both"/>
        <w:rPr>
          <w:rFonts w:ascii="Cambria" w:hAnsi="Cambria" w:cs="Arial"/>
          <w:snapToGrid w:val="0"/>
          <w:lang w:val="es-CO"/>
        </w:rPr>
      </w:pPr>
      <w:r w:rsidRPr="00576D03">
        <w:rPr>
          <w:rFonts w:ascii="Cambria" w:hAnsi="Cambria" w:cs="Arial"/>
          <w:snapToGrid w:val="0"/>
          <w:lang w:val="es-CO"/>
        </w:rPr>
        <w:t xml:space="preserve">Pablo </w:t>
      </w:r>
      <w:r w:rsidRPr="00576D03">
        <w:rPr>
          <w:rFonts w:ascii="Cambria" w:hAnsi="Cambria"/>
          <w:lang w:val="es-ES"/>
        </w:rPr>
        <w:t>Saavedra</w:t>
      </w:r>
      <w:r w:rsidRPr="00576D03">
        <w:rPr>
          <w:rFonts w:ascii="Cambria" w:hAnsi="Cambria" w:cs="Arial"/>
          <w:snapToGrid w:val="0"/>
          <w:lang w:val="es-CO"/>
        </w:rPr>
        <w:t xml:space="preserve"> Alessandri, Secretario</w:t>
      </w:r>
    </w:p>
    <w:p w:rsidR="00997854" w:rsidRPr="00576D03" w:rsidRDefault="00997854" w:rsidP="00997854">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576D03">
        <w:rPr>
          <w:rFonts w:ascii="Cambria" w:hAnsi="Cambria" w:cs="Arial"/>
          <w:snapToGrid w:val="0"/>
          <w:lang w:val="es-ES_tradnl"/>
        </w:rPr>
        <w:t>Corte Interamericana de Derechos Humanos</w:t>
      </w:r>
    </w:p>
    <w:p w:rsidR="00997854" w:rsidRPr="00576D03" w:rsidRDefault="00997854" w:rsidP="00997854">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576D03">
        <w:rPr>
          <w:rFonts w:ascii="Cambria" w:hAnsi="Cambria" w:cs="Arial"/>
          <w:snapToGrid w:val="0"/>
          <w:lang w:val="es-ES_tradnl"/>
        </w:rPr>
        <w:t>Apartado 6906-1000,</w:t>
      </w:r>
    </w:p>
    <w:p w:rsidR="00997854" w:rsidRPr="00576D03" w:rsidRDefault="00997854" w:rsidP="00997854">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576D03">
        <w:rPr>
          <w:rFonts w:ascii="Cambria" w:hAnsi="Cambria" w:cs="Arial"/>
          <w:snapToGrid w:val="0"/>
          <w:lang w:val="es-ES_tradnl"/>
        </w:rPr>
        <w:t>San José, Costa Rica</w:t>
      </w:r>
      <w:r>
        <w:rPr>
          <w:rFonts w:ascii="Cambria" w:hAnsi="Cambria" w:cs="Arial"/>
          <w:snapToGrid w:val="0"/>
          <w:lang w:val="es-ES_tradnl"/>
        </w:rPr>
        <w:t>.</w:t>
      </w:r>
    </w:p>
    <w:p w:rsidR="00997854" w:rsidRDefault="00997854" w:rsidP="00C16363">
      <w:pPr>
        <w:tabs>
          <w:tab w:val="left" w:pos="360"/>
          <w:tab w:val="left" w:pos="2880"/>
        </w:tabs>
        <w:spacing w:after="0" w:line="240" w:lineRule="auto"/>
        <w:jc w:val="both"/>
        <w:rPr>
          <w:rFonts w:ascii="Cambria" w:hAnsi="Cambria"/>
          <w:lang w:val="es-VE"/>
        </w:rPr>
      </w:pPr>
    </w:p>
    <w:p w:rsidR="00EE2B0F" w:rsidRDefault="00997854" w:rsidP="00997854">
      <w:pPr>
        <w:tabs>
          <w:tab w:val="left" w:pos="360"/>
          <w:tab w:val="left" w:pos="2880"/>
        </w:tabs>
        <w:spacing w:after="0" w:line="240" w:lineRule="auto"/>
        <w:jc w:val="both"/>
        <w:rPr>
          <w:rFonts w:ascii="Cambria" w:hAnsi="Cambria"/>
          <w:lang w:val="es-VE"/>
        </w:rPr>
      </w:pPr>
      <w:r>
        <w:rPr>
          <w:rFonts w:ascii="Cambria" w:hAnsi="Cambria"/>
          <w:lang w:val="es-VE"/>
        </w:rPr>
        <w:lastRenderedPageBreak/>
        <w:tab/>
      </w:r>
    </w:p>
    <w:p w:rsidR="00997854" w:rsidRDefault="00997854" w:rsidP="00997854">
      <w:pPr>
        <w:tabs>
          <w:tab w:val="left" w:pos="360"/>
          <w:tab w:val="left" w:pos="2880"/>
        </w:tabs>
        <w:spacing w:after="0" w:line="240" w:lineRule="auto"/>
        <w:jc w:val="both"/>
        <w:rPr>
          <w:rFonts w:ascii="Cambria" w:hAnsi="Cambria"/>
          <w:lang w:val="es-VE"/>
        </w:rPr>
      </w:pPr>
      <w:r w:rsidRPr="00997854">
        <w:rPr>
          <w:rFonts w:ascii="Cambria" w:hAnsi="Cambria"/>
          <w:lang w:val="es-VE"/>
        </w:rPr>
        <w:t>Finalmente, la CIDH concluyó que se violó el derecho a la igualdad ante la ley y la protección judicial tomando en cuenta que en el marco del proceso disciplinario la víctima argumentó que las acciones disciplinarias iniciadas en su contra tenían una motivación discriminatoria</w:t>
      </w:r>
      <w:r w:rsidR="00D11C11">
        <w:rPr>
          <w:rFonts w:ascii="Cambria" w:hAnsi="Cambria"/>
          <w:lang w:val="es-VE"/>
        </w:rPr>
        <w:t xml:space="preserve"> y, sin embargo, </w:t>
      </w:r>
      <w:r>
        <w:rPr>
          <w:rFonts w:ascii="Cambria" w:hAnsi="Cambria"/>
          <w:lang w:val="es-VE"/>
        </w:rPr>
        <w:t xml:space="preserve">pese a que </w:t>
      </w:r>
      <w:r w:rsidRPr="00997854">
        <w:rPr>
          <w:rFonts w:ascii="Cambria" w:hAnsi="Cambria"/>
          <w:lang w:val="es-VE"/>
        </w:rPr>
        <w:t>dicha aplicación selectiva de la potestad disciplinaria se habría materializado con la sanción de 9 de diciembre de 2013, a la víctima se le rechazó cierta prueba que ofreció el 31 de diciembre de 2013 al interponer el recurso de reposición para demostrar esa</w:t>
      </w:r>
      <w:r w:rsidR="00F17AD9">
        <w:rPr>
          <w:rFonts w:ascii="Cambria" w:hAnsi="Cambria"/>
          <w:lang w:val="es-VE"/>
        </w:rPr>
        <w:t xml:space="preserve"> alegada</w:t>
      </w:r>
      <w:r w:rsidRPr="00997854">
        <w:rPr>
          <w:rFonts w:ascii="Cambria" w:hAnsi="Cambria"/>
          <w:lang w:val="es-VE"/>
        </w:rPr>
        <w:t xml:space="preserve"> finalidad encubierta</w:t>
      </w:r>
      <w:r w:rsidR="00F17AD9">
        <w:rPr>
          <w:rFonts w:ascii="Cambria" w:hAnsi="Cambria"/>
          <w:lang w:val="es-VE"/>
        </w:rPr>
        <w:t>,</w:t>
      </w:r>
      <w:r w:rsidR="00CF2968">
        <w:rPr>
          <w:rFonts w:ascii="Cambria" w:hAnsi="Cambria"/>
          <w:lang w:val="es-VE"/>
        </w:rPr>
        <w:t xml:space="preserve"> bajo el argumento de que </w:t>
      </w:r>
      <w:r w:rsidRPr="00997854">
        <w:rPr>
          <w:rFonts w:ascii="Cambria" w:hAnsi="Cambria"/>
          <w:lang w:val="es-VE"/>
        </w:rPr>
        <w:t>el momento para in</w:t>
      </w:r>
      <w:r>
        <w:rPr>
          <w:rFonts w:ascii="Cambria" w:hAnsi="Cambria"/>
          <w:lang w:val="es-VE"/>
        </w:rPr>
        <w:t>terponer prueba había precluido.</w:t>
      </w:r>
    </w:p>
    <w:p w:rsidR="00997854" w:rsidRDefault="00997854" w:rsidP="00997854">
      <w:pPr>
        <w:tabs>
          <w:tab w:val="left" w:pos="360"/>
          <w:tab w:val="left" w:pos="2880"/>
        </w:tabs>
        <w:spacing w:after="0" w:line="240" w:lineRule="auto"/>
        <w:jc w:val="both"/>
        <w:rPr>
          <w:rFonts w:ascii="Cambria" w:hAnsi="Cambria"/>
          <w:lang w:val="es-VE"/>
        </w:rPr>
      </w:pPr>
    </w:p>
    <w:p w:rsidR="00997854" w:rsidRDefault="00997854" w:rsidP="00997854">
      <w:pPr>
        <w:tabs>
          <w:tab w:val="left" w:pos="360"/>
          <w:tab w:val="left" w:pos="2880"/>
        </w:tabs>
        <w:spacing w:after="0" w:line="240" w:lineRule="auto"/>
        <w:jc w:val="both"/>
        <w:rPr>
          <w:rFonts w:ascii="Cambria" w:hAnsi="Cambria"/>
          <w:lang w:val="es-VE"/>
        </w:rPr>
      </w:pPr>
      <w:r>
        <w:rPr>
          <w:rFonts w:ascii="Cambria" w:hAnsi="Cambria"/>
          <w:lang w:val="es-VE"/>
        </w:rPr>
        <w:tab/>
      </w:r>
      <w:r w:rsidR="00544D8C" w:rsidRPr="00576D03">
        <w:rPr>
          <w:rFonts w:ascii="Cambria" w:hAnsi="Cambria"/>
          <w:lang w:val="es-PE"/>
        </w:rPr>
        <w:t xml:space="preserve">El </w:t>
      </w:r>
      <w:r w:rsidR="00072B8F">
        <w:rPr>
          <w:rFonts w:ascii="Cambria" w:hAnsi="Cambria"/>
          <w:lang w:val="es-PE"/>
        </w:rPr>
        <w:t>Estado colombiano</w:t>
      </w:r>
      <w:r w:rsidR="00544D8C" w:rsidRPr="00576D03">
        <w:rPr>
          <w:rFonts w:ascii="Cambria" w:hAnsi="Cambria"/>
          <w:lang w:val="es-PE"/>
        </w:rPr>
        <w:t xml:space="preserve"> ratificó la Convención Americana sobre Derechos Humanos</w:t>
      </w:r>
      <w:r w:rsidR="00072B8F">
        <w:rPr>
          <w:rFonts w:ascii="Cambria" w:hAnsi="Cambria"/>
          <w:lang w:val="es-PE"/>
        </w:rPr>
        <w:t xml:space="preserve"> el 31 de julio de 1973 </w:t>
      </w:r>
      <w:r w:rsidR="00544D8C" w:rsidRPr="00576D03">
        <w:rPr>
          <w:rFonts w:ascii="Cambria" w:hAnsi="Cambria"/>
          <w:lang w:val="es-PE"/>
        </w:rPr>
        <w:t>y aceptó la competencia contenciosa</w:t>
      </w:r>
      <w:r w:rsidR="00072B8F">
        <w:rPr>
          <w:rFonts w:ascii="Cambria" w:hAnsi="Cambria"/>
          <w:lang w:val="es-PE"/>
        </w:rPr>
        <w:t xml:space="preserve"> de la Corte Interamericana el 21</w:t>
      </w:r>
      <w:r w:rsidR="00544D8C" w:rsidRPr="00576D03">
        <w:rPr>
          <w:rFonts w:ascii="Cambria" w:hAnsi="Cambria"/>
          <w:lang w:val="es-PE"/>
        </w:rPr>
        <w:t xml:space="preserve"> de </w:t>
      </w:r>
      <w:r w:rsidR="00072B8F">
        <w:rPr>
          <w:rFonts w:ascii="Cambria" w:hAnsi="Cambria"/>
          <w:lang w:val="es-PE"/>
        </w:rPr>
        <w:t>junio de 1985</w:t>
      </w:r>
      <w:r w:rsidR="00544D8C" w:rsidRPr="00576D03">
        <w:rPr>
          <w:rFonts w:ascii="Cambria" w:hAnsi="Cambria"/>
          <w:lang w:val="es-PE"/>
        </w:rPr>
        <w:t xml:space="preserve">. </w:t>
      </w:r>
    </w:p>
    <w:p w:rsidR="00997854" w:rsidRDefault="00997854" w:rsidP="00997854">
      <w:pPr>
        <w:tabs>
          <w:tab w:val="left" w:pos="360"/>
          <w:tab w:val="left" w:pos="2880"/>
        </w:tabs>
        <w:spacing w:after="0" w:line="240" w:lineRule="auto"/>
        <w:jc w:val="both"/>
        <w:rPr>
          <w:rFonts w:ascii="Cambria" w:hAnsi="Cambria"/>
          <w:lang w:val="es-VE"/>
        </w:rPr>
      </w:pPr>
    </w:p>
    <w:p w:rsidR="00185C00" w:rsidRDefault="00997854" w:rsidP="00185C00">
      <w:pPr>
        <w:tabs>
          <w:tab w:val="left" w:pos="360"/>
          <w:tab w:val="left" w:pos="2880"/>
        </w:tabs>
        <w:spacing w:after="0" w:line="240" w:lineRule="auto"/>
        <w:jc w:val="both"/>
        <w:rPr>
          <w:rFonts w:ascii="Cambria" w:hAnsi="Cambria"/>
          <w:lang w:val="es-VE"/>
        </w:rPr>
      </w:pPr>
      <w:r>
        <w:rPr>
          <w:rFonts w:ascii="Cambria" w:hAnsi="Cambria"/>
          <w:lang w:val="es-VE"/>
        </w:rPr>
        <w:tab/>
      </w:r>
      <w:r w:rsidR="00544D8C" w:rsidRPr="00576D03">
        <w:rPr>
          <w:rFonts w:ascii="Cambria" w:hAnsi="Cambria"/>
          <w:lang w:val="es-CO"/>
        </w:rPr>
        <w:t>La Comisión ha designado al Comisionado Francisco Eguiguren</w:t>
      </w:r>
      <w:r w:rsidR="005A7CE5">
        <w:rPr>
          <w:rFonts w:ascii="Cambria" w:hAnsi="Cambria"/>
          <w:lang w:val="es-CO"/>
        </w:rPr>
        <w:t xml:space="preserve"> Praeli</w:t>
      </w:r>
      <w:r w:rsidR="00544D8C" w:rsidRPr="00576D03">
        <w:rPr>
          <w:rFonts w:ascii="Cambria" w:hAnsi="Cambria"/>
          <w:lang w:val="es-CO"/>
        </w:rPr>
        <w:t xml:space="preserve"> y al Secretario Ejecutivo Paulo Abr</w:t>
      </w:r>
      <w:r w:rsidR="00544D8C" w:rsidRPr="00576D03">
        <w:rPr>
          <w:rFonts w:ascii="Cambria" w:hAnsi="Cambria"/>
          <w:lang w:val="es-PE"/>
        </w:rPr>
        <w:t xml:space="preserve">ão, </w:t>
      </w:r>
      <w:r>
        <w:rPr>
          <w:rFonts w:ascii="Cambria" w:hAnsi="Cambria"/>
          <w:lang w:val="es-CO"/>
        </w:rPr>
        <w:t xml:space="preserve">como sus Delegados. </w:t>
      </w:r>
      <w:r w:rsidR="00544D8C" w:rsidRPr="00576D03">
        <w:rPr>
          <w:rFonts w:ascii="Cambria" w:hAnsi="Cambria"/>
          <w:lang w:val="es-CO"/>
        </w:rPr>
        <w:t xml:space="preserve">Asimismo, Silvia Serrano Guzmán y </w:t>
      </w:r>
      <w:r w:rsidR="00E22526" w:rsidRPr="00576D03">
        <w:rPr>
          <w:rFonts w:ascii="Cambria" w:hAnsi="Cambria"/>
          <w:lang w:val="es-CO"/>
        </w:rPr>
        <w:t>Christian González</w:t>
      </w:r>
      <w:r w:rsidR="0016076A" w:rsidRPr="00576D03">
        <w:rPr>
          <w:rFonts w:ascii="Cambria" w:hAnsi="Cambria"/>
          <w:lang w:val="es-CO"/>
        </w:rPr>
        <w:t xml:space="preserve"> Chacón</w:t>
      </w:r>
      <w:r w:rsidR="00544D8C" w:rsidRPr="00576D03">
        <w:rPr>
          <w:rFonts w:ascii="Cambria" w:hAnsi="Cambria"/>
          <w:lang w:val="es-CO"/>
        </w:rPr>
        <w:t xml:space="preserve">, </w:t>
      </w:r>
      <w:r w:rsidR="00544D8C" w:rsidRPr="00576D03">
        <w:rPr>
          <w:rFonts w:ascii="Cambria" w:hAnsi="Cambria"/>
          <w:lang w:val="es-ES"/>
        </w:rPr>
        <w:t xml:space="preserve">abogada y abogado de la Secretaría Ejecutiva, </w:t>
      </w:r>
      <w:r w:rsidR="00544D8C" w:rsidRPr="00576D03">
        <w:rPr>
          <w:rFonts w:ascii="Cambria" w:hAnsi="Cambria"/>
          <w:lang w:val="es-CO"/>
        </w:rPr>
        <w:t>actuarán como asesor</w:t>
      </w:r>
      <w:r w:rsidR="00924A5F">
        <w:rPr>
          <w:rFonts w:ascii="Cambria" w:hAnsi="Cambria"/>
          <w:lang w:val="es-CO"/>
        </w:rPr>
        <w:t>a</w:t>
      </w:r>
      <w:r w:rsidR="00544D8C" w:rsidRPr="00576D03">
        <w:rPr>
          <w:rFonts w:ascii="Cambria" w:hAnsi="Cambria"/>
          <w:lang w:val="es-CO"/>
        </w:rPr>
        <w:t xml:space="preserve"> y asesor legales.</w:t>
      </w:r>
    </w:p>
    <w:p w:rsidR="00185C00" w:rsidRDefault="00185C00" w:rsidP="00185C00">
      <w:pPr>
        <w:tabs>
          <w:tab w:val="left" w:pos="360"/>
          <w:tab w:val="left" w:pos="2880"/>
        </w:tabs>
        <w:spacing w:after="0" w:line="240" w:lineRule="auto"/>
        <w:jc w:val="both"/>
        <w:rPr>
          <w:rFonts w:ascii="Cambria" w:hAnsi="Cambria"/>
          <w:lang w:val="es-VE"/>
        </w:rPr>
      </w:pPr>
    </w:p>
    <w:p w:rsidR="00185C00" w:rsidRDefault="00185C00" w:rsidP="00185C00">
      <w:pPr>
        <w:tabs>
          <w:tab w:val="left" w:pos="360"/>
          <w:tab w:val="left" w:pos="2880"/>
        </w:tabs>
        <w:spacing w:after="0" w:line="240" w:lineRule="auto"/>
        <w:jc w:val="both"/>
        <w:rPr>
          <w:rFonts w:ascii="Cambria" w:hAnsi="Cambria"/>
          <w:lang w:val="es-VE"/>
        </w:rPr>
      </w:pPr>
      <w:r>
        <w:rPr>
          <w:rFonts w:ascii="Cambria" w:hAnsi="Cambria"/>
          <w:lang w:val="es-VE"/>
        </w:rPr>
        <w:tab/>
      </w:r>
      <w:r w:rsidR="00544D8C" w:rsidRPr="00576D03">
        <w:rPr>
          <w:rFonts w:ascii="Cambria" w:hAnsi="Cambria" w:cs="Arial"/>
          <w:lang w:val="es-CO"/>
        </w:rPr>
        <w:t xml:space="preserve">De conformidad con el artículo 35 del Reglamento de la Corte Interamericana, la Comisión adjunta </w:t>
      </w:r>
      <w:r w:rsidR="00544D8C" w:rsidRPr="00576D03">
        <w:rPr>
          <w:rFonts w:ascii="Cambria" w:hAnsi="Cambria"/>
          <w:lang w:val="es-CO"/>
        </w:rPr>
        <w:t xml:space="preserve">copia del Informe de Fondo Nº </w:t>
      </w:r>
      <w:r w:rsidR="00997854">
        <w:rPr>
          <w:rFonts w:ascii="Cambria" w:hAnsi="Cambria"/>
          <w:lang w:val="es-CO"/>
        </w:rPr>
        <w:t>13</w:t>
      </w:r>
      <w:r w:rsidR="00E44607">
        <w:rPr>
          <w:rFonts w:ascii="Cambria" w:hAnsi="Cambria"/>
          <w:lang w:val="es-CO"/>
        </w:rPr>
        <w:t>0</w:t>
      </w:r>
      <w:r w:rsidR="00544D8C" w:rsidRPr="00576D03">
        <w:rPr>
          <w:rFonts w:ascii="Cambria" w:hAnsi="Cambria"/>
          <w:lang w:val="es-CO"/>
        </w:rPr>
        <w:t xml:space="preserve">/17 elaborado en observancia del artículo 50 de la Convención, así como copia de la totalidad del expediente ante la Comisión Interamericana (Apéndice I) y los anexos utilizados en la elaboración del Informe Nº </w:t>
      </w:r>
      <w:r>
        <w:rPr>
          <w:rFonts w:ascii="Cambria" w:hAnsi="Cambria"/>
          <w:lang w:val="es-CO"/>
        </w:rPr>
        <w:t>13</w:t>
      </w:r>
      <w:r w:rsidR="00E44607">
        <w:rPr>
          <w:rFonts w:ascii="Cambria" w:hAnsi="Cambria"/>
          <w:lang w:val="es-CO"/>
        </w:rPr>
        <w:t>0</w:t>
      </w:r>
      <w:r w:rsidR="00544D8C" w:rsidRPr="00576D03">
        <w:rPr>
          <w:rFonts w:ascii="Cambria" w:hAnsi="Cambria"/>
          <w:lang w:val="es-CO"/>
        </w:rPr>
        <w:t xml:space="preserve">/17 (Anexos). </w:t>
      </w:r>
    </w:p>
    <w:p w:rsidR="00185C00" w:rsidRDefault="00185C00" w:rsidP="00185C00">
      <w:pPr>
        <w:tabs>
          <w:tab w:val="left" w:pos="360"/>
          <w:tab w:val="left" w:pos="2880"/>
        </w:tabs>
        <w:spacing w:after="0" w:line="240" w:lineRule="auto"/>
        <w:jc w:val="both"/>
        <w:rPr>
          <w:rFonts w:ascii="Cambria" w:hAnsi="Cambria"/>
          <w:lang w:val="es-VE"/>
        </w:rPr>
      </w:pPr>
    </w:p>
    <w:p w:rsidR="00185C00" w:rsidRDefault="00185C00" w:rsidP="00185C00">
      <w:pPr>
        <w:tabs>
          <w:tab w:val="left" w:pos="360"/>
          <w:tab w:val="left" w:pos="2880"/>
        </w:tabs>
        <w:spacing w:after="0" w:line="240" w:lineRule="auto"/>
        <w:jc w:val="both"/>
        <w:rPr>
          <w:rFonts w:ascii="Cambria" w:hAnsi="Cambria"/>
          <w:lang w:val="es-AR"/>
        </w:rPr>
      </w:pPr>
      <w:r>
        <w:rPr>
          <w:rFonts w:ascii="Cambria" w:hAnsi="Cambria"/>
          <w:lang w:val="es-VE"/>
        </w:rPr>
        <w:tab/>
      </w:r>
      <w:r w:rsidR="00544D8C" w:rsidRPr="00576D03">
        <w:rPr>
          <w:rFonts w:ascii="Cambria" w:hAnsi="Cambria"/>
          <w:lang w:val="es-CO"/>
        </w:rPr>
        <w:t xml:space="preserve">Dicho informe de fondo </w:t>
      </w:r>
      <w:r w:rsidR="00544D8C" w:rsidRPr="00576D03">
        <w:rPr>
          <w:rFonts w:ascii="Cambria" w:hAnsi="Cambria"/>
          <w:lang w:val="es-AR"/>
        </w:rPr>
        <w:t>fue notificado al E</w:t>
      </w:r>
      <w:r>
        <w:rPr>
          <w:rFonts w:ascii="Cambria" w:hAnsi="Cambria"/>
          <w:lang w:val="es-AR"/>
        </w:rPr>
        <w:t>stado el 7</w:t>
      </w:r>
      <w:r w:rsidR="00544D8C" w:rsidRPr="00576D03">
        <w:rPr>
          <w:rFonts w:ascii="Cambria" w:hAnsi="Cambria"/>
          <w:lang w:val="es-AR"/>
        </w:rPr>
        <w:t xml:space="preserve"> de </w:t>
      </w:r>
      <w:r w:rsidR="00351482">
        <w:rPr>
          <w:rFonts w:ascii="Cambria" w:hAnsi="Cambria"/>
          <w:lang w:val="es-AR"/>
        </w:rPr>
        <w:t>noviembre</w:t>
      </w:r>
      <w:r w:rsidR="00C82B8A" w:rsidRPr="00576D03">
        <w:rPr>
          <w:rFonts w:ascii="Cambria" w:hAnsi="Cambria"/>
          <w:lang w:val="es-AR"/>
        </w:rPr>
        <w:t xml:space="preserve"> </w:t>
      </w:r>
      <w:r w:rsidR="00351482">
        <w:rPr>
          <w:rFonts w:ascii="Cambria" w:hAnsi="Cambria"/>
          <w:lang w:val="es-AR"/>
        </w:rPr>
        <w:t>de 2017</w:t>
      </w:r>
      <w:r w:rsidR="00544D8C" w:rsidRPr="00576D03">
        <w:rPr>
          <w:rFonts w:ascii="Cambria" w:hAnsi="Cambria"/>
          <w:lang w:val="es-AR"/>
        </w:rPr>
        <w:t>, otorgándole dos meses para informar sobre el cumpli</w:t>
      </w:r>
      <w:r w:rsidR="005A1EE6">
        <w:rPr>
          <w:rFonts w:ascii="Cambria" w:hAnsi="Cambria"/>
          <w:lang w:val="es-AR"/>
        </w:rPr>
        <w:t xml:space="preserve">miento de las recomendaciones. </w:t>
      </w:r>
      <w:r w:rsidR="005410D3">
        <w:rPr>
          <w:rFonts w:ascii="Cambria" w:hAnsi="Cambria"/>
          <w:lang w:val="es-AR"/>
        </w:rPr>
        <w:t xml:space="preserve"> El 7 de febrero de 2018</w:t>
      </w:r>
      <w:r>
        <w:rPr>
          <w:rFonts w:ascii="Cambria" w:hAnsi="Cambria"/>
          <w:lang w:val="es-AR"/>
        </w:rPr>
        <w:t xml:space="preserve"> se concedió al Estado</w:t>
      </w:r>
      <w:r w:rsidR="005410D3">
        <w:rPr>
          <w:rFonts w:ascii="Cambria" w:hAnsi="Cambria"/>
          <w:lang w:val="es-AR"/>
        </w:rPr>
        <w:t xml:space="preserve"> una prórroga de tres meses y el 7 de mayo de 2018</w:t>
      </w:r>
      <w:r>
        <w:rPr>
          <w:rFonts w:ascii="Cambria" w:hAnsi="Cambria"/>
          <w:lang w:val="es-AR"/>
        </w:rPr>
        <w:t xml:space="preserve"> una segunda prórroga de tres meses.</w:t>
      </w:r>
      <w:r w:rsidR="004D5F2F">
        <w:rPr>
          <w:rFonts w:ascii="Cambria" w:hAnsi="Cambria"/>
          <w:lang w:val="es-AR"/>
        </w:rPr>
        <w:t xml:space="preserve"> En total, el Estado colombiano contó con un plazo de 9 meses para </w:t>
      </w:r>
      <w:r w:rsidR="00F6492A">
        <w:rPr>
          <w:rFonts w:ascii="Cambria" w:hAnsi="Cambria"/>
          <w:lang w:val="es-AR"/>
        </w:rPr>
        <w:t xml:space="preserve">cumplir con las recomendaciones del </w:t>
      </w:r>
      <w:r w:rsidR="00E0317B">
        <w:rPr>
          <w:rFonts w:ascii="Cambria" w:hAnsi="Cambria"/>
          <w:lang w:val="es-AR"/>
        </w:rPr>
        <w:t>I</w:t>
      </w:r>
      <w:r w:rsidR="00F6492A">
        <w:rPr>
          <w:rFonts w:ascii="Cambria" w:hAnsi="Cambria"/>
          <w:lang w:val="es-AR"/>
        </w:rPr>
        <w:t xml:space="preserve">nforme de </w:t>
      </w:r>
      <w:r w:rsidR="00E0317B">
        <w:rPr>
          <w:rFonts w:ascii="Cambria" w:hAnsi="Cambria"/>
          <w:lang w:val="es-AR"/>
        </w:rPr>
        <w:t>F</w:t>
      </w:r>
      <w:r w:rsidR="00F6492A">
        <w:rPr>
          <w:rFonts w:ascii="Cambria" w:hAnsi="Cambria"/>
          <w:lang w:val="es-AR"/>
        </w:rPr>
        <w:t>ondo.</w:t>
      </w:r>
      <w:r w:rsidR="004D5F2F">
        <w:rPr>
          <w:rFonts w:ascii="Cambria" w:hAnsi="Cambria"/>
          <w:lang w:val="es-AR"/>
        </w:rPr>
        <w:t xml:space="preserve"> </w:t>
      </w:r>
      <w:r>
        <w:rPr>
          <w:rFonts w:ascii="Cambria" w:hAnsi="Cambria"/>
          <w:lang w:val="es-AR"/>
        </w:rPr>
        <w:t xml:space="preserve"> </w:t>
      </w:r>
    </w:p>
    <w:p w:rsidR="00153509" w:rsidRDefault="00153509" w:rsidP="00185C00">
      <w:pPr>
        <w:tabs>
          <w:tab w:val="left" w:pos="360"/>
          <w:tab w:val="left" w:pos="2880"/>
        </w:tabs>
        <w:spacing w:after="0" w:line="240" w:lineRule="auto"/>
        <w:jc w:val="both"/>
        <w:rPr>
          <w:rFonts w:ascii="Cambria" w:hAnsi="Cambria"/>
          <w:lang w:val="es-AR"/>
        </w:rPr>
      </w:pPr>
      <w:r>
        <w:rPr>
          <w:rFonts w:ascii="Cambria" w:hAnsi="Cambria"/>
          <w:lang w:val="es-AR"/>
        </w:rPr>
        <w:tab/>
      </w:r>
    </w:p>
    <w:p w:rsidR="00153509" w:rsidRDefault="00D11FDA" w:rsidP="00153509">
      <w:pPr>
        <w:tabs>
          <w:tab w:val="left" w:pos="360"/>
          <w:tab w:val="left" w:pos="2880"/>
        </w:tabs>
        <w:spacing w:after="0" w:line="240" w:lineRule="auto"/>
        <w:jc w:val="both"/>
        <w:rPr>
          <w:rFonts w:ascii="Cambria" w:eastAsia="Times New Roman" w:hAnsi="Cambria" w:cs="Cambria"/>
          <w:lang w:val="es-CO"/>
        </w:rPr>
      </w:pPr>
      <w:r>
        <w:rPr>
          <w:rFonts w:ascii="Cambria" w:hAnsi="Cambria"/>
          <w:lang w:val="es-AR"/>
        </w:rPr>
        <w:tab/>
        <w:t>El Estado aportó informa</w:t>
      </w:r>
      <w:r w:rsidR="00153509">
        <w:rPr>
          <w:rFonts w:ascii="Cambria" w:hAnsi="Cambria"/>
          <w:lang w:val="es-AR"/>
        </w:rPr>
        <w:t>c</w:t>
      </w:r>
      <w:r>
        <w:rPr>
          <w:rFonts w:ascii="Cambria" w:hAnsi="Cambria"/>
          <w:lang w:val="es-AR"/>
        </w:rPr>
        <w:t>i</w:t>
      </w:r>
      <w:r w:rsidR="00153509">
        <w:rPr>
          <w:rFonts w:ascii="Cambria" w:hAnsi="Cambria"/>
          <w:lang w:val="es-AR"/>
        </w:rPr>
        <w:t>ón sobre la restitución de los derechos políticos del señor Petro</w:t>
      </w:r>
      <w:r w:rsidR="005B485F">
        <w:rPr>
          <w:rFonts w:ascii="Cambria" w:hAnsi="Cambria"/>
          <w:lang w:val="es-AR"/>
        </w:rPr>
        <w:t>. Sin</w:t>
      </w:r>
      <w:r w:rsidR="00153509">
        <w:rPr>
          <w:rFonts w:ascii="Cambria" w:hAnsi="Cambria"/>
          <w:lang w:val="es-AR"/>
        </w:rPr>
        <w:t xml:space="preserve"> embargo</w:t>
      </w:r>
      <w:r w:rsidR="00E627CB">
        <w:rPr>
          <w:rFonts w:ascii="Cambria" w:hAnsi="Cambria"/>
          <w:lang w:val="es-AR"/>
        </w:rPr>
        <w:t>,</w:t>
      </w:r>
      <w:r w:rsidR="00153509">
        <w:rPr>
          <w:rFonts w:ascii="Cambria" w:hAnsi="Cambria"/>
          <w:lang w:val="es-AR"/>
        </w:rPr>
        <w:t xml:space="preserve"> no presentó información sobre avances en las medidas de reparación integral indicadas en el Informe de Fondo. De especial relevancia, el Estado no informó concretamente sobre su voluntad </w:t>
      </w:r>
      <w:r w:rsidR="00CE39E0">
        <w:rPr>
          <w:rFonts w:ascii="Cambria" w:hAnsi="Cambria"/>
          <w:lang w:val="es-AR"/>
        </w:rPr>
        <w:t xml:space="preserve">y capacidad de </w:t>
      </w:r>
      <w:r w:rsidR="00153509">
        <w:rPr>
          <w:rFonts w:ascii="Cambria" w:eastAsia="Times New Roman" w:hAnsi="Cambria" w:cs="Cambria"/>
          <w:lang w:val="es-CO"/>
        </w:rPr>
        <w:t>cumplir con uno de los aspectos estructurales que identificó la Comisión en su informe y que tiene que ver con la adecuación de la</w:t>
      </w:r>
      <w:r w:rsidR="001F65CC">
        <w:rPr>
          <w:rFonts w:ascii="Cambria" w:eastAsia="Times New Roman" w:hAnsi="Cambria" w:cs="Cambria"/>
          <w:lang w:val="es-CO"/>
        </w:rPr>
        <w:t xml:space="preserve"> normativa </w:t>
      </w:r>
      <w:r w:rsidR="00962B7E">
        <w:rPr>
          <w:rFonts w:ascii="Cambria" w:eastAsia="Times New Roman" w:hAnsi="Cambria" w:cs="Cambria"/>
          <w:lang w:val="es-CO"/>
        </w:rPr>
        <w:t xml:space="preserve">interna </w:t>
      </w:r>
      <w:r w:rsidR="001F65CC">
        <w:rPr>
          <w:rFonts w:ascii="Cambria" w:eastAsia="Times New Roman" w:hAnsi="Cambria" w:cs="Cambria"/>
          <w:lang w:val="es-CO"/>
        </w:rPr>
        <w:t xml:space="preserve">constitucional y legal </w:t>
      </w:r>
      <w:r w:rsidR="00153509">
        <w:rPr>
          <w:rFonts w:ascii="Cambria" w:eastAsia="Times New Roman" w:hAnsi="Cambria" w:cs="Cambria"/>
          <w:lang w:val="es-CO"/>
        </w:rPr>
        <w:t>para eliminar la facultad de destituir e inhabilitar a funcionarios de elección popular</w:t>
      </w:r>
      <w:r w:rsidR="009A5790">
        <w:rPr>
          <w:rFonts w:ascii="Cambria" w:eastAsia="Times New Roman" w:hAnsi="Cambria" w:cs="Cambria"/>
          <w:lang w:val="es-CO"/>
        </w:rPr>
        <w:t xml:space="preserve"> en cabeza de la Procuraduría General de la Nación</w:t>
      </w:r>
      <w:r w:rsidR="00AA7937">
        <w:rPr>
          <w:rFonts w:ascii="Cambria" w:eastAsia="Times New Roman" w:hAnsi="Cambria" w:cs="Cambria"/>
          <w:lang w:val="es-CO"/>
        </w:rPr>
        <w:t>, y así compatibilizar el marco jurídico interno con la Convención Americana y, en particular, el artículo 23 del mismo instrumento.</w:t>
      </w:r>
      <w:r w:rsidR="00E10593">
        <w:rPr>
          <w:rFonts w:ascii="Cambria" w:eastAsia="Times New Roman" w:hAnsi="Cambria" w:cs="Cambria"/>
          <w:lang w:val="es-CO"/>
        </w:rPr>
        <w:t xml:space="preserve"> </w:t>
      </w:r>
    </w:p>
    <w:p w:rsidR="00153509" w:rsidRDefault="00153509" w:rsidP="00153509">
      <w:pPr>
        <w:tabs>
          <w:tab w:val="left" w:pos="360"/>
          <w:tab w:val="left" w:pos="2880"/>
        </w:tabs>
        <w:spacing w:after="0" w:line="240" w:lineRule="auto"/>
        <w:jc w:val="both"/>
        <w:rPr>
          <w:rFonts w:ascii="Cambria" w:eastAsia="Times New Roman" w:hAnsi="Cambria" w:cs="Cambria"/>
          <w:lang w:val="es-CO"/>
        </w:rPr>
      </w:pPr>
      <w:r>
        <w:rPr>
          <w:rFonts w:ascii="Cambria" w:eastAsia="Times New Roman" w:hAnsi="Cambria" w:cs="Cambria"/>
          <w:lang w:val="es-CO"/>
        </w:rPr>
        <w:tab/>
      </w:r>
    </w:p>
    <w:p w:rsidR="002F20D6" w:rsidRPr="00153509" w:rsidRDefault="00153509" w:rsidP="002F20D6">
      <w:pPr>
        <w:tabs>
          <w:tab w:val="left" w:pos="360"/>
          <w:tab w:val="left" w:pos="2880"/>
        </w:tabs>
        <w:spacing w:after="0" w:line="240" w:lineRule="auto"/>
        <w:jc w:val="both"/>
        <w:rPr>
          <w:rFonts w:ascii="Cambria" w:hAnsi="Cambria"/>
          <w:lang w:val="es-AR"/>
        </w:rPr>
      </w:pPr>
      <w:r>
        <w:rPr>
          <w:rFonts w:ascii="Cambria" w:eastAsia="Times New Roman" w:hAnsi="Cambria" w:cs="Cambria"/>
          <w:lang w:val="es-CO"/>
        </w:rPr>
        <w:tab/>
        <w:t>En virtu</w:t>
      </w:r>
      <w:r w:rsidR="004D3A68">
        <w:rPr>
          <w:rFonts w:ascii="Cambria" w:eastAsia="Times New Roman" w:hAnsi="Cambria" w:cs="Cambria"/>
          <w:lang w:val="es-CO"/>
        </w:rPr>
        <w:t>d</w:t>
      </w:r>
      <w:r>
        <w:rPr>
          <w:rFonts w:ascii="Cambria" w:eastAsia="Times New Roman" w:hAnsi="Cambria" w:cs="Cambria"/>
          <w:lang w:val="es-CO"/>
        </w:rPr>
        <w:t xml:space="preserve"> de lo anterior,</w:t>
      </w:r>
      <w:r w:rsidR="00185C00" w:rsidRPr="00576D03">
        <w:rPr>
          <w:rFonts w:ascii="Cambria" w:hAnsi="Cambria"/>
          <w:lang w:val="es-AR"/>
        </w:rPr>
        <w:t xml:space="preserve"> l</w:t>
      </w:r>
      <w:r w:rsidR="00185C00" w:rsidRPr="00576D03">
        <w:rPr>
          <w:rFonts w:ascii="Cambria" w:hAnsi="Cambria"/>
          <w:lang w:val="es-CO"/>
        </w:rPr>
        <w:t>a Comisión Interamericana decidió</w:t>
      </w:r>
      <w:r w:rsidR="00185C00">
        <w:rPr>
          <w:rFonts w:ascii="Cambria" w:hAnsi="Cambria"/>
          <w:lang w:val="es-CO"/>
        </w:rPr>
        <w:t xml:space="preserve"> someter </w:t>
      </w:r>
      <w:r w:rsidR="00185C00" w:rsidRPr="00576D03">
        <w:rPr>
          <w:rFonts w:ascii="Cambria" w:hAnsi="Cambria"/>
          <w:lang w:val="es-CO"/>
        </w:rPr>
        <w:t xml:space="preserve">a la jurisdicción de la Corte Interamericana la totalidad de los hechos y violaciones de derechos humanos descritos en el Informe de Fondo Nº </w:t>
      </w:r>
      <w:r w:rsidR="00185C00">
        <w:rPr>
          <w:rFonts w:ascii="Cambria" w:hAnsi="Cambria"/>
          <w:lang w:val="es-CO"/>
        </w:rPr>
        <w:t>130</w:t>
      </w:r>
      <w:r w:rsidR="00185C00" w:rsidRPr="00576D03">
        <w:rPr>
          <w:rFonts w:ascii="Cambria" w:hAnsi="Cambria"/>
          <w:lang w:val="es-CO"/>
        </w:rPr>
        <w:t xml:space="preserve">/17, ante la necesidad de obtención de justicia </w:t>
      </w:r>
      <w:r w:rsidR="00185C00">
        <w:rPr>
          <w:rFonts w:ascii="Cambria" w:hAnsi="Cambria"/>
          <w:lang w:val="es-CO"/>
        </w:rPr>
        <w:t xml:space="preserve">y reparación </w:t>
      </w:r>
      <w:r w:rsidR="00185C00" w:rsidRPr="00576D03">
        <w:rPr>
          <w:rFonts w:ascii="Cambria" w:hAnsi="Cambria"/>
          <w:lang w:val="es-CO"/>
        </w:rPr>
        <w:t>para la víctima en el caso particular.</w:t>
      </w:r>
    </w:p>
    <w:p w:rsidR="004D3A68" w:rsidRDefault="004D3A68" w:rsidP="002F20D6">
      <w:pPr>
        <w:tabs>
          <w:tab w:val="left" w:pos="360"/>
          <w:tab w:val="left" w:pos="2880"/>
        </w:tabs>
        <w:spacing w:after="0" w:line="240" w:lineRule="auto"/>
        <w:jc w:val="both"/>
        <w:rPr>
          <w:rFonts w:ascii="Cambria" w:hAnsi="Cambria"/>
          <w:lang w:val="es-VE"/>
        </w:rPr>
      </w:pPr>
    </w:p>
    <w:p w:rsidR="004D3A68" w:rsidRDefault="002F20D6" w:rsidP="004D3A68">
      <w:pPr>
        <w:tabs>
          <w:tab w:val="left" w:pos="360"/>
          <w:tab w:val="left" w:pos="2880"/>
        </w:tabs>
        <w:spacing w:after="0" w:line="240" w:lineRule="auto"/>
        <w:jc w:val="both"/>
        <w:rPr>
          <w:rFonts w:ascii="Cambria" w:hAnsi="Cambria"/>
          <w:lang w:val="es-CO"/>
        </w:rPr>
      </w:pPr>
      <w:r>
        <w:rPr>
          <w:rFonts w:ascii="Cambria" w:hAnsi="Cambria"/>
          <w:lang w:val="es-VE"/>
        </w:rPr>
        <w:tab/>
      </w:r>
      <w:r w:rsidR="00185C00" w:rsidRPr="00576D03">
        <w:rPr>
          <w:rFonts w:ascii="Cambria" w:hAnsi="Cambria"/>
          <w:lang w:val="es-CO"/>
        </w:rPr>
        <w:t xml:space="preserve">En ese sentido, la Comisión solicita a la </w:t>
      </w:r>
      <w:r w:rsidR="00267939">
        <w:rPr>
          <w:rFonts w:ascii="Cambria" w:hAnsi="Cambria"/>
          <w:lang w:val="es-CO"/>
        </w:rPr>
        <w:t xml:space="preserve">Honorable </w:t>
      </w:r>
      <w:r w:rsidR="00185C00" w:rsidRPr="00576D03">
        <w:rPr>
          <w:rFonts w:ascii="Cambria" w:hAnsi="Cambria"/>
          <w:lang w:val="es-CO"/>
        </w:rPr>
        <w:t>Corte que concluya y declare que el</w:t>
      </w:r>
      <w:r w:rsidR="00185C00" w:rsidRPr="00296CB6">
        <w:rPr>
          <w:rFonts w:ascii="Cambria" w:hAnsi="Cambria"/>
          <w:lang w:val="es-CO"/>
        </w:rPr>
        <w:t xml:space="preserve"> Estado de Colombia es responsable por la violación de los derechos</w:t>
      </w:r>
      <w:r>
        <w:rPr>
          <w:rFonts w:ascii="Cambria" w:hAnsi="Cambria"/>
          <w:lang w:val="es-CO"/>
        </w:rPr>
        <w:t xml:space="preserve"> a las gar</w:t>
      </w:r>
      <w:r w:rsidR="00F1737F">
        <w:rPr>
          <w:rFonts w:ascii="Cambria" w:hAnsi="Cambria"/>
          <w:lang w:val="es-CO"/>
        </w:rPr>
        <w:t>antías judiciales, derechos polí</w:t>
      </w:r>
      <w:r>
        <w:rPr>
          <w:rFonts w:ascii="Cambria" w:hAnsi="Cambria"/>
          <w:lang w:val="es-CO"/>
        </w:rPr>
        <w:t xml:space="preserve">ticos, </w:t>
      </w:r>
      <w:r w:rsidR="00D11FDA">
        <w:rPr>
          <w:rFonts w:ascii="Cambria" w:hAnsi="Cambria"/>
          <w:lang w:val="es-CO"/>
        </w:rPr>
        <w:t xml:space="preserve">igualdad y no discriminación y </w:t>
      </w:r>
      <w:r>
        <w:rPr>
          <w:rFonts w:ascii="Cambria" w:hAnsi="Cambria"/>
          <w:lang w:val="es-CO"/>
        </w:rPr>
        <w:t>a la protección judicial establecidos en los artículos 8.1, 8.2, 8.2</w:t>
      </w:r>
      <w:r w:rsidR="00EC354D">
        <w:rPr>
          <w:rFonts w:ascii="Cambria" w:hAnsi="Cambria"/>
          <w:lang w:val="es-CO"/>
        </w:rPr>
        <w:t xml:space="preserve"> </w:t>
      </w:r>
      <w:r>
        <w:rPr>
          <w:rFonts w:ascii="Cambria" w:hAnsi="Cambria"/>
          <w:lang w:val="es-CO"/>
        </w:rPr>
        <w:t>h, 23.1, 23.2, 24 y 25.1 de la Convención Americana en relación con las obligaciones establecidas en los artículos 1.1 y 2 del mismo instrumento, en pe</w:t>
      </w:r>
      <w:r w:rsidR="004D3A68">
        <w:rPr>
          <w:rFonts w:ascii="Cambria" w:hAnsi="Cambria"/>
          <w:lang w:val="es-CO"/>
        </w:rPr>
        <w:t>rjuicio de Gustavo Petro Urrego.</w:t>
      </w:r>
    </w:p>
    <w:p w:rsidR="004D3A68" w:rsidRDefault="004D3A68" w:rsidP="00B7246A">
      <w:pPr>
        <w:tabs>
          <w:tab w:val="left" w:pos="360"/>
          <w:tab w:val="left" w:pos="2880"/>
        </w:tabs>
        <w:spacing w:after="0" w:line="240" w:lineRule="auto"/>
        <w:jc w:val="both"/>
        <w:rPr>
          <w:rFonts w:ascii="Cambria" w:hAnsi="Cambria"/>
          <w:lang w:val="es-CO"/>
        </w:rPr>
      </w:pPr>
    </w:p>
    <w:p w:rsidR="00EE2B0F" w:rsidRDefault="00EE2B0F" w:rsidP="00B7246A">
      <w:pPr>
        <w:tabs>
          <w:tab w:val="left" w:pos="360"/>
          <w:tab w:val="left" w:pos="2880"/>
        </w:tabs>
        <w:spacing w:after="0" w:line="240" w:lineRule="auto"/>
        <w:jc w:val="both"/>
        <w:rPr>
          <w:rFonts w:ascii="Cambria" w:hAnsi="Cambria"/>
          <w:lang w:val="es-CO"/>
        </w:rPr>
      </w:pPr>
    </w:p>
    <w:p w:rsidR="00EE2B0F" w:rsidRDefault="00EE2B0F" w:rsidP="00B7246A">
      <w:pPr>
        <w:tabs>
          <w:tab w:val="left" w:pos="360"/>
          <w:tab w:val="left" w:pos="2880"/>
        </w:tabs>
        <w:spacing w:after="0" w:line="240" w:lineRule="auto"/>
        <w:jc w:val="both"/>
        <w:rPr>
          <w:rFonts w:ascii="Cambria" w:hAnsi="Cambria"/>
          <w:lang w:val="es-CO"/>
        </w:rPr>
      </w:pPr>
    </w:p>
    <w:p w:rsidR="00EE2B0F" w:rsidRDefault="00EE2B0F" w:rsidP="00B7246A">
      <w:pPr>
        <w:tabs>
          <w:tab w:val="left" w:pos="360"/>
          <w:tab w:val="left" w:pos="2880"/>
        </w:tabs>
        <w:spacing w:after="0" w:line="240" w:lineRule="auto"/>
        <w:jc w:val="both"/>
        <w:rPr>
          <w:rFonts w:ascii="Cambria" w:hAnsi="Cambria"/>
          <w:lang w:val="es-CO"/>
        </w:rPr>
      </w:pPr>
    </w:p>
    <w:p w:rsidR="00544D8C" w:rsidRPr="00576D03" w:rsidRDefault="004D3A68" w:rsidP="004D3A68">
      <w:pPr>
        <w:tabs>
          <w:tab w:val="left" w:pos="360"/>
          <w:tab w:val="left" w:pos="2880"/>
        </w:tabs>
        <w:spacing w:after="0" w:line="240" w:lineRule="auto"/>
        <w:jc w:val="both"/>
        <w:rPr>
          <w:rFonts w:ascii="Cambria" w:hAnsi="Cambria"/>
          <w:lang w:val="es-CO"/>
        </w:rPr>
      </w:pPr>
      <w:r>
        <w:rPr>
          <w:rFonts w:ascii="Cambria" w:hAnsi="Cambria"/>
          <w:lang w:val="es-CO"/>
        </w:rPr>
        <w:tab/>
      </w:r>
      <w:r w:rsidR="00544D8C" w:rsidRPr="00576D03">
        <w:rPr>
          <w:rFonts w:ascii="Cambria" w:hAnsi="Cambria"/>
          <w:lang w:val="es-CO"/>
        </w:rPr>
        <w:t>La Comisión solicita a la Corte Interamericana que establezca las siguientes medidas de reparación:</w:t>
      </w:r>
    </w:p>
    <w:p w:rsidR="002F20D6" w:rsidRPr="00351482" w:rsidRDefault="002F20D6" w:rsidP="00AB21D9">
      <w:pPr>
        <w:tabs>
          <w:tab w:val="left" w:pos="-720"/>
        </w:tabs>
        <w:spacing w:after="0" w:line="240" w:lineRule="auto"/>
        <w:jc w:val="both"/>
        <w:rPr>
          <w:rFonts w:ascii="Cambria" w:hAnsi="Cambria" w:cs="Arial"/>
          <w:color w:val="000000"/>
          <w:lang w:val="es-CO"/>
        </w:rPr>
      </w:pPr>
    </w:p>
    <w:p w:rsidR="00351482" w:rsidRPr="00351482" w:rsidRDefault="00AE41E6" w:rsidP="00351482">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Pr>
          <w:rFonts w:eastAsia="Times New Roman" w:cs="Tahoma"/>
          <w:sz w:val="22"/>
          <w:szCs w:val="22"/>
          <w:bdr w:val="none" w:sz="0" w:space="0" w:color="auto"/>
          <w:lang w:val="es-ES"/>
        </w:rPr>
        <w:t xml:space="preserve">Asegurar que </w:t>
      </w:r>
      <w:r w:rsidR="00351482" w:rsidRPr="00351482">
        <w:rPr>
          <w:rFonts w:eastAsia="Times New Roman" w:cs="Tahoma"/>
          <w:sz w:val="22"/>
          <w:szCs w:val="22"/>
          <w:bdr w:val="none" w:sz="0" w:space="0" w:color="auto"/>
          <w:lang w:val="es-ES"/>
        </w:rPr>
        <w:t xml:space="preserve">los actos administrativos sancionatorios </w:t>
      </w:r>
      <w:r w:rsidR="00700AC0">
        <w:rPr>
          <w:rFonts w:eastAsia="Times New Roman" w:cs="Tahoma"/>
          <w:sz w:val="22"/>
          <w:szCs w:val="22"/>
          <w:bdr w:val="none" w:sz="0" w:space="0" w:color="auto"/>
          <w:lang w:val="es-ES"/>
        </w:rPr>
        <w:t xml:space="preserve">contra </w:t>
      </w:r>
      <w:r w:rsidR="00351482" w:rsidRPr="00351482">
        <w:rPr>
          <w:rFonts w:eastAsia="Times New Roman" w:cs="Tahoma"/>
          <w:sz w:val="22"/>
          <w:szCs w:val="22"/>
          <w:bdr w:val="none" w:sz="0" w:space="0" w:color="auto"/>
          <w:lang w:val="es-ES"/>
        </w:rPr>
        <w:t xml:space="preserve">Gustavo Francisco Petro Urrego, </w:t>
      </w:r>
      <w:r w:rsidR="00700AC0">
        <w:rPr>
          <w:rFonts w:eastAsia="Times New Roman" w:cs="Tahoma"/>
          <w:sz w:val="22"/>
          <w:szCs w:val="22"/>
          <w:bdr w:val="none" w:sz="0" w:space="0" w:color="auto"/>
          <w:lang w:val="es-ES"/>
        </w:rPr>
        <w:t>no tengan efecto jur</w:t>
      </w:r>
      <w:r w:rsidR="005D7731">
        <w:rPr>
          <w:rFonts w:eastAsia="Times New Roman" w:cs="Tahoma"/>
          <w:sz w:val="22"/>
          <w:szCs w:val="22"/>
          <w:bdr w:val="none" w:sz="0" w:space="0" w:color="auto"/>
          <w:lang w:val="es-ES"/>
        </w:rPr>
        <w:t>ídico alguno</w:t>
      </w:r>
      <w:r w:rsidR="00351482" w:rsidRPr="00351482">
        <w:rPr>
          <w:rFonts w:eastAsia="Times New Roman" w:cs="Tahoma"/>
          <w:sz w:val="22"/>
          <w:szCs w:val="22"/>
          <w:bdr w:val="none" w:sz="0" w:space="0" w:color="auto"/>
          <w:lang w:val="es-ES"/>
        </w:rPr>
        <w:t xml:space="preserve">. </w:t>
      </w:r>
    </w:p>
    <w:p w:rsidR="00351482" w:rsidRPr="00351482" w:rsidRDefault="00351482" w:rsidP="00351482">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1425"/>
        <w:jc w:val="both"/>
        <w:rPr>
          <w:rFonts w:eastAsia="Times New Roman" w:cs="Tahoma"/>
          <w:sz w:val="22"/>
          <w:szCs w:val="22"/>
          <w:bdr w:val="none" w:sz="0" w:space="0" w:color="auto"/>
          <w:lang w:val="es-ES"/>
        </w:rPr>
      </w:pPr>
    </w:p>
    <w:p w:rsidR="00351482" w:rsidRPr="00351482" w:rsidRDefault="00351482" w:rsidP="00351482">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351482">
        <w:rPr>
          <w:sz w:val="22"/>
          <w:szCs w:val="22"/>
          <w:lang w:val="es-VE"/>
        </w:rPr>
        <w:t xml:space="preserve">Reparar integralmente las violaciones de derechos declaradas en el Informe de Fondo 130/17 incluyendo el aspecto material e inmaterial. </w:t>
      </w:r>
    </w:p>
    <w:p w:rsidR="00351482" w:rsidRPr="00351482" w:rsidRDefault="00351482" w:rsidP="00351482">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0"/>
        <w:jc w:val="both"/>
        <w:rPr>
          <w:sz w:val="22"/>
          <w:szCs w:val="22"/>
          <w:lang w:val="es-VE"/>
        </w:rPr>
      </w:pPr>
    </w:p>
    <w:p w:rsidR="00351482" w:rsidRPr="00351482" w:rsidRDefault="00351482" w:rsidP="00351482">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351482">
        <w:rPr>
          <w:sz w:val="22"/>
          <w:szCs w:val="22"/>
          <w:lang w:val="es-VE"/>
        </w:rPr>
        <w:t xml:space="preserve">Adecuar la legislación interna, en particular, las disposiciones de la Constitución Política y del Código Disciplinario Único, que contemplan respectivamente la facultad de destituir e inhabilitar a funcionarios de elección popular por parte de la Procuraduría General de la Nación en el ejercicio de su potestad disciplinaria. </w:t>
      </w:r>
    </w:p>
    <w:p w:rsidR="00351482" w:rsidRPr="00351482" w:rsidRDefault="00351482" w:rsidP="00351482">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0"/>
        <w:jc w:val="both"/>
        <w:rPr>
          <w:sz w:val="22"/>
          <w:szCs w:val="22"/>
          <w:lang w:val="es-VE"/>
        </w:rPr>
      </w:pPr>
    </w:p>
    <w:p w:rsidR="00351482" w:rsidRPr="00351482" w:rsidRDefault="00351482" w:rsidP="00351482">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351482">
        <w:rPr>
          <w:sz w:val="22"/>
          <w:szCs w:val="22"/>
          <w:lang w:val="es-VE"/>
        </w:rPr>
        <w:t>Adecuar la normativa penal para asegurar que no se incluyan las referencias a la vía disciplinaria o fiscal en los tipos penales relacionados con la elección de personas inhabilitadas. En todo caso, el Estado deberá abstenerse de aplicar el tipo penal previsto en el artículo 5 de la Ley 1834 de 2017, tomando en cuenta las determinaciones sobre la inconvencionalidad de la destitución disciplinaria o fiscal, sin condena penal en firme.</w:t>
      </w:r>
    </w:p>
    <w:p w:rsidR="00351482" w:rsidRPr="00351482" w:rsidRDefault="00351482" w:rsidP="00351482">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0"/>
        <w:jc w:val="both"/>
        <w:rPr>
          <w:sz w:val="22"/>
          <w:szCs w:val="22"/>
          <w:lang w:val="es-VE"/>
        </w:rPr>
      </w:pPr>
    </w:p>
    <w:p w:rsidR="00351482" w:rsidRPr="00351482" w:rsidRDefault="00351482" w:rsidP="00351482">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351482">
        <w:rPr>
          <w:sz w:val="22"/>
          <w:szCs w:val="22"/>
          <w:lang w:val="es-VE"/>
        </w:rPr>
        <w:t xml:space="preserve">Adoptar las medidas legislativas o de otra índole que sean necesarias para asegurar la imparcialidad de la autoridad disciplinaria, de forma tal que la autoridad que establece los cargos, no sea la misma llamada a determinar la responsabilidad disciplinaria. </w:t>
      </w:r>
    </w:p>
    <w:p w:rsidR="00351482" w:rsidRPr="00351482" w:rsidRDefault="00351482" w:rsidP="00351482">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0"/>
        <w:jc w:val="both"/>
        <w:rPr>
          <w:sz w:val="22"/>
          <w:szCs w:val="22"/>
          <w:lang w:val="es-VE"/>
        </w:rPr>
      </w:pPr>
    </w:p>
    <w:p w:rsidR="00351482" w:rsidRPr="00351482" w:rsidRDefault="00351482" w:rsidP="00351482">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351482">
        <w:rPr>
          <w:sz w:val="22"/>
          <w:szCs w:val="22"/>
          <w:lang w:val="es-VE"/>
        </w:rPr>
        <w:t xml:space="preserve">Adoptar las medidas legislativas o de otra índole que sean necesarias para garantizar la posibilidad efectiva de recurrir fallos disciplinarios ante autoridad distinta de la que determinó la responsabilidad disciplinaria, asegurando que se permita una revisión integral de los fallos sancionatorios. </w:t>
      </w:r>
    </w:p>
    <w:p w:rsidR="00351482" w:rsidRPr="00351482" w:rsidRDefault="00351482" w:rsidP="00351482">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0"/>
        <w:jc w:val="both"/>
        <w:rPr>
          <w:sz w:val="22"/>
          <w:szCs w:val="22"/>
          <w:lang w:val="es-VE"/>
        </w:rPr>
      </w:pPr>
    </w:p>
    <w:p w:rsidR="00351482" w:rsidRPr="00351482" w:rsidRDefault="00351482" w:rsidP="00351482">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351482">
        <w:rPr>
          <w:sz w:val="22"/>
          <w:szCs w:val="22"/>
          <w:lang w:val="es-VE"/>
        </w:rPr>
        <w:t>Adoptar las medidas necesarias para asegurar que las acciones judiciales de nulidad y restablecimiento del derecho sean resueltas en un plazo razonable, incluyendo aquellas de competencia directa del Consejo de Estado.</w:t>
      </w:r>
    </w:p>
    <w:p w:rsidR="002F20D6" w:rsidRDefault="002F20D6" w:rsidP="00AB21D9">
      <w:pPr>
        <w:tabs>
          <w:tab w:val="left" w:pos="-720"/>
        </w:tabs>
        <w:spacing w:after="0" w:line="240" w:lineRule="auto"/>
        <w:jc w:val="both"/>
        <w:rPr>
          <w:rFonts w:ascii="Cambria" w:hAnsi="Cambria" w:cs="Arial"/>
          <w:color w:val="000000"/>
          <w:lang w:val="es-CO"/>
        </w:rPr>
      </w:pPr>
    </w:p>
    <w:p w:rsidR="00D43FDC" w:rsidRPr="00A37D1F" w:rsidRDefault="007F05F1" w:rsidP="00D43FDC">
      <w:pPr>
        <w:tabs>
          <w:tab w:val="left" w:pos="-720"/>
        </w:tabs>
        <w:spacing w:after="0" w:line="240" w:lineRule="auto"/>
        <w:jc w:val="both"/>
        <w:rPr>
          <w:rFonts w:ascii="Cambria" w:eastAsia="Times New Roman" w:hAnsi="Cambria" w:cs="Cambria"/>
          <w:lang w:val="es-CO"/>
        </w:rPr>
      </w:pPr>
      <w:r>
        <w:rPr>
          <w:rFonts w:ascii="Cambria" w:hAnsi="Cambria" w:cs="Arial"/>
          <w:color w:val="000000"/>
          <w:lang w:val="es-CO"/>
        </w:rPr>
        <w:tab/>
      </w:r>
      <w:r w:rsidRPr="00E20D23">
        <w:rPr>
          <w:rFonts w:ascii="Cambria" w:hAnsi="Cambria" w:cs="Arial"/>
          <w:color w:val="000000"/>
          <w:lang w:val="es-CO"/>
        </w:rPr>
        <w:t xml:space="preserve">La Comisión destaca </w:t>
      </w:r>
      <w:r w:rsidRPr="00E20D23">
        <w:rPr>
          <w:rFonts w:ascii="Cambria" w:hAnsi="Cambria" w:cs="Arial"/>
          <w:color w:val="000000"/>
          <w:lang w:val="es-CL"/>
        </w:rPr>
        <w:t>que el presente caso involucra cuestiones de orden</w:t>
      </w:r>
      <w:r w:rsidR="00D43FDC">
        <w:rPr>
          <w:rFonts w:ascii="Cambria" w:hAnsi="Cambria" w:cs="Arial"/>
          <w:color w:val="000000"/>
          <w:lang w:val="es-CL"/>
        </w:rPr>
        <w:t xml:space="preserve"> público interamericano.  El presente caso versa sobre la inhabilitación y destitución de un funcionario de elección popular.  La primera cuestión relacionada con la sanción de inhabilitación permitiría </w:t>
      </w:r>
      <w:r w:rsidR="00D43FDC">
        <w:rPr>
          <w:rFonts w:ascii="Cambria" w:eastAsia="Times New Roman" w:hAnsi="Cambria" w:cs="Cambria"/>
          <w:lang w:val="es-CO"/>
        </w:rPr>
        <w:t>a la Corte Interamericana consolidar su jurisprudencia respecto de la compatibilidad de la sanción de inhabilitación de funcionarios de elección popular a través de procesos disciplinarios con el artículo 23 de la Convención Americana, cuestión</w:t>
      </w:r>
      <w:r w:rsidR="00FA4FC0">
        <w:rPr>
          <w:rFonts w:ascii="Cambria" w:eastAsia="Times New Roman" w:hAnsi="Cambria" w:cs="Cambria"/>
          <w:lang w:val="es-CO"/>
        </w:rPr>
        <w:t xml:space="preserve"> abordada previamente en el caso</w:t>
      </w:r>
      <w:r w:rsidR="00FA4FC0" w:rsidRPr="00FA4FC0">
        <w:rPr>
          <w:rFonts w:ascii="Cambria" w:eastAsia="Times New Roman" w:hAnsi="Cambria" w:cs="Cambria"/>
          <w:i/>
          <w:lang w:val="es-CO"/>
        </w:rPr>
        <w:t xml:space="preserve"> </w:t>
      </w:r>
      <w:r w:rsidR="00D43FDC" w:rsidRPr="00FA4FC0">
        <w:rPr>
          <w:rFonts w:ascii="Cambria" w:eastAsia="Times New Roman" w:hAnsi="Cambria" w:cs="Cambria"/>
          <w:i/>
          <w:lang w:val="es-CO"/>
        </w:rPr>
        <w:t>López</w:t>
      </w:r>
      <w:r w:rsidR="00FA4FC0" w:rsidRPr="00FA4FC0">
        <w:rPr>
          <w:rFonts w:ascii="Cambria" w:eastAsia="Times New Roman" w:hAnsi="Cambria" w:cs="Cambria"/>
          <w:i/>
          <w:lang w:val="es-CO"/>
        </w:rPr>
        <w:t xml:space="preserve"> Mendoza</w:t>
      </w:r>
      <w:r w:rsidR="00D43FDC" w:rsidRPr="00FA4FC0">
        <w:rPr>
          <w:rFonts w:ascii="Cambria" w:eastAsia="Times New Roman" w:hAnsi="Cambria" w:cs="Cambria"/>
          <w:i/>
          <w:lang w:val="es-CO"/>
        </w:rPr>
        <w:t xml:space="preserve"> vs. Venezuela</w:t>
      </w:r>
      <w:r w:rsidR="00D43FDC">
        <w:rPr>
          <w:rFonts w:ascii="Cambria" w:eastAsia="Times New Roman" w:hAnsi="Cambria" w:cs="Cambria"/>
          <w:lang w:val="es-CO"/>
        </w:rPr>
        <w:t>. Asimismo</w:t>
      </w:r>
      <w:r w:rsidR="00593350">
        <w:rPr>
          <w:rFonts w:ascii="Cambria" w:eastAsia="Times New Roman" w:hAnsi="Cambria" w:cs="Cambria"/>
          <w:lang w:val="es-CO"/>
        </w:rPr>
        <w:t>,</w:t>
      </w:r>
      <w:r w:rsidR="00D43FDC">
        <w:rPr>
          <w:rFonts w:ascii="Cambria" w:eastAsia="Times New Roman" w:hAnsi="Cambria" w:cs="Cambria"/>
          <w:lang w:val="es-CO"/>
        </w:rPr>
        <w:t xml:space="preserve"> el presente caso plantea </w:t>
      </w:r>
      <w:r w:rsidR="00503716">
        <w:rPr>
          <w:rFonts w:ascii="Cambria" w:eastAsia="Times New Roman" w:hAnsi="Cambria" w:cs="Cambria"/>
          <w:lang w:val="es-CO"/>
        </w:rPr>
        <w:t>la cuestión</w:t>
      </w:r>
      <w:r w:rsidR="00D43FDC">
        <w:rPr>
          <w:rFonts w:ascii="Cambria" w:eastAsia="Times New Roman" w:hAnsi="Cambria" w:cs="Cambria"/>
          <w:lang w:val="es-CO"/>
        </w:rPr>
        <w:t xml:space="preserve"> relacionada con la compatibilidad de la sanción de destitución de funcionarios de elección popular a través de procedimientos </w:t>
      </w:r>
      <w:r w:rsidR="00E209A1">
        <w:rPr>
          <w:rFonts w:ascii="Cambria" w:eastAsia="Times New Roman" w:hAnsi="Cambria" w:cs="Cambria"/>
          <w:lang w:val="es-CO"/>
        </w:rPr>
        <w:t xml:space="preserve">administrativos </w:t>
      </w:r>
      <w:r w:rsidR="00D43FDC">
        <w:rPr>
          <w:rFonts w:ascii="Cambria" w:eastAsia="Times New Roman" w:hAnsi="Cambria" w:cs="Cambria"/>
          <w:lang w:val="es-CO"/>
        </w:rPr>
        <w:t xml:space="preserve">sancionatorios con la Convención Americana, tomando en cuenta que el artículo 23 </w:t>
      </w:r>
      <w:r w:rsidR="00D43FDC">
        <w:rPr>
          <w:rFonts w:ascii="Cambria" w:eastAsia="Times New Roman" w:hAnsi="Cambria" w:cs="Cambria"/>
          <w:lang w:val="es-CO"/>
        </w:rPr>
        <w:lastRenderedPageBreak/>
        <w:t xml:space="preserve">de la Convención establece que “la ley puede reglamentar </w:t>
      </w:r>
      <w:r w:rsidR="00D43FDC" w:rsidRPr="00A37D1F">
        <w:rPr>
          <w:rFonts w:ascii="Cambria" w:eastAsia="Times New Roman" w:hAnsi="Cambria" w:cs="Cambria"/>
          <w:lang w:val="es-CO"/>
        </w:rPr>
        <w:t>el ejercicio de los derechos y oportunidades a que se refiere el inciso anterior, exclusivamente por razones de edad, nacionalidad, residencia, idioma, instrucción, capacidad civil o mental, o condena, por juez competente, en proceso penal</w:t>
      </w:r>
      <w:r w:rsidR="00D43FDC">
        <w:rPr>
          <w:rFonts w:ascii="Cambria" w:eastAsia="Times New Roman" w:hAnsi="Cambria" w:cs="Cambria"/>
          <w:lang w:val="es-CO"/>
        </w:rPr>
        <w:t>”</w:t>
      </w:r>
      <w:r w:rsidR="00D43FDC" w:rsidRPr="00A37D1F">
        <w:rPr>
          <w:rFonts w:ascii="Cambria" w:eastAsia="Times New Roman" w:hAnsi="Cambria" w:cs="Cambria"/>
          <w:lang w:val="es-CO"/>
        </w:rPr>
        <w:t>.</w:t>
      </w:r>
      <w:r w:rsidR="00D43FDC">
        <w:rPr>
          <w:rFonts w:ascii="Cambria" w:eastAsia="Times New Roman" w:hAnsi="Cambria" w:cs="Cambria"/>
          <w:lang w:val="es-CO"/>
        </w:rPr>
        <w:t xml:space="preserve"> </w:t>
      </w:r>
    </w:p>
    <w:p w:rsidR="00AB21D9" w:rsidRPr="00556F93" w:rsidRDefault="00AB21D9" w:rsidP="00862A37">
      <w:pPr>
        <w:tabs>
          <w:tab w:val="left" w:pos="-720"/>
        </w:tabs>
        <w:spacing w:after="0" w:line="240" w:lineRule="auto"/>
        <w:jc w:val="both"/>
        <w:rPr>
          <w:rFonts w:ascii="Cambria" w:hAnsi="Cambria" w:cs="Arial"/>
          <w:color w:val="000000"/>
          <w:lang w:val="es-CO"/>
        </w:rPr>
      </w:pPr>
    </w:p>
    <w:p w:rsidR="00544D8C" w:rsidRPr="00576D03" w:rsidRDefault="00AB21D9" w:rsidP="00AB21D9">
      <w:pPr>
        <w:tabs>
          <w:tab w:val="left" w:pos="-720"/>
        </w:tabs>
        <w:spacing w:after="0" w:line="240" w:lineRule="auto"/>
        <w:jc w:val="both"/>
        <w:rPr>
          <w:rFonts w:ascii="Cambria" w:hAnsi="Cambria" w:cs="Arial"/>
          <w:lang w:val="es-CL"/>
        </w:rPr>
      </w:pPr>
      <w:r w:rsidRPr="00576D03">
        <w:rPr>
          <w:rFonts w:ascii="Cambria" w:hAnsi="Cambria" w:cs="Arial"/>
          <w:color w:val="000000"/>
          <w:lang w:val="es-CL"/>
        </w:rPr>
        <w:tab/>
      </w:r>
      <w:r w:rsidR="00544D8C" w:rsidRPr="00576D03">
        <w:rPr>
          <w:rFonts w:ascii="Cambria" w:hAnsi="Cambria" w:cs="Arial"/>
          <w:lang w:val="es-CL"/>
        </w:rPr>
        <w:t>En virtud de que estas cuestiones afectan de manera relevante el orden público interamericano, de conformidad con el artículo 35.1 f) del Reglamento de la Corte Interamericana, la Comisión se permite ofrecer la siguiente</w:t>
      </w:r>
      <w:r w:rsidR="00503716">
        <w:rPr>
          <w:rFonts w:ascii="Cambria" w:hAnsi="Cambria" w:cs="Arial"/>
          <w:lang w:val="es-CL"/>
        </w:rPr>
        <w:t xml:space="preserve"> declaración</w:t>
      </w:r>
      <w:r w:rsidR="00544D8C" w:rsidRPr="00576D03">
        <w:rPr>
          <w:rFonts w:ascii="Cambria" w:hAnsi="Cambria" w:cs="Arial"/>
          <w:lang w:val="es-CL"/>
        </w:rPr>
        <w:t xml:space="preserve"> pericial:</w:t>
      </w:r>
    </w:p>
    <w:p w:rsidR="00F817C9" w:rsidRDefault="00F817C9" w:rsidP="0015074E">
      <w:pPr>
        <w:tabs>
          <w:tab w:val="left" w:pos="0"/>
          <w:tab w:val="left" w:pos="810"/>
        </w:tabs>
        <w:spacing w:after="0" w:line="240" w:lineRule="auto"/>
        <w:jc w:val="both"/>
        <w:rPr>
          <w:rFonts w:ascii="Cambria" w:hAnsi="Cambria" w:cs="Courier New"/>
          <w:lang w:val="es-ES_tradnl"/>
        </w:rPr>
      </w:pPr>
    </w:p>
    <w:p w:rsidR="00EC5E7C" w:rsidRDefault="00425C54" w:rsidP="003A506C">
      <w:pPr>
        <w:tabs>
          <w:tab w:val="left" w:pos="0"/>
          <w:tab w:val="left" w:pos="810"/>
        </w:tabs>
        <w:spacing w:after="0" w:line="240" w:lineRule="auto"/>
        <w:ind w:firstLine="720"/>
        <w:jc w:val="both"/>
        <w:rPr>
          <w:rFonts w:ascii="Cambria" w:hAnsi="Cambria" w:cs="Courier New"/>
          <w:lang w:val="es-ES_tradnl"/>
        </w:rPr>
      </w:pPr>
      <w:r w:rsidRPr="00576D03">
        <w:rPr>
          <w:rFonts w:ascii="Cambria" w:hAnsi="Cambria" w:cs="Courier New"/>
          <w:b/>
          <w:lang w:val="es-ES_tradnl"/>
        </w:rPr>
        <w:t>Perito/a cuyo nombre será informado a la brevedad</w:t>
      </w:r>
      <w:r>
        <w:rPr>
          <w:rFonts w:ascii="Cambria" w:hAnsi="Cambria" w:cs="Courier New"/>
          <w:b/>
          <w:lang w:val="es-ES_tradnl"/>
        </w:rPr>
        <w:t xml:space="preserve">, </w:t>
      </w:r>
      <w:r w:rsidRPr="00036874">
        <w:rPr>
          <w:rFonts w:ascii="Cambria" w:hAnsi="Cambria" w:cs="Courier New"/>
          <w:lang w:val="es-ES_tradnl"/>
        </w:rPr>
        <w:t xml:space="preserve">quien </w:t>
      </w:r>
      <w:r w:rsidR="00EC5E7C">
        <w:rPr>
          <w:rFonts w:ascii="Cambria" w:hAnsi="Cambria" w:cs="Courier New"/>
          <w:lang w:val="es-ES_tradnl"/>
        </w:rPr>
        <w:t>se referirá a</w:t>
      </w:r>
      <w:r w:rsidR="00331A9E">
        <w:rPr>
          <w:rFonts w:ascii="Cambria" w:hAnsi="Cambria" w:cs="Courier New"/>
          <w:lang w:val="es-ES_tradnl"/>
        </w:rPr>
        <w:t xml:space="preserve"> los estándares internacionales aplicables para determinar las </w:t>
      </w:r>
      <w:r w:rsidR="00EC5E7C">
        <w:rPr>
          <w:rFonts w:ascii="Cambria" w:hAnsi="Cambria" w:cs="Courier New"/>
          <w:lang w:val="es-ES_tradnl"/>
        </w:rPr>
        <w:t>restricci</w:t>
      </w:r>
      <w:r w:rsidR="003A506C">
        <w:rPr>
          <w:rFonts w:ascii="Cambria" w:hAnsi="Cambria" w:cs="Courier New"/>
          <w:lang w:val="es-ES_tradnl"/>
        </w:rPr>
        <w:t>ones</w:t>
      </w:r>
      <w:r w:rsidR="00EC5E7C">
        <w:rPr>
          <w:rFonts w:ascii="Cambria" w:hAnsi="Cambria" w:cs="Courier New"/>
          <w:lang w:val="es-ES_tradnl"/>
        </w:rPr>
        <w:t xml:space="preserve"> admisibles a los derechos políticos</w:t>
      </w:r>
      <w:r w:rsidR="00331A9E">
        <w:rPr>
          <w:rFonts w:ascii="Cambria" w:hAnsi="Cambria" w:cs="Courier New"/>
          <w:lang w:val="es-ES_tradnl"/>
        </w:rPr>
        <w:t xml:space="preserve"> </w:t>
      </w:r>
      <w:r w:rsidR="009C112D">
        <w:rPr>
          <w:rFonts w:ascii="Cambria" w:hAnsi="Cambria" w:cs="Courier New"/>
          <w:lang w:val="es-ES_tradnl"/>
        </w:rPr>
        <w:t xml:space="preserve">en el contexto de procesos sancionatorios. En particular, el/la perito/a se referirá a la compatibilidad con la Convención Americana de la imposición de una sanción de destitución e inhabilitación a funcionarios de elección popular, tomando en especial consideración la dimensión tanto individual como colectiva de los derechos políticos protegidos por el artículo 23 de dicho instrumento. </w:t>
      </w:r>
      <w:r w:rsidR="003A506C">
        <w:rPr>
          <w:rFonts w:ascii="Cambria" w:hAnsi="Cambria" w:cs="Courier New"/>
          <w:lang w:val="es-ES_tradnl"/>
        </w:rPr>
        <w:t>El</w:t>
      </w:r>
      <w:r w:rsidR="006B0784">
        <w:rPr>
          <w:rFonts w:ascii="Cambria" w:hAnsi="Cambria" w:cs="Courier New"/>
          <w:lang w:val="es-ES_tradnl"/>
        </w:rPr>
        <w:t>/la perito/a también se referirá a las garantías del debido proceso y al alcance del derecho a la protección judicial aplicables a este tipo de procedimientos, incluyendo cuando se alega el arbitrario de los mismos. El/la</w:t>
      </w:r>
      <w:r w:rsidR="003A506C">
        <w:rPr>
          <w:rFonts w:ascii="Cambria" w:hAnsi="Cambria" w:cs="Courier New"/>
          <w:lang w:val="es-ES_tradnl"/>
        </w:rPr>
        <w:t xml:space="preserve"> perito</w:t>
      </w:r>
      <w:r w:rsidR="006B0784">
        <w:rPr>
          <w:rFonts w:ascii="Cambria" w:hAnsi="Cambria" w:cs="Courier New"/>
          <w:lang w:val="es-ES_tradnl"/>
        </w:rPr>
        <w:t>/a</w:t>
      </w:r>
      <w:r w:rsidR="003A506C">
        <w:rPr>
          <w:rFonts w:ascii="Cambria" w:hAnsi="Cambria" w:cs="Courier New"/>
          <w:lang w:val="es-ES_tradnl"/>
        </w:rPr>
        <w:t xml:space="preserve"> podrá </w:t>
      </w:r>
      <w:r w:rsidR="00507C8C">
        <w:rPr>
          <w:rFonts w:ascii="Cambria" w:hAnsi="Cambria" w:cs="Courier New"/>
          <w:lang w:val="es-ES_tradnl"/>
        </w:rPr>
        <w:t xml:space="preserve">referirse a los hechos del caso a fin de ejemplificar los estándares del peritaje. </w:t>
      </w:r>
      <w:r w:rsidR="003A506C">
        <w:rPr>
          <w:rFonts w:ascii="Cambria" w:hAnsi="Cambria" w:cs="Courier New"/>
          <w:lang w:val="es-ES_tradnl"/>
        </w:rPr>
        <w:t xml:space="preserve"> </w:t>
      </w:r>
    </w:p>
    <w:p w:rsidR="002A5E33" w:rsidRDefault="002A5E33" w:rsidP="00EC5E7C">
      <w:pPr>
        <w:tabs>
          <w:tab w:val="left" w:pos="0"/>
          <w:tab w:val="left" w:pos="810"/>
        </w:tabs>
        <w:spacing w:after="0" w:line="240" w:lineRule="auto"/>
        <w:jc w:val="both"/>
        <w:rPr>
          <w:rFonts w:ascii="Cambria" w:hAnsi="Cambria"/>
          <w:lang w:val="es-ES_tradnl"/>
        </w:rPr>
      </w:pPr>
    </w:p>
    <w:p w:rsidR="00E3537B" w:rsidRDefault="002F7E0A" w:rsidP="00544D8C">
      <w:pPr>
        <w:tabs>
          <w:tab w:val="left" w:pos="0"/>
          <w:tab w:val="left" w:pos="810"/>
        </w:tabs>
        <w:spacing w:after="0" w:line="240" w:lineRule="auto"/>
        <w:ind w:firstLine="720"/>
        <w:jc w:val="both"/>
        <w:rPr>
          <w:rFonts w:ascii="Cambria" w:hAnsi="Cambria"/>
          <w:lang w:val="es-ES_tradnl"/>
        </w:rPr>
      </w:pPr>
      <w:r w:rsidRPr="00576D03">
        <w:rPr>
          <w:rFonts w:ascii="Cambria" w:hAnsi="Cambria"/>
          <w:lang w:val="es-AR"/>
        </w:rPr>
        <w:t xml:space="preserve">El CV </w:t>
      </w:r>
      <w:r w:rsidR="003A506C">
        <w:rPr>
          <w:rFonts w:ascii="Cambria" w:hAnsi="Cambria"/>
          <w:lang w:val="es-AR"/>
        </w:rPr>
        <w:t>del perito</w:t>
      </w:r>
      <w:r>
        <w:rPr>
          <w:rFonts w:ascii="Cambria" w:hAnsi="Cambria"/>
          <w:lang w:val="es-AR"/>
        </w:rPr>
        <w:t xml:space="preserve"> ofrecido</w:t>
      </w:r>
      <w:r w:rsidRPr="00576D03">
        <w:rPr>
          <w:rFonts w:ascii="Cambria" w:hAnsi="Cambria"/>
          <w:lang w:val="es-AR"/>
        </w:rPr>
        <w:t xml:space="preserve"> </w:t>
      </w:r>
      <w:r w:rsidRPr="00576D03">
        <w:rPr>
          <w:rFonts w:ascii="Cambria" w:hAnsi="Cambria"/>
          <w:lang w:val="es-CO"/>
        </w:rPr>
        <w:t xml:space="preserve">será incluido en los anexos al Informe de Fondo Nº </w:t>
      </w:r>
      <w:r>
        <w:rPr>
          <w:rFonts w:ascii="Cambria" w:hAnsi="Cambria"/>
          <w:lang w:val="es-CO"/>
        </w:rPr>
        <w:t>170</w:t>
      </w:r>
      <w:r w:rsidRPr="00576D03">
        <w:rPr>
          <w:rFonts w:ascii="Cambria" w:hAnsi="Cambria"/>
          <w:lang w:val="es-CO"/>
        </w:rPr>
        <w:t>/17</w:t>
      </w:r>
      <w:r w:rsidR="009C686B">
        <w:rPr>
          <w:rFonts w:ascii="Cambria" w:hAnsi="Cambria"/>
          <w:lang w:val="es-CO"/>
        </w:rPr>
        <w:t>.</w:t>
      </w:r>
    </w:p>
    <w:p w:rsidR="00E3537B" w:rsidRDefault="00E3537B" w:rsidP="00544D8C">
      <w:pPr>
        <w:tabs>
          <w:tab w:val="left" w:pos="0"/>
          <w:tab w:val="left" w:pos="810"/>
        </w:tabs>
        <w:spacing w:after="0" w:line="240" w:lineRule="auto"/>
        <w:ind w:firstLine="720"/>
        <w:jc w:val="both"/>
        <w:rPr>
          <w:rFonts w:ascii="Cambria" w:hAnsi="Cambria"/>
          <w:lang w:val="es-ES_tradnl"/>
        </w:rPr>
      </w:pPr>
    </w:p>
    <w:p w:rsidR="00544D8C" w:rsidRPr="00576D03" w:rsidRDefault="00544D8C" w:rsidP="00544D8C">
      <w:pPr>
        <w:tabs>
          <w:tab w:val="left" w:pos="0"/>
          <w:tab w:val="left" w:pos="810"/>
        </w:tabs>
        <w:spacing w:after="0" w:line="240" w:lineRule="auto"/>
        <w:ind w:firstLine="720"/>
        <w:jc w:val="both"/>
        <w:rPr>
          <w:rFonts w:ascii="Cambria" w:hAnsi="Cambria"/>
          <w:lang w:val="es-CO"/>
        </w:rPr>
      </w:pPr>
      <w:r w:rsidRPr="00576D03">
        <w:rPr>
          <w:rFonts w:ascii="Cambria" w:hAnsi="Cambria"/>
          <w:lang w:val="es-ES_tradnl"/>
        </w:rPr>
        <w:t xml:space="preserve">La Comisión pone en conocimiento de la Corte la siguiente información sobre quienes </w:t>
      </w:r>
      <w:r w:rsidR="00102417">
        <w:rPr>
          <w:rFonts w:ascii="Cambria" w:hAnsi="Cambria"/>
          <w:lang w:val="es-ES_tradnl"/>
        </w:rPr>
        <w:t xml:space="preserve">han actuado </w:t>
      </w:r>
      <w:r w:rsidRPr="00576D03">
        <w:rPr>
          <w:rFonts w:ascii="Cambria" w:hAnsi="Cambria"/>
          <w:lang w:val="es-ES_tradnl"/>
        </w:rPr>
        <w:t xml:space="preserve">como </w:t>
      </w:r>
      <w:r w:rsidRPr="0005054A">
        <w:rPr>
          <w:rFonts w:ascii="Cambria" w:hAnsi="Cambria"/>
          <w:lang w:val="es-ES_tradnl"/>
        </w:rPr>
        <w:t>peticionarios a lo largo del trámite del caso:</w:t>
      </w:r>
      <w:r w:rsidRPr="00576D03">
        <w:rPr>
          <w:rFonts w:ascii="Cambria" w:hAnsi="Cambria"/>
          <w:lang w:val="es-ES_tradnl"/>
        </w:rPr>
        <w:t xml:space="preserve"> </w:t>
      </w:r>
    </w:p>
    <w:p w:rsidR="002E4B50" w:rsidRDefault="002E4B50" w:rsidP="002E4B50">
      <w:pPr>
        <w:spacing w:after="0" w:line="240" w:lineRule="auto"/>
        <w:jc w:val="center"/>
        <w:rPr>
          <w:rFonts w:ascii="Cambria" w:hAnsi="Cambria"/>
          <w:bCs/>
          <w:iCs/>
          <w:lang w:val="es-ES"/>
        </w:rPr>
      </w:pPr>
    </w:p>
    <w:p w:rsidR="00873D4A" w:rsidRPr="0030684A" w:rsidRDefault="00873D4A" w:rsidP="00873D4A">
      <w:pPr>
        <w:spacing w:after="0" w:line="240" w:lineRule="auto"/>
        <w:jc w:val="center"/>
        <w:rPr>
          <w:rFonts w:ascii="Cambria" w:hAnsi="Cambria"/>
          <w:bCs/>
          <w:iCs/>
          <w:lang w:val="es-ES"/>
        </w:rPr>
      </w:pPr>
      <w:r w:rsidRPr="0030684A">
        <w:rPr>
          <w:rFonts w:ascii="Cambria" w:hAnsi="Cambria"/>
          <w:bCs/>
          <w:iCs/>
          <w:lang w:val="es-ES"/>
        </w:rPr>
        <w:t xml:space="preserve">Corporación </w:t>
      </w:r>
      <w:proofErr w:type="gramStart"/>
      <w:r w:rsidRPr="0030684A">
        <w:rPr>
          <w:rFonts w:ascii="Cambria" w:hAnsi="Cambria"/>
          <w:bCs/>
          <w:iCs/>
          <w:lang w:val="es-ES"/>
        </w:rPr>
        <w:t>Colectivo</w:t>
      </w:r>
      <w:proofErr w:type="gramEnd"/>
      <w:r w:rsidRPr="0030684A">
        <w:rPr>
          <w:rFonts w:ascii="Cambria" w:hAnsi="Cambria"/>
          <w:bCs/>
          <w:iCs/>
          <w:lang w:val="es-ES"/>
        </w:rPr>
        <w:t xml:space="preserve"> de Abogados</w:t>
      </w:r>
    </w:p>
    <w:p w:rsidR="00873D4A" w:rsidRPr="0030684A" w:rsidRDefault="00873D4A" w:rsidP="00873D4A">
      <w:pPr>
        <w:spacing w:after="0" w:line="240" w:lineRule="auto"/>
        <w:jc w:val="center"/>
        <w:rPr>
          <w:rFonts w:ascii="Cambria" w:hAnsi="Cambria"/>
          <w:bCs/>
          <w:iCs/>
          <w:lang w:val="es-ES"/>
        </w:rPr>
      </w:pPr>
      <w:r w:rsidRPr="0030684A">
        <w:rPr>
          <w:rFonts w:ascii="Cambria" w:hAnsi="Cambria"/>
          <w:bCs/>
          <w:iCs/>
          <w:lang w:val="es-ES"/>
        </w:rPr>
        <w:t>José Alvear Restrepo</w:t>
      </w:r>
    </w:p>
    <w:p w:rsidR="00873D4A" w:rsidRPr="001C2A56" w:rsidRDefault="001C2A56" w:rsidP="00873D4A">
      <w:pPr>
        <w:spacing w:after="0" w:line="240" w:lineRule="auto"/>
        <w:jc w:val="center"/>
        <w:rPr>
          <w:rFonts w:ascii="Cambria" w:hAnsi="Cambria"/>
          <w:bCs/>
          <w:iCs/>
          <w:highlight w:val="black"/>
          <w:lang w:val="es-ES"/>
        </w:rPr>
      </w:pPr>
      <w:proofErr w:type="gramStart"/>
      <w:r w:rsidRPr="001C2A56">
        <w:rPr>
          <w:rFonts w:ascii="Cambria" w:hAnsi="Cambria"/>
          <w:bCs/>
          <w:iCs/>
          <w:highlight w:val="black"/>
          <w:lang w:val="es-ES"/>
        </w:rPr>
        <w:t>xxxxxxxxxxxxxxxxxxxxxxxxxxxxx</w:t>
      </w:r>
      <w:proofErr w:type="gramEnd"/>
    </w:p>
    <w:p w:rsidR="002E4B50" w:rsidRPr="0030684A" w:rsidRDefault="001C2A56" w:rsidP="00873D4A">
      <w:pPr>
        <w:spacing w:after="0" w:line="240" w:lineRule="auto"/>
        <w:jc w:val="center"/>
        <w:rPr>
          <w:rFonts w:ascii="Cambria" w:hAnsi="Cambria"/>
          <w:bCs/>
          <w:iCs/>
          <w:lang w:val="es-ES"/>
        </w:rPr>
      </w:pPr>
      <w:proofErr w:type="gramStart"/>
      <w:r w:rsidRPr="001C2A56">
        <w:rPr>
          <w:rFonts w:ascii="Cambria" w:hAnsi="Cambria"/>
          <w:bCs/>
          <w:iCs/>
          <w:highlight w:val="black"/>
          <w:lang w:val="es-ES"/>
        </w:rPr>
        <w:t>xxxxxxxxxxxxxxxxxxxxxxxxxxxx</w:t>
      </w:r>
      <w:proofErr w:type="gramEnd"/>
    </w:p>
    <w:p w:rsidR="00873D4A" w:rsidRPr="0030684A" w:rsidRDefault="00873D4A" w:rsidP="00873D4A">
      <w:pPr>
        <w:spacing w:after="0" w:line="240" w:lineRule="auto"/>
        <w:jc w:val="center"/>
        <w:rPr>
          <w:rFonts w:ascii="Cambria" w:hAnsi="Cambria"/>
          <w:bCs/>
          <w:iCs/>
          <w:lang w:val="es-ES"/>
        </w:rPr>
      </w:pPr>
    </w:p>
    <w:p w:rsidR="00873D4A" w:rsidRPr="0030684A" w:rsidRDefault="00873D4A" w:rsidP="00873D4A">
      <w:pPr>
        <w:spacing w:after="0" w:line="240" w:lineRule="auto"/>
        <w:jc w:val="center"/>
        <w:rPr>
          <w:rFonts w:ascii="Cambria" w:hAnsi="Cambria"/>
          <w:bCs/>
          <w:iCs/>
          <w:lang w:val="es-ES"/>
        </w:rPr>
      </w:pPr>
      <w:r w:rsidRPr="0030684A">
        <w:rPr>
          <w:rFonts w:ascii="Cambria" w:hAnsi="Cambria"/>
          <w:bCs/>
          <w:iCs/>
          <w:lang w:val="es-ES"/>
        </w:rPr>
        <w:t>Asociación para la Promoción Social Alternativa -MINGA</w:t>
      </w:r>
    </w:p>
    <w:p w:rsidR="00873D4A" w:rsidRPr="001C2A56" w:rsidRDefault="001C2A56" w:rsidP="00873D4A">
      <w:pPr>
        <w:spacing w:after="0" w:line="240" w:lineRule="auto"/>
        <w:jc w:val="center"/>
        <w:rPr>
          <w:rFonts w:ascii="Cambria" w:hAnsi="Cambria"/>
          <w:bCs/>
          <w:iCs/>
          <w:highlight w:val="black"/>
          <w:lang w:val="es-ES"/>
        </w:rPr>
      </w:pPr>
      <w:proofErr w:type="gramStart"/>
      <w:r w:rsidRPr="001C2A56">
        <w:rPr>
          <w:rFonts w:ascii="Cambria" w:hAnsi="Cambria"/>
          <w:bCs/>
          <w:iCs/>
          <w:highlight w:val="black"/>
          <w:lang w:val="es-ES"/>
        </w:rPr>
        <w:t>xxxxxxxxxxxxxxxxxxxxxxxxxxxxxxxxx</w:t>
      </w:r>
      <w:proofErr w:type="gramEnd"/>
    </w:p>
    <w:p w:rsidR="00873D4A" w:rsidRPr="0030684A" w:rsidRDefault="001C2A56" w:rsidP="00873D4A">
      <w:pPr>
        <w:spacing w:after="0" w:line="240" w:lineRule="auto"/>
        <w:jc w:val="center"/>
        <w:rPr>
          <w:rFonts w:ascii="Cambria" w:hAnsi="Cambria"/>
          <w:bCs/>
          <w:iCs/>
          <w:lang w:val="es-ES"/>
        </w:rPr>
      </w:pPr>
      <w:proofErr w:type="gramStart"/>
      <w:r w:rsidRPr="001C2A56">
        <w:rPr>
          <w:rFonts w:ascii="Cambria" w:hAnsi="Cambria"/>
          <w:bCs/>
          <w:iCs/>
          <w:highlight w:val="black"/>
          <w:lang w:val="es-ES"/>
        </w:rPr>
        <w:t>xxxxxxxxxxxxxxxxxxxxxxxxxxxxxxxxxxx</w:t>
      </w:r>
      <w:proofErr w:type="gramEnd"/>
    </w:p>
    <w:p w:rsidR="002E4B50" w:rsidRPr="0030684A" w:rsidRDefault="002E4B50" w:rsidP="00544D8C">
      <w:pPr>
        <w:spacing w:after="0" w:line="240" w:lineRule="auto"/>
        <w:jc w:val="center"/>
        <w:rPr>
          <w:rFonts w:ascii="Cambria" w:hAnsi="Cambria"/>
          <w:bCs/>
          <w:iCs/>
          <w:lang w:val="es-ES"/>
        </w:rPr>
      </w:pPr>
    </w:p>
    <w:p w:rsidR="00544D8C" w:rsidRPr="00576D03" w:rsidRDefault="00544D8C" w:rsidP="00544D8C">
      <w:pPr>
        <w:tabs>
          <w:tab w:val="left" w:pos="0"/>
          <w:tab w:val="left" w:pos="810"/>
        </w:tabs>
        <w:spacing w:after="0" w:line="240" w:lineRule="auto"/>
        <w:ind w:firstLine="720"/>
        <w:jc w:val="both"/>
        <w:rPr>
          <w:rFonts w:ascii="Cambria" w:hAnsi="Cambria" w:cs="Arial"/>
          <w:lang w:val="es-CO"/>
        </w:rPr>
      </w:pPr>
      <w:r w:rsidRPr="00576D03">
        <w:rPr>
          <w:rFonts w:ascii="Cambria" w:hAnsi="Cambria" w:cs="Arial"/>
          <w:lang w:val="es-CO"/>
        </w:rPr>
        <w:t>Aprovecho la oportunidad para saludar a usted muy atentamente,</w:t>
      </w:r>
    </w:p>
    <w:p w:rsidR="00544D8C" w:rsidRPr="0030684A" w:rsidRDefault="00544D8C" w:rsidP="00544D8C">
      <w:pPr>
        <w:tabs>
          <w:tab w:val="left" w:pos="810"/>
        </w:tabs>
        <w:suppressAutoHyphens/>
        <w:spacing w:after="0" w:line="240" w:lineRule="auto"/>
        <w:rPr>
          <w:rFonts w:ascii="Cambria" w:hAnsi="Cambria" w:cs="Arial"/>
          <w:snapToGrid w:val="0"/>
          <w:lang w:val="es-CO"/>
        </w:rPr>
      </w:pPr>
    </w:p>
    <w:p w:rsidR="00544D8C" w:rsidRPr="0030684A" w:rsidRDefault="00544D8C" w:rsidP="00873D4A">
      <w:pPr>
        <w:tabs>
          <w:tab w:val="left" w:pos="810"/>
        </w:tabs>
        <w:suppressAutoHyphens/>
        <w:spacing w:after="0" w:line="240" w:lineRule="auto"/>
        <w:rPr>
          <w:rFonts w:ascii="Cambria" w:hAnsi="Cambria" w:cs="Arial"/>
          <w:snapToGrid w:val="0"/>
          <w:lang w:val="es-CO"/>
        </w:rPr>
      </w:pPr>
    </w:p>
    <w:p w:rsidR="00873D4A" w:rsidRPr="0030684A" w:rsidRDefault="00873D4A" w:rsidP="00873D4A">
      <w:pPr>
        <w:spacing w:after="0" w:line="240" w:lineRule="auto"/>
        <w:rPr>
          <w:rFonts w:ascii="Cambria" w:hAnsi="Cambria"/>
          <w:lang w:val="es-CO"/>
        </w:rPr>
      </w:pPr>
    </w:p>
    <w:p w:rsidR="001C2A56" w:rsidRDefault="001C2A56" w:rsidP="001C2A56">
      <w:pPr>
        <w:tabs>
          <w:tab w:val="left" w:pos="0"/>
        </w:tabs>
        <w:spacing w:after="0" w:line="240" w:lineRule="auto"/>
        <w:rPr>
          <w:rFonts w:ascii="Cambria" w:hAnsi="Cambria"/>
        </w:rPr>
      </w:pPr>
    </w:p>
    <w:p w:rsidR="00873D4A" w:rsidRPr="00EB39D1" w:rsidRDefault="001C2A56" w:rsidP="001C2A56">
      <w:pPr>
        <w:tabs>
          <w:tab w:val="left" w:pos="0"/>
        </w:tabs>
        <w:spacing w:after="0" w:line="240" w:lineRule="auto"/>
        <w:rPr>
          <w:rFonts w:ascii="Cambria" w:hAnsi="Cambria" w:cs="Arial"/>
          <w:color w:val="808080"/>
          <w:sz w:val="20"/>
          <w:lang w:val="es-CO"/>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EB39D1">
        <w:rPr>
          <w:rFonts w:ascii="Cambria" w:hAnsi="Cambria"/>
          <w:color w:val="808080"/>
          <w:sz w:val="20"/>
        </w:rPr>
        <w:t xml:space="preserve">                  </w:t>
      </w:r>
      <w:r w:rsidRPr="00EB39D1">
        <w:rPr>
          <w:rFonts w:ascii="Cambria" w:hAnsi="Cambria" w:cs="Arial"/>
          <w:color w:val="808080"/>
          <w:sz w:val="20"/>
          <w:lang w:val="es-CO"/>
        </w:rPr>
        <w:t>Firmado en el original</w:t>
      </w:r>
    </w:p>
    <w:p w:rsidR="00873D4A" w:rsidRPr="0030684A" w:rsidRDefault="00873D4A" w:rsidP="00873D4A">
      <w:pPr>
        <w:tabs>
          <w:tab w:val="left" w:pos="-720"/>
        </w:tabs>
        <w:spacing w:after="0" w:line="240" w:lineRule="auto"/>
        <w:ind w:left="4500"/>
        <w:rPr>
          <w:rFonts w:ascii="Cambria" w:hAnsi="Cambria" w:cs="Arial"/>
          <w:lang w:val="es-CO"/>
        </w:rPr>
      </w:pPr>
      <w:r w:rsidRPr="0030684A">
        <w:rPr>
          <w:rFonts w:ascii="Cambria" w:hAnsi="Cambria" w:cs="Arial"/>
          <w:lang w:val="es-CO"/>
        </w:rPr>
        <w:t>Marisol Blanchard</w:t>
      </w:r>
    </w:p>
    <w:p w:rsidR="00873D4A" w:rsidRPr="0030684A" w:rsidRDefault="00873D4A" w:rsidP="00873D4A">
      <w:pPr>
        <w:tabs>
          <w:tab w:val="left" w:pos="-720"/>
          <w:tab w:val="left" w:pos="5760"/>
        </w:tabs>
        <w:spacing w:after="0" w:line="240" w:lineRule="auto"/>
        <w:rPr>
          <w:rFonts w:ascii="Cambria" w:hAnsi="Cambria" w:cs="Arial"/>
          <w:lang w:val="es-PE"/>
        </w:rPr>
      </w:pPr>
      <w:r w:rsidRPr="0030684A">
        <w:rPr>
          <w:rFonts w:ascii="Cambria" w:hAnsi="Cambria" w:cs="Arial"/>
          <w:lang w:val="es-CO"/>
        </w:rPr>
        <w:t xml:space="preserve">                                                                  </w:t>
      </w:r>
      <w:r w:rsidRPr="0030684A">
        <w:rPr>
          <w:rFonts w:ascii="Cambria" w:hAnsi="Cambria" w:cs="Arial"/>
          <w:lang w:val="es-PE"/>
        </w:rPr>
        <w:t>Jefa de Despacho de la Secretaría Ejecutiva</w:t>
      </w:r>
    </w:p>
    <w:p w:rsidR="00873D4A" w:rsidRPr="0030684A" w:rsidRDefault="00873D4A" w:rsidP="00873D4A">
      <w:pPr>
        <w:suppressAutoHyphens/>
        <w:spacing w:after="0" w:line="240" w:lineRule="auto"/>
        <w:rPr>
          <w:rFonts w:ascii="Cambria" w:hAnsi="Cambria" w:cs="Arial"/>
          <w:lang w:val="es-CO"/>
        </w:rPr>
      </w:pPr>
    </w:p>
    <w:p w:rsidR="00544D8C" w:rsidRPr="0030684A" w:rsidRDefault="00544D8C" w:rsidP="00544D8C">
      <w:pPr>
        <w:tabs>
          <w:tab w:val="left" w:pos="810"/>
        </w:tabs>
        <w:suppressAutoHyphens/>
        <w:spacing w:after="0" w:line="240" w:lineRule="auto"/>
        <w:jc w:val="both"/>
        <w:rPr>
          <w:rFonts w:ascii="Cambria" w:hAnsi="Cambria"/>
          <w:lang w:val="es-CO"/>
        </w:rPr>
      </w:pPr>
    </w:p>
    <w:p w:rsidR="00544D8C" w:rsidRPr="0030684A" w:rsidRDefault="00544D8C" w:rsidP="00544D8C">
      <w:pPr>
        <w:spacing w:after="0" w:line="240" w:lineRule="auto"/>
        <w:rPr>
          <w:rFonts w:ascii="Cambria" w:hAnsi="Cambria"/>
          <w:lang w:val="es-PE"/>
        </w:rPr>
      </w:pPr>
    </w:p>
    <w:p w:rsidR="00544D8C" w:rsidRPr="0030684A" w:rsidRDefault="00544D8C" w:rsidP="00544D8C">
      <w:pPr>
        <w:spacing w:after="0" w:line="240" w:lineRule="auto"/>
        <w:rPr>
          <w:rFonts w:ascii="Cambria" w:hAnsi="Cambria"/>
          <w:lang w:val="pt-BR"/>
        </w:rPr>
      </w:pPr>
      <w:r w:rsidRPr="0030684A">
        <w:rPr>
          <w:rFonts w:ascii="Cambria" w:hAnsi="Cambria"/>
          <w:lang w:val="pt-BR"/>
        </w:rPr>
        <w:t>Anexo</w:t>
      </w:r>
    </w:p>
    <w:p w:rsidR="00575D2C" w:rsidRPr="0030684A" w:rsidRDefault="00575D2C">
      <w:pPr>
        <w:rPr>
          <w:rFonts w:ascii="Cambria" w:hAnsi="Cambria"/>
          <w:lang w:val="pt-BR"/>
        </w:rPr>
      </w:pPr>
    </w:p>
    <w:sectPr w:rsidR="00575D2C" w:rsidRPr="0030684A" w:rsidSect="00576D03">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77E" w:rsidRDefault="003E577E">
      <w:pPr>
        <w:spacing w:after="0" w:line="240" w:lineRule="auto"/>
      </w:pPr>
      <w:r>
        <w:separator/>
      </w:r>
    </w:p>
  </w:endnote>
  <w:endnote w:type="continuationSeparator" w:id="0">
    <w:p w:rsidR="003E577E" w:rsidRDefault="003E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DC" w:rsidRPr="00A72869" w:rsidRDefault="00D43FDC">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C32176">
      <w:rPr>
        <w:noProof/>
        <w:color w:val="7F7F7F"/>
        <w:sz w:val="16"/>
      </w:rPr>
      <w:t>4</w:t>
    </w:r>
    <w:r w:rsidRPr="00A72869">
      <w:rPr>
        <w:noProof/>
        <w:color w:val="7F7F7F"/>
        <w:sz w:val="16"/>
      </w:rPr>
      <w:fldChar w:fldCharType="end"/>
    </w:r>
  </w:p>
  <w:p w:rsidR="00750F98" w:rsidRDefault="00750F98" w:rsidP="00750F98">
    <w:pPr>
      <w:pStyle w:val="Piedepgina"/>
      <w:spacing w:line="360" w:lineRule="auto"/>
    </w:pPr>
    <w:r>
      <w:pict>
        <v:rect id="_x0000_i1028" style="width:0;height:1.5pt" o:hralign="center" o:hrstd="t" o:hr="t" fillcolor="#a0a0a0" stroked="f"/>
      </w:pict>
    </w:r>
  </w:p>
  <w:p w:rsidR="00750F98" w:rsidRDefault="00750F98" w:rsidP="00750F98">
    <w:pPr>
      <w:pStyle w:val="Piedepgina"/>
      <w:jc w:val="center"/>
    </w:pPr>
    <w:r w:rsidRPr="005247D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0" type="#_x0000_t75" style="width:403.2pt;height:24.75pt;visibility:visible">
          <v:imagedata r:id="rId1" o:title="footer-es"/>
        </v:shape>
      </w:pict>
    </w:r>
  </w:p>
  <w:p w:rsidR="00D43FDC" w:rsidRDefault="00D43FD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DC" w:rsidRDefault="00D43FDC" w:rsidP="00576D03">
    <w:pPr>
      <w:pStyle w:val="Piedepgina"/>
      <w:spacing w:line="360" w:lineRule="auto"/>
    </w:pPr>
    <w:r>
      <w:pict>
        <v:rect id="_x0000_i1026" style="width:0;height:1.5pt" o:hralign="center" o:hrstd="t" o:hr="t" fillcolor="#a0a0a0" stroked="f"/>
      </w:pict>
    </w:r>
  </w:p>
  <w:p w:rsidR="00D43FDC" w:rsidRDefault="00D43FDC" w:rsidP="00576D03">
    <w:pPr>
      <w:pStyle w:val="Piedepgina"/>
      <w:jc w:val="center"/>
    </w:pPr>
    <w:r w:rsidRPr="005247D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03.2pt;height:24.7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77E" w:rsidRDefault="003E577E">
      <w:pPr>
        <w:spacing w:after="0" w:line="240" w:lineRule="auto"/>
      </w:pPr>
      <w:r>
        <w:separator/>
      </w:r>
    </w:p>
  </w:footnote>
  <w:footnote w:type="continuationSeparator" w:id="0">
    <w:p w:rsidR="003E577E" w:rsidRDefault="003E5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DC" w:rsidRPr="0058688A" w:rsidRDefault="00D43FDC" w:rsidP="00576D03">
    <w:pPr>
      <w:pStyle w:val="Encabezado"/>
      <w:jc w:val="center"/>
      <w:rPr>
        <w:lang w:val="es-ES_tradnl"/>
      </w:rPr>
    </w:pPr>
    <w:r w:rsidRPr="005247D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9" type="#_x0000_t75" alt="cidh-peq" style="width:180.3pt;height:9.2pt;visibility:visible">
          <v:imagedata r:id="rId1" o:title="cidh-peq"/>
        </v:shape>
      </w:pict>
    </w:r>
  </w:p>
  <w:p w:rsidR="00D43FDC" w:rsidRDefault="00D43FDC">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DC" w:rsidRDefault="00D43FDC" w:rsidP="00576D03">
    <w:pPr>
      <w:pStyle w:val="Encabezado"/>
    </w:pPr>
    <w:r w:rsidRPr="005247D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1" type="#_x0000_t75" style="width:184.9pt;height:35.7pt;visibility:visible">
          <v:imagedata r:id="rId1" o:title="cidh-es"/>
        </v:shape>
      </w:pict>
    </w:r>
    <w:r>
      <w:tab/>
    </w:r>
    <w:r>
      <w:tab/>
    </w:r>
    <w:r w:rsidRPr="005247DB">
      <w:rPr>
        <w:noProof/>
      </w:rPr>
      <w:pict>
        <v:shape id="Picture 2" o:spid="_x0000_i1032" type="#_x0000_t75" style="width:129.6pt;height:37.45pt;visibility:visible">
          <v:imagedata r:id="rId2" o:title="oea-es"/>
        </v:shape>
      </w:pict>
    </w:r>
  </w:p>
  <w:p w:rsidR="00D43FDC" w:rsidRDefault="00D43FDC" w:rsidP="00576D03">
    <w:pPr>
      <w:pStyle w:val="Encabezado"/>
    </w:pPr>
  </w:p>
  <w:p w:rsidR="00D43FDC" w:rsidRDefault="00D43FDC" w:rsidP="00576D03">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6303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6023686"/>
    <w:multiLevelType w:val="hybridMultilevel"/>
    <w:tmpl w:val="F86E1812"/>
    <w:lvl w:ilvl="0" w:tplc="91D2B51C">
      <w:start w:val="1"/>
      <w:numFmt w:val="decimal"/>
      <w:lvlText w:val="%1."/>
      <w:lvlJc w:val="left"/>
      <w:pPr>
        <w:tabs>
          <w:tab w:val="num" w:pos="990"/>
        </w:tabs>
        <w:ind w:left="990" w:hanging="360"/>
      </w:pPr>
      <w:rPr>
        <w:rFonts w:ascii="Cambria" w:hAnsi="Cambria" w:hint="default"/>
        <w:b w:val="0"/>
        <w:sz w:val="20"/>
        <w:szCs w:val="20"/>
        <w:lang w:val="es-CO"/>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4570ECC"/>
    <w:multiLevelType w:val="hybridMultilevel"/>
    <w:tmpl w:val="EEC6EB42"/>
    <w:lvl w:ilvl="0" w:tplc="4C023D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A681F10"/>
    <w:multiLevelType w:val="multilevel"/>
    <w:tmpl w:val="3D22AA9C"/>
    <w:lvl w:ilvl="0">
      <w:start w:val="1"/>
      <w:numFmt w:val="decimal"/>
      <w:lvlText w:val="%1."/>
      <w:lvlJc w:val="left"/>
      <w:pPr>
        <w:ind w:left="1425" w:hanging="705"/>
      </w:pPr>
      <w:rPr>
        <w:rFonts w:hint="default"/>
        <w:sz w:val="20"/>
        <w:szCs w:val="20"/>
      </w:rPr>
    </w:lvl>
    <w:lvl w:ilvl="1">
      <w:start w:val="1"/>
      <w:numFmt w:val="decimal"/>
      <w:isLgl/>
      <w:lvlText w:val="%1.%2"/>
      <w:lvlJc w:val="left"/>
      <w:pPr>
        <w:ind w:left="1776" w:hanging="360"/>
      </w:pPr>
      <w:rPr>
        <w:rFonts w:hint="default"/>
      </w:rPr>
    </w:lvl>
    <w:lvl w:ilvl="2">
      <w:start w:val="1"/>
      <w:numFmt w:val="decimal"/>
      <w:isLgl/>
      <w:lvlText w:val="%1.%2.%3"/>
      <w:lvlJc w:val="left"/>
      <w:pPr>
        <w:ind w:left="2832" w:hanging="720"/>
      </w:pPr>
      <w:rPr>
        <w:rFonts w:hint="default"/>
      </w:rPr>
    </w:lvl>
    <w:lvl w:ilvl="3">
      <w:start w:val="1"/>
      <w:numFmt w:val="decimal"/>
      <w:isLgl/>
      <w:lvlText w:val="%1.%2.%3.%4"/>
      <w:lvlJc w:val="left"/>
      <w:pPr>
        <w:ind w:left="3528" w:hanging="720"/>
      </w:pPr>
      <w:rPr>
        <w:rFonts w:hint="default"/>
      </w:rPr>
    </w:lvl>
    <w:lvl w:ilvl="4">
      <w:start w:val="1"/>
      <w:numFmt w:val="decimal"/>
      <w:isLgl/>
      <w:lvlText w:val="%1.%2.%3.%4.%5"/>
      <w:lvlJc w:val="left"/>
      <w:pPr>
        <w:ind w:left="4224" w:hanging="720"/>
      </w:pPr>
      <w:rPr>
        <w:rFonts w:hint="default"/>
      </w:rPr>
    </w:lvl>
    <w:lvl w:ilvl="5">
      <w:start w:val="1"/>
      <w:numFmt w:val="decimal"/>
      <w:isLgl/>
      <w:lvlText w:val="%1.%2.%3.%4.%5.%6"/>
      <w:lvlJc w:val="left"/>
      <w:pPr>
        <w:ind w:left="5280" w:hanging="1080"/>
      </w:pPr>
      <w:rPr>
        <w:rFonts w:hint="default"/>
      </w:rPr>
    </w:lvl>
    <w:lvl w:ilvl="6">
      <w:start w:val="1"/>
      <w:numFmt w:val="decimal"/>
      <w:isLgl/>
      <w:lvlText w:val="%1.%2.%3.%4.%5.%6.%7"/>
      <w:lvlJc w:val="left"/>
      <w:pPr>
        <w:ind w:left="5976" w:hanging="1080"/>
      </w:pPr>
      <w:rPr>
        <w:rFonts w:hint="default"/>
      </w:rPr>
    </w:lvl>
    <w:lvl w:ilvl="7">
      <w:start w:val="1"/>
      <w:numFmt w:val="decimal"/>
      <w:isLgl/>
      <w:lvlText w:val="%1.%2.%3.%4.%5.%6.%7.%8"/>
      <w:lvlJc w:val="left"/>
      <w:pPr>
        <w:ind w:left="7032" w:hanging="1440"/>
      </w:pPr>
      <w:rPr>
        <w:rFonts w:hint="default"/>
      </w:rPr>
    </w:lvl>
    <w:lvl w:ilvl="8">
      <w:start w:val="1"/>
      <w:numFmt w:val="decimal"/>
      <w:isLgl/>
      <w:lvlText w:val="%1.%2.%3.%4.%5.%6.%7.%8.%9"/>
      <w:lvlJc w:val="left"/>
      <w:pPr>
        <w:ind w:left="7728" w:hanging="1440"/>
      </w:pPr>
      <w:rPr>
        <w:rFonts w:hint="default"/>
      </w:rPr>
    </w:lvl>
  </w:abstractNum>
  <w:abstractNum w:abstractNumId="4">
    <w:nsid w:val="5D7D4B9D"/>
    <w:multiLevelType w:val="hybridMultilevel"/>
    <w:tmpl w:val="72FA7D3C"/>
    <w:lvl w:ilvl="0" w:tplc="0B5AC478">
      <w:start w:val="1"/>
      <w:numFmt w:val="decimal"/>
      <w:lvlText w:val="%1."/>
      <w:lvlJc w:val="left"/>
      <w:pPr>
        <w:ind w:left="8280" w:hanging="360"/>
      </w:pPr>
      <w:rPr>
        <w:rFonts w:ascii="Cambria" w:hAnsi="Cambria" w:hint="default"/>
        <w:b w:val="0"/>
        <w:i w:val="0"/>
        <w:color w:val="auto"/>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4D8C"/>
    <w:rsid w:val="00002113"/>
    <w:rsid w:val="000309CF"/>
    <w:rsid w:val="00036874"/>
    <w:rsid w:val="00044254"/>
    <w:rsid w:val="0005054A"/>
    <w:rsid w:val="000507B2"/>
    <w:rsid w:val="00072B8F"/>
    <w:rsid w:val="00075A5F"/>
    <w:rsid w:val="00077893"/>
    <w:rsid w:val="00077CF9"/>
    <w:rsid w:val="00096900"/>
    <w:rsid w:val="000A1B7B"/>
    <w:rsid w:val="000B30DC"/>
    <w:rsid w:val="000E13EA"/>
    <w:rsid w:val="000F2679"/>
    <w:rsid w:val="00102417"/>
    <w:rsid w:val="00133EA3"/>
    <w:rsid w:val="0015074E"/>
    <w:rsid w:val="00153509"/>
    <w:rsid w:val="0016076A"/>
    <w:rsid w:val="00175465"/>
    <w:rsid w:val="001777EF"/>
    <w:rsid w:val="00185C00"/>
    <w:rsid w:val="001957AE"/>
    <w:rsid w:val="001C2A56"/>
    <w:rsid w:val="001D08D1"/>
    <w:rsid w:val="001E4CA2"/>
    <w:rsid w:val="001F65CC"/>
    <w:rsid w:val="002027C5"/>
    <w:rsid w:val="002326A6"/>
    <w:rsid w:val="00250B6A"/>
    <w:rsid w:val="00251FB7"/>
    <w:rsid w:val="00267939"/>
    <w:rsid w:val="00296CB6"/>
    <w:rsid w:val="002A5E33"/>
    <w:rsid w:val="002E4B50"/>
    <w:rsid w:val="002F20D6"/>
    <w:rsid w:val="002F7E0A"/>
    <w:rsid w:val="0030684A"/>
    <w:rsid w:val="00321925"/>
    <w:rsid w:val="00331A9E"/>
    <w:rsid w:val="003445F2"/>
    <w:rsid w:val="00351482"/>
    <w:rsid w:val="00370937"/>
    <w:rsid w:val="003A443E"/>
    <w:rsid w:val="003A506C"/>
    <w:rsid w:val="003B686E"/>
    <w:rsid w:val="003C2E6F"/>
    <w:rsid w:val="003E577E"/>
    <w:rsid w:val="00425C54"/>
    <w:rsid w:val="0043508B"/>
    <w:rsid w:val="004559DD"/>
    <w:rsid w:val="00462343"/>
    <w:rsid w:val="004877BE"/>
    <w:rsid w:val="004D3A68"/>
    <w:rsid w:val="004D5F2F"/>
    <w:rsid w:val="004E0D95"/>
    <w:rsid w:val="004F349F"/>
    <w:rsid w:val="00503716"/>
    <w:rsid w:val="00507C8C"/>
    <w:rsid w:val="00534E80"/>
    <w:rsid w:val="00540ED1"/>
    <w:rsid w:val="005410D3"/>
    <w:rsid w:val="00544D8C"/>
    <w:rsid w:val="00556F93"/>
    <w:rsid w:val="005744C1"/>
    <w:rsid w:val="00575D2C"/>
    <w:rsid w:val="00576D03"/>
    <w:rsid w:val="00593350"/>
    <w:rsid w:val="005A1EE6"/>
    <w:rsid w:val="005A7CE5"/>
    <w:rsid w:val="005B485F"/>
    <w:rsid w:val="005D5416"/>
    <w:rsid w:val="005D7731"/>
    <w:rsid w:val="00604FEE"/>
    <w:rsid w:val="00636A39"/>
    <w:rsid w:val="00656D81"/>
    <w:rsid w:val="00696D2A"/>
    <w:rsid w:val="006B0784"/>
    <w:rsid w:val="006B0D1F"/>
    <w:rsid w:val="006D7B53"/>
    <w:rsid w:val="006E0B35"/>
    <w:rsid w:val="00700AC0"/>
    <w:rsid w:val="00730AE0"/>
    <w:rsid w:val="00732C7D"/>
    <w:rsid w:val="00750F98"/>
    <w:rsid w:val="00763ACA"/>
    <w:rsid w:val="007F05F1"/>
    <w:rsid w:val="007F4D4E"/>
    <w:rsid w:val="008051A7"/>
    <w:rsid w:val="00813D1A"/>
    <w:rsid w:val="00827C8E"/>
    <w:rsid w:val="00836D05"/>
    <w:rsid w:val="0085340A"/>
    <w:rsid w:val="0085390B"/>
    <w:rsid w:val="008625D8"/>
    <w:rsid w:val="00862A37"/>
    <w:rsid w:val="00873D4A"/>
    <w:rsid w:val="008A5756"/>
    <w:rsid w:val="00900F37"/>
    <w:rsid w:val="00924A5F"/>
    <w:rsid w:val="00936615"/>
    <w:rsid w:val="00945881"/>
    <w:rsid w:val="00962B7E"/>
    <w:rsid w:val="00970809"/>
    <w:rsid w:val="009822D8"/>
    <w:rsid w:val="00986863"/>
    <w:rsid w:val="00997854"/>
    <w:rsid w:val="009A1E9B"/>
    <w:rsid w:val="009A5790"/>
    <w:rsid w:val="009C112D"/>
    <w:rsid w:val="009C686B"/>
    <w:rsid w:val="009E7908"/>
    <w:rsid w:val="00A1295A"/>
    <w:rsid w:val="00A705DD"/>
    <w:rsid w:val="00AA4A5C"/>
    <w:rsid w:val="00AA7937"/>
    <w:rsid w:val="00AB21D9"/>
    <w:rsid w:val="00AD22E6"/>
    <w:rsid w:val="00AE41E6"/>
    <w:rsid w:val="00B26B59"/>
    <w:rsid w:val="00B27023"/>
    <w:rsid w:val="00B7246A"/>
    <w:rsid w:val="00BC385C"/>
    <w:rsid w:val="00BE432C"/>
    <w:rsid w:val="00BF646E"/>
    <w:rsid w:val="00BF7AF4"/>
    <w:rsid w:val="00C16363"/>
    <w:rsid w:val="00C2274A"/>
    <w:rsid w:val="00C23743"/>
    <w:rsid w:val="00C32176"/>
    <w:rsid w:val="00C37A0E"/>
    <w:rsid w:val="00C4606E"/>
    <w:rsid w:val="00C53C5C"/>
    <w:rsid w:val="00C568D6"/>
    <w:rsid w:val="00C70077"/>
    <w:rsid w:val="00C82B8A"/>
    <w:rsid w:val="00C870DE"/>
    <w:rsid w:val="00C8792D"/>
    <w:rsid w:val="00CB3E81"/>
    <w:rsid w:val="00CD6313"/>
    <w:rsid w:val="00CE39E0"/>
    <w:rsid w:val="00CE3DAF"/>
    <w:rsid w:val="00CF2968"/>
    <w:rsid w:val="00D11C11"/>
    <w:rsid w:val="00D11FDA"/>
    <w:rsid w:val="00D243B1"/>
    <w:rsid w:val="00D27E47"/>
    <w:rsid w:val="00D35B5E"/>
    <w:rsid w:val="00D43FDC"/>
    <w:rsid w:val="00D62A05"/>
    <w:rsid w:val="00D8079C"/>
    <w:rsid w:val="00D8348D"/>
    <w:rsid w:val="00D86197"/>
    <w:rsid w:val="00D90575"/>
    <w:rsid w:val="00D9601D"/>
    <w:rsid w:val="00DA637E"/>
    <w:rsid w:val="00DD25BB"/>
    <w:rsid w:val="00DE4A90"/>
    <w:rsid w:val="00DF35EA"/>
    <w:rsid w:val="00E0317B"/>
    <w:rsid w:val="00E10593"/>
    <w:rsid w:val="00E209A1"/>
    <w:rsid w:val="00E20D23"/>
    <w:rsid w:val="00E22526"/>
    <w:rsid w:val="00E23A9E"/>
    <w:rsid w:val="00E3537B"/>
    <w:rsid w:val="00E44607"/>
    <w:rsid w:val="00E5197B"/>
    <w:rsid w:val="00E52276"/>
    <w:rsid w:val="00E627CB"/>
    <w:rsid w:val="00E65D91"/>
    <w:rsid w:val="00E75C3E"/>
    <w:rsid w:val="00E843A7"/>
    <w:rsid w:val="00E91D0F"/>
    <w:rsid w:val="00E96E6C"/>
    <w:rsid w:val="00EB39D1"/>
    <w:rsid w:val="00EC354D"/>
    <w:rsid w:val="00EC5E7C"/>
    <w:rsid w:val="00ED79A9"/>
    <w:rsid w:val="00EE2B0F"/>
    <w:rsid w:val="00EF2FEE"/>
    <w:rsid w:val="00EF6D0A"/>
    <w:rsid w:val="00F1737F"/>
    <w:rsid w:val="00F17AD9"/>
    <w:rsid w:val="00F22366"/>
    <w:rsid w:val="00F30E97"/>
    <w:rsid w:val="00F5240E"/>
    <w:rsid w:val="00F64771"/>
    <w:rsid w:val="00F6492A"/>
    <w:rsid w:val="00F817C9"/>
    <w:rsid w:val="00FA4F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2">
    <w:name w:val="heading 2"/>
    <w:basedOn w:val="Normal"/>
    <w:next w:val="Normal"/>
    <w:link w:val="Ttulo2Car"/>
    <w:uiPriority w:val="9"/>
    <w:qFormat/>
    <w:rsid w:val="002E4B50"/>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44D8C"/>
    <w:pPr>
      <w:tabs>
        <w:tab w:val="center" w:pos="4680"/>
        <w:tab w:val="right" w:pos="9360"/>
      </w:tabs>
      <w:spacing w:after="0" w:line="240" w:lineRule="auto"/>
    </w:pPr>
    <w:rPr>
      <w:rFonts w:eastAsia="MS Mincho"/>
    </w:rPr>
  </w:style>
  <w:style w:type="character" w:customStyle="1" w:styleId="EncabezadoCar">
    <w:name w:val="Encabezado Car"/>
    <w:link w:val="Encabezado"/>
    <w:rsid w:val="00544D8C"/>
    <w:rPr>
      <w:rFonts w:eastAsia="MS Mincho"/>
      <w:sz w:val="22"/>
      <w:szCs w:val="22"/>
    </w:rPr>
  </w:style>
  <w:style w:type="paragraph" w:styleId="Piedepgina">
    <w:name w:val="footer"/>
    <w:basedOn w:val="Normal"/>
    <w:link w:val="PiedepginaCar"/>
    <w:unhideWhenUsed/>
    <w:rsid w:val="00544D8C"/>
    <w:pPr>
      <w:tabs>
        <w:tab w:val="center" w:pos="4680"/>
        <w:tab w:val="right" w:pos="9360"/>
      </w:tabs>
      <w:spacing w:after="0" w:line="240" w:lineRule="auto"/>
    </w:pPr>
    <w:rPr>
      <w:rFonts w:eastAsia="MS Mincho"/>
    </w:rPr>
  </w:style>
  <w:style w:type="character" w:customStyle="1" w:styleId="PiedepginaCar">
    <w:name w:val="Pie de página Car"/>
    <w:link w:val="Piedepgina"/>
    <w:rsid w:val="00544D8C"/>
    <w:rPr>
      <w:rFonts w:eastAsia="MS Mincho"/>
      <w:sz w:val="22"/>
      <w:szCs w:val="22"/>
    </w:rPr>
  </w:style>
  <w:style w:type="paragraph" w:styleId="NormalWeb">
    <w:name w:val="Normal (Web)"/>
    <w:basedOn w:val="Normal"/>
    <w:uiPriority w:val="99"/>
    <w:semiHidden/>
    <w:unhideWhenUsed/>
    <w:rsid w:val="00544D8C"/>
    <w:pPr>
      <w:spacing w:before="100" w:beforeAutospacing="1" w:after="100" w:afterAutospacing="1" w:line="240" w:lineRule="auto"/>
    </w:pPr>
    <w:rPr>
      <w:rFonts w:ascii="Times New Roman" w:hAnsi="Times New Roman"/>
      <w:sz w:val="24"/>
      <w:szCs w:val="24"/>
    </w:rPr>
  </w:style>
  <w:style w:type="character" w:styleId="Hipervnculo">
    <w:name w:val="Hyperlink"/>
    <w:uiPriority w:val="99"/>
    <w:unhideWhenUsed/>
    <w:rsid w:val="00544D8C"/>
    <w:rPr>
      <w:color w:val="0563C1"/>
      <w:u w:val="single"/>
    </w:rPr>
  </w:style>
  <w:style w:type="paragraph" w:styleId="Sangra3detindependiente">
    <w:name w:val="Body Text Indent 3"/>
    <w:basedOn w:val="Normal"/>
    <w:link w:val="Sangra3detindependienteCar"/>
    <w:uiPriority w:val="99"/>
    <w:semiHidden/>
    <w:unhideWhenUsed/>
    <w:rsid w:val="00862A37"/>
    <w:pPr>
      <w:spacing w:after="120" w:line="240" w:lineRule="auto"/>
      <w:ind w:left="360"/>
    </w:pPr>
    <w:rPr>
      <w:rFonts w:ascii="Times New Roman" w:eastAsia="MS Mincho" w:hAnsi="Times New Roman"/>
      <w:sz w:val="16"/>
      <w:szCs w:val="16"/>
    </w:rPr>
  </w:style>
  <w:style w:type="character" w:customStyle="1" w:styleId="Sangra3detindependienteCar">
    <w:name w:val="Sangría 3 de t. independiente Car"/>
    <w:link w:val="Sangra3detindependiente"/>
    <w:uiPriority w:val="99"/>
    <w:semiHidden/>
    <w:rsid w:val="00862A37"/>
    <w:rPr>
      <w:rFonts w:ascii="Times New Roman" w:eastAsia="MS Mincho" w:hAnsi="Times New Roman"/>
      <w:sz w:val="16"/>
      <w:szCs w:val="16"/>
    </w:rPr>
  </w:style>
  <w:style w:type="paragraph" w:styleId="Listavistosa-nfasis1">
    <w:name w:val="Colorful List Accent 1"/>
    <w:aliases w:val="Párrafo de lista1,List Paragraph1,List Paragraph11,List Paragraph2,Lista vistosa - Énfasis 11"/>
    <w:link w:val="Listavistosa-nfasis1Car"/>
    <w:qFormat/>
    <w:rsid w:val="004F349F"/>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Listavistosa-nfasis1Car">
    <w:name w:val="Lista vistosa - Énfasis 1 Car"/>
    <w:aliases w:val="Párrafo de lista1 Car,List Paragraph1 Car,List Paragraph11 Car,List Paragraph2 Car,Lista vistosa - Énfasis 11 Car"/>
    <w:link w:val="Listavistosa-nfasis1"/>
    <w:locked/>
    <w:rsid w:val="004F349F"/>
    <w:rPr>
      <w:rFonts w:ascii="Cambria" w:eastAsia="Cambria" w:hAnsi="Cambria" w:cs="Cambria"/>
      <w:color w:val="000000"/>
      <w:sz w:val="24"/>
      <w:szCs w:val="24"/>
      <w:u w:color="000000"/>
      <w:bdr w:val="nil"/>
      <w:lang w:eastAsia="es-ES"/>
    </w:rPr>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link w:val="TextonotapieCar1"/>
    <w:uiPriority w:val="99"/>
    <w:qFormat/>
    <w:rsid w:val="00BF7AF4"/>
    <w:pPr>
      <w:pBdr>
        <w:top w:val="nil"/>
        <w:left w:val="nil"/>
        <w:bottom w:val="nil"/>
        <w:right w:val="nil"/>
        <w:between w:val="nil"/>
        <w:bar w:val="nil"/>
      </w:pBdr>
    </w:pPr>
    <w:rPr>
      <w:rFonts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A Fu Car,Footnote reference Car,Footnote Text Char Char Char Car,FA Fußnotentext Car,FA Fuﬂnotentext Car,Texto nota pie Car Car,Footnote Text Cha Car"/>
    <w:link w:val="Textonotapie"/>
    <w:uiPriority w:val="99"/>
    <w:qFormat/>
    <w:rsid w:val="00BF7AF4"/>
    <w:rPr>
      <w:rFonts w:cs="Calibri"/>
      <w:color w:val="000000"/>
      <w:u w:color="000000"/>
      <w:bdr w:val="nil"/>
      <w:lang w:eastAsia="es-E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uiPriority w:val="99"/>
    <w:qFormat/>
    <w:rsid w:val="00BF7AF4"/>
    <w:rPr>
      <w:rFonts w:ascii="Verdana" w:hAnsi="Verdana"/>
      <w:sz w:val="22"/>
      <w:vertAlign w:val="superscript"/>
    </w:rPr>
  </w:style>
  <w:style w:type="paragraph" w:customStyle="1" w:styleId="Default">
    <w:name w:val="Default"/>
    <w:link w:val="DefaultChar"/>
    <w:rsid w:val="00BF7AF4"/>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DefaultChar">
    <w:name w:val="Default Char"/>
    <w:link w:val="Default"/>
    <w:rsid w:val="00BF7AF4"/>
    <w:rPr>
      <w:rFonts w:ascii="Times New Roman" w:eastAsia="Times New Roman" w:hAnsi="Times New Roman"/>
      <w:color w:val="000000"/>
      <w:sz w:val="24"/>
      <w:szCs w:val="24"/>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BF7AF4"/>
    <w:pPr>
      <w:spacing w:before="200" w:after="160" w:line="240" w:lineRule="exact"/>
    </w:pPr>
    <w:rPr>
      <w:rFonts w:ascii="Verdana" w:hAnsi="Verdana"/>
      <w:szCs w:val="20"/>
      <w:vertAlign w:val="superscript"/>
    </w:rPr>
  </w:style>
  <w:style w:type="character" w:customStyle="1" w:styleId="Ttulo2Car">
    <w:name w:val="Título 2 Car"/>
    <w:link w:val="Ttulo2"/>
    <w:uiPriority w:val="9"/>
    <w:rsid w:val="002E4B50"/>
    <w:rPr>
      <w:rFonts w:ascii="Cambria" w:eastAsia="Times New Roman" w:hAnsi="Cambria" w:cs="Times New Roman"/>
      <w:b/>
      <w:bCs/>
      <w:i/>
      <w:iCs/>
      <w:sz w:val="28"/>
      <w:szCs w:val="28"/>
    </w:rPr>
  </w:style>
  <w:style w:type="character" w:styleId="Refdecomentario">
    <w:name w:val="annotation reference"/>
    <w:uiPriority w:val="99"/>
    <w:semiHidden/>
    <w:unhideWhenUsed/>
    <w:rsid w:val="00AD22E6"/>
    <w:rPr>
      <w:sz w:val="18"/>
      <w:szCs w:val="18"/>
    </w:rPr>
  </w:style>
  <w:style w:type="paragraph" w:styleId="Textocomentario">
    <w:name w:val="annotation text"/>
    <w:basedOn w:val="Normal"/>
    <w:link w:val="TextocomentarioCar"/>
    <w:uiPriority w:val="99"/>
    <w:semiHidden/>
    <w:unhideWhenUsed/>
    <w:rsid w:val="00AD22E6"/>
    <w:rPr>
      <w:sz w:val="24"/>
      <w:szCs w:val="24"/>
    </w:rPr>
  </w:style>
  <w:style w:type="character" w:customStyle="1" w:styleId="TextocomentarioCar">
    <w:name w:val="Texto comentario Car"/>
    <w:link w:val="Textocomentario"/>
    <w:uiPriority w:val="99"/>
    <w:semiHidden/>
    <w:rsid w:val="00AD22E6"/>
    <w:rPr>
      <w:sz w:val="24"/>
      <w:szCs w:val="24"/>
    </w:rPr>
  </w:style>
  <w:style w:type="paragraph" w:styleId="Asuntodelcomentario">
    <w:name w:val="annotation subject"/>
    <w:basedOn w:val="Textocomentario"/>
    <w:next w:val="Textocomentario"/>
    <w:link w:val="AsuntodelcomentarioCar"/>
    <w:uiPriority w:val="99"/>
    <w:semiHidden/>
    <w:unhideWhenUsed/>
    <w:rsid w:val="00AD22E6"/>
    <w:rPr>
      <w:b/>
      <w:bCs/>
      <w:sz w:val="20"/>
      <w:szCs w:val="20"/>
    </w:rPr>
  </w:style>
  <w:style w:type="character" w:customStyle="1" w:styleId="AsuntodelcomentarioCar">
    <w:name w:val="Asunto del comentario Car"/>
    <w:link w:val="Asuntodelcomentario"/>
    <w:uiPriority w:val="99"/>
    <w:semiHidden/>
    <w:rsid w:val="00AD22E6"/>
    <w:rPr>
      <w:b/>
      <w:bCs/>
      <w:sz w:val="24"/>
      <w:szCs w:val="24"/>
    </w:rPr>
  </w:style>
  <w:style w:type="paragraph" w:styleId="Textodeglobo">
    <w:name w:val="Balloon Text"/>
    <w:basedOn w:val="Normal"/>
    <w:link w:val="TextodegloboCar"/>
    <w:uiPriority w:val="99"/>
    <w:semiHidden/>
    <w:unhideWhenUsed/>
    <w:rsid w:val="00AD22E6"/>
    <w:pPr>
      <w:spacing w:after="0" w:line="240" w:lineRule="auto"/>
    </w:pPr>
    <w:rPr>
      <w:rFonts w:ascii="Times New Roman" w:hAnsi="Times New Roman"/>
      <w:sz w:val="18"/>
      <w:szCs w:val="18"/>
    </w:rPr>
  </w:style>
  <w:style w:type="character" w:customStyle="1" w:styleId="TextodegloboCar">
    <w:name w:val="Texto de globo Car"/>
    <w:link w:val="Textodeglobo"/>
    <w:uiPriority w:val="99"/>
    <w:semiHidden/>
    <w:rsid w:val="00AD22E6"/>
    <w:rPr>
      <w:rFonts w:ascii="Times New Roman" w:hAnsi="Times New Roman"/>
      <w:sz w:val="18"/>
      <w:szCs w:val="18"/>
    </w:rPr>
  </w:style>
  <w:style w:type="character" w:styleId="Hipervnculovisitado">
    <w:name w:val="FollowedHyperlink"/>
    <w:uiPriority w:val="99"/>
    <w:semiHidden/>
    <w:unhideWhenUsed/>
    <w:rsid w:val="00002113"/>
    <w:rPr>
      <w:color w:val="954F72"/>
      <w:u w:val="single"/>
    </w:rPr>
  </w:style>
  <w:style w:type="paragraph" w:styleId="Textoindependiente3">
    <w:name w:val="Body Text 3"/>
    <w:basedOn w:val="Normal"/>
    <w:link w:val="Textoindependiente3Car"/>
    <w:uiPriority w:val="99"/>
    <w:semiHidden/>
    <w:unhideWhenUsed/>
    <w:rsid w:val="00351482"/>
    <w:pPr>
      <w:spacing w:after="120"/>
    </w:pPr>
    <w:rPr>
      <w:sz w:val="16"/>
      <w:szCs w:val="16"/>
    </w:rPr>
  </w:style>
  <w:style w:type="character" w:customStyle="1" w:styleId="Textoindependiente3Car">
    <w:name w:val="Texto independiente 3 Car"/>
    <w:link w:val="Textoindependiente3"/>
    <w:uiPriority w:val="99"/>
    <w:semiHidden/>
    <w:rsid w:val="0035148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62801-75F9-4A33-B5D4-18C8B8973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1688</Words>
  <Characters>9284</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2018-09-17T15:32:00Z</cp:lastPrinted>
  <dcterms:created xsi:type="dcterms:W3CDTF">2018-09-17T15:32:00Z</dcterms:created>
  <dcterms:modified xsi:type="dcterms:W3CDTF">2018-09-17T15:32:00Z</dcterms:modified>
</cp:coreProperties>
</file>