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FF13CA" w14:textId="07B6B286" w:rsidR="0096678D" w:rsidRPr="0096678D" w:rsidRDefault="0096678D" w:rsidP="00A84770">
      <w:pPr>
        <w:tabs>
          <w:tab w:val="left" w:pos="1440"/>
        </w:tabs>
        <w:jc w:val="center"/>
        <w:rPr>
          <w:rFonts w:ascii="Cambria" w:hAnsi="Cambria"/>
          <w:b/>
          <w:sz w:val="20"/>
          <w:szCs w:val="20"/>
          <w:lang w:val="pt-BR"/>
        </w:rPr>
      </w:pPr>
      <w:bookmarkStart w:id="0" w:name="_GoBack"/>
      <w:bookmarkEnd w:id="0"/>
      <w:r w:rsidRPr="0096678D">
        <w:rPr>
          <w:rFonts w:ascii="Cambria" w:hAnsi="Cambria"/>
          <w:b/>
          <w:sz w:val="20"/>
          <w:szCs w:val="20"/>
          <w:lang w:val="pt-BR"/>
        </w:rPr>
        <w:t>REPORT No. 130/17</w:t>
      </w:r>
    </w:p>
    <w:p w14:paraId="79CE74F8" w14:textId="77777777" w:rsidR="00A84770" w:rsidRPr="0096678D" w:rsidRDefault="00A84770" w:rsidP="00A84770">
      <w:pPr>
        <w:tabs>
          <w:tab w:val="left" w:pos="1440"/>
        </w:tabs>
        <w:jc w:val="center"/>
        <w:rPr>
          <w:rFonts w:ascii="Cambria" w:hAnsi="Cambria"/>
          <w:b/>
          <w:sz w:val="20"/>
          <w:szCs w:val="20"/>
          <w:lang w:val="pt-BR"/>
        </w:rPr>
      </w:pPr>
      <w:r w:rsidRPr="0096678D">
        <w:rPr>
          <w:rFonts w:ascii="Cambria" w:hAnsi="Cambria"/>
          <w:b/>
          <w:sz w:val="20"/>
          <w:szCs w:val="20"/>
          <w:lang w:val="pt-BR"/>
        </w:rPr>
        <w:t>CASE 13.044</w:t>
      </w:r>
    </w:p>
    <w:p w14:paraId="006A52F2" w14:textId="77777777" w:rsidR="00A84770" w:rsidRPr="00ED596C" w:rsidRDefault="00A84770" w:rsidP="00A84770">
      <w:pPr>
        <w:tabs>
          <w:tab w:val="left" w:pos="1440"/>
        </w:tabs>
        <w:jc w:val="center"/>
        <w:rPr>
          <w:rFonts w:ascii="Cambria" w:hAnsi="Cambria"/>
          <w:sz w:val="20"/>
          <w:szCs w:val="20"/>
          <w:lang w:val="pt-BR"/>
        </w:rPr>
      </w:pPr>
      <w:r w:rsidRPr="00ED596C">
        <w:rPr>
          <w:rFonts w:ascii="Cambria" w:hAnsi="Cambria"/>
          <w:sz w:val="20"/>
          <w:szCs w:val="20"/>
          <w:lang w:val="pt-BR"/>
        </w:rPr>
        <w:t>MERITS</w:t>
      </w:r>
    </w:p>
    <w:p w14:paraId="09FCC357" w14:textId="77777777" w:rsidR="00A84770" w:rsidRPr="00ED596C" w:rsidRDefault="00A84770" w:rsidP="00A84770">
      <w:pPr>
        <w:tabs>
          <w:tab w:val="left" w:pos="1440"/>
        </w:tabs>
        <w:jc w:val="center"/>
        <w:rPr>
          <w:rFonts w:ascii="Cambria" w:hAnsi="Cambria"/>
          <w:sz w:val="20"/>
          <w:szCs w:val="20"/>
          <w:lang w:val="pt-BR"/>
        </w:rPr>
      </w:pPr>
      <w:r w:rsidRPr="00ED596C">
        <w:rPr>
          <w:rFonts w:ascii="Cambria" w:hAnsi="Cambria"/>
          <w:sz w:val="20"/>
          <w:szCs w:val="20"/>
          <w:lang w:val="pt-BR"/>
        </w:rPr>
        <w:t>GUSTAVO FRANCISCO PETRO URREGO</w:t>
      </w:r>
    </w:p>
    <w:p w14:paraId="40DEA7A4" w14:textId="77777777" w:rsidR="00A84770" w:rsidRPr="00066D1B" w:rsidRDefault="00A84770" w:rsidP="00A84770">
      <w:pPr>
        <w:tabs>
          <w:tab w:val="left" w:pos="1440"/>
        </w:tabs>
        <w:jc w:val="center"/>
        <w:rPr>
          <w:rFonts w:ascii="Cambria" w:hAnsi="Cambria"/>
          <w:sz w:val="20"/>
          <w:szCs w:val="20"/>
          <w:lang w:val="es-ES"/>
        </w:rPr>
      </w:pPr>
      <w:r w:rsidRPr="00066D1B">
        <w:rPr>
          <w:rFonts w:ascii="Cambria" w:hAnsi="Cambria"/>
          <w:sz w:val="20"/>
          <w:szCs w:val="20"/>
          <w:lang w:val="es-ES"/>
        </w:rPr>
        <w:t>COLOMBIA</w:t>
      </w:r>
      <w:r w:rsidRPr="00B144FB">
        <w:rPr>
          <w:rStyle w:val="Refdenotaalpie"/>
          <w:rFonts w:asciiTheme="majorHAnsi" w:eastAsia="Times New Roman" w:hAnsiTheme="majorHAnsi"/>
          <w:sz w:val="18"/>
          <w:szCs w:val="18"/>
          <w:lang w:val="es-VE"/>
        </w:rPr>
        <w:footnoteReference w:id="1"/>
      </w:r>
    </w:p>
    <w:p w14:paraId="38D2050D" w14:textId="46AB16C6" w:rsidR="00A84770" w:rsidRPr="00066D1B" w:rsidRDefault="0096678D" w:rsidP="00A84770">
      <w:pPr>
        <w:tabs>
          <w:tab w:val="left" w:pos="1440"/>
        </w:tabs>
        <w:jc w:val="center"/>
        <w:rPr>
          <w:rFonts w:ascii="Cambria" w:hAnsi="Cambria"/>
          <w:sz w:val="20"/>
          <w:szCs w:val="20"/>
          <w:lang w:val="es-ES"/>
        </w:rPr>
      </w:pPr>
      <w:r>
        <w:rPr>
          <w:rFonts w:ascii="Cambria" w:hAnsi="Cambria"/>
          <w:sz w:val="20"/>
          <w:szCs w:val="20"/>
          <w:lang w:val="es-ES"/>
        </w:rPr>
        <w:t>OCTOBER 25,</w:t>
      </w:r>
      <w:r w:rsidR="00A84770" w:rsidRPr="00066D1B">
        <w:rPr>
          <w:rFonts w:ascii="Cambria" w:hAnsi="Cambria"/>
          <w:sz w:val="20"/>
          <w:szCs w:val="20"/>
          <w:lang w:val="es-ES"/>
        </w:rPr>
        <w:t xml:space="preserve"> 2017</w:t>
      </w:r>
    </w:p>
    <w:p w14:paraId="6C188402" w14:textId="77777777" w:rsidR="00A84770" w:rsidRPr="00066D1B" w:rsidRDefault="00A84770" w:rsidP="00A84770">
      <w:pPr>
        <w:tabs>
          <w:tab w:val="left" w:pos="1440"/>
        </w:tabs>
        <w:jc w:val="center"/>
        <w:rPr>
          <w:rFonts w:ascii="Cambria" w:hAnsi="Cambria"/>
          <w:sz w:val="20"/>
          <w:szCs w:val="20"/>
          <w:lang w:val="es-ES"/>
        </w:rPr>
      </w:pPr>
    </w:p>
    <w:p w14:paraId="038D3B17" w14:textId="77777777" w:rsidR="00A84770" w:rsidRPr="00066D1B" w:rsidRDefault="00A84770" w:rsidP="00A84770">
      <w:pPr>
        <w:pStyle w:val="Ttulo1"/>
        <w:keepLines/>
        <w:numPr>
          <w:ilvl w:val="0"/>
          <w:numId w:val="57"/>
        </w:numPr>
        <w:pBdr>
          <w:top w:val="nil"/>
          <w:left w:val="nil"/>
          <w:bottom w:val="nil"/>
          <w:right w:val="nil"/>
          <w:between w:val="nil"/>
          <w:bar w:val="nil"/>
        </w:pBdr>
        <w:rPr>
          <w:rFonts w:eastAsia="MS Gothic"/>
          <w:bCs/>
          <w:bdr w:val="nil"/>
          <w:lang w:val="es-VE"/>
        </w:rPr>
      </w:pPr>
      <w:bookmarkStart w:id="1" w:name="_Toc496666285"/>
      <w:r w:rsidRPr="00066D1B">
        <w:rPr>
          <w:rFonts w:eastAsia="MS Gothic"/>
          <w:bCs/>
          <w:bdr w:val="nil"/>
          <w:lang w:val="es-VE"/>
        </w:rPr>
        <w:t>SUMMARY</w:t>
      </w:r>
      <w:bookmarkEnd w:id="1"/>
    </w:p>
    <w:p w14:paraId="5C20864B" w14:textId="77777777" w:rsidR="00A84770" w:rsidRPr="00066D1B" w:rsidRDefault="00A84770" w:rsidP="00A84770">
      <w:pPr>
        <w:jc w:val="both"/>
        <w:rPr>
          <w:rFonts w:ascii="Cambria" w:hAnsi="Cambria" w:cs="Arial"/>
          <w:sz w:val="20"/>
          <w:szCs w:val="20"/>
          <w:lang w:val="es-ES"/>
        </w:rPr>
      </w:pPr>
    </w:p>
    <w:p w14:paraId="66CCDA23"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n-US"/>
        </w:rPr>
      </w:pPr>
      <w:r w:rsidRPr="00895087">
        <w:rPr>
          <w:rFonts w:ascii="Cambria" w:hAnsi="Cambria"/>
          <w:sz w:val="20"/>
          <w:szCs w:val="20"/>
          <w:lang w:val="en-US"/>
        </w:rPr>
        <w:t xml:space="preserve">On October 28, 2013, the Inter-American Commission on Human Rights (hereinafter “the Inter-American Commission”, “the Commission”, or “the IACHR”) received a petition filed by the </w:t>
      </w:r>
      <w:proofErr w:type="spellStart"/>
      <w:r w:rsidRPr="002F43AF">
        <w:rPr>
          <w:rFonts w:ascii="Cambria" w:hAnsi="Cambria"/>
          <w:i/>
          <w:sz w:val="20"/>
          <w:szCs w:val="20"/>
          <w:lang w:val="en-US"/>
        </w:rPr>
        <w:t>Colectivo</w:t>
      </w:r>
      <w:proofErr w:type="spellEnd"/>
      <w:r w:rsidRPr="002F43AF">
        <w:rPr>
          <w:rFonts w:ascii="Cambria" w:hAnsi="Cambria"/>
          <w:i/>
          <w:sz w:val="20"/>
          <w:szCs w:val="20"/>
          <w:lang w:val="en-US"/>
        </w:rPr>
        <w:t xml:space="preserve"> de </w:t>
      </w:r>
      <w:proofErr w:type="spellStart"/>
      <w:r w:rsidRPr="002F43AF">
        <w:rPr>
          <w:rFonts w:ascii="Cambria" w:hAnsi="Cambria"/>
          <w:i/>
          <w:sz w:val="20"/>
          <w:szCs w:val="20"/>
          <w:lang w:val="en-US"/>
        </w:rPr>
        <w:t>Abogados</w:t>
      </w:r>
      <w:proofErr w:type="spellEnd"/>
      <w:r w:rsidRPr="002F43AF">
        <w:rPr>
          <w:rFonts w:ascii="Cambria" w:hAnsi="Cambria"/>
          <w:i/>
          <w:sz w:val="20"/>
          <w:szCs w:val="20"/>
          <w:lang w:val="en-US"/>
        </w:rPr>
        <w:t xml:space="preserve"> José </w:t>
      </w:r>
      <w:proofErr w:type="spellStart"/>
      <w:r w:rsidRPr="002F43AF">
        <w:rPr>
          <w:rFonts w:ascii="Cambria" w:hAnsi="Cambria"/>
          <w:i/>
          <w:sz w:val="20"/>
          <w:szCs w:val="20"/>
          <w:lang w:val="en-US"/>
        </w:rPr>
        <w:t>Alvear</w:t>
      </w:r>
      <w:proofErr w:type="spellEnd"/>
      <w:r w:rsidRPr="002F43AF">
        <w:rPr>
          <w:rFonts w:ascii="Cambria" w:hAnsi="Cambria"/>
          <w:i/>
          <w:sz w:val="20"/>
          <w:szCs w:val="20"/>
          <w:lang w:val="en-US"/>
        </w:rPr>
        <w:t xml:space="preserve"> </w:t>
      </w:r>
      <w:proofErr w:type="spellStart"/>
      <w:r w:rsidRPr="002F43AF">
        <w:rPr>
          <w:rFonts w:ascii="Cambria" w:hAnsi="Cambria"/>
          <w:i/>
          <w:sz w:val="20"/>
          <w:szCs w:val="20"/>
          <w:lang w:val="en-US"/>
        </w:rPr>
        <w:t>Restrepo</w:t>
      </w:r>
      <w:proofErr w:type="spellEnd"/>
      <w:r w:rsidRPr="00895087">
        <w:rPr>
          <w:rFonts w:ascii="Cambria" w:hAnsi="Cambria"/>
          <w:sz w:val="20"/>
          <w:szCs w:val="20"/>
          <w:lang w:val="en-US"/>
        </w:rPr>
        <w:t xml:space="preserve"> –CCAJAR– (Lawyers Collective José </w:t>
      </w:r>
      <w:proofErr w:type="spellStart"/>
      <w:r w:rsidRPr="00895087">
        <w:rPr>
          <w:rFonts w:ascii="Cambria" w:hAnsi="Cambria"/>
          <w:sz w:val="20"/>
          <w:szCs w:val="20"/>
          <w:lang w:val="en-US"/>
        </w:rPr>
        <w:t>Alvear</w:t>
      </w:r>
      <w:proofErr w:type="spellEnd"/>
      <w:r w:rsidRPr="00895087">
        <w:rPr>
          <w:rFonts w:ascii="Cambria" w:hAnsi="Cambria"/>
          <w:sz w:val="20"/>
          <w:szCs w:val="20"/>
          <w:lang w:val="en-US"/>
        </w:rPr>
        <w:t xml:space="preserve"> </w:t>
      </w:r>
      <w:proofErr w:type="spellStart"/>
      <w:r w:rsidRPr="00895087">
        <w:rPr>
          <w:rFonts w:ascii="Cambria" w:hAnsi="Cambria"/>
          <w:sz w:val="20"/>
          <w:szCs w:val="20"/>
          <w:lang w:val="en-US"/>
        </w:rPr>
        <w:t>Restrepo</w:t>
      </w:r>
      <w:proofErr w:type="spellEnd"/>
      <w:r w:rsidRPr="00895087">
        <w:rPr>
          <w:rFonts w:ascii="Cambria" w:hAnsi="Cambria"/>
          <w:sz w:val="20"/>
          <w:szCs w:val="20"/>
          <w:lang w:val="en-US"/>
        </w:rPr>
        <w:t xml:space="preserve">) and the </w:t>
      </w:r>
      <w:proofErr w:type="spellStart"/>
      <w:r w:rsidRPr="002F43AF">
        <w:rPr>
          <w:rFonts w:ascii="Cambria" w:hAnsi="Cambria"/>
          <w:i/>
          <w:sz w:val="20"/>
          <w:szCs w:val="20"/>
          <w:lang w:val="en-US"/>
        </w:rPr>
        <w:t>Asociación</w:t>
      </w:r>
      <w:proofErr w:type="spellEnd"/>
      <w:r w:rsidRPr="002F43AF">
        <w:rPr>
          <w:rFonts w:ascii="Cambria" w:hAnsi="Cambria"/>
          <w:i/>
          <w:sz w:val="20"/>
          <w:szCs w:val="20"/>
          <w:lang w:val="en-US"/>
        </w:rPr>
        <w:t xml:space="preserve"> para la </w:t>
      </w:r>
      <w:proofErr w:type="spellStart"/>
      <w:r w:rsidRPr="002F43AF">
        <w:rPr>
          <w:rFonts w:ascii="Cambria" w:hAnsi="Cambria"/>
          <w:i/>
          <w:sz w:val="20"/>
          <w:szCs w:val="20"/>
          <w:lang w:val="en-US"/>
        </w:rPr>
        <w:t>Promoción</w:t>
      </w:r>
      <w:proofErr w:type="spellEnd"/>
      <w:r w:rsidRPr="002F43AF">
        <w:rPr>
          <w:rFonts w:ascii="Cambria" w:hAnsi="Cambria"/>
          <w:i/>
          <w:sz w:val="20"/>
          <w:szCs w:val="20"/>
          <w:lang w:val="en-US"/>
        </w:rPr>
        <w:t xml:space="preserve"> Social </w:t>
      </w:r>
      <w:proofErr w:type="spellStart"/>
      <w:r w:rsidRPr="002F43AF">
        <w:rPr>
          <w:rFonts w:ascii="Cambria" w:hAnsi="Cambria"/>
          <w:i/>
          <w:sz w:val="20"/>
          <w:szCs w:val="20"/>
          <w:lang w:val="en-US"/>
        </w:rPr>
        <w:t>Alternativa</w:t>
      </w:r>
      <w:proofErr w:type="spellEnd"/>
      <w:r w:rsidRPr="00895087">
        <w:rPr>
          <w:rFonts w:ascii="Cambria" w:hAnsi="Cambria"/>
          <w:sz w:val="20"/>
          <w:szCs w:val="20"/>
          <w:lang w:val="en-US"/>
        </w:rPr>
        <w:t xml:space="preserve"> –MINGA- (Association for the Alternative Social Promotio</w:t>
      </w:r>
      <w:r>
        <w:rPr>
          <w:rFonts w:ascii="Cambria" w:hAnsi="Cambria"/>
          <w:sz w:val="20"/>
          <w:szCs w:val="20"/>
          <w:lang w:val="en-US"/>
        </w:rPr>
        <w:t>n) (hereinafter “the petitioners</w:t>
      </w:r>
      <w:r w:rsidRPr="00895087">
        <w:rPr>
          <w:rFonts w:ascii="Cambria" w:hAnsi="Cambria"/>
          <w:sz w:val="20"/>
          <w:szCs w:val="20"/>
          <w:lang w:val="en-US"/>
        </w:rPr>
        <w:t xml:space="preserve">”) alleging the international responsibility of the Republic of Colombia (hereinafter “the State of Colombia”, “the State”, or “Colombia”) for alleged human rights violations to the detriment of Gustavo Francisco Petro </w:t>
      </w:r>
      <w:proofErr w:type="spellStart"/>
      <w:r w:rsidRPr="00895087">
        <w:rPr>
          <w:rFonts w:ascii="Cambria" w:hAnsi="Cambria"/>
          <w:sz w:val="20"/>
          <w:szCs w:val="20"/>
          <w:lang w:val="en-US"/>
        </w:rPr>
        <w:t>Urrego</w:t>
      </w:r>
      <w:proofErr w:type="spellEnd"/>
      <w:r w:rsidRPr="00895087">
        <w:rPr>
          <w:rFonts w:ascii="Cambria" w:hAnsi="Cambria"/>
          <w:sz w:val="20"/>
          <w:szCs w:val="20"/>
          <w:lang w:val="en-US"/>
        </w:rPr>
        <w:t xml:space="preserve">. </w:t>
      </w:r>
    </w:p>
    <w:p w14:paraId="5BD96A52"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n-US"/>
        </w:rPr>
      </w:pPr>
    </w:p>
    <w:p w14:paraId="3ED0C46D"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n-US"/>
        </w:rPr>
      </w:pPr>
      <w:r w:rsidRPr="00AD5A27">
        <w:rPr>
          <w:rFonts w:ascii="Cambria" w:hAnsi="Cambria"/>
          <w:sz w:val="20"/>
          <w:szCs w:val="20"/>
          <w:lang w:val="en-US"/>
        </w:rPr>
        <w:t xml:space="preserve">The petitioners stated that the alleged victim, while </w:t>
      </w:r>
      <w:r>
        <w:rPr>
          <w:rFonts w:ascii="Cambria" w:hAnsi="Cambria"/>
          <w:sz w:val="20"/>
          <w:szCs w:val="20"/>
          <w:lang w:val="en-US"/>
        </w:rPr>
        <w:t>in his position</w:t>
      </w:r>
      <w:r w:rsidRPr="00AD5A27">
        <w:rPr>
          <w:rFonts w:ascii="Cambria" w:hAnsi="Cambria"/>
          <w:sz w:val="20"/>
          <w:szCs w:val="20"/>
          <w:lang w:val="en-US"/>
        </w:rPr>
        <w:t xml:space="preserve"> as the Mayor of Bogota, was subjected</w:t>
      </w:r>
      <w:r>
        <w:rPr>
          <w:rFonts w:ascii="Cambria" w:hAnsi="Cambria"/>
          <w:sz w:val="20"/>
          <w:szCs w:val="20"/>
          <w:lang w:val="en-US"/>
        </w:rPr>
        <w:t xml:space="preserve"> to a series of sanctioning proceedings. In particular, they stated that, pursuant to two disciplinary </w:t>
      </w:r>
      <w:r w:rsidRPr="006E3609">
        <w:rPr>
          <w:rFonts w:ascii="Cambria" w:hAnsi="Cambria"/>
          <w:sz w:val="20"/>
          <w:szCs w:val="20"/>
          <w:lang w:val="en-US"/>
        </w:rPr>
        <w:t>proceedings</w:t>
      </w:r>
      <w:r>
        <w:rPr>
          <w:rFonts w:ascii="Cambria" w:hAnsi="Cambria"/>
          <w:sz w:val="20"/>
          <w:szCs w:val="20"/>
          <w:lang w:val="en-US"/>
        </w:rPr>
        <w:t xml:space="preserve"> initiated by the Inspector General of the Nation, he was disqualified from office, and that said proceedings were pursued in a discriminatory manner and in retaliation for his political ideology, all with the objective to remove him from his elected position. The petitioners stated that a series of violations of due process guarantees were committed in the disciplinary proceedings, and averred that the power of disqualification by means of a disciplinary action initiated by the Inspector General of the Nation contravenes the American Convention. Subsequently, the alleged victim reported that two additional sanctions had been imposed and that the criminal law had been modified to define running for elected office while disqualified due to a judicial, disciplinary or </w:t>
      </w:r>
      <w:r w:rsidRPr="00614D7E">
        <w:rPr>
          <w:rFonts w:ascii="Cambria" w:hAnsi="Cambria"/>
          <w:sz w:val="20"/>
          <w:szCs w:val="20"/>
          <w:lang w:val="en-US"/>
        </w:rPr>
        <w:t>fiscal decision</w:t>
      </w:r>
      <w:r>
        <w:rPr>
          <w:rFonts w:ascii="Cambria" w:hAnsi="Cambria"/>
          <w:sz w:val="20"/>
          <w:szCs w:val="20"/>
          <w:lang w:val="en-US"/>
        </w:rPr>
        <w:t xml:space="preserve"> as an </w:t>
      </w:r>
      <w:proofErr w:type="spellStart"/>
      <w:r>
        <w:rPr>
          <w:rFonts w:ascii="Cambria" w:hAnsi="Cambria"/>
          <w:sz w:val="20"/>
          <w:szCs w:val="20"/>
          <w:lang w:val="en-US"/>
        </w:rPr>
        <w:t>imprisonable</w:t>
      </w:r>
      <w:proofErr w:type="spellEnd"/>
      <w:r>
        <w:rPr>
          <w:rFonts w:ascii="Cambria" w:hAnsi="Cambria"/>
          <w:sz w:val="20"/>
          <w:szCs w:val="20"/>
          <w:lang w:val="en-US"/>
        </w:rPr>
        <w:t xml:space="preserve"> crime. </w:t>
      </w:r>
    </w:p>
    <w:p w14:paraId="6A0C4E01"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75197658"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n-US"/>
        </w:rPr>
      </w:pPr>
      <w:r>
        <w:rPr>
          <w:rFonts w:ascii="Cambria" w:hAnsi="Cambria"/>
          <w:sz w:val="20"/>
          <w:szCs w:val="20"/>
          <w:lang w:val="en-US"/>
        </w:rPr>
        <w:t xml:space="preserve">The State asserted that the officials are liable for violations of the law or exceeding their functions, and that the alleged victim was the subject of disciplinary proceedings due to a series of complaints filed against him. The State contended that the power of the Inspector General of the Nation to impose a disqualification sanction does not contravene the American Convention, and that the sanctions imposed on the alleged victim were the result of proceedings conducted with full respect for procedural guarantees that permit a full jurisdictional control. </w:t>
      </w:r>
    </w:p>
    <w:p w14:paraId="6CDE0314"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1C2912E0" w14:textId="77777777" w:rsidR="00A84770" w:rsidRPr="00A543F4"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n-US"/>
        </w:rPr>
      </w:pPr>
      <w:r>
        <w:rPr>
          <w:rFonts w:ascii="Cambria" w:hAnsi="Cambria"/>
          <w:sz w:val="20"/>
          <w:szCs w:val="20"/>
          <w:lang w:val="en-US"/>
        </w:rPr>
        <w:t xml:space="preserve">On March 18, 2014, the IACHR requested the adoption of precautionary measures in favor of Gustavo Francisco Petro </w:t>
      </w:r>
      <w:proofErr w:type="spellStart"/>
      <w:r>
        <w:rPr>
          <w:rFonts w:ascii="Cambria" w:hAnsi="Cambria"/>
          <w:sz w:val="20"/>
          <w:szCs w:val="20"/>
          <w:lang w:val="en-US"/>
        </w:rPr>
        <w:t>Urrego</w:t>
      </w:r>
      <w:proofErr w:type="spellEnd"/>
      <w:r>
        <w:rPr>
          <w:rFonts w:ascii="Cambria" w:hAnsi="Cambria"/>
          <w:sz w:val="20"/>
          <w:szCs w:val="20"/>
          <w:lang w:val="en-US"/>
        </w:rPr>
        <w:t>, then-Mayor of the city of Bogota D.C., Colombia, and requested that Colombia “</w:t>
      </w:r>
      <w:r w:rsidRPr="00A543F4">
        <w:rPr>
          <w:rFonts w:ascii="Cambria" w:hAnsi="Cambria"/>
          <w:sz w:val="20"/>
          <w:szCs w:val="20"/>
          <w:lang w:val="en-US"/>
        </w:rPr>
        <w:t>suspend immediately the effects of the decision</w:t>
      </w:r>
      <w:r>
        <w:rPr>
          <w:rFonts w:ascii="Cambria" w:hAnsi="Cambria"/>
          <w:sz w:val="20"/>
          <w:szCs w:val="20"/>
          <w:lang w:val="en-US"/>
        </w:rPr>
        <w:t xml:space="preserve"> </w:t>
      </w:r>
      <w:r w:rsidRPr="00A543F4">
        <w:rPr>
          <w:rFonts w:ascii="Cambria" w:hAnsi="Cambria"/>
          <w:sz w:val="20"/>
          <w:szCs w:val="20"/>
          <w:lang w:val="en-US"/>
        </w:rPr>
        <w:t xml:space="preserve">of December 9, 2013, issued and endorsed by the </w:t>
      </w:r>
      <w:r>
        <w:rPr>
          <w:rFonts w:ascii="Cambria" w:hAnsi="Cambria"/>
          <w:sz w:val="20"/>
          <w:szCs w:val="20"/>
          <w:lang w:val="en-US"/>
        </w:rPr>
        <w:t xml:space="preserve">Office of the </w:t>
      </w:r>
      <w:r w:rsidRPr="007721CC">
        <w:rPr>
          <w:rFonts w:ascii="Cambria" w:hAnsi="Cambria"/>
          <w:sz w:val="20"/>
          <w:szCs w:val="20"/>
          <w:lang w:val="en-US"/>
        </w:rPr>
        <w:t>Inspector General</w:t>
      </w:r>
      <w:r w:rsidRPr="00A543F4">
        <w:rPr>
          <w:rFonts w:ascii="Cambria" w:hAnsi="Cambria"/>
          <w:sz w:val="20"/>
          <w:szCs w:val="20"/>
          <w:lang w:val="en-US"/>
        </w:rPr>
        <w:t xml:space="preserve"> on January, 13,</w:t>
      </w:r>
      <w:r>
        <w:rPr>
          <w:rFonts w:ascii="Cambria" w:hAnsi="Cambria"/>
          <w:sz w:val="20"/>
          <w:szCs w:val="20"/>
          <w:lang w:val="en-US"/>
        </w:rPr>
        <w:t xml:space="preserve"> </w:t>
      </w:r>
      <w:r w:rsidRPr="00A543F4">
        <w:rPr>
          <w:rFonts w:ascii="Cambria" w:hAnsi="Cambria"/>
          <w:sz w:val="20"/>
          <w:szCs w:val="20"/>
          <w:lang w:val="en-US"/>
        </w:rPr>
        <w:t xml:space="preserve">2014, to ensure the exercise of the political rights of Mr. Gustavo Francisco Petro </w:t>
      </w:r>
      <w:proofErr w:type="spellStart"/>
      <w:r w:rsidRPr="00A543F4">
        <w:rPr>
          <w:rFonts w:ascii="Cambria" w:hAnsi="Cambria"/>
          <w:sz w:val="20"/>
          <w:szCs w:val="20"/>
          <w:lang w:val="en-US"/>
        </w:rPr>
        <w:t>Urrego</w:t>
      </w:r>
      <w:proofErr w:type="spellEnd"/>
      <w:r w:rsidRPr="00A543F4">
        <w:rPr>
          <w:rFonts w:ascii="Cambria" w:hAnsi="Cambria"/>
          <w:sz w:val="20"/>
          <w:szCs w:val="20"/>
          <w:lang w:val="en-US"/>
        </w:rPr>
        <w:t xml:space="preserve"> and</w:t>
      </w:r>
      <w:r>
        <w:rPr>
          <w:rFonts w:ascii="Cambria" w:hAnsi="Cambria"/>
          <w:sz w:val="20"/>
          <w:szCs w:val="20"/>
          <w:lang w:val="en-US"/>
        </w:rPr>
        <w:t xml:space="preserve"> </w:t>
      </w:r>
      <w:r w:rsidRPr="00A543F4">
        <w:rPr>
          <w:rFonts w:ascii="Cambria" w:hAnsi="Cambria"/>
          <w:sz w:val="20"/>
          <w:szCs w:val="20"/>
          <w:lang w:val="en-US"/>
        </w:rPr>
        <w:t>that he remains in office as Mayor of the city of Bogotá D.C. during the term for which he was</w:t>
      </w:r>
      <w:r>
        <w:rPr>
          <w:rFonts w:ascii="Cambria" w:hAnsi="Cambria"/>
          <w:sz w:val="20"/>
          <w:szCs w:val="20"/>
          <w:lang w:val="en-US"/>
        </w:rPr>
        <w:t xml:space="preserve"> </w:t>
      </w:r>
      <w:r w:rsidRPr="00A543F4">
        <w:rPr>
          <w:rFonts w:ascii="Cambria" w:hAnsi="Cambria"/>
          <w:sz w:val="20"/>
          <w:szCs w:val="20"/>
          <w:lang w:val="en-US"/>
        </w:rPr>
        <w:t>elected on October 30, 2011, until the Commission has made a decision on the individual</w:t>
      </w:r>
      <w:r>
        <w:rPr>
          <w:rFonts w:ascii="Cambria" w:hAnsi="Cambria"/>
          <w:sz w:val="20"/>
          <w:szCs w:val="20"/>
          <w:lang w:val="en-US"/>
        </w:rPr>
        <w:t xml:space="preserve"> </w:t>
      </w:r>
      <w:r w:rsidRPr="00A543F4">
        <w:rPr>
          <w:rFonts w:ascii="Cambria" w:hAnsi="Cambria"/>
          <w:sz w:val="20"/>
          <w:szCs w:val="20"/>
          <w:lang w:val="en-US"/>
        </w:rPr>
        <w:t>petition P-1742-13.</w:t>
      </w:r>
      <w:r>
        <w:rPr>
          <w:rFonts w:ascii="Cambria" w:hAnsi="Cambria"/>
          <w:sz w:val="20"/>
          <w:szCs w:val="20"/>
          <w:lang w:val="en-US"/>
        </w:rPr>
        <w:t xml:space="preserve">” Since then, both parties have provided up-to-date information to the IACHR on various occasions. </w:t>
      </w:r>
    </w:p>
    <w:p w14:paraId="6EC5D18C"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3604CE36"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n-US"/>
        </w:rPr>
      </w:pPr>
      <w:r>
        <w:rPr>
          <w:rFonts w:ascii="Cambria" w:hAnsi="Cambria"/>
          <w:sz w:val="20"/>
          <w:szCs w:val="20"/>
          <w:lang w:val="en-US"/>
        </w:rPr>
        <w:t xml:space="preserve">The Commission approved Admissibility Report No. 60/16 on December 6, 2016. On December 14, 2016, the Commission notified this report to the parties and offered its good offices with the objective of reaching a friendly settlement. While the petitioners expressed interest in a friendly settlement, the State did not comment. On March 9, 2017, the petitioners submitted additional observations on the merits. These observations were transmitted to the State of Colombia on April 21, 2017. As of this date, the State has not submitted any additional observations on the merits. All the information gathered was duly transferred to the parties. </w:t>
      </w:r>
    </w:p>
    <w:p w14:paraId="7167CC40"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36139CE6"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n-US"/>
        </w:rPr>
      </w:pPr>
      <w:r>
        <w:rPr>
          <w:rFonts w:ascii="Cambria" w:hAnsi="Cambria"/>
          <w:sz w:val="20"/>
          <w:szCs w:val="20"/>
          <w:lang w:val="en-US"/>
        </w:rPr>
        <w:lastRenderedPageBreak/>
        <w:t xml:space="preserve">Based on the analysis of fact and </w:t>
      </w:r>
      <w:r w:rsidRPr="00F15B9F">
        <w:rPr>
          <w:rFonts w:ascii="Cambria" w:hAnsi="Cambria"/>
          <w:sz w:val="20"/>
          <w:szCs w:val="20"/>
          <w:lang w:val="en-US"/>
        </w:rPr>
        <w:t>law</w:t>
      </w:r>
      <w:r>
        <w:rPr>
          <w:rFonts w:ascii="Cambria" w:hAnsi="Cambria"/>
          <w:sz w:val="20"/>
          <w:szCs w:val="20"/>
          <w:lang w:val="en-US"/>
        </w:rPr>
        <w:t xml:space="preserve">, the Inter-American Commission concludes that the State is responsible for the violation of Articles 8(1), 8(2)(h), 23(1), 23(2), and 25(1) of the American Convention in conjunction with the obligations set forth in Articles 1(1), and 2 of the same, to the detriment of Gustavo Francisco Petro </w:t>
      </w:r>
      <w:proofErr w:type="spellStart"/>
      <w:r>
        <w:rPr>
          <w:rFonts w:ascii="Cambria" w:hAnsi="Cambria"/>
          <w:sz w:val="20"/>
          <w:szCs w:val="20"/>
          <w:lang w:val="en-US"/>
        </w:rPr>
        <w:t>Urrego</w:t>
      </w:r>
      <w:proofErr w:type="spellEnd"/>
      <w:r>
        <w:rPr>
          <w:rFonts w:ascii="Cambria" w:hAnsi="Cambria"/>
          <w:sz w:val="20"/>
          <w:szCs w:val="20"/>
          <w:lang w:val="en-US"/>
        </w:rPr>
        <w:t xml:space="preserve">. The Commission also issues corresponding recommendations. </w:t>
      </w:r>
    </w:p>
    <w:p w14:paraId="297701E4"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5590559A" w14:textId="77777777" w:rsidR="00A84770" w:rsidRPr="00066D1B" w:rsidRDefault="00A84770" w:rsidP="00A84770">
      <w:pPr>
        <w:pStyle w:val="Ttulo1"/>
        <w:keepLines/>
        <w:numPr>
          <w:ilvl w:val="0"/>
          <w:numId w:val="57"/>
        </w:numPr>
        <w:pBdr>
          <w:top w:val="nil"/>
          <w:left w:val="nil"/>
          <w:bottom w:val="nil"/>
          <w:right w:val="nil"/>
          <w:between w:val="nil"/>
          <w:bar w:val="nil"/>
        </w:pBdr>
        <w:rPr>
          <w:rFonts w:eastAsia="MS Gothic"/>
          <w:bCs/>
          <w:bdr w:val="nil"/>
          <w:lang w:val="en-US"/>
        </w:rPr>
      </w:pPr>
      <w:bookmarkStart w:id="2" w:name="_Toc496666286"/>
      <w:r w:rsidRPr="00066D1B">
        <w:rPr>
          <w:rFonts w:eastAsia="MS Gothic"/>
          <w:bCs/>
          <w:bdr w:val="nil"/>
          <w:lang w:val="en-US"/>
        </w:rPr>
        <w:t>POSITIONS OF THE PARTIES ON THE MERITS</w:t>
      </w:r>
      <w:bookmarkEnd w:id="2"/>
    </w:p>
    <w:p w14:paraId="1D30E39E"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7798E2BC" w14:textId="77777777" w:rsidR="00A84770" w:rsidRPr="009B3BD2" w:rsidRDefault="00A84770" w:rsidP="00A84770">
      <w:pPr>
        <w:pStyle w:val="Ttulo2"/>
        <w:numPr>
          <w:ilvl w:val="0"/>
          <w:numId w:val="59"/>
        </w:numPr>
      </w:pPr>
      <w:bookmarkStart w:id="3" w:name="_Toc496666287"/>
      <w:proofErr w:type="spellStart"/>
      <w:r>
        <w:t>The</w:t>
      </w:r>
      <w:proofErr w:type="spellEnd"/>
      <w:r>
        <w:t xml:space="preserve"> </w:t>
      </w:r>
      <w:r w:rsidRPr="008953E8">
        <w:rPr>
          <w:lang w:val="en-US"/>
        </w:rPr>
        <w:t>petitioners</w:t>
      </w:r>
      <w:bookmarkEnd w:id="3"/>
    </w:p>
    <w:p w14:paraId="3F3F4B4C"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7A3865F7"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n-US"/>
        </w:rPr>
      </w:pPr>
      <w:r>
        <w:rPr>
          <w:rFonts w:ascii="Cambria" w:hAnsi="Cambria"/>
          <w:sz w:val="20"/>
          <w:szCs w:val="20"/>
          <w:lang w:val="en-US"/>
        </w:rPr>
        <w:t xml:space="preserve">The petitioners affirmed, by way of context, that Gustavo Petro has had a political career since 1981, holding various positions of popular representation. The petitioners stated that he presented himself as a candidate for the Office of the Mayor of the City of Bogota D.C., and that on October 30, 2011, he won the election. </w:t>
      </w:r>
    </w:p>
    <w:p w14:paraId="60ACC03F"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n-US"/>
        </w:rPr>
      </w:pPr>
    </w:p>
    <w:p w14:paraId="5E58131E"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n-US"/>
        </w:rPr>
      </w:pPr>
      <w:r>
        <w:rPr>
          <w:rFonts w:ascii="Cambria" w:hAnsi="Cambria"/>
          <w:sz w:val="20"/>
          <w:szCs w:val="20"/>
          <w:lang w:val="en-US"/>
        </w:rPr>
        <w:t xml:space="preserve">The petitioners mentioned that, by Order 275 of 2011, the Constitutional Court declared that the department of the Mayor’s Office of </w:t>
      </w:r>
      <w:r w:rsidRPr="00FA618D">
        <w:rPr>
          <w:rFonts w:ascii="Cambria" w:hAnsi="Cambria"/>
          <w:sz w:val="20"/>
          <w:szCs w:val="20"/>
          <w:lang w:val="en-US"/>
        </w:rPr>
        <w:t>Bogota</w:t>
      </w:r>
      <w:r>
        <w:rPr>
          <w:rFonts w:ascii="Cambria" w:hAnsi="Cambria"/>
          <w:sz w:val="20"/>
          <w:szCs w:val="20"/>
          <w:lang w:val="en-US"/>
        </w:rPr>
        <w:t xml:space="preserve"> – the Special Administrative Unit of Public Services (</w:t>
      </w:r>
      <w:proofErr w:type="spellStart"/>
      <w:r>
        <w:rPr>
          <w:rFonts w:ascii="Cambria" w:hAnsi="Cambria"/>
          <w:i/>
          <w:sz w:val="20"/>
          <w:szCs w:val="20"/>
          <w:lang w:val="en-US"/>
        </w:rPr>
        <w:t>Unidad</w:t>
      </w:r>
      <w:proofErr w:type="spellEnd"/>
      <w:r>
        <w:rPr>
          <w:rFonts w:ascii="Cambria" w:hAnsi="Cambria"/>
          <w:i/>
          <w:sz w:val="20"/>
          <w:szCs w:val="20"/>
          <w:lang w:val="en-US"/>
        </w:rPr>
        <w:t xml:space="preserve"> </w:t>
      </w:r>
      <w:proofErr w:type="spellStart"/>
      <w:r>
        <w:rPr>
          <w:rFonts w:ascii="Cambria" w:hAnsi="Cambria"/>
          <w:i/>
          <w:sz w:val="20"/>
          <w:szCs w:val="20"/>
          <w:lang w:val="en-US"/>
        </w:rPr>
        <w:t>Administrativa</w:t>
      </w:r>
      <w:proofErr w:type="spellEnd"/>
      <w:r>
        <w:rPr>
          <w:rFonts w:ascii="Cambria" w:hAnsi="Cambria"/>
          <w:i/>
          <w:sz w:val="20"/>
          <w:szCs w:val="20"/>
          <w:lang w:val="en-US"/>
        </w:rPr>
        <w:t xml:space="preserve"> Especial de </w:t>
      </w:r>
      <w:proofErr w:type="spellStart"/>
      <w:r>
        <w:rPr>
          <w:rFonts w:ascii="Cambria" w:hAnsi="Cambria"/>
          <w:i/>
          <w:sz w:val="20"/>
          <w:szCs w:val="20"/>
          <w:lang w:val="en-US"/>
        </w:rPr>
        <w:t>Servicios</w:t>
      </w:r>
      <w:proofErr w:type="spellEnd"/>
      <w:r>
        <w:rPr>
          <w:rFonts w:ascii="Cambria" w:hAnsi="Cambria"/>
          <w:i/>
          <w:sz w:val="20"/>
          <w:szCs w:val="20"/>
          <w:lang w:val="en-US"/>
        </w:rPr>
        <w:t xml:space="preserve"> </w:t>
      </w:r>
      <w:proofErr w:type="spellStart"/>
      <w:r>
        <w:rPr>
          <w:rFonts w:ascii="Cambria" w:hAnsi="Cambria"/>
          <w:i/>
          <w:sz w:val="20"/>
          <w:szCs w:val="20"/>
          <w:lang w:val="en-US"/>
        </w:rPr>
        <w:t>Públicos</w:t>
      </w:r>
      <w:proofErr w:type="spellEnd"/>
      <w:r>
        <w:rPr>
          <w:rFonts w:ascii="Cambria" w:hAnsi="Cambria"/>
          <w:i/>
          <w:sz w:val="20"/>
          <w:szCs w:val="20"/>
          <w:lang w:val="en-US"/>
        </w:rPr>
        <w:t xml:space="preserve"> –</w:t>
      </w:r>
      <w:r>
        <w:rPr>
          <w:rFonts w:ascii="Cambria" w:hAnsi="Cambria"/>
          <w:sz w:val="20"/>
          <w:szCs w:val="20"/>
          <w:lang w:val="en-US"/>
        </w:rPr>
        <w:t xml:space="preserve">UAESP) - failed to comply with the orders issued in judgment T-724 of 2003, and the general criteria set forth in Record 268 of 2010 related to the duty of UAESP to define a framework of short-term goals with the objective of formalizing and regulating the recycling population of Bogota. </w:t>
      </w:r>
    </w:p>
    <w:p w14:paraId="73E244C1"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4A749EAB"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n-US"/>
        </w:rPr>
      </w:pPr>
      <w:r>
        <w:rPr>
          <w:rFonts w:ascii="Cambria" w:hAnsi="Cambria"/>
          <w:sz w:val="20"/>
          <w:szCs w:val="20"/>
          <w:lang w:val="en-US"/>
        </w:rPr>
        <w:t xml:space="preserve">The petitioners stated that, with the objective of complying with the above-mentioned order, the </w:t>
      </w:r>
      <w:r w:rsidRPr="00E93DFD">
        <w:rPr>
          <w:rFonts w:ascii="Cambria" w:hAnsi="Cambria"/>
          <w:sz w:val="20"/>
          <w:szCs w:val="20"/>
          <w:lang w:val="en-US"/>
        </w:rPr>
        <w:t xml:space="preserve">Mayor’s Office </w:t>
      </w:r>
      <w:r>
        <w:rPr>
          <w:rFonts w:ascii="Cambria" w:hAnsi="Cambria"/>
          <w:sz w:val="20"/>
          <w:szCs w:val="20"/>
          <w:lang w:val="en-US"/>
        </w:rPr>
        <w:t>of Bogota created a public enterprise to take over the provision of sanitation services commencing on November 18, 2012, the date that the concession for this public service held by private operators expired. The petitioners argued that this change had the intent of including the recycling community in the provision of public sanitation services, from which it was historically excluded.</w:t>
      </w:r>
    </w:p>
    <w:p w14:paraId="76F7D804" w14:textId="77777777" w:rsidR="00A84770" w:rsidRPr="0080195A"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1D26FFC0"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n-US"/>
        </w:rPr>
      </w:pPr>
      <w:r>
        <w:rPr>
          <w:rFonts w:ascii="Cambria" w:hAnsi="Cambria"/>
          <w:sz w:val="20"/>
          <w:szCs w:val="20"/>
          <w:lang w:val="en-US"/>
        </w:rPr>
        <w:t xml:space="preserve">The petitioners averred that by mid-December 2012 there was a collapse in the collection of refuse which occurred during the transition between the public and private services. They stated that this occurred after the private operators refused to return trash-compacting vehicles and other equipment, despite being legally bound to do so by the concession contract. </w:t>
      </w:r>
    </w:p>
    <w:p w14:paraId="7C2E2A9C"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122595EA"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n-US"/>
        </w:rPr>
      </w:pPr>
      <w:r>
        <w:rPr>
          <w:rFonts w:ascii="Cambria" w:hAnsi="Cambria"/>
          <w:sz w:val="20"/>
          <w:szCs w:val="20"/>
          <w:lang w:val="en-US"/>
        </w:rPr>
        <w:t xml:space="preserve">The petitioners stated that, as a result of the above, criminal and disciplinary investigations were initiated against the alleged victim. In relation to the criminal proceedings, they stated that it became publicly known on November 21, 2014, that the Prosecutor’s Office intended to close the criminal investigation due to a lack of merit. </w:t>
      </w:r>
    </w:p>
    <w:p w14:paraId="46F4F392"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3E30FF68"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n-US"/>
        </w:rPr>
      </w:pPr>
      <w:r>
        <w:rPr>
          <w:rFonts w:ascii="Cambria" w:hAnsi="Cambria"/>
          <w:sz w:val="20"/>
          <w:szCs w:val="20"/>
          <w:lang w:val="en-US"/>
        </w:rPr>
        <w:t xml:space="preserve">With regard to the disciplinary proceeding, they stated that, on January 16, 2013, the Disciplinary Chamber of the Office of the Inspector General of the Nation issued a decision to open a disciplinary investigation against the alleged victim for three breaches of the </w:t>
      </w:r>
      <w:r w:rsidRPr="00A124EF">
        <w:rPr>
          <w:rFonts w:ascii="Cambria" w:hAnsi="Cambria"/>
          <w:sz w:val="20"/>
          <w:szCs w:val="20"/>
          <w:lang w:val="en-US"/>
        </w:rPr>
        <w:t>Single Disciplinary Code</w:t>
      </w:r>
      <w:r>
        <w:rPr>
          <w:rFonts w:ascii="Cambria" w:hAnsi="Cambria"/>
          <w:sz w:val="20"/>
          <w:szCs w:val="20"/>
          <w:lang w:val="en-US"/>
        </w:rPr>
        <w:t xml:space="preserve">. </w:t>
      </w:r>
    </w:p>
    <w:p w14:paraId="78C30AAD"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6D7D7D24"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n-US"/>
        </w:rPr>
      </w:pPr>
      <w:r>
        <w:rPr>
          <w:rFonts w:ascii="Cambria" w:hAnsi="Cambria"/>
          <w:sz w:val="20"/>
          <w:szCs w:val="20"/>
          <w:lang w:val="en-US"/>
        </w:rPr>
        <w:t xml:space="preserve">The petitioners communicated that, on December 9, 2013, the Office of the Inspector General declared that the alleged victim was responsible for serious contraventions of subsections 27, 31 and 60 of Article 48 of the </w:t>
      </w:r>
      <w:r w:rsidRPr="00A124EF">
        <w:rPr>
          <w:rFonts w:ascii="Cambria" w:hAnsi="Cambria"/>
          <w:sz w:val="20"/>
          <w:szCs w:val="20"/>
          <w:lang w:val="en-US"/>
        </w:rPr>
        <w:t>Single Disciplinary Code</w:t>
      </w:r>
      <w:r>
        <w:rPr>
          <w:rFonts w:ascii="Cambria" w:hAnsi="Cambria"/>
          <w:sz w:val="20"/>
          <w:szCs w:val="20"/>
          <w:lang w:val="en-US"/>
        </w:rPr>
        <w:t xml:space="preserve">, and imposed a sanction of dismissal and a general disqualification from office for a period of 15 years. </w:t>
      </w:r>
    </w:p>
    <w:p w14:paraId="0236B64F"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07FC9B4B"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n-US"/>
        </w:rPr>
      </w:pPr>
      <w:r>
        <w:rPr>
          <w:rFonts w:ascii="Cambria" w:hAnsi="Cambria"/>
          <w:sz w:val="20"/>
          <w:szCs w:val="20"/>
          <w:lang w:val="en-US"/>
        </w:rPr>
        <w:t xml:space="preserve">The petitioners indicated that the alleged victim filed a petition against the above decision seeking its reversal, which was rejected on January 13, 2014, and confirmed the original decision. </w:t>
      </w:r>
    </w:p>
    <w:p w14:paraId="00DE2E45"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66A1C301"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n-US"/>
        </w:rPr>
      </w:pPr>
      <w:r>
        <w:rPr>
          <w:rFonts w:ascii="Cambria" w:hAnsi="Cambria"/>
          <w:sz w:val="20"/>
          <w:szCs w:val="20"/>
          <w:lang w:val="en-US"/>
        </w:rPr>
        <w:t>The petitioners mentioned that on March 28, 2014, the alleged victim lodged a nullification</w:t>
      </w:r>
      <w:r w:rsidRPr="00F461A3">
        <w:rPr>
          <w:rFonts w:ascii="Cambria" w:hAnsi="Cambria"/>
          <w:sz w:val="20"/>
          <w:szCs w:val="20"/>
          <w:lang w:val="en-US"/>
        </w:rPr>
        <w:t xml:space="preserve"> and reversal petition </w:t>
      </w:r>
      <w:r>
        <w:rPr>
          <w:rFonts w:ascii="Cambria" w:hAnsi="Cambria"/>
          <w:sz w:val="20"/>
          <w:szCs w:val="20"/>
          <w:lang w:val="en-US"/>
        </w:rPr>
        <w:t xml:space="preserve">against the decisions of December 9, 2013, and January 13, 2014, and, on May 13, 2014, the </w:t>
      </w:r>
      <w:r w:rsidRPr="00F461A3">
        <w:rPr>
          <w:rFonts w:ascii="Cambria" w:hAnsi="Cambria"/>
          <w:sz w:val="20"/>
          <w:szCs w:val="20"/>
          <w:lang w:val="en-US"/>
        </w:rPr>
        <w:t>State Council</w:t>
      </w:r>
      <w:r>
        <w:rPr>
          <w:rFonts w:ascii="Cambria" w:hAnsi="Cambria"/>
          <w:sz w:val="20"/>
          <w:szCs w:val="20"/>
          <w:lang w:val="en-US"/>
        </w:rPr>
        <w:t xml:space="preserve"> provisionally suspended both decisions pending its review of the merits. </w:t>
      </w:r>
    </w:p>
    <w:p w14:paraId="66C2E5EA"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5DFB3DA3"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n-US"/>
        </w:rPr>
      </w:pPr>
      <w:r>
        <w:rPr>
          <w:rFonts w:ascii="Cambria" w:hAnsi="Cambria"/>
          <w:sz w:val="20"/>
          <w:szCs w:val="20"/>
          <w:lang w:val="en-US"/>
        </w:rPr>
        <w:t xml:space="preserve">The petitioners said that, on June 27, 2016, the Inspector General of the Nation issued a second sanction against the alleged victim, which consisted of a 12-month suspension and disqualification </w:t>
      </w:r>
      <w:r>
        <w:rPr>
          <w:rFonts w:ascii="Cambria" w:hAnsi="Cambria"/>
          <w:sz w:val="20"/>
          <w:szCs w:val="20"/>
          <w:lang w:val="en-US"/>
        </w:rPr>
        <w:lastRenderedPageBreak/>
        <w:t xml:space="preserve">from office based on alleged irregularities committed during the issuance of the Decree of the </w:t>
      </w:r>
      <w:r w:rsidRPr="003E754D">
        <w:rPr>
          <w:rFonts w:ascii="Cambria" w:hAnsi="Cambria"/>
          <w:sz w:val="20"/>
          <w:szCs w:val="20"/>
          <w:lang w:val="en-US"/>
        </w:rPr>
        <w:t>Guidelines of Territorial Planning</w:t>
      </w:r>
      <w:r>
        <w:rPr>
          <w:rFonts w:ascii="Cambria" w:hAnsi="Cambria"/>
          <w:sz w:val="20"/>
          <w:szCs w:val="20"/>
          <w:lang w:val="en-US"/>
        </w:rPr>
        <w:t xml:space="preserve">. They stated that, according to the Office of the Inspector, the alleged victim used an inadequate procedure to approve said plan and disregarded the applicable rules, which confer power on the municipal and district councils to regulate land use. </w:t>
      </w:r>
    </w:p>
    <w:p w14:paraId="0A788B2E"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4D802BF1"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n-US"/>
        </w:rPr>
      </w:pPr>
      <w:r>
        <w:rPr>
          <w:rFonts w:ascii="Cambria" w:hAnsi="Cambria"/>
          <w:sz w:val="20"/>
          <w:szCs w:val="20"/>
          <w:lang w:val="en-US"/>
        </w:rPr>
        <w:t xml:space="preserve">Moreover, they stated that the Director of Fiscal Responsibility and </w:t>
      </w:r>
      <w:r w:rsidRPr="001A579F">
        <w:rPr>
          <w:rFonts w:ascii="Cambria" w:hAnsi="Cambria"/>
          <w:sz w:val="20"/>
          <w:szCs w:val="20"/>
          <w:lang w:val="en-US"/>
        </w:rPr>
        <w:t>Coactive</w:t>
      </w:r>
      <w:r>
        <w:rPr>
          <w:rFonts w:ascii="Cambria" w:hAnsi="Cambria"/>
          <w:sz w:val="20"/>
          <w:szCs w:val="20"/>
          <w:lang w:val="en-US"/>
        </w:rPr>
        <w:t xml:space="preserve"> Jurisdiction of the Comptroller’s Office of Bogota D.C. (</w:t>
      </w:r>
      <w:proofErr w:type="spellStart"/>
      <w:r>
        <w:rPr>
          <w:rFonts w:ascii="Cambria" w:hAnsi="Cambria"/>
          <w:i/>
          <w:sz w:val="20"/>
          <w:szCs w:val="20"/>
          <w:lang w:val="en-US"/>
        </w:rPr>
        <w:t>Directora</w:t>
      </w:r>
      <w:proofErr w:type="spellEnd"/>
      <w:r>
        <w:rPr>
          <w:rFonts w:ascii="Cambria" w:hAnsi="Cambria"/>
          <w:i/>
          <w:sz w:val="20"/>
          <w:szCs w:val="20"/>
          <w:lang w:val="en-US"/>
        </w:rPr>
        <w:t xml:space="preserve"> de </w:t>
      </w:r>
      <w:proofErr w:type="spellStart"/>
      <w:r>
        <w:rPr>
          <w:rFonts w:ascii="Cambria" w:hAnsi="Cambria"/>
          <w:i/>
          <w:sz w:val="20"/>
          <w:szCs w:val="20"/>
          <w:lang w:val="en-US"/>
        </w:rPr>
        <w:t>Responsabilidad</w:t>
      </w:r>
      <w:proofErr w:type="spellEnd"/>
      <w:r>
        <w:rPr>
          <w:rFonts w:ascii="Cambria" w:hAnsi="Cambria"/>
          <w:i/>
          <w:sz w:val="20"/>
          <w:szCs w:val="20"/>
          <w:lang w:val="en-US"/>
        </w:rPr>
        <w:t xml:space="preserve"> Fiscal y </w:t>
      </w:r>
      <w:proofErr w:type="spellStart"/>
      <w:r>
        <w:rPr>
          <w:rFonts w:ascii="Cambria" w:hAnsi="Cambria"/>
          <w:i/>
          <w:sz w:val="20"/>
          <w:szCs w:val="20"/>
          <w:lang w:val="en-US"/>
        </w:rPr>
        <w:t>Jurisdicción</w:t>
      </w:r>
      <w:proofErr w:type="spellEnd"/>
      <w:r>
        <w:rPr>
          <w:rFonts w:ascii="Cambria" w:hAnsi="Cambria"/>
          <w:i/>
          <w:sz w:val="20"/>
          <w:szCs w:val="20"/>
          <w:lang w:val="en-US"/>
        </w:rPr>
        <w:t xml:space="preserve"> </w:t>
      </w:r>
      <w:proofErr w:type="spellStart"/>
      <w:r>
        <w:rPr>
          <w:rFonts w:ascii="Cambria" w:hAnsi="Cambria"/>
          <w:i/>
          <w:sz w:val="20"/>
          <w:szCs w:val="20"/>
          <w:lang w:val="en-US"/>
        </w:rPr>
        <w:t>Coactiva</w:t>
      </w:r>
      <w:proofErr w:type="spellEnd"/>
      <w:r>
        <w:rPr>
          <w:rFonts w:ascii="Cambria" w:hAnsi="Cambria"/>
          <w:i/>
          <w:sz w:val="20"/>
          <w:szCs w:val="20"/>
          <w:lang w:val="en-US"/>
        </w:rPr>
        <w:t xml:space="preserve"> de la </w:t>
      </w:r>
      <w:proofErr w:type="spellStart"/>
      <w:r>
        <w:rPr>
          <w:rFonts w:ascii="Cambria" w:hAnsi="Cambria"/>
          <w:i/>
          <w:sz w:val="20"/>
          <w:szCs w:val="20"/>
          <w:lang w:val="en-US"/>
        </w:rPr>
        <w:t>Contraloría</w:t>
      </w:r>
      <w:proofErr w:type="spellEnd"/>
      <w:r>
        <w:rPr>
          <w:rFonts w:ascii="Cambria" w:hAnsi="Cambria"/>
          <w:i/>
          <w:sz w:val="20"/>
          <w:szCs w:val="20"/>
          <w:lang w:val="en-US"/>
        </w:rPr>
        <w:t xml:space="preserve"> de Bogotá D.C.</w:t>
      </w:r>
      <w:r w:rsidRPr="001A579F">
        <w:rPr>
          <w:rFonts w:ascii="Cambria" w:hAnsi="Cambria"/>
          <w:sz w:val="20"/>
          <w:szCs w:val="20"/>
          <w:lang w:val="en-US"/>
        </w:rPr>
        <w:t>)</w:t>
      </w:r>
      <w:r>
        <w:rPr>
          <w:rFonts w:ascii="Cambria" w:hAnsi="Cambria"/>
          <w:sz w:val="20"/>
          <w:szCs w:val="20"/>
          <w:lang w:val="en-US"/>
        </w:rPr>
        <w:t xml:space="preserve">, issued Resolution 01 on June 27, 2016, which contained a determination of fiscal responsibility against the alleged victim and other persons “for the tariffs of the </w:t>
      </w:r>
      <w:proofErr w:type="spellStart"/>
      <w:r>
        <w:rPr>
          <w:rFonts w:ascii="Cambria" w:hAnsi="Cambria"/>
          <w:sz w:val="20"/>
          <w:szCs w:val="20"/>
          <w:lang w:val="en-US"/>
        </w:rPr>
        <w:t>Transmilenio</w:t>
      </w:r>
      <w:proofErr w:type="spellEnd"/>
      <w:r>
        <w:rPr>
          <w:rFonts w:ascii="Cambria" w:hAnsi="Cambria"/>
          <w:sz w:val="20"/>
          <w:szCs w:val="20"/>
          <w:lang w:val="en-US"/>
        </w:rPr>
        <w:t xml:space="preserve"> S.A. public service,” and imposed a fine of $217,204,857,989 (USD </w:t>
      </w:r>
      <w:r w:rsidRPr="0080444C">
        <w:rPr>
          <w:rFonts w:ascii="Cambria" w:hAnsi="Cambria"/>
          <w:sz w:val="20"/>
          <w:szCs w:val="20"/>
          <w:lang w:val="en-US"/>
        </w:rPr>
        <w:t>71,677,603</w:t>
      </w:r>
      <w:r>
        <w:rPr>
          <w:rFonts w:ascii="Cambria" w:hAnsi="Cambria"/>
          <w:sz w:val="20"/>
          <w:szCs w:val="20"/>
          <w:lang w:val="en-US"/>
        </w:rPr>
        <w:t xml:space="preserve">). They stated that this fine was the result of the reduction in the tariff of </w:t>
      </w:r>
      <w:proofErr w:type="spellStart"/>
      <w:r w:rsidRPr="0084048B">
        <w:rPr>
          <w:rFonts w:ascii="Cambria" w:hAnsi="Cambria"/>
          <w:i/>
          <w:sz w:val="20"/>
          <w:szCs w:val="20"/>
          <w:lang w:val="en-US"/>
        </w:rPr>
        <w:t>Transmilenio</w:t>
      </w:r>
      <w:proofErr w:type="spellEnd"/>
      <w:r>
        <w:rPr>
          <w:rFonts w:ascii="Cambria" w:hAnsi="Cambria"/>
          <w:sz w:val="20"/>
          <w:szCs w:val="20"/>
          <w:lang w:val="en-US"/>
        </w:rPr>
        <w:t xml:space="preserve">. </w:t>
      </w:r>
    </w:p>
    <w:p w14:paraId="49229A49"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4F85C546"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n-US"/>
        </w:rPr>
      </w:pPr>
      <w:r>
        <w:rPr>
          <w:rFonts w:ascii="Cambria" w:hAnsi="Cambria"/>
          <w:sz w:val="20"/>
          <w:szCs w:val="20"/>
          <w:lang w:val="en-US"/>
        </w:rPr>
        <w:t xml:space="preserve">The petitioners stated that on July 15 and 16, 2016, nullification requests were made against the above decision. These requests were denied on July 25, 2016. They also noted that a new nullification request was made on July 27, 2016 and that it was denied on August 3, 2016. </w:t>
      </w:r>
    </w:p>
    <w:p w14:paraId="59EDF7B4"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1944961A"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n-US"/>
        </w:rPr>
      </w:pPr>
      <w:r>
        <w:rPr>
          <w:rFonts w:ascii="Cambria" w:hAnsi="Cambria"/>
          <w:sz w:val="20"/>
          <w:szCs w:val="20"/>
          <w:lang w:val="en-US"/>
        </w:rPr>
        <w:t xml:space="preserve">They stated that, later, the alleged victim lodged reversal petitions, which were denied on October 27, 2016. Likewise, he filed appeals, also denied on November 29, 2016. </w:t>
      </w:r>
    </w:p>
    <w:p w14:paraId="773F1186"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499036B8"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n-US"/>
        </w:rPr>
      </w:pPr>
      <w:r>
        <w:rPr>
          <w:rFonts w:ascii="Cambria" w:hAnsi="Cambria"/>
          <w:sz w:val="20"/>
          <w:szCs w:val="20"/>
          <w:lang w:val="en-US"/>
        </w:rPr>
        <w:t xml:space="preserve">The petitioners stated that the sanctions imposed on the alleged victim would prevent him from running for office as President of the Republic in the upcoming election on May 27, 2018, despite having a lot of public support according to polls. </w:t>
      </w:r>
    </w:p>
    <w:p w14:paraId="3C900031"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7B643F59"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n-US"/>
        </w:rPr>
      </w:pPr>
      <w:r>
        <w:rPr>
          <w:rFonts w:ascii="Cambria" w:hAnsi="Cambria"/>
          <w:sz w:val="20"/>
          <w:szCs w:val="20"/>
          <w:lang w:val="en-US"/>
        </w:rPr>
        <w:t>The details of the facts and proceedings shall be referred to in the Commission’s factual analysis, based on the information provided by both parties. This section contains a summary of the main legal arguments made by the petitioners during the merits stage.</w:t>
      </w:r>
    </w:p>
    <w:p w14:paraId="4FDF3A95"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41D74CB5"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n-US"/>
        </w:rPr>
      </w:pPr>
      <w:r>
        <w:rPr>
          <w:rFonts w:ascii="Cambria" w:hAnsi="Cambria"/>
          <w:sz w:val="20"/>
          <w:szCs w:val="20"/>
          <w:lang w:val="en-US"/>
        </w:rPr>
        <w:t xml:space="preserve">The petitioners argued that the State violated the </w:t>
      </w:r>
      <w:r w:rsidRPr="00611B71">
        <w:rPr>
          <w:rFonts w:ascii="Cambria" w:hAnsi="Cambria"/>
          <w:b/>
          <w:sz w:val="20"/>
          <w:szCs w:val="20"/>
          <w:lang w:val="en-US"/>
        </w:rPr>
        <w:t>political rights</w:t>
      </w:r>
      <w:r>
        <w:rPr>
          <w:rFonts w:ascii="Cambria" w:hAnsi="Cambria"/>
          <w:sz w:val="20"/>
          <w:szCs w:val="20"/>
          <w:lang w:val="en-US"/>
        </w:rPr>
        <w:t xml:space="preserve"> in relation to the </w:t>
      </w:r>
      <w:r>
        <w:rPr>
          <w:rFonts w:ascii="Cambria" w:hAnsi="Cambria"/>
          <w:b/>
          <w:sz w:val="20"/>
          <w:szCs w:val="20"/>
          <w:lang w:val="en-US"/>
        </w:rPr>
        <w:t>obligation of domestic legal effect</w:t>
      </w:r>
      <w:r>
        <w:rPr>
          <w:rFonts w:ascii="Cambria" w:hAnsi="Cambria"/>
          <w:sz w:val="20"/>
          <w:szCs w:val="20"/>
          <w:lang w:val="en-US"/>
        </w:rPr>
        <w:t xml:space="preserve"> because Article 227(6) of the Constitution recognizes the power of the Inspector General to discipline public officials and provides for “removal from office.” They added that, likewise, Article 44 of the </w:t>
      </w:r>
      <w:r w:rsidRPr="00A124EF">
        <w:rPr>
          <w:rFonts w:ascii="Cambria" w:hAnsi="Cambria"/>
          <w:sz w:val="20"/>
          <w:szCs w:val="20"/>
          <w:lang w:val="en-US"/>
        </w:rPr>
        <w:t>Single Disciplinary Code</w:t>
      </w:r>
      <w:r>
        <w:rPr>
          <w:rFonts w:ascii="Cambria" w:hAnsi="Cambria"/>
          <w:sz w:val="20"/>
          <w:szCs w:val="20"/>
          <w:lang w:val="en-US"/>
        </w:rPr>
        <w:t xml:space="preserve"> considers disqualification from office as a disciplinary sanction. They maintained that inter-American standards require that a restriction on political rights determined by a competent judge and by means of a criminal proceeding. </w:t>
      </w:r>
    </w:p>
    <w:p w14:paraId="7BA688C7"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3EDA3001"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n-US"/>
        </w:rPr>
      </w:pPr>
      <w:r>
        <w:rPr>
          <w:rFonts w:ascii="Cambria" w:hAnsi="Cambria"/>
          <w:sz w:val="20"/>
          <w:szCs w:val="20"/>
          <w:lang w:val="en-US"/>
        </w:rPr>
        <w:t xml:space="preserve">The petitioners added that the sanctions imposed on the alleged victim would result in his “political death.” In relation to his disqualification, which is currently suspended, they stated that if it is implemented, considering his age, the alleged victim would never be able to be elected to public office. Concerning the fiscal sanction, the petitioners stated that the amount is unpayable and places the alleged victim on a debtors list, which prevents him from taking any public position. They argued that recently a criminal law amendment was approved which considers as a crime the act of being elected for a position whilst being disqualified by judicial, disciplinary, or fiscal decision. They highlighted that this would prevent participation in the presidential elections of May 27, 2018. </w:t>
      </w:r>
    </w:p>
    <w:p w14:paraId="53707DFD"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1D9E34C5"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n-US"/>
        </w:rPr>
      </w:pPr>
      <w:r>
        <w:rPr>
          <w:rFonts w:ascii="Cambria" w:hAnsi="Cambria"/>
          <w:sz w:val="20"/>
          <w:szCs w:val="20"/>
          <w:lang w:val="en-US"/>
        </w:rPr>
        <w:t xml:space="preserve">Likewise, they argued a violation of the </w:t>
      </w:r>
      <w:r w:rsidRPr="00A35E61">
        <w:rPr>
          <w:rFonts w:ascii="Cambria" w:hAnsi="Cambria"/>
          <w:b/>
          <w:sz w:val="20"/>
          <w:szCs w:val="20"/>
          <w:lang w:val="en-US"/>
        </w:rPr>
        <w:t>right to</w:t>
      </w:r>
      <w:r>
        <w:rPr>
          <w:rFonts w:ascii="Cambria" w:hAnsi="Cambria"/>
          <w:b/>
          <w:sz w:val="20"/>
          <w:szCs w:val="20"/>
          <w:lang w:val="en-US"/>
        </w:rPr>
        <w:t xml:space="preserve"> equal protection, </w:t>
      </w:r>
      <w:r>
        <w:rPr>
          <w:rFonts w:ascii="Cambria" w:hAnsi="Cambria"/>
          <w:sz w:val="20"/>
          <w:szCs w:val="20"/>
          <w:lang w:val="en-US"/>
        </w:rPr>
        <w:t>considering that the disciplinary proceeding against the alleged victim by the Inspector General of the Nation “has been the result of a discriminatory action for political views alternative to the dominant ones.” They stated that the conduct of the then-Inspector was biased against public officials who held different political views, and, on the other hand, that he was lenient towards officials with “</w:t>
      </w:r>
      <w:proofErr w:type="spellStart"/>
      <w:r>
        <w:rPr>
          <w:rFonts w:ascii="Cambria" w:hAnsi="Cambria"/>
          <w:sz w:val="20"/>
          <w:szCs w:val="20"/>
          <w:lang w:val="en-US"/>
        </w:rPr>
        <w:t>parapolitical</w:t>
      </w:r>
      <w:proofErr w:type="spellEnd"/>
      <w:r>
        <w:rPr>
          <w:rFonts w:ascii="Cambria" w:hAnsi="Cambria"/>
          <w:sz w:val="20"/>
          <w:szCs w:val="20"/>
          <w:lang w:val="en-US"/>
        </w:rPr>
        <w:t xml:space="preserve">” links. They stated that the religious and political views of the Inspector General affected the impartiality of his actions in the disciplinary proceedings. </w:t>
      </w:r>
    </w:p>
    <w:p w14:paraId="595B2595"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18BDB1ED"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n-US"/>
        </w:rPr>
      </w:pPr>
      <w:r>
        <w:rPr>
          <w:rFonts w:ascii="Cambria" w:hAnsi="Cambria"/>
          <w:sz w:val="20"/>
          <w:szCs w:val="20"/>
          <w:lang w:val="en-US"/>
        </w:rPr>
        <w:t xml:space="preserve">They asserted that the State had violated the </w:t>
      </w:r>
      <w:r w:rsidRPr="001D305C">
        <w:rPr>
          <w:rFonts w:ascii="Cambria" w:hAnsi="Cambria"/>
          <w:b/>
          <w:sz w:val="20"/>
          <w:szCs w:val="20"/>
          <w:lang w:val="en-US"/>
        </w:rPr>
        <w:t>right to a fair trial</w:t>
      </w:r>
      <w:r>
        <w:rPr>
          <w:rFonts w:ascii="Cambria" w:hAnsi="Cambria"/>
          <w:sz w:val="20"/>
          <w:szCs w:val="20"/>
          <w:lang w:val="en-US"/>
        </w:rPr>
        <w:t xml:space="preserve"> </w:t>
      </w:r>
      <w:r>
        <w:rPr>
          <w:rFonts w:ascii="Cambria" w:hAnsi="Cambria"/>
          <w:b/>
          <w:sz w:val="20"/>
          <w:szCs w:val="20"/>
          <w:lang w:val="en-US"/>
        </w:rPr>
        <w:t>and judicial protection</w:t>
      </w:r>
      <w:r>
        <w:rPr>
          <w:rFonts w:ascii="Cambria" w:hAnsi="Cambria"/>
          <w:sz w:val="20"/>
          <w:szCs w:val="20"/>
          <w:lang w:val="en-US"/>
        </w:rPr>
        <w:t xml:space="preserve"> in conjunction with the duty to respect rights and equal protection, because the process brought against Mr. Petro by the Office of the Inspector General failed to comply with the international obligations of the State. </w:t>
      </w:r>
    </w:p>
    <w:p w14:paraId="405FA10C"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2FB21BEF"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n-US"/>
        </w:rPr>
      </w:pPr>
      <w:r>
        <w:rPr>
          <w:rFonts w:ascii="Cambria" w:hAnsi="Cambria"/>
          <w:sz w:val="20"/>
          <w:szCs w:val="20"/>
          <w:lang w:val="en-US"/>
        </w:rPr>
        <w:lastRenderedPageBreak/>
        <w:t>The petitioners added that the disciplinary proceeding against the alleged victim lacked adequate guarantees for impartiality, the presumption of innocence, right to counsel, evidence</w:t>
      </w:r>
      <w:r w:rsidRPr="0049070A">
        <w:rPr>
          <w:rFonts w:ascii="Cambria" w:hAnsi="Cambria"/>
          <w:sz w:val="20"/>
          <w:szCs w:val="20"/>
          <w:lang w:val="en-US"/>
        </w:rPr>
        <w:t xml:space="preserve">, and </w:t>
      </w:r>
      <w:r>
        <w:rPr>
          <w:rFonts w:ascii="Cambria" w:hAnsi="Cambria"/>
          <w:sz w:val="20"/>
          <w:szCs w:val="20"/>
          <w:lang w:val="en-US"/>
        </w:rPr>
        <w:t xml:space="preserve">review. They stated that the Inspector General decides on reversal petitions, and, thus, there is no </w:t>
      </w:r>
      <w:r w:rsidRPr="0049070A">
        <w:rPr>
          <w:rFonts w:ascii="Cambria" w:hAnsi="Cambria"/>
          <w:sz w:val="20"/>
          <w:szCs w:val="20"/>
          <w:lang w:val="en-US"/>
        </w:rPr>
        <w:t>second instance.</w:t>
      </w:r>
      <w:r>
        <w:rPr>
          <w:rFonts w:ascii="Cambria" w:hAnsi="Cambria"/>
          <w:sz w:val="20"/>
          <w:szCs w:val="20"/>
          <w:lang w:val="en-US"/>
        </w:rPr>
        <w:t xml:space="preserve"> Likewise, in relation to impartiality and the presumption of innocence, they stated that, since charges were laid against the alleged victim, there were attempts to impugn and qualify his conduct as a Mayor, such as “improvisation” or “lack of planning,” that undermine the presumption of innocence and call into question the impartiality of the disciplinary authority. </w:t>
      </w:r>
    </w:p>
    <w:p w14:paraId="5EE659BE"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460DB786"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n-US"/>
        </w:rPr>
      </w:pPr>
      <w:r>
        <w:rPr>
          <w:rFonts w:ascii="Cambria" w:hAnsi="Cambria"/>
          <w:sz w:val="20"/>
          <w:szCs w:val="20"/>
          <w:lang w:val="en-US"/>
        </w:rPr>
        <w:t xml:space="preserve">Finally, the petitioners alleged a violation of the </w:t>
      </w:r>
      <w:r w:rsidRPr="00745326">
        <w:rPr>
          <w:rFonts w:ascii="Cambria" w:hAnsi="Cambria"/>
          <w:b/>
          <w:sz w:val="20"/>
          <w:szCs w:val="20"/>
          <w:lang w:val="en-US"/>
        </w:rPr>
        <w:t>right to humane treatment</w:t>
      </w:r>
      <w:r>
        <w:rPr>
          <w:rFonts w:ascii="Cambria" w:hAnsi="Cambria"/>
          <w:sz w:val="20"/>
          <w:szCs w:val="20"/>
          <w:lang w:val="en-US"/>
        </w:rPr>
        <w:t xml:space="preserve">. They asserted that the arbitrariness of the disciplinary proceeding against the alleged victim affected his and his family’s moral integrity and that he has been a victim of constant personal attacks and threats, and </w:t>
      </w:r>
      <w:r w:rsidRPr="000A7268">
        <w:rPr>
          <w:rFonts w:ascii="Cambria" w:hAnsi="Cambria"/>
          <w:sz w:val="20"/>
          <w:szCs w:val="20"/>
          <w:lang w:val="en-US"/>
        </w:rPr>
        <w:t xml:space="preserve">constant </w:t>
      </w:r>
      <w:r>
        <w:rPr>
          <w:rFonts w:ascii="Cambria" w:hAnsi="Cambria"/>
          <w:sz w:val="20"/>
          <w:szCs w:val="20"/>
          <w:lang w:val="en-US"/>
        </w:rPr>
        <w:t>stigmatization promoted by the Office of the Inspector General. They also noted persistent risks to the alleged victim’s life and personal integrity, which led to the IACHR to grant precautionary measures in his favor.</w:t>
      </w:r>
    </w:p>
    <w:p w14:paraId="17465FEE"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01DAF58C" w14:textId="77777777" w:rsidR="00A84770" w:rsidRPr="009B3BD2" w:rsidRDefault="00A84770" w:rsidP="00A84770">
      <w:pPr>
        <w:pStyle w:val="Ttulo2"/>
        <w:numPr>
          <w:ilvl w:val="0"/>
          <w:numId w:val="59"/>
        </w:numPr>
      </w:pPr>
      <w:bookmarkStart w:id="4" w:name="_Toc496666288"/>
      <w:proofErr w:type="spellStart"/>
      <w:r>
        <w:t>The</w:t>
      </w:r>
      <w:proofErr w:type="spellEnd"/>
      <w:r>
        <w:t xml:space="preserve"> </w:t>
      </w:r>
      <w:proofErr w:type="spellStart"/>
      <w:r>
        <w:t>State</w:t>
      </w:r>
      <w:bookmarkEnd w:id="4"/>
      <w:proofErr w:type="spellEnd"/>
    </w:p>
    <w:p w14:paraId="480AA54B"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5B74193F"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n-US"/>
        </w:rPr>
      </w:pPr>
      <w:r>
        <w:rPr>
          <w:rFonts w:ascii="Cambria" w:hAnsi="Cambria"/>
          <w:sz w:val="20"/>
          <w:szCs w:val="20"/>
          <w:lang w:val="en-US"/>
        </w:rPr>
        <w:t xml:space="preserve">The State did not submit any observations on the merits. Therefore, the present section is based only on the arguments it made during the admissibility stage as these may concern the merits. </w:t>
      </w:r>
    </w:p>
    <w:p w14:paraId="0FF95F0E"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n-US"/>
        </w:rPr>
      </w:pPr>
    </w:p>
    <w:p w14:paraId="6CC05567"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n-US"/>
        </w:rPr>
      </w:pPr>
      <w:r>
        <w:rPr>
          <w:rFonts w:ascii="Cambria" w:hAnsi="Cambria"/>
          <w:sz w:val="20"/>
          <w:szCs w:val="20"/>
          <w:lang w:val="en-US"/>
        </w:rPr>
        <w:t xml:space="preserve">The State alleged that in December 2012, the Office of the Inspector General of the Nation received “multiple complaints” against Mr. Gustavo Francisco Petro </w:t>
      </w:r>
      <w:proofErr w:type="spellStart"/>
      <w:r>
        <w:rPr>
          <w:rFonts w:ascii="Cambria" w:hAnsi="Cambria"/>
          <w:sz w:val="20"/>
          <w:szCs w:val="20"/>
          <w:lang w:val="en-US"/>
        </w:rPr>
        <w:t>Urrego</w:t>
      </w:r>
      <w:proofErr w:type="spellEnd"/>
      <w:r>
        <w:rPr>
          <w:rFonts w:ascii="Cambria" w:hAnsi="Cambria"/>
          <w:sz w:val="20"/>
          <w:szCs w:val="20"/>
          <w:lang w:val="en-US"/>
        </w:rPr>
        <w:t xml:space="preserve">, related to the provision of the public sanitation services in the city of Bogota. </w:t>
      </w:r>
    </w:p>
    <w:p w14:paraId="29994EE6"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79749868"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n-US"/>
        </w:rPr>
      </w:pPr>
      <w:r>
        <w:rPr>
          <w:rFonts w:ascii="Cambria" w:hAnsi="Cambria"/>
          <w:sz w:val="20"/>
          <w:szCs w:val="20"/>
          <w:lang w:val="en-US"/>
        </w:rPr>
        <w:t>The State mentioned that on January 16, 2013, based on the Single Disciplinary Code, the Disciplinary Chamber of the Office of the Inspector General of the Nation (</w:t>
      </w:r>
      <w:r>
        <w:rPr>
          <w:rFonts w:ascii="Cambria" w:hAnsi="Cambria"/>
          <w:i/>
          <w:sz w:val="20"/>
          <w:szCs w:val="20"/>
          <w:lang w:val="en-US"/>
        </w:rPr>
        <w:t xml:space="preserve">Sala </w:t>
      </w:r>
      <w:proofErr w:type="spellStart"/>
      <w:r>
        <w:rPr>
          <w:rFonts w:ascii="Cambria" w:hAnsi="Cambria"/>
          <w:i/>
          <w:sz w:val="20"/>
          <w:szCs w:val="20"/>
          <w:lang w:val="en-US"/>
        </w:rPr>
        <w:t>Disciplinaria</w:t>
      </w:r>
      <w:proofErr w:type="spellEnd"/>
      <w:r>
        <w:rPr>
          <w:rFonts w:ascii="Cambria" w:hAnsi="Cambria"/>
          <w:i/>
          <w:sz w:val="20"/>
          <w:szCs w:val="20"/>
          <w:lang w:val="en-US"/>
        </w:rPr>
        <w:t xml:space="preserve"> de la </w:t>
      </w:r>
      <w:proofErr w:type="spellStart"/>
      <w:r>
        <w:rPr>
          <w:rFonts w:ascii="Cambria" w:hAnsi="Cambria"/>
          <w:i/>
          <w:sz w:val="20"/>
          <w:szCs w:val="20"/>
          <w:lang w:val="en-US"/>
        </w:rPr>
        <w:t>Procuradoría</w:t>
      </w:r>
      <w:proofErr w:type="spellEnd"/>
      <w:r>
        <w:rPr>
          <w:rFonts w:ascii="Cambria" w:hAnsi="Cambria"/>
          <w:i/>
          <w:sz w:val="20"/>
          <w:szCs w:val="20"/>
          <w:lang w:val="en-US"/>
        </w:rPr>
        <w:t xml:space="preserve"> General de la </w:t>
      </w:r>
      <w:proofErr w:type="spellStart"/>
      <w:r>
        <w:rPr>
          <w:rFonts w:ascii="Cambria" w:hAnsi="Cambria"/>
          <w:i/>
          <w:sz w:val="20"/>
          <w:szCs w:val="20"/>
          <w:lang w:val="en-US"/>
        </w:rPr>
        <w:t>Nación</w:t>
      </w:r>
      <w:proofErr w:type="spellEnd"/>
      <w:r w:rsidRPr="00AF4195">
        <w:rPr>
          <w:rFonts w:ascii="Cambria" w:hAnsi="Cambria"/>
          <w:sz w:val="20"/>
          <w:szCs w:val="20"/>
          <w:lang w:val="en-US"/>
        </w:rPr>
        <w:t>)</w:t>
      </w:r>
      <w:r>
        <w:rPr>
          <w:rFonts w:ascii="Cambria" w:hAnsi="Cambria"/>
          <w:sz w:val="20"/>
          <w:szCs w:val="20"/>
          <w:lang w:val="en-US"/>
        </w:rPr>
        <w:t xml:space="preserve"> ordered the initiation of a disciplinary investigation against the alleged victim in relations to his conduct as the Mayor of Bogota. </w:t>
      </w:r>
    </w:p>
    <w:p w14:paraId="0907B93B"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0859D232"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n-US"/>
        </w:rPr>
      </w:pPr>
      <w:r>
        <w:rPr>
          <w:rFonts w:ascii="Cambria" w:hAnsi="Cambria"/>
          <w:sz w:val="20"/>
          <w:szCs w:val="20"/>
          <w:lang w:val="en-US"/>
        </w:rPr>
        <w:t xml:space="preserve">The State also observed that the Disciplinary Chamber decided charges against Gustavo Petro for three violations of the Single Disciplinary Code on June 20, 2013, and on December 9, 2013, the Disciplinary Chamber issued a decision of sole instance declaring the disciplinary responsibility of the alleged victim for contravening Articles 31, 60, and 37 of the Single Disciplinary Code. It also stated that the alleged victim was sanctioned with dismissal as well as a general disqualification from office for 15 years based on these three infringements. </w:t>
      </w:r>
    </w:p>
    <w:p w14:paraId="78E17FC2"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7DEF2D22"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n-US"/>
        </w:rPr>
      </w:pPr>
      <w:r>
        <w:rPr>
          <w:rFonts w:ascii="Cambria" w:hAnsi="Cambria"/>
          <w:sz w:val="20"/>
          <w:szCs w:val="20"/>
          <w:lang w:val="en-US"/>
        </w:rPr>
        <w:t xml:space="preserve">It stated that on January 13, 2014, the Disciplinary Chamber fully rejected the </w:t>
      </w:r>
      <w:r w:rsidRPr="0073557E">
        <w:rPr>
          <w:rFonts w:ascii="Cambria" w:hAnsi="Cambria"/>
          <w:sz w:val="20"/>
          <w:szCs w:val="20"/>
          <w:lang w:val="en-US"/>
        </w:rPr>
        <w:t>evidentiary petitions</w:t>
      </w:r>
      <w:r>
        <w:rPr>
          <w:rFonts w:ascii="Cambria" w:hAnsi="Cambria"/>
          <w:sz w:val="20"/>
          <w:szCs w:val="20"/>
          <w:lang w:val="en-US"/>
        </w:rPr>
        <w:t xml:space="preserve"> </w:t>
      </w:r>
      <w:r w:rsidRPr="00BB585E">
        <w:rPr>
          <w:rFonts w:ascii="Cambria" w:hAnsi="Cambria"/>
          <w:sz w:val="20"/>
          <w:szCs w:val="20"/>
          <w:lang w:val="en-US"/>
        </w:rPr>
        <w:t>(</w:t>
      </w:r>
      <w:proofErr w:type="spellStart"/>
      <w:r w:rsidRPr="00BB585E">
        <w:rPr>
          <w:rFonts w:ascii="Cambria" w:hAnsi="Cambria"/>
          <w:i/>
          <w:sz w:val="20"/>
          <w:szCs w:val="20"/>
          <w:lang w:val="en-US"/>
        </w:rPr>
        <w:t>peticiones</w:t>
      </w:r>
      <w:proofErr w:type="spellEnd"/>
      <w:r w:rsidRPr="00BB585E">
        <w:rPr>
          <w:rFonts w:ascii="Cambria" w:hAnsi="Cambria"/>
          <w:i/>
          <w:sz w:val="20"/>
          <w:szCs w:val="20"/>
          <w:lang w:val="en-US"/>
        </w:rPr>
        <w:t xml:space="preserve"> </w:t>
      </w:r>
      <w:proofErr w:type="spellStart"/>
      <w:r w:rsidRPr="00BB585E">
        <w:rPr>
          <w:rFonts w:ascii="Cambria" w:hAnsi="Cambria"/>
          <w:i/>
          <w:sz w:val="20"/>
          <w:szCs w:val="20"/>
          <w:lang w:val="en-US"/>
        </w:rPr>
        <w:t>probatorias</w:t>
      </w:r>
      <w:proofErr w:type="spellEnd"/>
      <w:r w:rsidRPr="00BB585E">
        <w:rPr>
          <w:rFonts w:ascii="Cambria" w:hAnsi="Cambria"/>
          <w:sz w:val="20"/>
          <w:szCs w:val="20"/>
          <w:lang w:val="en-US"/>
        </w:rPr>
        <w:t>)</w:t>
      </w:r>
      <w:r>
        <w:rPr>
          <w:rFonts w:ascii="Cambria" w:hAnsi="Cambria"/>
          <w:sz w:val="20"/>
          <w:szCs w:val="20"/>
          <w:lang w:val="en-US"/>
        </w:rPr>
        <w:t xml:space="preserve"> submitted by the alleged victim. It also confirmed the judgment of sole instance on December 9, 2013, and denied a </w:t>
      </w:r>
      <w:r w:rsidRPr="0073557E">
        <w:rPr>
          <w:rFonts w:ascii="Cambria" w:hAnsi="Cambria"/>
          <w:sz w:val="20"/>
          <w:szCs w:val="20"/>
          <w:lang w:val="en-US"/>
        </w:rPr>
        <w:t>subsidiary petition</w:t>
      </w:r>
      <w:r>
        <w:rPr>
          <w:rFonts w:ascii="Cambria" w:hAnsi="Cambria"/>
          <w:sz w:val="20"/>
          <w:szCs w:val="20"/>
          <w:lang w:val="en-US"/>
        </w:rPr>
        <w:t xml:space="preserve"> to withhold the imposition of the disciplinary sanction. </w:t>
      </w:r>
    </w:p>
    <w:p w14:paraId="5BA374B3"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28C0E0E7"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n-US"/>
        </w:rPr>
      </w:pPr>
      <w:r>
        <w:rPr>
          <w:rFonts w:ascii="Cambria" w:hAnsi="Cambria"/>
          <w:sz w:val="20"/>
          <w:szCs w:val="20"/>
          <w:lang w:val="en-US"/>
        </w:rPr>
        <w:t>The State averred that the sanction imposed by the Disciplinary Chamber of the Office of the Inspector General was the object of various</w:t>
      </w:r>
      <w:r w:rsidRPr="00D868EA">
        <w:rPr>
          <w:rFonts w:ascii="Cambria" w:hAnsi="Cambria"/>
          <w:sz w:val="20"/>
          <w:szCs w:val="20"/>
          <w:lang w:val="en-US"/>
        </w:rPr>
        <w:t xml:space="preserve"> actions</w:t>
      </w:r>
      <w:r>
        <w:rPr>
          <w:rFonts w:ascii="Cambria" w:hAnsi="Cambria"/>
          <w:sz w:val="20"/>
          <w:szCs w:val="20"/>
          <w:lang w:val="en-US"/>
        </w:rPr>
        <w:t xml:space="preserve"> of protection that were resolved in the first instance by the Administrative Tribunal of Cundinamarca and then the Sectional Council of the Judiciary. It stated that after appeal of these decisions, on March 18, 2014, the Presidency of the State Council announced the approval by majority of the decision whereby 23 court-ordered protections in favor of Gustavo Petro were revoked. </w:t>
      </w:r>
    </w:p>
    <w:p w14:paraId="0A80CAA6"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09EAF5C9"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n-US"/>
        </w:rPr>
      </w:pPr>
      <w:r>
        <w:rPr>
          <w:rFonts w:ascii="Cambria" w:hAnsi="Cambria"/>
          <w:sz w:val="20"/>
          <w:szCs w:val="20"/>
          <w:lang w:val="en-US"/>
        </w:rPr>
        <w:t xml:space="preserve">It asserted that on March 20, 2014, the President of the Republic, by Decree 570 of March 20, 2014, implemented the removal of the alleged victim and appointed Rafael Pardo Rueda as Mayor. </w:t>
      </w:r>
    </w:p>
    <w:p w14:paraId="15E3CB55"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5EFC2EE7"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n-US"/>
        </w:rPr>
      </w:pPr>
      <w:r>
        <w:rPr>
          <w:rFonts w:ascii="Cambria" w:hAnsi="Cambria"/>
          <w:sz w:val="20"/>
          <w:szCs w:val="20"/>
          <w:lang w:val="en-US"/>
        </w:rPr>
        <w:t xml:space="preserve">It stated that on April 21, 2014, the </w:t>
      </w:r>
      <w:r w:rsidRPr="00E26239">
        <w:rPr>
          <w:rFonts w:ascii="Cambria" w:hAnsi="Cambria"/>
          <w:sz w:val="20"/>
          <w:szCs w:val="20"/>
          <w:lang w:val="en-US"/>
        </w:rPr>
        <w:t>Civil Chamber – Land Restitution of the Superior Tribunal of the Judicial District of Bogota</w:t>
      </w:r>
      <w:r>
        <w:rPr>
          <w:rFonts w:ascii="Cambria" w:hAnsi="Cambria"/>
          <w:sz w:val="20"/>
          <w:szCs w:val="20"/>
          <w:lang w:val="en-US"/>
        </w:rPr>
        <w:t xml:space="preserve"> (</w:t>
      </w:r>
      <w:r>
        <w:rPr>
          <w:rFonts w:ascii="Cambria" w:hAnsi="Cambria"/>
          <w:i/>
          <w:sz w:val="20"/>
          <w:szCs w:val="20"/>
          <w:lang w:val="en-US"/>
        </w:rPr>
        <w:t xml:space="preserve">Sala Civil – </w:t>
      </w:r>
      <w:proofErr w:type="spellStart"/>
      <w:r>
        <w:rPr>
          <w:rFonts w:ascii="Cambria" w:hAnsi="Cambria"/>
          <w:i/>
          <w:sz w:val="20"/>
          <w:szCs w:val="20"/>
          <w:lang w:val="en-US"/>
        </w:rPr>
        <w:t>Restitución</w:t>
      </w:r>
      <w:proofErr w:type="spellEnd"/>
      <w:r>
        <w:rPr>
          <w:rFonts w:ascii="Cambria" w:hAnsi="Cambria"/>
          <w:i/>
          <w:sz w:val="20"/>
          <w:szCs w:val="20"/>
          <w:lang w:val="en-US"/>
        </w:rPr>
        <w:t xml:space="preserve"> de </w:t>
      </w:r>
      <w:proofErr w:type="spellStart"/>
      <w:r>
        <w:rPr>
          <w:rFonts w:ascii="Cambria" w:hAnsi="Cambria"/>
          <w:i/>
          <w:sz w:val="20"/>
          <w:szCs w:val="20"/>
          <w:lang w:val="en-US"/>
        </w:rPr>
        <w:t>Tierras</w:t>
      </w:r>
      <w:proofErr w:type="spellEnd"/>
      <w:r>
        <w:rPr>
          <w:rFonts w:ascii="Cambria" w:hAnsi="Cambria"/>
          <w:i/>
          <w:sz w:val="20"/>
          <w:szCs w:val="20"/>
          <w:lang w:val="en-US"/>
        </w:rPr>
        <w:t xml:space="preserve"> del Tribunal Superior del Distrito Judicial de Bogotá</w:t>
      </w:r>
      <w:r>
        <w:rPr>
          <w:rFonts w:ascii="Cambria" w:hAnsi="Cambria"/>
          <w:sz w:val="20"/>
          <w:szCs w:val="20"/>
          <w:lang w:val="en-US"/>
        </w:rPr>
        <w:t xml:space="preserve">) ordered that the President of the Republic annul Decree 570 and adopt measures to comply with the precautionary measures adopted by the Commission in favor of the alleged victim. It stated that on April 23, 2014, via Decree 797, the President of the Republic annulled Decree 570. </w:t>
      </w:r>
    </w:p>
    <w:p w14:paraId="0BA04883"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1F0A6EFB"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n-US"/>
        </w:rPr>
      </w:pPr>
      <w:r>
        <w:rPr>
          <w:rFonts w:ascii="Cambria" w:hAnsi="Cambria"/>
          <w:sz w:val="20"/>
          <w:szCs w:val="20"/>
          <w:lang w:val="en-US"/>
        </w:rPr>
        <w:lastRenderedPageBreak/>
        <w:t xml:space="preserve">The State asserted that, on March 28, 2014, the alleged victim filed an action against the Office of the Inspector General of the Nation before the </w:t>
      </w:r>
      <w:r w:rsidRPr="00E26239">
        <w:rPr>
          <w:rFonts w:ascii="Cambria" w:hAnsi="Cambria"/>
          <w:sz w:val="20"/>
          <w:szCs w:val="20"/>
          <w:lang w:val="en-US"/>
        </w:rPr>
        <w:t xml:space="preserve">Administrative </w:t>
      </w:r>
      <w:r>
        <w:rPr>
          <w:rFonts w:ascii="Cambria" w:hAnsi="Cambria"/>
          <w:sz w:val="20"/>
          <w:szCs w:val="20"/>
          <w:lang w:val="en-US"/>
        </w:rPr>
        <w:t xml:space="preserve">Tribunal of Cundinamarca in connection with the administrative acts of December 9, 2013, and January 13, 2014. It mentioned that, on March 31, 2014, </w:t>
      </w:r>
      <w:r w:rsidRPr="00E26239">
        <w:rPr>
          <w:rFonts w:ascii="Cambria" w:hAnsi="Cambria"/>
          <w:sz w:val="20"/>
          <w:szCs w:val="20"/>
          <w:lang w:val="en-US"/>
        </w:rPr>
        <w:t xml:space="preserve">the Administrative </w:t>
      </w:r>
      <w:r>
        <w:rPr>
          <w:rFonts w:ascii="Cambria" w:hAnsi="Cambria"/>
          <w:sz w:val="20"/>
          <w:szCs w:val="20"/>
          <w:lang w:val="en-US"/>
        </w:rPr>
        <w:t xml:space="preserve">Tribunal of Cundinamarca, Second Section, Subsection B, transferred the action to the State Council because the latter had </w:t>
      </w:r>
      <w:r w:rsidRPr="00663FD9">
        <w:rPr>
          <w:rFonts w:ascii="Cambria" w:hAnsi="Cambria"/>
          <w:sz w:val="20"/>
          <w:szCs w:val="20"/>
          <w:lang w:val="en-US"/>
        </w:rPr>
        <w:t>jurisdiction.</w:t>
      </w:r>
      <w:r>
        <w:rPr>
          <w:rFonts w:ascii="Cambria" w:hAnsi="Cambria"/>
          <w:sz w:val="20"/>
          <w:szCs w:val="20"/>
          <w:lang w:val="en-US"/>
        </w:rPr>
        <w:t xml:space="preserve"> </w:t>
      </w:r>
    </w:p>
    <w:p w14:paraId="6E505F29"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1C5F88C8"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n-US"/>
        </w:rPr>
      </w:pPr>
      <w:r>
        <w:rPr>
          <w:rFonts w:ascii="Cambria" w:hAnsi="Cambria"/>
          <w:sz w:val="20"/>
          <w:szCs w:val="20"/>
          <w:lang w:val="en-US"/>
        </w:rPr>
        <w:t xml:space="preserve">The State maintained that the Contentious-Administrative Chamber of the State Council admitted the action on April 10, 2014, and, on May 13, 2014, decreed the provisional suspension of the decisions of the Disciplinary Chamber of the Office of the Inspector General of December 9, 2013 and January 13, 2014. It stated that the </w:t>
      </w:r>
      <w:r w:rsidRPr="00F1256C">
        <w:rPr>
          <w:rFonts w:ascii="Cambria" w:hAnsi="Cambria"/>
          <w:sz w:val="20"/>
          <w:szCs w:val="20"/>
          <w:lang w:val="en-US"/>
        </w:rPr>
        <w:t>State Council</w:t>
      </w:r>
      <w:r>
        <w:rPr>
          <w:rFonts w:ascii="Cambria" w:hAnsi="Cambria"/>
          <w:sz w:val="20"/>
          <w:szCs w:val="20"/>
          <w:lang w:val="en-US"/>
        </w:rPr>
        <w:t xml:space="preserve"> in Plenary affirmed the provisional suspension of the decisions on March 17, 2015, by deciding an appeal for reconsideration filed by the Public Ministry. It further stated that by virtue of said measure issued by the Contentious-Administrative Chamber, Gustavo Petro was reinstated to his position as the Mayor of Bogota. It explained that a decision on the merits was pending in said Chamber. </w:t>
      </w:r>
    </w:p>
    <w:p w14:paraId="180F0EE4"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14BAF714"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n-US"/>
        </w:rPr>
      </w:pPr>
      <w:r>
        <w:rPr>
          <w:rFonts w:ascii="Cambria" w:hAnsi="Cambria"/>
          <w:sz w:val="20"/>
          <w:szCs w:val="20"/>
          <w:lang w:val="en-US"/>
        </w:rPr>
        <w:t xml:space="preserve">In relation to the law, the State asserted that there had been no violation of </w:t>
      </w:r>
      <w:r w:rsidRPr="008E7C03">
        <w:rPr>
          <w:rFonts w:ascii="Cambria" w:hAnsi="Cambria"/>
          <w:b/>
          <w:sz w:val="20"/>
          <w:szCs w:val="20"/>
          <w:lang w:val="en-US"/>
        </w:rPr>
        <w:t xml:space="preserve">political rights or the obligation </w:t>
      </w:r>
      <w:r>
        <w:rPr>
          <w:rFonts w:ascii="Cambria" w:hAnsi="Cambria"/>
          <w:b/>
          <w:sz w:val="20"/>
          <w:szCs w:val="20"/>
          <w:lang w:val="en-US"/>
        </w:rPr>
        <w:t>of domestic legal effect</w:t>
      </w:r>
      <w:r>
        <w:rPr>
          <w:rFonts w:ascii="Cambria" w:hAnsi="Cambria"/>
          <w:sz w:val="20"/>
          <w:szCs w:val="20"/>
          <w:lang w:val="en-US"/>
        </w:rPr>
        <w:t xml:space="preserve">, referencing the power of the Inspector General of the Nation to impose a disqualification sanction does not ignore Article 23(2) of the American Convention and that the Constitutional Court of Colombia has examined said power and determined its compatibility with said instrument. It stated that the sanction is imposed with full respect to the procedural guarantees and after full </w:t>
      </w:r>
      <w:r w:rsidRPr="00480F06">
        <w:rPr>
          <w:rFonts w:ascii="Cambria" w:hAnsi="Cambria"/>
          <w:sz w:val="20"/>
          <w:szCs w:val="20"/>
          <w:lang w:val="en-US"/>
        </w:rPr>
        <w:t>jurisdictional control over</w:t>
      </w:r>
      <w:r>
        <w:rPr>
          <w:rFonts w:ascii="Cambria" w:hAnsi="Cambria"/>
          <w:sz w:val="20"/>
          <w:szCs w:val="20"/>
          <w:lang w:val="en-US"/>
        </w:rPr>
        <w:t xml:space="preserve"> the sanction with the power to nullify it. </w:t>
      </w:r>
    </w:p>
    <w:p w14:paraId="63A58139"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5F5B4212"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n-US"/>
        </w:rPr>
      </w:pPr>
      <w:r>
        <w:rPr>
          <w:rFonts w:ascii="Cambria" w:hAnsi="Cambria"/>
          <w:sz w:val="20"/>
          <w:szCs w:val="20"/>
          <w:lang w:val="en-US"/>
        </w:rPr>
        <w:t xml:space="preserve">It stated that the </w:t>
      </w:r>
      <w:r>
        <w:rPr>
          <w:rFonts w:ascii="Cambria" w:hAnsi="Cambria"/>
          <w:b/>
          <w:sz w:val="20"/>
          <w:szCs w:val="20"/>
          <w:lang w:val="en-US"/>
        </w:rPr>
        <w:t>right to judicial protection</w:t>
      </w:r>
      <w:r>
        <w:rPr>
          <w:rFonts w:ascii="Cambria" w:hAnsi="Cambria"/>
          <w:sz w:val="20"/>
          <w:szCs w:val="20"/>
          <w:lang w:val="en-US"/>
        </w:rPr>
        <w:t xml:space="preserve"> was not violated because there are judicial mechanisms to appeal disciplinary decisions that affect political rights, such as the nullification</w:t>
      </w:r>
      <w:r w:rsidRPr="00480F06">
        <w:rPr>
          <w:rFonts w:ascii="Cambria" w:hAnsi="Cambria"/>
          <w:sz w:val="20"/>
          <w:szCs w:val="20"/>
          <w:lang w:val="en-US"/>
        </w:rPr>
        <w:t xml:space="preserve"> and reversal</w:t>
      </w:r>
      <w:r>
        <w:rPr>
          <w:rFonts w:ascii="Cambria" w:hAnsi="Cambria"/>
          <w:sz w:val="20"/>
          <w:szCs w:val="20"/>
          <w:lang w:val="en-US"/>
        </w:rPr>
        <w:t xml:space="preserve"> petition before the State Council that allows for provisional suspension of the administrative action when the criteria set forth are met. It added that exceptional actions of protection have been admitted against decisions that impose disciplinary sanctions. </w:t>
      </w:r>
    </w:p>
    <w:p w14:paraId="4B0288A0"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3B404508" w14:textId="77777777" w:rsidR="00A84770" w:rsidRPr="00AF5481" w:rsidRDefault="00A84770" w:rsidP="00A84770">
      <w:pPr>
        <w:pStyle w:val="Ttulo1"/>
        <w:numPr>
          <w:ilvl w:val="0"/>
          <w:numId w:val="57"/>
        </w:numPr>
      </w:pPr>
      <w:bookmarkStart w:id="5" w:name="_Toc496666289"/>
      <w:r w:rsidRPr="00AF5481">
        <w:t>PROVEN FACTS</w:t>
      </w:r>
      <w:bookmarkEnd w:id="5"/>
    </w:p>
    <w:p w14:paraId="2BA514C1" w14:textId="77777777" w:rsidR="00A84770" w:rsidRPr="009B3BD2" w:rsidRDefault="00A84770" w:rsidP="00A84770">
      <w:pPr>
        <w:rPr>
          <w:lang w:val="es-VE"/>
        </w:rPr>
      </w:pPr>
    </w:p>
    <w:p w14:paraId="771A0993" w14:textId="77777777" w:rsidR="00A84770" w:rsidRPr="009B3BD2" w:rsidRDefault="00A84770" w:rsidP="00A84770">
      <w:pPr>
        <w:pStyle w:val="Ttulo2"/>
        <w:numPr>
          <w:ilvl w:val="0"/>
          <w:numId w:val="60"/>
        </w:numPr>
        <w:ind w:left="1418" w:hanging="709"/>
        <w:rPr>
          <w:rFonts w:cs="Arial"/>
          <w:bCs/>
          <w:iCs/>
          <w:lang w:val="pt-BR"/>
        </w:rPr>
      </w:pPr>
      <w:bookmarkStart w:id="6" w:name="_Toc496666290"/>
      <w:r>
        <w:rPr>
          <w:rFonts w:cs="Arial"/>
          <w:bCs/>
          <w:iCs/>
          <w:lang w:val="pt-BR"/>
        </w:rPr>
        <w:t>About</w:t>
      </w:r>
      <w:r w:rsidRPr="009B3BD2">
        <w:rPr>
          <w:rFonts w:cs="Arial"/>
          <w:bCs/>
          <w:iCs/>
          <w:lang w:val="pt-BR"/>
        </w:rPr>
        <w:t xml:space="preserve"> Gustavo Francisco Petro Urrego</w:t>
      </w:r>
      <w:bookmarkEnd w:id="6"/>
    </w:p>
    <w:p w14:paraId="3CEE47F6" w14:textId="77777777" w:rsidR="00A84770" w:rsidRPr="0055146F"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s-ES"/>
        </w:rPr>
      </w:pPr>
    </w:p>
    <w:p w14:paraId="1C4B7013"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n-US"/>
        </w:rPr>
      </w:pPr>
      <w:r w:rsidRPr="0055146F">
        <w:rPr>
          <w:rFonts w:ascii="Cambria" w:hAnsi="Cambria"/>
          <w:sz w:val="20"/>
          <w:szCs w:val="20"/>
          <w:lang w:val="en-US"/>
        </w:rPr>
        <w:t>The alleged victim is currently 57 years old.</w:t>
      </w:r>
      <w:r w:rsidRPr="009B3BD2">
        <w:rPr>
          <w:rFonts w:ascii="Cambria" w:hAnsi="Cambria"/>
          <w:sz w:val="20"/>
          <w:szCs w:val="20"/>
          <w:vertAlign w:val="superscript"/>
        </w:rPr>
        <w:footnoteReference w:id="2"/>
      </w:r>
      <w:r w:rsidRPr="0055146F">
        <w:rPr>
          <w:rFonts w:ascii="Cambria" w:hAnsi="Cambria"/>
          <w:sz w:val="20"/>
          <w:szCs w:val="20"/>
          <w:lang w:val="en-US"/>
        </w:rPr>
        <w:t xml:space="preserve"> </w:t>
      </w:r>
      <w:r>
        <w:rPr>
          <w:rFonts w:ascii="Cambria" w:hAnsi="Cambria"/>
          <w:sz w:val="20"/>
          <w:szCs w:val="20"/>
          <w:lang w:val="en-US"/>
        </w:rPr>
        <w:t xml:space="preserve">As reported by the petitioners and not </w:t>
      </w:r>
      <w:r w:rsidRPr="00566F4D">
        <w:rPr>
          <w:rFonts w:ascii="Cambria" w:hAnsi="Cambria"/>
          <w:sz w:val="20"/>
          <w:szCs w:val="20"/>
          <w:lang w:val="en-US"/>
        </w:rPr>
        <w:t>controverted</w:t>
      </w:r>
      <w:r>
        <w:rPr>
          <w:rFonts w:ascii="Cambria" w:hAnsi="Cambria"/>
          <w:sz w:val="20"/>
          <w:szCs w:val="20"/>
          <w:lang w:val="en-US"/>
        </w:rPr>
        <w:t xml:space="preserve"> by the State, Gustavo Petro has participated in the political life of Colombia since 1981, having been Council Member of </w:t>
      </w:r>
      <w:proofErr w:type="spellStart"/>
      <w:r>
        <w:rPr>
          <w:rFonts w:ascii="Cambria" w:hAnsi="Cambria"/>
          <w:sz w:val="20"/>
          <w:szCs w:val="20"/>
          <w:lang w:val="en-US"/>
        </w:rPr>
        <w:t>Zipaquirá</w:t>
      </w:r>
      <w:proofErr w:type="spellEnd"/>
      <w:r>
        <w:rPr>
          <w:rFonts w:ascii="Cambria" w:hAnsi="Cambria"/>
          <w:sz w:val="20"/>
          <w:szCs w:val="20"/>
          <w:lang w:val="en-US"/>
        </w:rPr>
        <w:t xml:space="preserve">, Member of the </w:t>
      </w:r>
      <w:r w:rsidRPr="00566F4D">
        <w:rPr>
          <w:rFonts w:ascii="Cambria" w:hAnsi="Cambria"/>
          <w:sz w:val="20"/>
          <w:szCs w:val="20"/>
          <w:lang w:val="en-US"/>
        </w:rPr>
        <w:t>Ho</w:t>
      </w:r>
      <w:r>
        <w:rPr>
          <w:rFonts w:ascii="Cambria" w:hAnsi="Cambria"/>
          <w:sz w:val="20"/>
          <w:szCs w:val="20"/>
          <w:lang w:val="en-US"/>
        </w:rPr>
        <w:t>use of Representatives for the D</w:t>
      </w:r>
      <w:r w:rsidRPr="00566F4D">
        <w:rPr>
          <w:rFonts w:ascii="Cambria" w:hAnsi="Cambria"/>
          <w:sz w:val="20"/>
          <w:szCs w:val="20"/>
          <w:lang w:val="en-US"/>
        </w:rPr>
        <w:t>epartment</w:t>
      </w:r>
      <w:r>
        <w:rPr>
          <w:rFonts w:ascii="Cambria" w:hAnsi="Cambria"/>
          <w:sz w:val="20"/>
          <w:szCs w:val="20"/>
          <w:lang w:val="en-US"/>
        </w:rPr>
        <w:t xml:space="preserve"> of Cundinamarca, and later on two occasions, for</w:t>
      </w:r>
      <w:r w:rsidRPr="00617F00">
        <w:rPr>
          <w:rFonts w:ascii="Cambria" w:hAnsi="Cambria"/>
          <w:sz w:val="20"/>
          <w:szCs w:val="20"/>
          <w:lang w:val="en-US"/>
        </w:rPr>
        <w:t xml:space="preserve"> Bogota D.C.</w:t>
      </w:r>
      <w:r>
        <w:rPr>
          <w:rFonts w:ascii="Cambria" w:hAnsi="Cambria"/>
          <w:sz w:val="20"/>
          <w:szCs w:val="20"/>
          <w:lang w:val="en-US"/>
        </w:rPr>
        <w:t xml:space="preserve"> In 2006, he was elected a Senator of the Republic. In the elections of 2010, he was a candidate for President of the Republic of Colombia. On October 30, 2011, he won the election for Mayor of Bogota D.C.</w:t>
      </w:r>
      <w:r w:rsidRPr="0016411D">
        <w:rPr>
          <w:rStyle w:val="Refdenotaalpie"/>
          <w:rFonts w:asciiTheme="majorHAnsi" w:hAnsiTheme="majorHAnsi"/>
          <w:sz w:val="20"/>
          <w:szCs w:val="20"/>
          <w:lang w:val="en-US"/>
        </w:rPr>
        <w:t xml:space="preserve"> </w:t>
      </w:r>
      <w:r w:rsidRPr="009B3BD2">
        <w:rPr>
          <w:rStyle w:val="Refdenotaalpie"/>
          <w:rFonts w:asciiTheme="majorHAnsi" w:hAnsiTheme="majorHAnsi"/>
          <w:sz w:val="20"/>
          <w:szCs w:val="20"/>
          <w:lang w:val="es-CO"/>
        </w:rPr>
        <w:footnoteReference w:id="3"/>
      </w:r>
      <w:r>
        <w:rPr>
          <w:rFonts w:ascii="Cambria" w:hAnsi="Cambria"/>
          <w:sz w:val="20"/>
          <w:szCs w:val="20"/>
          <w:lang w:val="en-US"/>
        </w:rPr>
        <w:t xml:space="preserve"> as part of the </w:t>
      </w:r>
      <w:proofErr w:type="spellStart"/>
      <w:r>
        <w:rPr>
          <w:rFonts w:ascii="Cambria" w:hAnsi="Cambria"/>
          <w:i/>
          <w:sz w:val="20"/>
          <w:szCs w:val="20"/>
          <w:lang w:val="en-US"/>
        </w:rPr>
        <w:t>Movimientos</w:t>
      </w:r>
      <w:proofErr w:type="spellEnd"/>
      <w:r>
        <w:rPr>
          <w:rFonts w:ascii="Cambria" w:hAnsi="Cambria"/>
          <w:i/>
          <w:sz w:val="20"/>
          <w:szCs w:val="20"/>
          <w:lang w:val="en-US"/>
        </w:rPr>
        <w:t xml:space="preserve"> </w:t>
      </w:r>
      <w:proofErr w:type="spellStart"/>
      <w:r>
        <w:rPr>
          <w:rFonts w:ascii="Cambria" w:hAnsi="Cambria"/>
          <w:i/>
          <w:sz w:val="20"/>
          <w:szCs w:val="20"/>
          <w:lang w:val="en-US"/>
        </w:rPr>
        <w:t>Progresistas</w:t>
      </w:r>
      <w:proofErr w:type="spellEnd"/>
      <w:r>
        <w:rPr>
          <w:rFonts w:ascii="Cambria" w:hAnsi="Cambria"/>
          <w:i/>
          <w:sz w:val="20"/>
          <w:szCs w:val="20"/>
          <w:lang w:val="en-US"/>
        </w:rPr>
        <w:t xml:space="preserve"> </w:t>
      </w:r>
      <w:r>
        <w:rPr>
          <w:rFonts w:ascii="Cambria" w:hAnsi="Cambria"/>
          <w:sz w:val="20"/>
          <w:szCs w:val="20"/>
          <w:lang w:val="en-US"/>
        </w:rPr>
        <w:t>(Progressive Movement).</w:t>
      </w:r>
    </w:p>
    <w:p w14:paraId="15175C3A"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3C39CFF2" w14:textId="77777777" w:rsidR="00A84770" w:rsidRPr="00ED596C" w:rsidRDefault="00A84770" w:rsidP="00A84770">
      <w:pPr>
        <w:pStyle w:val="Ttulo2"/>
        <w:numPr>
          <w:ilvl w:val="0"/>
          <w:numId w:val="60"/>
        </w:numPr>
        <w:ind w:left="709" w:firstLine="0"/>
        <w:rPr>
          <w:rFonts w:cs="Arial"/>
          <w:bCs/>
          <w:iCs/>
          <w:lang w:val="en-US"/>
        </w:rPr>
      </w:pPr>
      <w:bookmarkStart w:id="7" w:name="_Toc496666291"/>
      <w:r w:rsidRPr="00ED596C">
        <w:rPr>
          <w:rFonts w:cs="Arial"/>
          <w:bCs/>
          <w:iCs/>
          <w:lang w:val="en-US"/>
        </w:rPr>
        <w:t>About the legal framework relevant to the disciplinary-sanctions procedure</w:t>
      </w:r>
      <w:bookmarkEnd w:id="7"/>
      <w:r w:rsidRPr="00ED596C">
        <w:rPr>
          <w:rFonts w:cs="Arial"/>
          <w:bCs/>
          <w:iCs/>
          <w:lang w:val="en-US"/>
        </w:rPr>
        <w:t xml:space="preserve"> </w:t>
      </w:r>
    </w:p>
    <w:p w14:paraId="10EB5D92" w14:textId="77777777" w:rsidR="00A84770" w:rsidRDefault="00A84770" w:rsidP="00A84770">
      <w:pPr>
        <w:pStyle w:val="Ttulo3"/>
        <w:numPr>
          <w:ilvl w:val="1"/>
          <w:numId w:val="54"/>
        </w:numPr>
        <w:tabs>
          <w:tab w:val="clear" w:pos="1800"/>
          <w:tab w:val="num" w:pos="1440"/>
        </w:tabs>
        <w:ind w:hanging="1080"/>
        <w:rPr>
          <w:color w:val="auto"/>
          <w:sz w:val="20"/>
          <w:szCs w:val="20"/>
          <w:lang w:val="es-CO"/>
        </w:rPr>
      </w:pPr>
      <w:bookmarkStart w:id="8" w:name="_Toc496666292"/>
      <w:proofErr w:type="spellStart"/>
      <w:r>
        <w:rPr>
          <w:color w:val="auto"/>
          <w:sz w:val="20"/>
          <w:szCs w:val="20"/>
          <w:lang w:val="es-CO"/>
        </w:rPr>
        <w:t>The</w:t>
      </w:r>
      <w:proofErr w:type="spellEnd"/>
      <w:r>
        <w:rPr>
          <w:color w:val="auto"/>
          <w:sz w:val="20"/>
          <w:szCs w:val="20"/>
          <w:lang w:val="es-CO"/>
        </w:rPr>
        <w:t xml:space="preserve"> </w:t>
      </w:r>
      <w:proofErr w:type="spellStart"/>
      <w:r>
        <w:rPr>
          <w:color w:val="auto"/>
          <w:sz w:val="20"/>
          <w:szCs w:val="20"/>
          <w:lang w:val="es-CO"/>
        </w:rPr>
        <w:t>Political</w:t>
      </w:r>
      <w:proofErr w:type="spellEnd"/>
      <w:r>
        <w:rPr>
          <w:color w:val="auto"/>
          <w:sz w:val="20"/>
          <w:szCs w:val="20"/>
          <w:lang w:val="es-CO"/>
        </w:rPr>
        <w:t xml:space="preserve"> </w:t>
      </w:r>
      <w:proofErr w:type="spellStart"/>
      <w:r>
        <w:rPr>
          <w:color w:val="auto"/>
          <w:sz w:val="20"/>
          <w:szCs w:val="20"/>
          <w:lang w:val="es-CO"/>
        </w:rPr>
        <w:t>Constitution</w:t>
      </w:r>
      <w:bookmarkEnd w:id="8"/>
      <w:proofErr w:type="spellEnd"/>
    </w:p>
    <w:p w14:paraId="307157AC"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073D2CB7"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n-US"/>
        </w:rPr>
      </w:pPr>
      <w:r>
        <w:rPr>
          <w:rFonts w:ascii="Cambria" w:hAnsi="Cambria"/>
          <w:sz w:val="20"/>
          <w:szCs w:val="20"/>
          <w:lang w:val="en-US"/>
        </w:rPr>
        <w:t xml:space="preserve"> The Political Constitution of Colombia states in Articles 277 and 278 the following:</w:t>
      </w:r>
    </w:p>
    <w:p w14:paraId="50E92A0B"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1BFEBF5D"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803" w:firstLine="0"/>
        <w:jc w:val="both"/>
        <w:rPr>
          <w:rFonts w:ascii="Cambria" w:hAnsi="Cambria"/>
          <w:sz w:val="20"/>
          <w:szCs w:val="20"/>
          <w:lang w:val="en-US"/>
        </w:rPr>
      </w:pPr>
      <w:r w:rsidRPr="009D7021">
        <w:rPr>
          <w:rFonts w:ascii="Cambria" w:hAnsi="Cambria"/>
          <w:sz w:val="20"/>
          <w:szCs w:val="20"/>
          <w:lang w:val="en-US"/>
        </w:rPr>
        <w:t>Article 277. The National Attorney General, by himself/herself or through his/her</w:t>
      </w:r>
      <w:r>
        <w:rPr>
          <w:rFonts w:ascii="Cambria" w:hAnsi="Cambria"/>
          <w:sz w:val="20"/>
          <w:szCs w:val="20"/>
          <w:lang w:val="en-US"/>
        </w:rPr>
        <w:t xml:space="preserve"> </w:t>
      </w:r>
      <w:r w:rsidRPr="009D7021">
        <w:rPr>
          <w:rFonts w:ascii="Cambria" w:hAnsi="Cambria"/>
          <w:sz w:val="20"/>
          <w:szCs w:val="20"/>
          <w:lang w:val="en-US"/>
        </w:rPr>
        <w:t>delegates and agents, will have the following functions:</w:t>
      </w:r>
    </w:p>
    <w:p w14:paraId="170024AF"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803" w:firstLine="0"/>
        <w:jc w:val="both"/>
        <w:rPr>
          <w:rFonts w:ascii="Cambria" w:hAnsi="Cambria"/>
          <w:sz w:val="20"/>
          <w:szCs w:val="20"/>
          <w:lang w:val="en-US"/>
        </w:rPr>
      </w:pPr>
    </w:p>
    <w:p w14:paraId="7B8C1581"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803" w:firstLine="0"/>
        <w:jc w:val="both"/>
        <w:rPr>
          <w:rFonts w:ascii="Cambria" w:hAnsi="Cambria"/>
          <w:sz w:val="20"/>
          <w:szCs w:val="20"/>
          <w:lang w:val="en-US"/>
        </w:rPr>
      </w:pPr>
      <w:r>
        <w:rPr>
          <w:rFonts w:ascii="Cambria" w:hAnsi="Cambria"/>
          <w:sz w:val="20"/>
          <w:szCs w:val="20"/>
          <w:lang w:val="en-US"/>
        </w:rPr>
        <w:t xml:space="preserve">(…) </w:t>
      </w:r>
      <w:r w:rsidRPr="008908ED">
        <w:rPr>
          <w:rFonts w:ascii="Cambria" w:hAnsi="Cambria"/>
          <w:sz w:val="20"/>
          <w:szCs w:val="20"/>
          <w:lang w:val="en-US"/>
        </w:rPr>
        <w:t>6. To supervise at the highest level the official conduct of those who hold public office,</w:t>
      </w:r>
      <w:r>
        <w:rPr>
          <w:rFonts w:ascii="Cambria" w:hAnsi="Cambria"/>
          <w:sz w:val="20"/>
          <w:szCs w:val="20"/>
          <w:lang w:val="en-US"/>
        </w:rPr>
        <w:t xml:space="preserve"> i</w:t>
      </w:r>
      <w:r w:rsidRPr="008908ED">
        <w:rPr>
          <w:rFonts w:ascii="Cambria" w:hAnsi="Cambria"/>
          <w:sz w:val="20"/>
          <w:szCs w:val="20"/>
          <w:lang w:val="en-US"/>
        </w:rPr>
        <w:t>ncluding those popularly elected; exercise on a preferential basis the disciplinary</w:t>
      </w:r>
      <w:r>
        <w:rPr>
          <w:rFonts w:ascii="Cambria" w:hAnsi="Cambria"/>
          <w:sz w:val="20"/>
          <w:szCs w:val="20"/>
          <w:lang w:val="en-US"/>
        </w:rPr>
        <w:t xml:space="preserve"> authority; </w:t>
      </w:r>
      <w:r w:rsidRPr="008908ED">
        <w:rPr>
          <w:rFonts w:ascii="Cambria" w:hAnsi="Cambria"/>
          <w:sz w:val="20"/>
          <w:szCs w:val="20"/>
          <w:lang w:val="en-US"/>
        </w:rPr>
        <w:lastRenderedPageBreak/>
        <w:t>initiate the appropriate investigations and impose the appropriate sanctions in</w:t>
      </w:r>
      <w:r>
        <w:rPr>
          <w:rFonts w:ascii="Cambria" w:hAnsi="Cambria"/>
          <w:sz w:val="20"/>
          <w:szCs w:val="20"/>
          <w:lang w:val="en-US"/>
        </w:rPr>
        <w:t xml:space="preserve"> </w:t>
      </w:r>
      <w:r w:rsidRPr="008908ED">
        <w:rPr>
          <w:rFonts w:ascii="Cambria" w:hAnsi="Cambria"/>
          <w:sz w:val="20"/>
          <w:szCs w:val="20"/>
          <w:lang w:val="en-US"/>
        </w:rPr>
        <w:t>accordance with the law.</w:t>
      </w:r>
      <w:r w:rsidRPr="0054721C">
        <w:rPr>
          <w:rStyle w:val="Refdenotaalpie"/>
          <w:rFonts w:asciiTheme="majorHAnsi" w:hAnsiTheme="majorHAnsi"/>
          <w:sz w:val="20"/>
          <w:szCs w:val="20"/>
          <w:lang w:val="en-US"/>
        </w:rPr>
        <w:t xml:space="preserve"> </w:t>
      </w:r>
      <w:r w:rsidRPr="009B3BD2">
        <w:rPr>
          <w:rStyle w:val="Refdenotaalpie"/>
          <w:rFonts w:asciiTheme="majorHAnsi" w:hAnsiTheme="majorHAnsi"/>
          <w:sz w:val="20"/>
          <w:szCs w:val="20"/>
          <w:lang w:val="es-CO"/>
        </w:rPr>
        <w:footnoteReference w:id="4"/>
      </w:r>
    </w:p>
    <w:p w14:paraId="4821DE17"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5651E54E"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803" w:firstLine="0"/>
        <w:jc w:val="both"/>
        <w:rPr>
          <w:rFonts w:ascii="Cambria" w:hAnsi="Cambria"/>
          <w:sz w:val="20"/>
          <w:szCs w:val="20"/>
          <w:lang w:val="en-US"/>
        </w:rPr>
      </w:pPr>
      <w:r>
        <w:rPr>
          <w:rFonts w:ascii="Cambria" w:hAnsi="Cambria"/>
          <w:sz w:val="20"/>
          <w:szCs w:val="20"/>
          <w:lang w:val="en-US"/>
        </w:rPr>
        <w:t xml:space="preserve">Article 278. </w:t>
      </w:r>
      <w:r w:rsidRPr="00B01588">
        <w:rPr>
          <w:rFonts w:ascii="Cambria" w:hAnsi="Cambria"/>
          <w:sz w:val="20"/>
          <w:szCs w:val="20"/>
          <w:lang w:val="en-US"/>
        </w:rPr>
        <w:t>The General Prosecutor of the Nation will exercise the following functions directly:</w:t>
      </w:r>
    </w:p>
    <w:p w14:paraId="1ED6D015"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803" w:firstLine="0"/>
        <w:jc w:val="both"/>
        <w:rPr>
          <w:rFonts w:ascii="Cambria" w:hAnsi="Cambria"/>
          <w:sz w:val="20"/>
          <w:szCs w:val="20"/>
          <w:lang w:val="en-US"/>
        </w:rPr>
      </w:pPr>
    </w:p>
    <w:p w14:paraId="31F97AF0"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09" w:right="803" w:firstLine="0"/>
        <w:jc w:val="both"/>
        <w:rPr>
          <w:rFonts w:ascii="Cambria" w:hAnsi="Cambria"/>
          <w:sz w:val="20"/>
          <w:szCs w:val="20"/>
          <w:lang w:val="en-US"/>
        </w:rPr>
      </w:pPr>
      <w:r>
        <w:rPr>
          <w:rFonts w:ascii="Cambria" w:hAnsi="Cambria"/>
          <w:sz w:val="20"/>
          <w:szCs w:val="20"/>
          <w:lang w:val="en-US"/>
        </w:rPr>
        <w:t xml:space="preserve">1.  </w:t>
      </w:r>
      <w:r w:rsidRPr="00093B8A">
        <w:rPr>
          <w:rFonts w:ascii="Cambria" w:hAnsi="Cambria"/>
          <w:sz w:val="20"/>
          <w:szCs w:val="20"/>
          <w:lang w:val="en-US"/>
        </w:rPr>
        <w:t>Discharge from office, following a hearing and on the basis of justified</w:t>
      </w:r>
      <w:r>
        <w:rPr>
          <w:rFonts w:ascii="Cambria" w:hAnsi="Cambria"/>
          <w:sz w:val="20"/>
          <w:szCs w:val="20"/>
          <w:lang w:val="en-US"/>
        </w:rPr>
        <w:t xml:space="preserve"> </w:t>
      </w:r>
      <w:r w:rsidRPr="00093B8A">
        <w:rPr>
          <w:rFonts w:ascii="Cambria" w:hAnsi="Cambria"/>
          <w:sz w:val="20"/>
          <w:szCs w:val="20"/>
          <w:lang w:val="en-US"/>
        </w:rPr>
        <w:t>reasons, any public officials who are guilty of any of the following</w:t>
      </w:r>
      <w:r>
        <w:rPr>
          <w:rFonts w:ascii="Cambria" w:hAnsi="Cambria"/>
          <w:sz w:val="20"/>
          <w:szCs w:val="20"/>
          <w:lang w:val="en-US"/>
        </w:rPr>
        <w:t xml:space="preserve"> </w:t>
      </w:r>
      <w:r w:rsidRPr="00093B8A">
        <w:rPr>
          <w:rFonts w:ascii="Cambria" w:hAnsi="Cambria"/>
          <w:sz w:val="20"/>
          <w:szCs w:val="20"/>
          <w:lang w:val="en-US"/>
        </w:rPr>
        <w:t>deficiencies: violating the Constitution or the laws in an obvious manner;</w:t>
      </w:r>
      <w:r>
        <w:rPr>
          <w:rFonts w:ascii="Cambria" w:hAnsi="Cambria"/>
          <w:sz w:val="20"/>
          <w:szCs w:val="20"/>
          <w:lang w:val="en-US"/>
        </w:rPr>
        <w:t xml:space="preserve"> </w:t>
      </w:r>
      <w:r w:rsidRPr="00093B8A">
        <w:rPr>
          <w:rFonts w:ascii="Cambria" w:hAnsi="Cambria"/>
          <w:sz w:val="20"/>
          <w:szCs w:val="20"/>
          <w:lang w:val="en-US"/>
        </w:rPr>
        <w:t>deriving obvious and profitable material advantage from the exercise of</w:t>
      </w:r>
      <w:r>
        <w:rPr>
          <w:rFonts w:ascii="Cambria" w:hAnsi="Cambria"/>
          <w:sz w:val="20"/>
          <w:szCs w:val="20"/>
          <w:lang w:val="en-US"/>
        </w:rPr>
        <w:t xml:space="preserve"> </w:t>
      </w:r>
      <w:r w:rsidRPr="00093B8A">
        <w:rPr>
          <w:rFonts w:ascii="Cambria" w:hAnsi="Cambria"/>
          <w:sz w:val="20"/>
          <w:szCs w:val="20"/>
          <w:lang w:val="en-US"/>
        </w:rPr>
        <w:t>their duties or functions; impeding in serious manner investigations carried</w:t>
      </w:r>
      <w:r>
        <w:rPr>
          <w:rFonts w:ascii="Cambria" w:hAnsi="Cambria"/>
          <w:sz w:val="20"/>
          <w:szCs w:val="20"/>
          <w:lang w:val="en-US"/>
        </w:rPr>
        <w:t xml:space="preserve"> </w:t>
      </w:r>
      <w:r w:rsidRPr="00093B8A">
        <w:rPr>
          <w:rFonts w:ascii="Cambria" w:hAnsi="Cambria"/>
          <w:sz w:val="20"/>
          <w:szCs w:val="20"/>
          <w:lang w:val="en-US"/>
        </w:rPr>
        <w:t>out by the Office of the Public Prosecutor or by an administrative or</w:t>
      </w:r>
      <w:r>
        <w:rPr>
          <w:rFonts w:ascii="Cambria" w:hAnsi="Cambria"/>
          <w:sz w:val="20"/>
          <w:szCs w:val="20"/>
          <w:lang w:val="en-US"/>
        </w:rPr>
        <w:t xml:space="preserve"> </w:t>
      </w:r>
      <w:r w:rsidRPr="00093B8A">
        <w:rPr>
          <w:rFonts w:ascii="Cambria" w:hAnsi="Cambria"/>
          <w:sz w:val="20"/>
          <w:szCs w:val="20"/>
          <w:lang w:val="en-US"/>
        </w:rPr>
        <w:t>juridical authority; performing with obvious carelessness the investigation</w:t>
      </w:r>
      <w:r>
        <w:rPr>
          <w:rFonts w:ascii="Cambria" w:hAnsi="Cambria"/>
          <w:sz w:val="20"/>
          <w:szCs w:val="20"/>
          <w:lang w:val="en-US"/>
        </w:rPr>
        <w:t xml:space="preserve"> </w:t>
      </w:r>
      <w:r w:rsidRPr="00093B8A">
        <w:rPr>
          <w:rFonts w:ascii="Cambria" w:hAnsi="Cambria"/>
          <w:sz w:val="20"/>
          <w:szCs w:val="20"/>
          <w:lang w:val="en-US"/>
        </w:rPr>
        <w:t>and sanctioning of the disciplinary deficiencies of employees under their</w:t>
      </w:r>
      <w:r>
        <w:rPr>
          <w:rFonts w:ascii="Cambria" w:hAnsi="Cambria"/>
          <w:sz w:val="20"/>
          <w:szCs w:val="20"/>
          <w:lang w:val="en-US"/>
        </w:rPr>
        <w:t xml:space="preserve"> </w:t>
      </w:r>
      <w:r w:rsidRPr="00093B8A">
        <w:rPr>
          <w:rFonts w:ascii="Cambria" w:hAnsi="Cambria"/>
          <w:sz w:val="20"/>
          <w:szCs w:val="20"/>
          <w:lang w:val="en-US"/>
        </w:rPr>
        <w:t>authority or in the denunciation of punishable occurrences that they have</w:t>
      </w:r>
      <w:r>
        <w:rPr>
          <w:rFonts w:ascii="Cambria" w:hAnsi="Cambria"/>
          <w:sz w:val="20"/>
          <w:szCs w:val="20"/>
          <w:lang w:val="en-US"/>
        </w:rPr>
        <w:t xml:space="preserve"> </w:t>
      </w:r>
      <w:r w:rsidRPr="00093B8A">
        <w:rPr>
          <w:rFonts w:ascii="Cambria" w:hAnsi="Cambria"/>
          <w:sz w:val="20"/>
          <w:szCs w:val="20"/>
          <w:lang w:val="en-US"/>
        </w:rPr>
        <w:t>cognizance of by virtue of exercising their office.</w:t>
      </w:r>
      <w:r w:rsidRPr="009B3BD2">
        <w:rPr>
          <w:rStyle w:val="Refdenotaalpie"/>
          <w:rFonts w:asciiTheme="majorHAnsi" w:hAnsiTheme="majorHAnsi"/>
          <w:sz w:val="20"/>
          <w:szCs w:val="20"/>
          <w:lang w:val="es-CO"/>
        </w:rPr>
        <w:footnoteReference w:id="5"/>
      </w:r>
    </w:p>
    <w:p w14:paraId="4AEE23B3" w14:textId="77777777" w:rsidR="00A84770" w:rsidRDefault="00A84770" w:rsidP="00A84770">
      <w:pPr>
        <w:pStyle w:val="Ttulo3"/>
        <w:numPr>
          <w:ilvl w:val="1"/>
          <w:numId w:val="54"/>
        </w:numPr>
        <w:tabs>
          <w:tab w:val="clear" w:pos="1800"/>
        </w:tabs>
        <w:ind w:left="1418" w:hanging="709"/>
        <w:rPr>
          <w:color w:val="auto"/>
          <w:sz w:val="20"/>
          <w:szCs w:val="20"/>
          <w:lang w:val="es-CO"/>
        </w:rPr>
      </w:pPr>
      <w:bookmarkStart w:id="9" w:name="_Toc496666293"/>
      <w:proofErr w:type="spellStart"/>
      <w:r>
        <w:rPr>
          <w:color w:val="auto"/>
          <w:sz w:val="20"/>
          <w:szCs w:val="20"/>
          <w:lang w:val="es-CO"/>
        </w:rPr>
        <w:t>The</w:t>
      </w:r>
      <w:proofErr w:type="spellEnd"/>
      <w:r>
        <w:rPr>
          <w:color w:val="auto"/>
          <w:sz w:val="20"/>
          <w:szCs w:val="20"/>
          <w:lang w:val="es-CO"/>
        </w:rPr>
        <w:t xml:space="preserve"> Single </w:t>
      </w:r>
      <w:proofErr w:type="spellStart"/>
      <w:r>
        <w:rPr>
          <w:color w:val="auto"/>
          <w:sz w:val="20"/>
          <w:szCs w:val="20"/>
          <w:lang w:val="es-CO"/>
        </w:rPr>
        <w:t>Disciplinary</w:t>
      </w:r>
      <w:proofErr w:type="spellEnd"/>
      <w:r>
        <w:rPr>
          <w:color w:val="auto"/>
          <w:sz w:val="20"/>
          <w:szCs w:val="20"/>
          <w:lang w:val="es-CO"/>
        </w:rPr>
        <w:t xml:space="preserve"> </w:t>
      </w:r>
      <w:proofErr w:type="spellStart"/>
      <w:r>
        <w:rPr>
          <w:color w:val="auto"/>
          <w:sz w:val="20"/>
          <w:szCs w:val="20"/>
          <w:lang w:val="es-CO"/>
        </w:rPr>
        <w:t>Code</w:t>
      </w:r>
      <w:bookmarkEnd w:id="9"/>
      <w:proofErr w:type="spellEnd"/>
    </w:p>
    <w:p w14:paraId="2CDC740D"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205CF163"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n-US"/>
        </w:rPr>
      </w:pPr>
      <w:r>
        <w:rPr>
          <w:rFonts w:ascii="Cambria" w:hAnsi="Cambria"/>
          <w:sz w:val="20"/>
          <w:szCs w:val="20"/>
          <w:lang w:val="en-US"/>
        </w:rPr>
        <w:t>The Single Disciplinary Code, Law 734 of 2002, states the following:</w:t>
      </w:r>
    </w:p>
    <w:p w14:paraId="28A53490"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64DE4ABB" w14:textId="77777777" w:rsidR="00A84770" w:rsidRPr="000975FB" w:rsidRDefault="00A84770" w:rsidP="00A84770">
      <w:pPr>
        <w:ind w:left="709" w:right="803"/>
        <w:jc w:val="both"/>
        <w:rPr>
          <w:rFonts w:ascii="Cambria" w:hAnsi="Cambria"/>
          <w:sz w:val="21"/>
        </w:rPr>
      </w:pPr>
      <w:r w:rsidRPr="000975FB">
        <w:rPr>
          <w:rFonts w:ascii="Cambria" w:hAnsi="Cambria"/>
          <w:sz w:val="21"/>
        </w:rPr>
        <w:t>Article 3 — Preferential disciplinary power. The preferential exercise of the disciplinary power has been vested to the Office of the Attorney General of the Nation, pursuant of which it can start, follow or remit any investigation or judgment of competence of the public entities’ internal disciplinary control bodies. Likewise, it may assume the proceedings in the second instance.</w:t>
      </w:r>
      <w:r>
        <w:rPr>
          <w:rFonts w:ascii="Cambria" w:hAnsi="Cambria"/>
          <w:sz w:val="21"/>
        </w:rPr>
        <w:t xml:space="preserve"> (…)</w:t>
      </w:r>
    </w:p>
    <w:p w14:paraId="3EE5E0A5" w14:textId="77777777" w:rsidR="00A84770" w:rsidRPr="000975FB" w:rsidRDefault="00A84770" w:rsidP="00A84770">
      <w:pPr>
        <w:ind w:left="709" w:right="803"/>
        <w:jc w:val="both"/>
        <w:rPr>
          <w:rFonts w:ascii="Cambria" w:hAnsi="Cambria"/>
          <w:sz w:val="21"/>
        </w:rPr>
      </w:pPr>
    </w:p>
    <w:p w14:paraId="13E7E553" w14:textId="77777777" w:rsidR="00A84770" w:rsidRDefault="00A84770" w:rsidP="00A84770">
      <w:pPr>
        <w:ind w:left="709" w:right="803"/>
        <w:jc w:val="both"/>
        <w:rPr>
          <w:rFonts w:ascii="Cambria" w:hAnsi="Cambria"/>
          <w:sz w:val="21"/>
        </w:rPr>
      </w:pPr>
      <w:r w:rsidRPr="00767208">
        <w:rPr>
          <w:rFonts w:ascii="Cambria" w:hAnsi="Cambria"/>
          <w:sz w:val="21"/>
        </w:rPr>
        <w:t xml:space="preserve">Article 44 — </w:t>
      </w:r>
      <w:r>
        <w:rPr>
          <w:rFonts w:ascii="Cambria" w:hAnsi="Cambria"/>
          <w:sz w:val="21"/>
        </w:rPr>
        <w:t>Types</w:t>
      </w:r>
      <w:r w:rsidRPr="00767208">
        <w:rPr>
          <w:rFonts w:ascii="Cambria" w:hAnsi="Cambria"/>
          <w:sz w:val="21"/>
        </w:rPr>
        <w:t xml:space="preserve"> of sanctions. The public servant is subject to the following sanctions:</w:t>
      </w:r>
    </w:p>
    <w:p w14:paraId="42554A4A" w14:textId="77777777" w:rsidR="00A84770" w:rsidRPr="00767208" w:rsidRDefault="00A84770" w:rsidP="00A84770">
      <w:pPr>
        <w:ind w:left="709" w:right="803"/>
        <w:jc w:val="both"/>
        <w:rPr>
          <w:rFonts w:ascii="Cambria" w:hAnsi="Cambria"/>
          <w:sz w:val="21"/>
        </w:rPr>
      </w:pPr>
    </w:p>
    <w:p w14:paraId="5D0FC801" w14:textId="77777777" w:rsidR="00A84770" w:rsidRPr="00767208" w:rsidRDefault="00A84770" w:rsidP="00A84770">
      <w:pPr>
        <w:ind w:left="709" w:right="803"/>
        <w:jc w:val="both"/>
        <w:rPr>
          <w:rFonts w:ascii="Cambria" w:hAnsi="Cambria"/>
          <w:sz w:val="21"/>
        </w:rPr>
      </w:pPr>
      <w:r w:rsidRPr="00767208">
        <w:rPr>
          <w:rFonts w:ascii="Cambria" w:hAnsi="Cambria"/>
          <w:sz w:val="21"/>
        </w:rPr>
        <w:t xml:space="preserve">1. Dismissal and general disqualification, for very serious </w:t>
      </w:r>
      <w:r>
        <w:rPr>
          <w:rFonts w:ascii="Cambria" w:hAnsi="Cambria"/>
          <w:sz w:val="21"/>
        </w:rPr>
        <w:t>offense</w:t>
      </w:r>
      <w:r w:rsidRPr="00767208">
        <w:rPr>
          <w:rFonts w:ascii="Cambria" w:hAnsi="Cambria"/>
          <w:sz w:val="21"/>
        </w:rPr>
        <w:t>s committed with extremely gross</w:t>
      </w:r>
      <w:r>
        <w:rPr>
          <w:rFonts w:ascii="Cambria" w:hAnsi="Cambria"/>
          <w:sz w:val="21"/>
        </w:rPr>
        <w:t xml:space="preserve"> </w:t>
      </w:r>
      <w:r w:rsidRPr="00767208">
        <w:rPr>
          <w:rFonts w:ascii="Cambria" w:hAnsi="Cambria"/>
          <w:sz w:val="21"/>
        </w:rPr>
        <w:t>negligence.</w:t>
      </w:r>
    </w:p>
    <w:p w14:paraId="4178C75F" w14:textId="77777777" w:rsidR="00A84770" w:rsidRPr="00767208" w:rsidRDefault="00A84770" w:rsidP="00A84770">
      <w:pPr>
        <w:ind w:left="709" w:right="803"/>
        <w:jc w:val="both"/>
        <w:rPr>
          <w:rFonts w:ascii="Cambria" w:hAnsi="Cambria"/>
          <w:sz w:val="21"/>
        </w:rPr>
      </w:pPr>
      <w:r w:rsidRPr="00767208">
        <w:rPr>
          <w:rFonts w:ascii="Cambria" w:hAnsi="Cambria"/>
          <w:sz w:val="21"/>
        </w:rPr>
        <w:t xml:space="preserve">2. Suspension in the exercise of the position and special disqualification for the serious </w:t>
      </w:r>
      <w:r>
        <w:rPr>
          <w:rFonts w:ascii="Cambria" w:hAnsi="Cambria"/>
          <w:sz w:val="21"/>
        </w:rPr>
        <w:t>offense</w:t>
      </w:r>
      <w:r w:rsidRPr="00767208">
        <w:rPr>
          <w:rFonts w:ascii="Cambria" w:hAnsi="Cambria"/>
          <w:sz w:val="21"/>
        </w:rPr>
        <w:t>s</w:t>
      </w:r>
      <w:r>
        <w:rPr>
          <w:rFonts w:ascii="Cambria" w:hAnsi="Cambria"/>
          <w:sz w:val="21"/>
        </w:rPr>
        <w:t xml:space="preserve"> </w:t>
      </w:r>
      <w:r w:rsidRPr="00767208">
        <w:rPr>
          <w:rFonts w:ascii="Cambria" w:hAnsi="Cambria"/>
          <w:sz w:val="21"/>
        </w:rPr>
        <w:t>committed with willful misconduct or extremely gross negligence.</w:t>
      </w:r>
    </w:p>
    <w:p w14:paraId="51856EC3" w14:textId="77777777" w:rsidR="00A84770" w:rsidRPr="00767208" w:rsidRDefault="00A84770" w:rsidP="00A84770">
      <w:pPr>
        <w:ind w:left="709" w:right="803"/>
        <w:jc w:val="both"/>
        <w:rPr>
          <w:rFonts w:ascii="Cambria" w:hAnsi="Cambria"/>
          <w:sz w:val="21"/>
        </w:rPr>
      </w:pPr>
      <w:r w:rsidRPr="00767208">
        <w:rPr>
          <w:rFonts w:ascii="Cambria" w:hAnsi="Cambria"/>
          <w:sz w:val="21"/>
        </w:rPr>
        <w:t xml:space="preserve">3. Suspension, for the serious </w:t>
      </w:r>
      <w:r>
        <w:rPr>
          <w:rFonts w:ascii="Cambria" w:hAnsi="Cambria"/>
          <w:sz w:val="21"/>
        </w:rPr>
        <w:t>offense</w:t>
      </w:r>
      <w:r w:rsidRPr="00767208">
        <w:rPr>
          <w:rFonts w:ascii="Cambria" w:hAnsi="Cambria"/>
          <w:sz w:val="21"/>
        </w:rPr>
        <w:t>s committed with gross negligence.</w:t>
      </w:r>
    </w:p>
    <w:p w14:paraId="06F71439" w14:textId="77777777" w:rsidR="00A84770" w:rsidRPr="00767208" w:rsidRDefault="00A84770" w:rsidP="00A84770">
      <w:pPr>
        <w:ind w:left="709" w:right="803"/>
        <w:jc w:val="both"/>
        <w:rPr>
          <w:rFonts w:ascii="Cambria" w:hAnsi="Cambria"/>
          <w:sz w:val="21"/>
        </w:rPr>
      </w:pPr>
      <w:r w:rsidRPr="00767208">
        <w:rPr>
          <w:rFonts w:ascii="Cambria" w:hAnsi="Cambria"/>
          <w:sz w:val="21"/>
        </w:rPr>
        <w:t xml:space="preserve">4. Fine, for the minor </w:t>
      </w:r>
      <w:r>
        <w:rPr>
          <w:rFonts w:ascii="Cambria" w:hAnsi="Cambria"/>
          <w:sz w:val="21"/>
        </w:rPr>
        <w:t>offense</w:t>
      </w:r>
      <w:r w:rsidRPr="00767208">
        <w:rPr>
          <w:rFonts w:ascii="Cambria" w:hAnsi="Cambria"/>
          <w:sz w:val="21"/>
        </w:rPr>
        <w:t>s committed with willful misconduct.</w:t>
      </w:r>
    </w:p>
    <w:p w14:paraId="4FCF78F7" w14:textId="77777777" w:rsidR="00A84770" w:rsidRDefault="00A84770" w:rsidP="00A84770">
      <w:pPr>
        <w:ind w:left="709" w:right="803"/>
        <w:jc w:val="both"/>
        <w:rPr>
          <w:rFonts w:ascii="Cambria" w:hAnsi="Cambria"/>
          <w:sz w:val="21"/>
        </w:rPr>
      </w:pPr>
      <w:r w:rsidRPr="00767208">
        <w:rPr>
          <w:rFonts w:ascii="Cambria" w:hAnsi="Cambria"/>
          <w:sz w:val="21"/>
        </w:rPr>
        <w:t xml:space="preserve">5. Written admonishment, for the minor </w:t>
      </w:r>
      <w:r>
        <w:rPr>
          <w:rFonts w:ascii="Cambria" w:hAnsi="Cambria"/>
          <w:sz w:val="21"/>
        </w:rPr>
        <w:t>offense</w:t>
      </w:r>
      <w:r w:rsidRPr="00767208">
        <w:rPr>
          <w:rFonts w:ascii="Cambria" w:hAnsi="Cambria"/>
          <w:sz w:val="21"/>
        </w:rPr>
        <w:t>s committed by negligence.</w:t>
      </w:r>
    </w:p>
    <w:p w14:paraId="656086A7" w14:textId="77777777" w:rsidR="00A84770" w:rsidRDefault="00A84770" w:rsidP="00A84770">
      <w:pPr>
        <w:ind w:left="709" w:right="803"/>
        <w:jc w:val="both"/>
        <w:rPr>
          <w:rFonts w:ascii="Cambria" w:hAnsi="Cambria"/>
          <w:sz w:val="21"/>
        </w:rPr>
      </w:pPr>
    </w:p>
    <w:p w14:paraId="431A963A" w14:textId="77777777" w:rsidR="00A84770" w:rsidRPr="00767208" w:rsidRDefault="00A84770" w:rsidP="00A84770">
      <w:pPr>
        <w:ind w:left="709" w:right="803"/>
        <w:jc w:val="both"/>
        <w:rPr>
          <w:rFonts w:ascii="Cambria" w:hAnsi="Cambria"/>
          <w:sz w:val="21"/>
        </w:rPr>
      </w:pPr>
      <w:r w:rsidRPr="00767208">
        <w:rPr>
          <w:rFonts w:ascii="Cambria" w:hAnsi="Cambria"/>
          <w:sz w:val="21"/>
        </w:rPr>
        <w:t xml:space="preserve">Paragraph. There will be extremely gross negligence when the disciplinary </w:t>
      </w:r>
      <w:r w:rsidRPr="002D5645">
        <w:rPr>
          <w:rFonts w:ascii="Cambria" w:hAnsi="Cambria"/>
          <w:sz w:val="21"/>
        </w:rPr>
        <w:t xml:space="preserve">offense </w:t>
      </w:r>
      <w:r>
        <w:rPr>
          <w:rFonts w:ascii="Cambria" w:hAnsi="Cambria"/>
          <w:sz w:val="21"/>
        </w:rPr>
        <w:t xml:space="preserve">is incurred by </w:t>
      </w:r>
      <w:r w:rsidRPr="00767208">
        <w:rPr>
          <w:rFonts w:ascii="Cambria" w:hAnsi="Cambria"/>
          <w:sz w:val="21"/>
        </w:rPr>
        <w:t>ignorance, elementary lack of attention or manifest violation of binding rules. There will be gross</w:t>
      </w:r>
      <w:r>
        <w:rPr>
          <w:rFonts w:ascii="Cambria" w:hAnsi="Cambria"/>
          <w:sz w:val="21"/>
        </w:rPr>
        <w:t xml:space="preserve"> </w:t>
      </w:r>
      <w:r w:rsidRPr="00767208">
        <w:rPr>
          <w:rFonts w:ascii="Cambria" w:hAnsi="Cambria"/>
          <w:sz w:val="21"/>
        </w:rPr>
        <w:t xml:space="preserve">negligence when the disciplinary </w:t>
      </w:r>
      <w:r w:rsidRPr="002D5645">
        <w:rPr>
          <w:rFonts w:ascii="Cambria" w:hAnsi="Cambria"/>
          <w:sz w:val="21"/>
        </w:rPr>
        <w:t xml:space="preserve">offense </w:t>
      </w:r>
      <w:r w:rsidRPr="00767208">
        <w:rPr>
          <w:rFonts w:ascii="Cambria" w:hAnsi="Cambria"/>
          <w:sz w:val="21"/>
        </w:rPr>
        <w:t xml:space="preserve">is committed due to the </w:t>
      </w:r>
      <w:r>
        <w:rPr>
          <w:rFonts w:ascii="Cambria" w:hAnsi="Cambria"/>
          <w:sz w:val="21"/>
        </w:rPr>
        <w:t>lack o</w:t>
      </w:r>
      <w:r w:rsidRPr="00767208">
        <w:rPr>
          <w:rFonts w:ascii="Cambria" w:hAnsi="Cambria"/>
          <w:sz w:val="21"/>
        </w:rPr>
        <w:t>f necessary care</w:t>
      </w:r>
      <w:r>
        <w:rPr>
          <w:rFonts w:ascii="Cambria" w:hAnsi="Cambria"/>
          <w:sz w:val="21"/>
        </w:rPr>
        <w:t xml:space="preserve"> </w:t>
      </w:r>
      <w:r w:rsidRPr="00767208">
        <w:rPr>
          <w:rFonts w:ascii="Cambria" w:hAnsi="Cambria"/>
          <w:sz w:val="21"/>
        </w:rPr>
        <w:t>that any ordinary person observes in its acts</w:t>
      </w:r>
      <w:r>
        <w:rPr>
          <w:rFonts w:ascii="Cambria" w:hAnsi="Cambria"/>
          <w:sz w:val="21"/>
        </w:rPr>
        <w:t>.</w:t>
      </w:r>
    </w:p>
    <w:p w14:paraId="6E01F593" w14:textId="77777777" w:rsidR="00A84770" w:rsidRPr="000975FB" w:rsidRDefault="00A84770" w:rsidP="00A84770">
      <w:pPr>
        <w:ind w:left="709" w:right="803"/>
        <w:jc w:val="both"/>
        <w:rPr>
          <w:rFonts w:ascii="Cambria" w:hAnsi="Cambria"/>
          <w:sz w:val="21"/>
        </w:rPr>
      </w:pPr>
    </w:p>
    <w:p w14:paraId="5C3705AE" w14:textId="77777777" w:rsidR="00A84770" w:rsidRDefault="00A84770" w:rsidP="00A84770">
      <w:pPr>
        <w:ind w:left="709" w:right="803"/>
        <w:jc w:val="both"/>
        <w:rPr>
          <w:rFonts w:ascii="Cambria" w:hAnsi="Cambria"/>
          <w:sz w:val="21"/>
        </w:rPr>
      </w:pPr>
      <w:r w:rsidRPr="00767208">
        <w:rPr>
          <w:rFonts w:ascii="Cambria" w:hAnsi="Cambria"/>
          <w:sz w:val="21"/>
        </w:rPr>
        <w:t>Article 45 — Definition of the sanctions.</w:t>
      </w:r>
    </w:p>
    <w:p w14:paraId="45E1D906" w14:textId="77777777" w:rsidR="00A84770" w:rsidRPr="00767208" w:rsidRDefault="00A84770" w:rsidP="00A84770">
      <w:pPr>
        <w:ind w:left="709" w:right="803"/>
        <w:jc w:val="both"/>
        <w:rPr>
          <w:rFonts w:ascii="Cambria" w:hAnsi="Cambria"/>
          <w:sz w:val="21"/>
        </w:rPr>
      </w:pPr>
    </w:p>
    <w:p w14:paraId="044F9BD7" w14:textId="77777777" w:rsidR="00A84770" w:rsidRDefault="00A84770" w:rsidP="00A84770">
      <w:pPr>
        <w:ind w:left="709" w:right="803"/>
        <w:jc w:val="both"/>
        <w:rPr>
          <w:rFonts w:ascii="Cambria" w:hAnsi="Cambria"/>
          <w:sz w:val="21"/>
        </w:rPr>
      </w:pPr>
      <w:r w:rsidRPr="00767208">
        <w:rPr>
          <w:rFonts w:ascii="Cambria" w:hAnsi="Cambria"/>
          <w:sz w:val="21"/>
        </w:rPr>
        <w:t>1. The dismissal and general disqualification implies:</w:t>
      </w:r>
    </w:p>
    <w:p w14:paraId="7D1A46B7" w14:textId="77777777" w:rsidR="00A84770" w:rsidRPr="00767208" w:rsidRDefault="00A84770" w:rsidP="00A84770">
      <w:pPr>
        <w:ind w:left="709" w:right="803"/>
        <w:jc w:val="both"/>
        <w:rPr>
          <w:rFonts w:ascii="Cambria" w:hAnsi="Cambria"/>
          <w:sz w:val="21"/>
        </w:rPr>
      </w:pPr>
    </w:p>
    <w:p w14:paraId="7417E2D9" w14:textId="77777777" w:rsidR="00A84770" w:rsidRPr="00767208" w:rsidRDefault="00A84770" w:rsidP="00A84770">
      <w:pPr>
        <w:ind w:left="709" w:right="803"/>
        <w:jc w:val="both"/>
        <w:rPr>
          <w:rFonts w:ascii="Cambria" w:hAnsi="Cambria"/>
          <w:sz w:val="21"/>
        </w:rPr>
      </w:pPr>
      <w:r>
        <w:rPr>
          <w:rFonts w:ascii="Cambria" w:hAnsi="Cambria"/>
          <w:sz w:val="21"/>
        </w:rPr>
        <w:t>a)</w:t>
      </w:r>
      <w:r w:rsidRPr="00767208">
        <w:rPr>
          <w:rFonts w:ascii="Cambria" w:hAnsi="Cambria"/>
          <w:sz w:val="21"/>
        </w:rPr>
        <w:t xml:space="preserve"> The termination of the relation of the public servant with the administration, whether or not it</w:t>
      </w:r>
      <w:r>
        <w:rPr>
          <w:rFonts w:ascii="Cambria" w:hAnsi="Cambria"/>
          <w:sz w:val="21"/>
        </w:rPr>
        <w:t xml:space="preserve"> </w:t>
      </w:r>
      <w:r w:rsidRPr="00767208">
        <w:rPr>
          <w:rFonts w:ascii="Cambria" w:hAnsi="Cambria"/>
          <w:sz w:val="21"/>
        </w:rPr>
        <w:t>is of free appointment and removal, of career or election, or</w:t>
      </w:r>
    </w:p>
    <w:p w14:paraId="53668F26" w14:textId="77777777" w:rsidR="00A84770" w:rsidRPr="00767208" w:rsidRDefault="00A84770" w:rsidP="00A84770">
      <w:pPr>
        <w:ind w:left="709" w:right="803"/>
        <w:jc w:val="both"/>
        <w:rPr>
          <w:rFonts w:ascii="Cambria" w:hAnsi="Cambria"/>
          <w:sz w:val="21"/>
        </w:rPr>
      </w:pPr>
      <w:r>
        <w:rPr>
          <w:rFonts w:ascii="Cambria" w:hAnsi="Cambria"/>
          <w:sz w:val="21"/>
        </w:rPr>
        <w:t>b)</w:t>
      </w:r>
      <w:r w:rsidRPr="00767208">
        <w:rPr>
          <w:rFonts w:ascii="Cambria" w:hAnsi="Cambria"/>
          <w:sz w:val="21"/>
        </w:rPr>
        <w:t xml:space="preserve"> The removal from office, in the cases established in articles 110 and 278, subsection l, of the</w:t>
      </w:r>
      <w:r>
        <w:rPr>
          <w:rFonts w:ascii="Cambria" w:hAnsi="Cambria"/>
          <w:sz w:val="21"/>
        </w:rPr>
        <w:t xml:space="preserve"> </w:t>
      </w:r>
      <w:r w:rsidRPr="00767208">
        <w:rPr>
          <w:rFonts w:ascii="Cambria" w:hAnsi="Cambria"/>
          <w:sz w:val="21"/>
        </w:rPr>
        <w:t>National Constitution, or</w:t>
      </w:r>
    </w:p>
    <w:p w14:paraId="208E8970" w14:textId="77777777" w:rsidR="00A84770" w:rsidRPr="00767208" w:rsidRDefault="00A84770" w:rsidP="00A84770">
      <w:pPr>
        <w:ind w:left="709" w:right="803"/>
        <w:jc w:val="both"/>
        <w:rPr>
          <w:rFonts w:ascii="Cambria" w:hAnsi="Cambria"/>
          <w:sz w:val="21"/>
        </w:rPr>
      </w:pPr>
      <w:r>
        <w:rPr>
          <w:rFonts w:ascii="Cambria" w:hAnsi="Cambria"/>
          <w:sz w:val="21"/>
        </w:rPr>
        <w:t xml:space="preserve">c) </w:t>
      </w:r>
      <w:r w:rsidRPr="00767208">
        <w:rPr>
          <w:rFonts w:ascii="Cambria" w:hAnsi="Cambria"/>
          <w:sz w:val="21"/>
        </w:rPr>
        <w:t>The termination of the employment contract, and</w:t>
      </w:r>
    </w:p>
    <w:p w14:paraId="173B3EFE" w14:textId="77777777" w:rsidR="00A84770" w:rsidRDefault="00A84770" w:rsidP="00A84770">
      <w:pPr>
        <w:ind w:left="709" w:right="803"/>
        <w:jc w:val="both"/>
        <w:rPr>
          <w:rFonts w:ascii="Cambria" w:hAnsi="Cambria"/>
          <w:sz w:val="21"/>
        </w:rPr>
      </w:pPr>
      <w:r>
        <w:rPr>
          <w:rFonts w:ascii="Cambria" w:hAnsi="Cambria"/>
          <w:sz w:val="21"/>
        </w:rPr>
        <w:lastRenderedPageBreak/>
        <w:t xml:space="preserve">d) </w:t>
      </w:r>
      <w:r w:rsidRPr="00767208">
        <w:rPr>
          <w:rFonts w:ascii="Cambria" w:hAnsi="Cambria"/>
          <w:sz w:val="21"/>
        </w:rPr>
        <w:t>In all the foregoing cases, the impossibility to exercise the Public Function in any position or</w:t>
      </w:r>
      <w:r>
        <w:rPr>
          <w:rFonts w:ascii="Cambria" w:hAnsi="Cambria"/>
          <w:sz w:val="21"/>
        </w:rPr>
        <w:t xml:space="preserve"> </w:t>
      </w:r>
      <w:r w:rsidRPr="00767208">
        <w:rPr>
          <w:rFonts w:ascii="Cambria" w:hAnsi="Cambria"/>
          <w:sz w:val="21"/>
        </w:rPr>
        <w:t>function, for the term set forth in the ruling, and the exclusion of the job scale or career.</w:t>
      </w:r>
    </w:p>
    <w:p w14:paraId="56EC5DAE" w14:textId="77777777" w:rsidR="00A84770" w:rsidRPr="00767208" w:rsidRDefault="00A84770" w:rsidP="00A84770">
      <w:pPr>
        <w:ind w:left="709" w:right="803"/>
        <w:jc w:val="both"/>
        <w:rPr>
          <w:rFonts w:ascii="Cambria" w:hAnsi="Cambria"/>
          <w:sz w:val="21"/>
        </w:rPr>
      </w:pPr>
    </w:p>
    <w:p w14:paraId="44D2BA05" w14:textId="77777777" w:rsidR="00A84770" w:rsidRDefault="00A84770" w:rsidP="00A84770">
      <w:pPr>
        <w:ind w:left="709" w:right="803"/>
        <w:jc w:val="both"/>
        <w:rPr>
          <w:rFonts w:ascii="Cambria" w:hAnsi="Cambria"/>
          <w:sz w:val="21"/>
        </w:rPr>
      </w:pPr>
      <w:r>
        <w:rPr>
          <w:rFonts w:ascii="Cambria" w:hAnsi="Cambria"/>
          <w:sz w:val="21"/>
        </w:rPr>
        <w:t>2. S</w:t>
      </w:r>
      <w:r w:rsidRPr="00767208">
        <w:rPr>
          <w:rFonts w:ascii="Cambria" w:hAnsi="Cambria"/>
          <w:sz w:val="21"/>
        </w:rPr>
        <w:t>uspension means the separation from the exercise of the position in the performance of</w:t>
      </w:r>
      <w:r>
        <w:rPr>
          <w:rFonts w:ascii="Cambria" w:hAnsi="Cambria"/>
          <w:sz w:val="21"/>
        </w:rPr>
        <w:t xml:space="preserve"> which the disciplinary offense</w:t>
      </w:r>
      <w:r w:rsidRPr="00767208">
        <w:rPr>
          <w:rFonts w:ascii="Cambria" w:hAnsi="Cambria"/>
          <w:sz w:val="21"/>
        </w:rPr>
        <w:t xml:space="preserve"> was and the </w:t>
      </w:r>
      <w:r>
        <w:rPr>
          <w:rFonts w:ascii="Cambria" w:hAnsi="Cambria"/>
          <w:sz w:val="21"/>
        </w:rPr>
        <w:t xml:space="preserve">special </w:t>
      </w:r>
      <w:r w:rsidRPr="00767208">
        <w:rPr>
          <w:rFonts w:ascii="Cambria" w:hAnsi="Cambria"/>
          <w:sz w:val="21"/>
        </w:rPr>
        <w:t>disqualification, the impossibility of exercising</w:t>
      </w:r>
      <w:r>
        <w:rPr>
          <w:rFonts w:ascii="Cambria" w:hAnsi="Cambria"/>
          <w:sz w:val="21"/>
        </w:rPr>
        <w:t xml:space="preserve"> the public f</w:t>
      </w:r>
      <w:r w:rsidRPr="00767208">
        <w:rPr>
          <w:rFonts w:ascii="Cambria" w:hAnsi="Cambria"/>
          <w:sz w:val="21"/>
        </w:rPr>
        <w:t>unction, in any position other than that one, for the term determined in the ruling.</w:t>
      </w:r>
    </w:p>
    <w:p w14:paraId="63373B8A" w14:textId="77777777" w:rsidR="00A84770" w:rsidRPr="00767208" w:rsidRDefault="00A84770" w:rsidP="00A84770">
      <w:pPr>
        <w:ind w:left="709" w:right="803"/>
        <w:jc w:val="both"/>
        <w:rPr>
          <w:rFonts w:ascii="Cambria" w:hAnsi="Cambria"/>
          <w:sz w:val="21"/>
        </w:rPr>
      </w:pPr>
    </w:p>
    <w:p w14:paraId="58F40249" w14:textId="77777777" w:rsidR="00A84770" w:rsidRPr="00767208" w:rsidRDefault="00A84770" w:rsidP="00A84770">
      <w:pPr>
        <w:ind w:left="709" w:right="803"/>
        <w:jc w:val="both"/>
        <w:rPr>
          <w:rFonts w:ascii="Cambria" w:hAnsi="Cambria"/>
          <w:sz w:val="21"/>
        </w:rPr>
      </w:pPr>
      <w:r w:rsidRPr="00767208">
        <w:rPr>
          <w:rFonts w:ascii="Cambria" w:hAnsi="Cambria"/>
          <w:sz w:val="21"/>
        </w:rPr>
        <w:t>3. The fine is</w:t>
      </w:r>
      <w:r>
        <w:rPr>
          <w:rFonts w:ascii="Cambria" w:hAnsi="Cambria"/>
          <w:sz w:val="21"/>
        </w:rPr>
        <w:t xml:space="preserve"> a</w:t>
      </w:r>
      <w:r w:rsidRPr="00767208">
        <w:rPr>
          <w:rFonts w:ascii="Cambria" w:hAnsi="Cambria"/>
          <w:sz w:val="21"/>
        </w:rPr>
        <w:t xml:space="preserve"> sanction of a monetary nature.</w:t>
      </w:r>
      <w:r>
        <w:rPr>
          <w:rFonts w:ascii="Cambria" w:hAnsi="Cambria"/>
          <w:sz w:val="21"/>
        </w:rPr>
        <w:t xml:space="preserve"> (…)</w:t>
      </w:r>
    </w:p>
    <w:p w14:paraId="24088C9A" w14:textId="77777777" w:rsidR="00A84770" w:rsidRPr="00767208" w:rsidRDefault="00A84770" w:rsidP="00A84770">
      <w:pPr>
        <w:ind w:left="709" w:right="803"/>
        <w:jc w:val="both"/>
        <w:rPr>
          <w:rFonts w:ascii="Cambria" w:hAnsi="Cambria"/>
          <w:sz w:val="21"/>
        </w:rPr>
      </w:pPr>
    </w:p>
    <w:p w14:paraId="7706C0DD" w14:textId="77777777" w:rsidR="00A84770" w:rsidRDefault="00A84770" w:rsidP="00A84770">
      <w:pPr>
        <w:ind w:left="709" w:right="803"/>
        <w:jc w:val="both"/>
        <w:rPr>
          <w:rFonts w:ascii="Cambria" w:hAnsi="Cambria"/>
          <w:sz w:val="21"/>
        </w:rPr>
      </w:pPr>
      <w:r w:rsidRPr="00767208">
        <w:rPr>
          <w:rFonts w:ascii="Cambria" w:hAnsi="Cambria"/>
          <w:sz w:val="21"/>
        </w:rPr>
        <w:t>Article 46 — Limit of the sanctions. The general disqualification will be of between ten and twenty</w:t>
      </w:r>
      <w:r>
        <w:rPr>
          <w:rFonts w:ascii="Cambria" w:hAnsi="Cambria"/>
          <w:sz w:val="21"/>
        </w:rPr>
        <w:t xml:space="preserve"> </w:t>
      </w:r>
      <w:r w:rsidRPr="00767208">
        <w:rPr>
          <w:rFonts w:ascii="Cambria" w:hAnsi="Cambria"/>
          <w:sz w:val="21"/>
        </w:rPr>
        <w:t>years; the special disqualification will be of no less than thirty days but of no more than twelve months;</w:t>
      </w:r>
      <w:r>
        <w:rPr>
          <w:rFonts w:ascii="Cambria" w:hAnsi="Cambria"/>
          <w:sz w:val="21"/>
        </w:rPr>
        <w:t xml:space="preserve"> but when the offense</w:t>
      </w:r>
      <w:r w:rsidRPr="00767208">
        <w:rPr>
          <w:rFonts w:ascii="Cambria" w:hAnsi="Cambria"/>
          <w:sz w:val="21"/>
        </w:rPr>
        <w:t xml:space="preserve"> affects the economic equity of the Sta</w:t>
      </w:r>
      <w:r>
        <w:rPr>
          <w:rFonts w:ascii="Cambria" w:hAnsi="Cambria"/>
          <w:sz w:val="21"/>
        </w:rPr>
        <w:t xml:space="preserve">te, the disqualification will be </w:t>
      </w:r>
      <w:r w:rsidRPr="00767208">
        <w:rPr>
          <w:rFonts w:ascii="Cambria" w:hAnsi="Cambria"/>
          <w:sz w:val="21"/>
        </w:rPr>
        <w:t>permanent.</w:t>
      </w:r>
    </w:p>
    <w:p w14:paraId="5921E514" w14:textId="77777777" w:rsidR="00A84770" w:rsidRPr="00767208" w:rsidRDefault="00A84770" w:rsidP="00A84770">
      <w:pPr>
        <w:ind w:left="709" w:right="803"/>
        <w:jc w:val="both"/>
        <w:rPr>
          <w:rFonts w:ascii="Cambria" w:hAnsi="Cambria"/>
          <w:sz w:val="21"/>
        </w:rPr>
      </w:pPr>
    </w:p>
    <w:p w14:paraId="045E27C8" w14:textId="77777777" w:rsidR="00A84770" w:rsidRPr="00E93916" w:rsidRDefault="00A84770" w:rsidP="00A84770">
      <w:pPr>
        <w:ind w:left="709" w:right="803"/>
        <w:jc w:val="both"/>
        <w:rPr>
          <w:rFonts w:ascii="Cambria" w:hAnsi="Cambria"/>
          <w:sz w:val="21"/>
        </w:rPr>
      </w:pPr>
      <w:r>
        <w:rPr>
          <w:rFonts w:ascii="Cambria" w:hAnsi="Cambria"/>
          <w:sz w:val="21"/>
        </w:rPr>
        <w:t>(…)</w:t>
      </w:r>
    </w:p>
    <w:p w14:paraId="2B28CC45"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573137C6"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n-US"/>
        </w:rPr>
      </w:pPr>
      <w:r>
        <w:rPr>
          <w:rFonts w:ascii="Cambria" w:hAnsi="Cambria"/>
          <w:sz w:val="20"/>
          <w:szCs w:val="20"/>
          <w:lang w:val="en-US"/>
        </w:rPr>
        <w:t>Article 47 provides the criteria for the grading of the sanction as follows:</w:t>
      </w:r>
    </w:p>
    <w:p w14:paraId="1635966D" w14:textId="77777777" w:rsidR="00A84770" w:rsidRPr="00F71AC9"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20D891DE" w14:textId="77777777" w:rsidR="00A84770" w:rsidRPr="00F71AC9" w:rsidRDefault="00A84770" w:rsidP="00A84770">
      <w:pPr>
        <w:ind w:left="709" w:right="803"/>
        <w:jc w:val="both"/>
        <w:rPr>
          <w:rFonts w:ascii="Cambria" w:hAnsi="Cambria"/>
          <w:sz w:val="20"/>
        </w:rPr>
      </w:pPr>
      <w:r w:rsidRPr="00F71AC9">
        <w:rPr>
          <w:rFonts w:ascii="Cambria" w:hAnsi="Cambria"/>
          <w:sz w:val="20"/>
        </w:rPr>
        <w:t>1. The amount of the fine and the term of duration of the suspension and disqualification will be established according to the following criteria:</w:t>
      </w:r>
    </w:p>
    <w:p w14:paraId="2F60A2F4" w14:textId="77777777" w:rsidR="00A84770" w:rsidRPr="000975FB" w:rsidRDefault="00A84770" w:rsidP="00A84770">
      <w:pPr>
        <w:ind w:left="709" w:right="803"/>
        <w:jc w:val="both"/>
        <w:rPr>
          <w:rFonts w:ascii="Cambria" w:hAnsi="Cambria"/>
          <w:sz w:val="20"/>
          <w:szCs w:val="20"/>
        </w:rPr>
      </w:pPr>
      <w:r w:rsidRPr="000975FB">
        <w:rPr>
          <w:rFonts w:ascii="Cambria" w:hAnsi="Cambria"/>
          <w:sz w:val="20"/>
          <w:szCs w:val="20"/>
        </w:rPr>
        <w:t>a) To have been fiscally or disciplinarily sanctioned within a term of five years prior to the commission of the conduct being investigated;</w:t>
      </w:r>
    </w:p>
    <w:p w14:paraId="2958320D" w14:textId="77777777" w:rsidR="00A84770" w:rsidRPr="000975FB" w:rsidRDefault="00A84770" w:rsidP="00A84770">
      <w:pPr>
        <w:ind w:left="709" w:right="803"/>
        <w:jc w:val="both"/>
        <w:rPr>
          <w:rFonts w:ascii="Cambria" w:hAnsi="Cambria"/>
          <w:sz w:val="20"/>
          <w:szCs w:val="20"/>
        </w:rPr>
      </w:pPr>
      <w:r w:rsidRPr="000975FB">
        <w:rPr>
          <w:rFonts w:ascii="Cambria" w:hAnsi="Cambria"/>
          <w:sz w:val="20"/>
          <w:szCs w:val="20"/>
        </w:rPr>
        <w:t>b) The diligence and efficiency shown in the discharging of the position or of the function;</w:t>
      </w:r>
    </w:p>
    <w:p w14:paraId="3784D42C" w14:textId="77777777" w:rsidR="00A84770" w:rsidRPr="000975FB" w:rsidRDefault="00A84770" w:rsidP="00A84770">
      <w:pPr>
        <w:ind w:left="709" w:right="803"/>
        <w:jc w:val="both"/>
        <w:rPr>
          <w:rFonts w:ascii="Cambria" w:hAnsi="Cambria"/>
          <w:sz w:val="20"/>
          <w:szCs w:val="20"/>
        </w:rPr>
      </w:pPr>
      <w:r w:rsidRPr="000975FB">
        <w:rPr>
          <w:rFonts w:ascii="Cambria" w:hAnsi="Cambria"/>
          <w:sz w:val="20"/>
          <w:szCs w:val="20"/>
        </w:rPr>
        <w:t>c) To attribute, without grounds, the liability to a third party;</w:t>
      </w:r>
    </w:p>
    <w:p w14:paraId="7DCC5F57" w14:textId="77777777" w:rsidR="00A84770" w:rsidRPr="000975FB" w:rsidRDefault="00A84770" w:rsidP="00A84770">
      <w:pPr>
        <w:ind w:left="709" w:right="803"/>
        <w:jc w:val="both"/>
        <w:rPr>
          <w:rFonts w:ascii="Cambria" w:hAnsi="Cambria"/>
          <w:sz w:val="20"/>
          <w:szCs w:val="20"/>
        </w:rPr>
      </w:pPr>
      <w:r w:rsidRPr="000975FB">
        <w:rPr>
          <w:rFonts w:ascii="Cambria" w:hAnsi="Cambria"/>
          <w:sz w:val="20"/>
          <w:szCs w:val="20"/>
        </w:rPr>
        <w:t xml:space="preserve">d) The confession of the </w:t>
      </w:r>
      <w:r>
        <w:rPr>
          <w:rFonts w:ascii="Cambria" w:hAnsi="Cambria"/>
          <w:sz w:val="21"/>
        </w:rPr>
        <w:t>offense</w:t>
      </w:r>
      <w:r w:rsidRPr="00767208">
        <w:rPr>
          <w:rFonts w:ascii="Cambria" w:hAnsi="Cambria"/>
          <w:sz w:val="21"/>
        </w:rPr>
        <w:t xml:space="preserve"> </w:t>
      </w:r>
      <w:r w:rsidRPr="000975FB">
        <w:rPr>
          <w:rFonts w:ascii="Cambria" w:hAnsi="Cambria"/>
          <w:sz w:val="20"/>
          <w:szCs w:val="20"/>
        </w:rPr>
        <w:t>before charges are pressed;</w:t>
      </w:r>
    </w:p>
    <w:p w14:paraId="24729820" w14:textId="77777777" w:rsidR="00A84770" w:rsidRPr="000975FB" w:rsidRDefault="00A84770" w:rsidP="00A84770">
      <w:pPr>
        <w:ind w:left="709" w:right="803"/>
        <w:jc w:val="both"/>
        <w:rPr>
          <w:rFonts w:ascii="Cambria" w:hAnsi="Cambria"/>
          <w:sz w:val="20"/>
          <w:szCs w:val="20"/>
        </w:rPr>
      </w:pPr>
      <w:r w:rsidRPr="000975FB">
        <w:rPr>
          <w:rFonts w:ascii="Cambria" w:hAnsi="Cambria"/>
          <w:sz w:val="20"/>
          <w:szCs w:val="20"/>
        </w:rPr>
        <w:t>e) To have attempted, by his or her own initiative, to cure the damage or to compensate the</w:t>
      </w:r>
    </w:p>
    <w:p w14:paraId="5B42BF7E" w14:textId="77777777" w:rsidR="00A84770" w:rsidRPr="000975FB" w:rsidRDefault="00A84770" w:rsidP="00A84770">
      <w:pPr>
        <w:ind w:left="709" w:right="803"/>
        <w:jc w:val="both"/>
        <w:rPr>
          <w:rFonts w:ascii="Cambria" w:hAnsi="Cambria"/>
          <w:sz w:val="20"/>
          <w:szCs w:val="20"/>
        </w:rPr>
      </w:pPr>
      <w:r w:rsidRPr="000975FB">
        <w:rPr>
          <w:rFonts w:ascii="Cambria" w:hAnsi="Cambria"/>
          <w:sz w:val="20"/>
          <w:szCs w:val="20"/>
        </w:rPr>
        <w:t>damage caused;</w:t>
      </w:r>
    </w:p>
    <w:p w14:paraId="2AB923A2" w14:textId="77777777" w:rsidR="00A84770" w:rsidRPr="000975FB" w:rsidRDefault="00A84770" w:rsidP="00A84770">
      <w:pPr>
        <w:ind w:left="709" w:right="803"/>
        <w:jc w:val="both"/>
        <w:rPr>
          <w:rFonts w:ascii="Cambria" w:hAnsi="Cambria"/>
          <w:sz w:val="20"/>
          <w:szCs w:val="20"/>
        </w:rPr>
      </w:pPr>
      <w:r w:rsidRPr="000975FB">
        <w:rPr>
          <w:rFonts w:ascii="Cambria" w:hAnsi="Cambria"/>
          <w:sz w:val="20"/>
          <w:szCs w:val="20"/>
        </w:rPr>
        <w:t>f) To have given back, replaced or repaired, as the case may be, the goods affected by the</w:t>
      </w:r>
    </w:p>
    <w:p w14:paraId="1B98D60B" w14:textId="77777777" w:rsidR="00A84770" w:rsidRPr="000975FB" w:rsidRDefault="00A84770" w:rsidP="00A84770">
      <w:pPr>
        <w:ind w:left="709" w:right="803"/>
        <w:jc w:val="both"/>
        <w:rPr>
          <w:rFonts w:ascii="Cambria" w:hAnsi="Cambria"/>
          <w:sz w:val="20"/>
          <w:szCs w:val="20"/>
        </w:rPr>
      </w:pPr>
      <w:r w:rsidRPr="000975FB">
        <w:rPr>
          <w:rFonts w:ascii="Cambria" w:hAnsi="Cambria"/>
          <w:sz w:val="20"/>
          <w:szCs w:val="20"/>
        </w:rPr>
        <w:t xml:space="preserve">conduct that constitutes the </w:t>
      </w:r>
      <w:r>
        <w:rPr>
          <w:rFonts w:ascii="Cambria" w:hAnsi="Cambria"/>
          <w:sz w:val="21"/>
        </w:rPr>
        <w:t>offense</w:t>
      </w:r>
      <w:r w:rsidRPr="000975FB">
        <w:rPr>
          <w:rFonts w:ascii="Cambria" w:hAnsi="Cambria"/>
          <w:sz w:val="20"/>
          <w:szCs w:val="20"/>
        </w:rPr>
        <w:t>, provided that the return, replacement or reparation were</w:t>
      </w:r>
      <w:r>
        <w:rPr>
          <w:rFonts w:ascii="Cambria" w:hAnsi="Cambria"/>
          <w:sz w:val="20"/>
          <w:szCs w:val="20"/>
        </w:rPr>
        <w:t xml:space="preserve"> </w:t>
      </w:r>
      <w:r w:rsidRPr="000975FB">
        <w:rPr>
          <w:rFonts w:ascii="Cambria" w:hAnsi="Cambria"/>
          <w:sz w:val="20"/>
          <w:szCs w:val="20"/>
        </w:rPr>
        <w:t>not order in other proceedings;</w:t>
      </w:r>
    </w:p>
    <w:p w14:paraId="515835D1" w14:textId="77777777" w:rsidR="00A84770" w:rsidRPr="000975FB" w:rsidRDefault="00A84770" w:rsidP="00A84770">
      <w:pPr>
        <w:ind w:left="709" w:right="803"/>
        <w:jc w:val="both"/>
        <w:rPr>
          <w:rFonts w:ascii="Cambria" w:hAnsi="Cambria"/>
          <w:sz w:val="20"/>
          <w:szCs w:val="20"/>
        </w:rPr>
      </w:pPr>
      <w:r w:rsidRPr="000975FB">
        <w:rPr>
          <w:rFonts w:ascii="Cambria" w:hAnsi="Cambria"/>
          <w:sz w:val="20"/>
          <w:szCs w:val="20"/>
        </w:rPr>
        <w:t>g) The serious social damage caused by the conduct;</w:t>
      </w:r>
    </w:p>
    <w:p w14:paraId="40157A41" w14:textId="77777777" w:rsidR="00A84770" w:rsidRPr="000975FB" w:rsidRDefault="00A84770" w:rsidP="00A84770">
      <w:pPr>
        <w:ind w:left="709" w:right="803"/>
        <w:jc w:val="both"/>
        <w:rPr>
          <w:rFonts w:ascii="Cambria" w:hAnsi="Cambria"/>
          <w:sz w:val="20"/>
          <w:szCs w:val="20"/>
        </w:rPr>
      </w:pPr>
      <w:r w:rsidRPr="000975FB">
        <w:rPr>
          <w:rFonts w:ascii="Cambria" w:hAnsi="Cambria"/>
          <w:sz w:val="20"/>
          <w:szCs w:val="20"/>
        </w:rPr>
        <w:t>h) The impact on fundamental rights;</w:t>
      </w:r>
    </w:p>
    <w:p w14:paraId="12FFD599" w14:textId="77777777" w:rsidR="00A84770" w:rsidRPr="000975FB" w:rsidRDefault="00A84770" w:rsidP="00A84770">
      <w:pPr>
        <w:ind w:left="709" w:right="803"/>
        <w:jc w:val="both"/>
        <w:rPr>
          <w:rFonts w:ascii="Cambria" w:hAnsi="Cambria"/>
          <w:sz w:val="20"/>
          <w:szCs w:val="20"/>
        </w:rPr>
      </w:pPr>
      <w:proofErr w:type="spellStart"/>
      <w:r w:rsidRPr="000975FB">
        <w:rPr>
          <w:rFonts w:ascii="Cambria" w:hAnsi="Cambria"/>
          <w:sz w:val="20"/>
          <w:szCs w:val="20"/>
        </w:rPr>
        <w:t>i</w:t>
      </w:r>
      <w:proofErr w:type="spellEnd"/>
      <w:r w:rsidRPr="000975FB">
        <w:rPr>
          <w:rFonts w:ascii="Cambria" w:hAnsi="Cambria"/>
          <w:sz w:val="20"/>
          <w:szCs w:val="20"/>
        </w:rPr>
        <w:t>) The awareness of the unlawfulness;</w:t>
      </w:r>
    </w:p>
    <w:p w14:paraId="7BB21B15" w14:textId="77777777" w:rsidR="00A84770" w:rsidRPr="000975FB" w:rsidRDefault="00A84770" w:rsidP="00A84770">
      <w:pPr>
        <w:ind w:left="709" w:right="803"/>
        <w:jc w:val="both"/>
        <w:rPr>
          <w:rFonts w:ascii="Cambria" w:hAnsi="Cambria"/>
          <w:sz w:val="20"/>
          <w:szCs w:val="20"/>
        </w:rPr>
      </w:pPr>
      <w:r w:rsidRPr="000975FB">
        <w:rPr>
          <w:rFonts w:ascii="Cambria" w:hAnsi="Cambria"/>
          <w:sz w:val="20"/>
          <w:szCs w:val="20"/>
        </w:rPr>
        <w:t>j) The fact that the public servant belongs to the directive or executive level of the entity.</w:t>
      </w:r>
    </w:p>
    <w:p w14:paraId="7AC5DFEC" w14:textId="77777777" w:rsidR="00A84770" w:rsidRPr="00F71AC9"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n-US"/>
        </w:rPr>
      </w:pPr>
    </w:p>
    <w:p w14:paraId="142C6523" w14:textId="77777777" w:rsidR="00A84770" w:rsidRPr="000975FB" w:rsidRDefault="00A84770" w:rsidP="00A84770">
      <w:pPr>
        <w:ind w:left="709" w:right="803"/>
        <w:jc w:val="both"/>
        <w:rPr>
          <w:rFonts w:ascii="Cambria" w:hAnsi="Cambria"/>
          <w:sz w:val="20"/>
          <w:szCs w:val="20"/>
        </w:rPr>
      </w:pPr>
      <w:r w:rsidRPr="000975FB">
        <w:rPr>
          <w:rFonts w:ascii="Cambria" w:hAnsi="Cambria"/>
          <w:sz w:val="20"/>
          <w:szCs w:val="20"/>
        </w:rPr>
        <w:t>2. To whom, with one or several actions or omissions, viol</w:t>
      </w:r>
      <w:r>
        <w:rPr>
          <w:rFonts w:ascii="Cambria" w:hAnsi="Cambria"/>
          <w:sz w:val="20"/>
          <w:szCs w:val="20"/>
        </w:rPr>
        <w:t>ates several provisions of the d</w:t>
      </w:r>
      <w:r w:rsidRPr="000975FB">
        <w:rPr>
          <w:rFonts w:ascii="Cambria" w:hAnsi="Cambria"/>
          <w:sz w:val="20"/>
          <w:szCs w:val="20"/>
        </w:rPr>
        <w:t>isciplinary</w:t>
      </w:r>
      <w:r>
        <w:rPr>
          <w:rFonts w:ascii="Cambria" w:hAnsi="Cambria"/>
          <w:sz w:val="20"/>
          <w:szCs w:val="20"/>
        </w:rPr>
        <w:t xml:space="preserve"> l</w:t>
      </w:r>
      <w:r w:rsidRPr="000975FB">
        <w:rPr>
          <w:rFonts w:ascii="Cambria" w:hAnsi="Cambria"/>
          <w:sz w:val="20"/>
          <w:szCs w:val="20"/>
        </w:rPr>
        <w:t>aw or several times the same provision, the sanction will be graded according to the following criteria:</w:t>
      </w:r>
    </w:p>
    <w:p w14:paraId="0630A1B2" w14:textId="77777777" w:rsidR="00A84770" w:rsidRPr="000975FB" w:rsidRDefault="00A84770" w:rsidP="00A84770">
      <w:pPr>
        <w:ind w:left="709" w:right="803"/>
        <w:jc w:val="both"/>
        <w:rPr>
          <w:rFonts w:ascii="Cambria" w:hAnsi="Cambria"/>
          <w:sz w:val="20"/>
          <w:szCs w:val="20"/>
        </w:rPr>
      </w:pPr>
      <w:r>
        <w:rPr>
          <w:rFonts w:ascii="Cambria" w:hAnsi="Cambria"/>
          <w:sz w:val="20"/>
          <w:szCs w:val="20"/>
        </w:rPr>
        <w:t>a)</w:t>
      </w:r>
      <w:r w:rsidRPr="000975FB">
        <w:rPr>
          <w:rFonts w:ascii="Cambria" w:hAnsi="Cambria"/>
          <w:sz w:val="20"/>
          <w:szCs w:val="20"/>
        </w:rPr>
        <w:t xml:space="preserve"> If the most serious sanction is the dismissal and general disqualification, the latter will be doubled, without exceeding the maximum legal limit;</w:t>
      </w:r>
    </w:p>
    <w:p w14:paraId="12B7E310" w14:textId="77777777" w:rsidR="00A84770" w:rsidRPr="000975FB" w:rsidRDefault="00A84770" w:rsidP="00A84770">
      <w:pPr>
        <w:ind w:left="709" w:right="803"/>
        <w:jc w:val="both"/>
        <w:rPr>
          <w:rFonts w:ascii="Cambria" w:hAnsi="Cambria"/>
          <w:sz w:val="20"/>
          <w:szCs w:val="20"/>
        </w:rPr>
      </w:pPr>
      <w:r>
        <w:rPr>
          <w:rFonts w:ascii="Cambria" w:hAnsi="Cambria"/>
          <w:sz w:val="20"/>
          <w:szCs w:val="20"/>
        </w:rPr>
        <w:t>b)</w:t>
      </w:r>
      <w:r w:rsidRPr="000975FB">
        <w:rPr>
          <w:rFonts w:ascii="Cambria" w:hAnsi="Cambria"/>
          <w:sz w:val="20"/>
          <w:szCs w:val="20"/>
        </w:rPr>
        <w:t xml:space="preserve"> If the most serious sanction is the suspension and special disqualification, it will be doubled, without exceeding the maximum legal limit;</w:t>
      </w:r>
    </w:p>
    <w:p w14:paraId="338E9589" w14:textId="77777777" w:rsidR="00A84770" w:rsidRPr="000975FB" w:rsidRDefault="00A84770" w:rsidP="00A84770">
      <w:pPr>
        <w:ind w:left="709" w:right="803"/>
        <w:jc w:val="both"/>
        <w:rPr>
          <w:rFonts w:ascii="Cambria" w:hAnsi="Cambria"/>
          <w:sz w:val="20"/>
          <w:szCs w:val="20"/>
        </w:rPr>
      </w:pPr>
      <w:r>
        <w:rPr>
          <w:rFonts w:ascii="Cambria" w:hAnsi="Cambria"/>
          <w:sz w:val="20"/>
          <w:szCs w:val="20"/>
        </w:rPr>
        <w:t>c)</w:t>
      </w:r>
      <w:r w:rsidRPr="000975FB">
        <w:rPr>
          <w:rFonts w:ascii="Cambria" w:hAnsi="Cambria"/>
          <w:sz w:val="20"/>
          <w:szCs w:val="20"/>
        </w:rPr>
        <w:t xml:space="preserve"> If the most serious sanction is the suspension it will be doubled, without exceeding the maximum legal limit;</w:t>
      </w:r>
    </w:p>
    <w:p w14:paraId="000B6F82" w14:textId="77777777" w:rsidR="00A84770" w:rsidRPr="000975FB" w:rsidRDefault="00A84770" w:rsidP="00A84770">
      <w:pPr>
        <w:ind w:left="709" w:right="803"/>
        <w:jc w:val="both"/>
        <w:rPr>
          <w:rFonts w:ascii="Cambria" w:hAnsi="Cambria"/>
          <w:sz w:val="20"/>
          <w:szCs w:val="20"/>
        </w:rPr>
      </w:pPr>
      <w:r w:rsidRPr="000975FB">
        <w:rPr>
          <w:rFonts w:ascii="Cambria" w:hAnsi="Cambria"/>
          <w:sz w:val="20"/>
          <w:szCs w:val="20"/>
        </w:rPr>
        <w:t>d. If the sanctions are of fine the most serious one will be imposed doubled, without exceeding the maximum legal limit;</w:t>
      </w:r>
      <w:r>
        <w:rPr>
          <w:rFonts w:ascii="Cambria" w:hAnsi="Cambria"/>
          <w:sz w:val="20"/>
          <w:szCs w:val="20"/>
        </w:rPr>
        <w:t xml:space="preserve"> (…)</w:t>
      </w:r>
    </w:p>
    <w:p w14:paraId="51C16D52"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048BCB3F"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n-US"/>
        </w:rPr>
      </w:pPr>
      <w:r>
        <w:rPr>
          <w:rFonts w:ascii="Cambria" w:hAnsi="Cambria"/>
          <w:sz w:val="20"/>
          <w:szCs w:val="20"/>
          <w:lang w:val="en-US"/>
        </w:rPr>
        <w:t>Article 48 of the same instrument describes that the following are considered very serious faults:</w:t>
      </w:r>
    </w:p>
    <w:p w14:paraId="0200D295"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749B556C" w14:textId="77777777" w:rsidR="00A84770" w:rsidRPr="00A440AC" w:rsidRDefault="00A84770" w:rsidP="00A84770">
      <w:pPr>
        <w:ind w:left="709" w:right="803"/>
        <w:jc w:val="both"/>
        <w:rPr>
          <w:rFonts w:ascii="Cambria" w:hAnsi="Cambria"/>
          <w:sz w:val="20"/>
          <w:szCs w:val="20"/>
        </w:rPr>
      </w:pPr>
      <w:r w:rsidRPr="00A440AC">
        <w:rPr>
          <w:rFonts w:ascii="Cambria" w:hAnsi="Cambria"/>
          <w:sz w:val="20"/>
          <w:szCs w:val="20"/>
        </w:rPr>
        <w:lastRenderedPageBreak/>
        <w:t xml:space="preserve">31. </w:t>
      </w:r>
      <w:r>
        <w:rPr>
          <w:rFonts w:ascii="Cambria" w:hAnsi="Cambria"/>
          <w:sz w:val="20"/>
          <w:szCs w:val="20"/>
        </w:rPr>
        <w:t>To take part in the pre-</w:t>
      </w:r>
      <w:r w:rsidRPr="00932015">
        <w:rPr>
          <w:rFonts w:ascii="Cambria" w:hAnsi="Cambria"/>
          <w:sz w:val="20"/>
          <w:szCs w:val="20"/>
        </w:rPr>
        <w:t>contractual stage or</w:t>
      </w:r>
      <w:r>
        <w:rPr>
          <w:rFonts w:ascii="Cambria" w:hAnsi="Cambria"/>
          <w:sz w:val="20"/>
          <w:szCs w:val="20"/>
        </w:rPr>
        <w:t xml:space="preserve"> in the contractual activity, to the</w:t>
      </w:r>
      <w:r w:rsidRPr="00932015">
        <w:rPr>
          <w:rFonts w:ascii="Cambria" w:hAnsi="Cambria"/>
          <w:sz w:val="20"/>
          <w:szCs w:val="20"/>
        </w:rPr>
        <w:t xml:space="preserve"> detriment of the public</w:t>
      </w:r>
      <w:r>
        <w:rPr>
          <w:rFonts w:ascii="Cambria" w:hAnsi="Cambria"/>
          <w:sz w:val="20"/>
          <w:szCs w:val="20"/>
        </w:rPr>
        <w:t xml:space="preserve"> </w:t>
      </w:r>
      <w:r w:rsidRPr="00932015">
        <w:rPr>
          <w:rFonts w:ascii="Cambria" w:hAnsi="Cambria"/>
          <w:sz w:val="20"/>
          <w:szCs w:val="20"/>
        </w:rPr>
        <w:t xml:space="preserve">wealth, or disregarding </w:t>
      </w:r>
      <w:r>
        <w:rPr>
          <w:rFonts w:ascii="Cambria" w:hAnsi="Cambria"/>
          <w:sz w:val="20"/>
          <w:szCs w:val="20"/>
        </w:rPr>
        <w:t>the principles that regulate S</w:t>
      </w:r>
      <w:r w:rsidRPr="00932015">
        <w:rPr>
          <w:rFonts w:ascii="Cambria" w:hAnsi="Cambria"/>
          <w:sz w:val="20"/>
          <w:szCs w:val="20"/>
        </w:rPr>
        <w:t>tate contracting and the administrative</w:t>
      </w:r>
      <w:r>
        <w:rPr>
          <w:rFonts w:ascii="Cambria" w:hAnsi="Cambria"/>
          <w:sz w:val="20"/>
          <w:szCs w:val="20"/>
        </w:rPr>
        <w:t xml:space="preserve"> </w:t>
      </w:r>
      <w:r w:rsidRPr="00932015">
        <w:rPr>
          <w:rFonts w:ascii="Cambria" w:hAnsi="Cambria"/>
          <w:sz w:val="20"/>
          <w:szCs w:val="20"/>
        </w:rPr>
        <w:t>function contemplated in the Constitution and in the law.</w:t>
      </w:r>
    </w:p>
    <w:p w14:paraId="06291264" w14:textId="77777777" w:rsidR="00A84770" w:rsidRPr="00A440AC" w:rsidRDefault="00A84770" w:rsidP="00A84770">
      <w:pPr>
        <w:ind w:left="709" w:right="803"/>
        <w:jc w:val="both"/>
        <w:rPr>
          <w:rFonts w:ascii="Cambria" w:hAnsi="Cambria"/>
          <w:sz w:val="20"/>
          <w:szCs w:val="20"/>
        </w:rPr>
      </w:pPr>
    </w:p>
    <w:p w14:paraId="70B33DFF" w14:textId="77777777" w:rsidR="00A84770" w:rsidRPr="00A440AC" w:rsidRDefault="00A84770" w:rsidP="00A84770">
      <w:pPr>
        <w:ind w:left="709" w:right="803"/>
        <w:jc w:val="both"/>
        <w:rPr>
          <w:rFonts w:ascii="Cambria" w:hAnsi="Cambria"/>
          <w:sz w:val="20"/>
          <w:szCs w:val="20"/>
        </w:rPr>
      </w:pPr>
      <w:r w:rsidRPr="00A440AC">
        <w:rPr>
          <w:rFonts w:ascii="Cambria" w:hAnsi="Cambria"/>
          <w:sz w:val="20"/>
          <w:szCs w:val="20"/>
        </w:rPr>
        <w:t xml:space="preserve">37. </w:t>
      </w:r>
      <w:r w:rsidRPr="006156A7">
        <w:rPr>
          <w:rFonts w:ascii="Cambria" w:hAnsi="Cambria"/>
          <w:sz w:val="20"/>
          <w:szCs w:val="20"/>
        </w:rPr>
        <w:t>To proffer administrative acts outside the compliance with the duty, in breach of the constitutional</w:t>
      </w:r>
      <w:r>
        <w:rPr>
          <w:rFonts w:ascii="Cambria" w:hAnsi="Cambria"/>
          <w:sz w:val="20"/>
          <w:szCs w:val="20"/>
        </w:rPr>
        <w:t xml:space="preserve"> </w:t>
      </w:r>
      <w:r w:rsidRPr="006156A7">
        <w:rPr>
          <w:rFonts w:ascii="Cambria" w:hAnsi="Cambria"/>
          <w:sz w:val="20"/>
          <w:szCs w:val="20"/>
        </w:rPr>
        <w:t>or legal provisions related to the protection of the ethnic and cu</w:t>
      </w:r>
      <w:r>
        <w:rPr>
          <w:rFonts w:ascii="Cambria" w:hAnsi="Cambria"/>
          <w:sz w:val="20"/>
          <w:szCs w:val="20"/>
        </w:rPr>
        <w:t xml:space="preserve">ltural diversity of the Nation, </w:t>
      </w:r>
      <w:r w:rsidRPr="006156A7">
        <w:rPr>
          <w:rFonts w:ascii="Cambria" w:hAnsi="Cambria"/>
          <w:sz w:val="20"/>
          <w:szCs w:val="20"/>
        </w:rPr>
        <w:t>of</w:t>
      </w:r>
      <w:r>
        <w:rPr>
          <w:rFonts w:ascii="Cambria" w:hAnsi="Cambria"/>
          <w:sz w:val="20"/>
          <w:szCs w:val="20"/>
        </w:rPr>
        <w:t xml:space="preserve"> </w:t>
      </w:r>
      <w:r w:rsidRPr="006156A7">
        <w:rPr>
          <w:rFonts w:ascii="Cambria" w:hAnsi="Cambria"/>
          <w:sz w:val="20"/>
          <w:szCs w:val="20"/>
        </w:rPr>
        <w:t>the natural resources and of the environment, originating a serious risk for the ethnic groups, the</w:t>
      </w:r>
      <w:r>
        <w:rPr>
          <w:rFonts w:ascii="Cambria" w:hAnsi="Cambria"/>
          <w:sz w:val="20"/>
          <w:szCs w:val="20"/>
        </w:rPr>
        <w:t xml:space="preserve"> </w:t>
      </w:r>
      <w:r w:rsidRPr="006156A7">
        <w:rPr>
          <w:rFonts w:ascii="Cambria" w:hAnsi="Cambria"/>
          <w:sz w:val="20"/>
          <w:szCs w:val="20"/>
        </w:rPr>
        <w:t>indigenous peoples, human health or the preservation of natural ecosystems or the</w:t>
      </w:r>
      <w:r>
        <w:rPr>
          <w:rFonts w:ascii="Cambria" w:hAnsi="Cambria"/>
          <w:sz w:val="20"/>
          <w:szCs w:val="20"/>
        </w:rPr>
        <w:t xml:space="preserve"> </w:t>
      </w:r>
      <w:r w:rsidRPr="006156A7">
        <w:rPr>
          <w:rFonts w:ascii="Cambria" w:hAnsi="Cambria"/>
          <w:sz w:val="20"/>
          <w:szCs w:val="20"/>
        </w:rPr>
        <w:t>environment.</w:t>
      </w:r>
    </w:p>
    <w:p w14:paraId="275E5E44" w14:textId="77777777" w:rsidR="00A84770" w:rsidRPr="00A440AC" w:rsidRDefault="00A84770" w:rsidP="00A84770">
      <w:pPr>
        <w:ind w:left="709" w:right="803"/>
        <w:jc w:val="both"/>
        <w:rPr>
          <w:rFonts w:ascii="Cambria" w:hAnsi="Cambria"/>
          <w:sz w:val="20"/>
          <w:szCs w:val="20"/>
        </w:rPr>
      </w:pPr>
    </w:p>
    <w:p w14:paraId="6A532FA4" w14:textId="77777777" w:rsidR="00A84770" w:rsidRPr="00A440AC" w:rsidRDefault="00A84770" w:rsidP="00A84770">
      <w:pPr>
        <w:ind w:left="709" w:right="803"/>
        <w:jc w:val="both"/>
        <w:rPr>
          <w:rFonts w:ascii="Cambria" w:hAnsi="Cambria"/>
          <w:sz w:val="20"/>
          <w:szCs w:val="20"/>
        </w:rPr>
      </w:pPr>
      <w:r w:rsidRPr="00A440AC">
        <w:rPr>
          <w:rFonts w:ascii="Cambria" w:hAnsi="Cambria"/>
          <w:sz w:val="20"/>
          <w:szCs w:val="20"/>
        </w:rPr>
        <w:t xml:space="preserve">60. </w:t>
      </w:r>
      <w:r w:rsidRPr="006156A7">
        <w:rPr>
          <w:rFonts w:ascii="Cambria" w:hAnsi="Cambria"/>
          <w:sz w:val="20"/>
          <w:szCs w:val="20"/>
        </w:rPr>
        <w:t>To exercise the powers that his / her employment or function grant for an ultimate end other than</w:t>
      </w:r>
      <w:r>
        <w:rPr>
          <w:rFonts w:ascii="Cambria" w:hAnsi="Cambria"/>
          <w:sz w:val="20"/>
          <w:szCs w:val="20"/>
        </w:rPr>
        <w:t xml:space="preserve"> </w:t>
      </w:r>
      <w:r w:rsidRPr="006156A7">
        <w:rPr>
          <w:rFonts w:ascii="Cambria" w:hAnsi="Cambria"/>
          <w:sz w:val="20"/>
          <w:szCs w:val="20"/>
        </w:rPr>
        <w:t>the one established in the granting provision</w:t>
      </w:r>
      <w:r>
        <w:rPr>
          <w:rFonts w:ascii="Cambria" w:hAnsi="Cambria"/>
          <w:sz w:val="20"/>
          <w:szCs w:val="20"/>
        </w:rPr>
        <w:t>.</w:t>
      </w:r>
    </w:p>
    <w:p w14:paraId="145797B9"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n-US"/>
        </w:rPr>
      </w:pPr>
    </w:p>
    <w:p w14:paraId="7F645252"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n-US"/>
        </w:rPr>
      </w:pPr>
      <w:r>
        <w:rPr>
          <w:rFonts w:ascii="Cambria" w:hAnsi="Cambria"/>
          <w:sz w:val="20"/>
          <w:szCs w:val="20"/>
          <w:lang w:val="en-US"/>
        </w:rPr>
        <w:t>Article 66 of the same instrument states that “[t]</w:t>
      </w:r>
      <w:r w:rsidRPr="005F6506">
        <w:rPr>
          <w:rFonts w:ascii="Cambria" w:hAnsi="Cambria"/>
          <w:sz w:val="20"/>
          <w:szCs w:val="20"/>
          <w:lang w:val="en-US"/>
        </w:rPr>
        <w:t>he disciplinary procedure established in this law must</w:t>
      </w:r>
      <w:r>
        <w:rPr>
          <w:rFonts w:ascii="Cambria" w:hAnsi="Cambria"/>
          <w:sz w:val="20"/>
          <w:szCs w:val="20"/>
          <w:lang w:val="en-US"/>
        </w:rPr>
        <w:t xml:space="preserve"> be applied by the respective</w:t>
      </w:r>
      <w:r w:rsidRPr="005F6506">
        <w:rPr>
          <w:rFonts w:ascii="Cambria" w:hAnsi="Cambria"/>
          <w:sz w:val="20"/>
          <w:szCs w:val="20"/>
          <w:lang w:val="en-US"/>
        </w:rPr>
        <w:t xml:space="preserve"> internal disciplinary control offices, District and Municipal Attorneys,</w:t>
      </w:r>
      <w:r>
        <w:rPr>
          <w:rFonts w:ascii="Cambria" w:hAnsi="Cambria"/>
          <w:sz w:val="20"/>
          <w:szCs w:val="20"/>
          <w:lang w:val="en-US"/>
        </w:rPr>
        <w:t xml:space="preserve"> </w:t>
      </w:r>
      <w:r w:rsidRPr="005F6506">
        <w:rPr>
          <w:rFonts w:ascii="Cambria" w:hAnsi="Cambria"/>
          <w:sz w:val="20"/>
          <w:szCs w:val="20"/>
          <w:lang w:val="en-US"/>
        </w:rPr>
        <w:t>the disciplinary jurisdiction and the Office of the Attorney General of the Nation.</w:t>
      </w:r>
      <w:r>
        <w:rPr>
          <w:rFonts w:ascii="Cambria" w:hAnsi="Cambria"/>
          <w:sz w:val="20"/>
          <w:szCs w:val="20"/>
          <w:lang w:val="en-US"/>
        </w:rPr>
        <w:t>”</w:t>
      </w:r>
    </w:p>
    <w:p w14:paraId="46B703E2" w14:textId="77777777" w:rsidR="00A84770" w:rsidRPr="005F6506"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n-US"/>
        </w:rPr>
      </w:pPr>
    </w:p>
    <w:p w14:paraId="761CC4BF" w14:textId="77777777" w:rsidR="00A84770" w:rsidRPr="005F6506"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n-US"/>
        </w:rPr>
      </w:pPr>
      <w:r w:rsidRPr="005F6506">
        <w:rPr>
          <w:rFonts w:ascii="Cambria" w:hAnsi="Cambria"/>
          <w:sz w:val="20"/>
          <w:szCs w:val="20"/>
          <w:lang w:val="en-US"/>
        </w:rPr>
        <w:t>Article 162 states the following in relation to the disciplinary procedure when it is applied by the Office of the Attorney General of the Republic: “Appropriateness of the decision to press charges. The trial officer will formulate a</w:t>
      </w:r>
      <w:r>
        <w:rPr>
          <w:rFonts w:ascii="Cambria" w:hAnsi="Cambria"/>
          <w:sz w:val="20"/>
          <w:szCs w:val="20"/>
          <w:lang w:val="en-US"/>
        </w:rPr>
        <w:t xml:space="preserve"> </w:t>
      </w:r>
      <w:r w:rsidRPr="005F6506">
        <w:rPr>
          <w:rFonts w:ascii="Cambria" w:hAnsi="Cambria"/>
          <w:sz w:val="20"/>
          <w:szCs w:val="20"/>
          <w:lang w:val="en-US"/>
        </w:rPr>
        <w:t xml:space="preserve">statement of charges when </w:t>
      </w:r>
      <w:r>
        <w:rPr>
          <w:rFonts w:ascii="Cambria" w:hAnsi="Cambria"/>
          <w:sz w:val="20"/>
          <w:szCs w:val="20"/>
          <w:lang w:val="en-US"/>
        </w:rPr>
        <w:t>the offense</w:t>
      </w:r>
      <w:r w:rsidRPr="005F6506">
        <w:rPr>
          <w:rFonts w:ascii="Cambria" w:hAnsi="Cambria"/>
          <w:sz w:val="20"/>
          <w:szCs w:val="20"/>
          <w:lang w:val="en-US"/>
        </w:rPr>
        <w:t xml:space="preserve"> is objectively proven and there is evidence that compromises the</w:t>
      </w:r>
      <w:r>
        <w:rPr>
          <w:rFonts w:ascii="Cambria" w:hAnsi="Cambria"/>
          <w:sz w:val="20"/>
          <w:szCs w:val="20"/>
          <w:lang w:val="en-US"/>
        </w:rPr>
        <w:t xml:space="preserve"> </w:t>
      </w:r>
      <w:r w:rsidRPr="005F6506">
        <w:rPr>
          <w:rFonts w:ascii="Cambria" w:hAnsi="Cambria"/>
          <w:sz w:val="20"/>
          <w:szCs w:val="20"/>
          <w:lang w:val="en-US"/>
        </w:rPr>
        <w:t>liability of the investigated. No remedies can be filed against this decision.</w:t>
      </w:r>
      <w:r>
        <w:rPr>
          <w:rFonts w:ascii="Cambria" w:hAnsi="Cambria"/>
          <w:sz w:val="20"/>
          <w:szCs w:val="20"/>
          <w:lang w:val="en-US"/>
        </w:rPr>
        <w:t xml:space="preserve">” </w:t>
      </w:r>
    </w:p>
    <w:p w14:paraId="48B4D6D0"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5CA1B41D"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n-US"/>
        </w:rPr>
      </w:pPr>
      <w:r>
        <w:rPr>
          <w:rFonts w:ascii="Cambria" w:hAnsi="Cambria"/>
          <w:sz w:val="20"/>
          <w:szCs w:val="20"/>
          <w:lang w:val="en-US"/>
        </w:rPr>
        <w:t>In relation to the remedies, the referenced legal framework states the following:</w:t>
      </w:r>
    </w:p>
    <w:p w14:paraId="4287B279"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6AD6A20C" w14:textId="77777777" w:rsidR="00A84770" w:rsidRPr="000975FB" w:rsidRDefault="00A84770" w:rsidP="00A84770">
      <w:pPr>
        <w:ind w:left="709" w:right="803"/>
        <w:jc w:val="both"/>
        <w:rPr>
          <w:rFonts w:ascii="Cambria" w:hAnsi="Cambria"/>
          <w:sz w:val="20"/>
          <w:szCs w:val="20"/>
        </w:rPr>
      </w:pPr>
      <w:r w:rsidRPr="000975FB">
        <w:rPr>
          <w:rFonts w:ascii="Cambria" w:hAnsi="Cambria"/>
          <w:sz w:val="20"/>
          <w:szCs w:val="20"/>
        </w:rPr>
        <w:t>Article 110 — Classes of remedies and their formalities. Against disciplinary decisions it is possible to lodge the legal remedies of reversal petition, appeal and complaint, which will be filed in writing unless express provision to the contrary. Paragraph. Against decisions that are merely procedural</w:t>
      </w:r>
      <w:r>
        <w:rPr>
          <w:rFonts w:ascii="Cambria" w:hAnsi="Cambria"/>
          <w:sz w:val="20"/>
          <w:szCs w:val="20"/>
        </w:rPr>
        <w:t>,</w:t>
      </w:r>
      <w:r w:rsidRPr="000975FB">
        <w:rPr>
          <w:rFonts w:ascii="Cambria" w:hAnsi="Cambria"/>
          <w:sz w:val="20"/>
          <w:szCs w:val="20"/>
        </w:rPr>
        <w:t xml:space="preserve"> no legal remedy can be filed.</w:t>
      </w:r>
    </w:p>
    <w:p w14:paraId="47139B3F" w14:textId="77777777" w:rsidR="00A84770" w:rsidRPr="000975FB" w:rsidRDefault="00A84770" w:rsidP="00A84770">
      <w:pPr>
        <w:ind w:left="709" w:right="803"/>
        <w:jc w:val="both"/>
        <w:rPr>
          <w:rFonts w:ascii="Cambria" w:hAnsi="Cambria"/>
          <w:sz w:val="20"/>
          <w:szCs w:val="20"/>
        </w:rPr>
      </w:pPr>
    </w:p>
    <w:p w14:paraId="5637A783" w14:textId="77777777" w:rsidR="00A84770" w:rsidRDefault="00A84770" w:rsidP="00A84770">
      <w:pPr>
        <w:ind w:left="709" w:right="803"/>
        <w:jc w:val="both"/>
        <w:rPr>
          <w:rFonts w:ascii="Cambria" w:hAnsi="Cambria"/>
          <w:sz w:val="20"/>
          <w:szCs w:val="20"/>
        </w:rPr>
      </w:pPr>
      <w:r w:rsidRPr="000975FB">
        <w:rPr>
          <w:rFonts w:ascii="Cambria" w:hAnsi="Cambria"/>
          <w:sz w:val="20"/>
          <w:szCs w:val="20"/>
        </w:rPr>
        <w:t>Article 113 — Reversal Petition. The reversal petition will only proceed against</w:t>
      </w:r>
      <w:r>
        <w:rPr>
          <w:rFonts w:ascii="Cambria" w:hAnsi="Cambria"/>
          <w:sz w:val="20"/>
          <w:szCs w:val="20"/>
        </w:rPr>
        <w:t xml:space="preserve"> the decision made regarding</w:t>
      </w:r>
      <w:r w:rsidRPr="000975FB">
        <w:rPr>
          <w:rFonts w:ascii="Cambria" w:hAnsi="Cambria"/>
          <w:sz w:val="20"/>
          <w:szCs w:val="20"/>
        </w:rPr>
        <w:t xml:space="preserve"> null</w:t>
      </w:r>
      <w:r>
        <w:rPr>
          <w:rFonts w:ascii="Cambria" w:hAnsi="Cambria"/>
          <w:sz w:val="20"/>
          <w:szCs w:val="20"/>
        </w:rPr>
        <w:t>ification</w:t>
      </w:r>
      <w:r w:rsidRPr="000975FB">
        <w:rPr>
          <w:rFonts w:ascii="Cambria" w:hAnsi="Cambria"/>
          <w:sz w:val="20"/>
          <w:szCs w:val="20"/>
        </w:rPr>
        <w:t xml:space="preserve"> and the refusal of </w:t>
      </w:r>
      <w:r>
        <w:rPr>
          <w:rFonts w:ascii="Cambria" w:hAnsi="Cambria"/>
          <w:sz w:val="20"/>
          <w:szCs w:val="20"/>
        </w:rPr>
        <w:t>a</w:t>
      </w:r>
      <w:r w:rsidRPr="000975FB">
        <w:rPr>
          <w:rFonts w:ascii="Cambria" w:hAnsi="Cambria"/>
          <w:sz w:val="20"/>
          <w:szCs w:val="20"/>
        </w:rPr>
        <w:t xml:space="preserve"> request </w:t>
      </w:r>
      <w:r>
        <w:rPr>
          <w:rFonts w:ascii="Cambria" w:hAnsi="Cambria"/>
          <w:sz w:val="20"/>
          <w:szCs w:val="20"/>
        </w:rPr>
        <w:t>for copies or evidence</w:t>
      </w:r>
      <w:r w:rsidRPr="000975FB">
        <w:rPr>
          <w:rFonts w:ascii="Cambria" w:hAnsi="Cambria"/>
          <w:sz w:val="20"/>
          <w:szCs w:val="20"/>
        </w:rPr>
        <w:t xml:space="preserve"> to the investigated person or to his / her attorney, and against the single instance ruling.</w:t>
      </w:r>
    </w:p>
    <w:p w14:paraId="30222E73" w14:textId="77777777" w:rsidR="00A84770" w:rsidRDefault="00A84770" w:rsidP="00A84770">
      <w:pPr>
        <w:pStyle w:val="Ttulo3"/>
        <w:numPr>
          <w:ilvl w:val="1"/>
          <w:numId w:val="54"/>
        </w:numPr>
        <w:tabs>
          <w:tab w:val="clear" w:pos="1800"/>
        </w:tabs>
        <w:ind w:hanging="1091"/>
        <w:rPr>
          <w:color w:val="auto"/>
          <w:sz w:val="20"/>
          <w:szCs w:val="20"/>
          <w:lang w:val="es-CO"/>
        </w:rPr>
      </w:pPr>
      <w:bookmarkStart w:id="10" w:name="_Toc496666294"/>
      <w:proofErr w:type="spellStart"/>
      <w:r>
        <w:rPr>
          <w:color w:val="auto"/>
          <w:sz w:val="20"/>
          <w:szCs w:val="20"/>
          <w:lang w:val="es-CO"/>
        </w:rPr>
        <w:t>Law</w:t>
      </w:r>
      <w:proofErr w:type="spellEnd"/>
      <w:r>
        <w:rPr>
          <w:color w:val="auto"/>
          <w:sz w:val="20"/>
          <w:szCs w:val="20"/>
          <w:lang w:val="es-CO"/>
        </w:rPr>
        <w:t xml:space="preserve"> 1437 of 2011</w:t>
      </w:r>
      <w:bookmarkEnd w:id="10"/>
      <w:r>
        <w:rPr>
          <w:color w:val="auto"/>
          <w:sz w:val="20"/>
          <w:szCs w:val="20"/>
          <w:lang w:val="es-CO"/>
        </w:rPr>
        <w:t xml:space="preserve"> </w:t>
      </w:r>
    </w:p>
    <w:p w14:paraId="2A5CADCC"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4084318B"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n-US"/>
        </w:rPr>
      </w:pPr>
      <w:r>
        <w:rPr>
          <w:rFonts w:ascii="Cambria" w:hAnsi="Cambria"/>
          <w:sz w:val="20"/>
          <w:szCs w:val="20"/>
          <w:lang w:val="en-US"/>
        </w:rPr>
        <w:t>Law 1437 of 2011 states the following:</w:t>
      </w:r>
    </w:p>
    <w:p w14:paraId="2A6D7172"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n-US"/>
        </w:rPr>
      </w:pPr>
    </w:p>
    <w:p w14:paraId="43A5F4FC"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803" w:firstLine="0"/>
        <w:jc w:val="both"/>
        <w:rPr>
          <w:rFonts w:ascii="Cambria" w:hAnsi="Cambria"/>
          <w:sz w:val="20"/>
          <w:szCs w:val="20"/>
          <w:lang w:val="en-US"/>
        </w:rPr>
      </w:pPr>
      <w:r>
        <w:rPr>
          <w:rFonts w:ascii="Cambria" w:hAnsi="Cambria"/>
          <w:sz w:val="20"/>
          <w:szCs w:val="20"/>
          <w:lang w:val="en-US"/>
        </w:rPr>
        <w:t>Article 137. Nullification</w:t>
      </w:r>
      <w:r w:rsidRPr="002E236D">
        <w:rPr>
          <w:rFonts w:ascii="Cambria" w:hAnsi="Cambria"/>
          <w:sz w:val="20"/>
          <w:szCs w:val="20"/>
          <w:lang w:val="en-US"/>
        </w:rPr>
        <w:t xml:space="preserve">. Every person may request by themselves, </w:t>
      </w:r>
      <w:r>
        <w:rPr>
          <w:rFonts w:ascii="Cambria" w:hAnsi="Cambria"/>
          <w:sz w:val="20"/>
          <w:szCs w:val="20"/>
          <w:lang w:val="en-US"/>
        </w:rPr>
        <w:t>or through a representative, a declaration of nullification of</w:t>
      </w:r>
      <w:r w:rsidRPr="002E236D">
        <w:rPr>
          <w:rFonts w:ascii="Cambria" w:hAnsi="Cambria"/>
          <w:sz w:val="20"/>
          <w:szCs w:val="20"/>
          <w:lang w:val="en-US"/>
        </w:rPr>
        <w:t xml:space="preserve"> administrative acts of general character. It will proceed when these have been issued with an infringement of the norms whereupon these shall be based, or without competence, or irregularly, or with ignorance of the right to hearing and counsel, or through false motivation, or with a deviation of the powers of the person who issued these (…)</w:t>
      </w:r>
      <w:r>
        <w:rPr>
          <w:rFonts w:ascii="Cambria" w:hAnsi="Cambria"/>
          <w:sz w:val="20"/>
          <w:szCs w:val="20"/>
          <w:lang w:val="en-US"/>
        </w:rPr>
        <w:t xml:space="preserve"> </w:t>
      </w:r>
    </w:p>
    <w:p w14:paraId="50B447D4"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803" w:firstLine="0"/>
        <w:jc w:val="both"/>
        <w:rPr>
          <w:rFonts w:ascii="Cambria" w:hAnsi="Cambria"/>
          <w:sz w:val="20"/>
          <w:szCs w:val="20"/>
          <w:lang w:val="en-US"/>
        </w:rPr>
      </w:pPr>
    </w:p>
    <w:p w14:paraId="2F347984"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803" w:firstLine="0"/>
        <w:jc w:val="both"/>
        <w:rPr>
          <w:rFonts w:ascii="Cambria" w:hAnsi="Cambria"/>
          <w:sz w:val="20"/>
          <w:szCs w:val="20"/>
          <w:lang w:val="en-US"/>
        </w:rPr>
      </w:pPr>
      <w:r>
        <w:rPr>
          <w:rFonts w:ascii="Cambria" w:hAnsi="Cambria"/>
          <w:sz w:val="20"/>
          <w:szCs w:val="20"/>
          <w:lang w:val="en-US"/>
        </w:rPr>
        <w:t>Article 138. Nullification and restoration of rights. Every person who believes they were injured in a subjective right based on a legal norm, may request a declaration of nullification of the specific administrative act, express or alleged, and the restoration of rights; also, he / she may request reparations for the damage. Nullification shall proceed for the same causes provided in section two of the previous article. (…)</w:t>
      </w:r>
    </w:p>
    <w:p w14:paraId="0B268D34"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n-US"/>
        </w:rPr>
      </w:pPr>
    </w:p>
    <w:p w14:paraId="6103CBF8" w14:textId="77777777" w:rsidR="00A84770" w:rsidRPr="009756C6" w:rsidRDefault="00A84770" w:rsidP="00A84770">
      <w:pPr>
        <w:pStyle w:val="Ttulo2"/>
        <w:numPr>
          <w:ilvl w:val="0"/>
          <w:numId w:val="60"/>
        </w:numPr>
        <w:ind w:left="1560" w:hanging="851"/>
        <w:rPr>
          <w:rFonts w:cs="Arial"/>
          <w:bCs/>
          <w:iCs/>
          <w:lang w:val="en-US"/>
        </w:rPr>
      </w:pPr>
      <w:bookmarkStart w:id="11" w:name="_Toc496666295"/>
      <w:r w:rsidRPr="009756C6">
        <w:rPr>
          <w:rFonts w:cs="Arial"/>
          <w:bCs/>
          <w:iCs/>
          <w:lang w:val="en-US"/>
        </w:rPr>
        <w:t>Background of the first disciplinary proceeding</w:t>
      </w:r>
      <w:bookmarkEnd w:id="11"/>
      <w:r w:rsidRPr="009756C6">
        <w:rPr>
          <w:rFonts w:cs="Arial"/>
          <w:bCs/>
          <w:iCs/>
          <w:lang w:val="en-US"/>
        </w:rPr>
        <w:t xml:space="preserve"> </w:t>
      </w:r>
    </w:p>
    <w:p w14:paraId="69B4DF41" w14:textId="77777777" w:rsidR="00A84770" w:rsidRPr="009756C6" w:rsidRDefault="00A84770" w:rsidP="00A84770"/>
    <w:p w14:paraId="5AE5AB9C" w14:textId="77777777" w:rsidR="00A84770" w:rsidRPr="00E955EB" w:rsidRDefault="00A84770" w:rsidP="00A84770">
      <w:pPr>
        <w:pStyle w:val="Prrafodelista"/>
        <w:numPr>
          <w:ilvl w:val="0"/>
          <w:numId w:val="61"/>
        </w:numPr>
        <w:tabs>
          <w:tab w:val="clear" w:pos="1800"/>
        </w:tabs>
        <w:ind w:left="1560" w:hanging="851"/>
        <w:rPr>
          <w:b/>
          <w:sz w:val="20"/>
          <w:szCs w:val="20"/>
        </w:rPr>
      </w:pPr>
      <w:r w:rsidRPr="00E955EB">
        <w:rPr>
          <w:b/>
          <w:sz w:val="20"/>
          <w:szCs w:val="20"/>
        </w:rPr>
        <w:t xml:space="preserve">Constitutional Court Decision T-724 </w:t>
      </w:r>
      <w:r>
        <w:rPr>
          <w:b/>
          <w:sz w:val="20"/>
          <w:szCs w:val="20"/>
        </w:rPr>
        <w:t xml:space="preserve">of </w:t>
      </w:r>
      <w:r w:rsidRPr="00E955EB">
        <w:rPr>
          <w:b/>
          <w:sz w:val="20"/>
          <w:szCs w:val="20"/>
        </w:rPr>
        <w:t>2003</w:t>
      </w:r>
    </w:p>
    <w:p w14:paraId="37F56833" w14:textId="77777777" w:rsidR="00A84770" w:rsidRPr="00E955EB"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5CAB2EEA"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n-US"/>
        </w:rPr>
      </w:pPr>
      <w:r>
        <w:rPr>
          <w:rFonts w:ascii="Cambria" w:hAnsi="Cambria"/>
          <w:sz w:val="20"/>
          <w:szCs w:val="20"/>
          <w:lang w:val="en-US"/>
        </w:rPr>
        <w:lastRenderedPageBreak/>
        <w:t xml:space="preserve">On August 20, 2003, the Constitutional Court decided a </w:t>
      </w:r>
      <w:r w:rsidRPr="00C91F1D">
        <w:rPr>
          <w:rFonts w:ascii="Cambria" w:hAnsi="Cambria"/>
          <w:sz w:val="20"/>
          <w:szCs w:val="20"/>
          <w:lang w:val="en-US"/>
        </w:rPr>
        <w:t>protection action</w:t>
      </w:r>
      <w:r>
        <w:rPr>
          <w:rFonts w:ascii="Cambria" w:hAnsi="Cambria"/>
          <w:sz w:val="20"/>
          <w:szCs w:val="20"/>
          <w:lang w:val="en-US"/>
        </w:rPr>
        <w:t xml:space="preserve"> filed by the </w:t>
      </w:r>
      <w:proofErr w:type="spellStart"/>
      <w:r>
        <w:rPr>
          <w:rFonts w:ascii="Cambria" w:hAnsi="Cambria"/>
          <w:i/>
          <w:sz w:val="20"/>
          <w:szCs w:val="20"/>
          <w:lang w:val="en-US"/>
        </w:rPr>
        <w:t>Asociaci</w:t>
      </w:r>
      <w:r w:rsidRPr="00B5276F">
        <w:rPr>
          <w:rFonts w:ascii="Cambria" w:hAnsi="Cambria"/>
          <w:i/>
          <w:sz w:val="20"/>
          <w:szCs w:val="20"/>
          <w:lang w:val="en-US"/>
        </w:rPr>
        <w:t>ón</w:t>
      </w:r>
      <w:proofErr w:type="spellEnd"/>
      <w:r w:rsidRPr="00B5276F">
        <w:rPr>
          <w:rFonts w:ascii="Cambria" w:hAnsi="Cambria"/>
          <w:i/>
          <w:sz w:val="20"/>
          <w:szCs w:val="20"/>
          <w:lang w:val="en-US"/>
        </w:rPr>
        <w:t xml:space="preserve"> de </w:t>
      </w:r>
      <w:proofErr w:type="spellStart"/>
      <w:r w:rsidRPr="00B5276F">
        <w:rPr>
          <w:rFonts w:ascii="Cambria" w:hAnsi="Cambria"/>
          <w:i/>
          <w:sz w:val="20"/>
          <w:szCs w:val="20"/>
          <w:lang w:val="en-US"/>
        </w:rPr>
        <w:t>Recicladores</w:t>
      </w:r>
      <w:proofErr w:type="spellEnd"/>
      <w:r w:rsidRPr="00B5276F">
        <w:rPr>
          <w:rFonts w:ascii="Cambria" w:hAnsi="Cambria"/>
          <w:i/>
          <w:sz w:val="20"/>
          <w:szCs w:val="20"/>
          <w:lang w:val="en-US"/>
        </w:rPr>
        <w:t xml:space="preserve"> de Bogotá </w:t>
      </w:r>
      <w:r w:rsidRPr="00B5276F">
        <w:rPr>
          <w:rFonts w:ascii="Cambria" w:hAnsi="Cambria"/>
          <w:sz w:val="20"/>
          <w:szCs w:val="20"/>
          <w:lang w:val="en-US"/>
        </w:rPr>
        <w:t xml:space="preserve">(Recycler’s </w:t>
      </w:r>
      <w:r>
        <w:rPr>
          <w:rFonts w:ascii="Cambria" w:hAnsi="Cambria"/>
          <w:sz w:val="20"/>
          <w:szCs w:val="20"/>
          <w:lang w:val="en-US"/>
        </w:rPr>
        <w:t xml:space="preserve">Association </w:t>
      </w:r>
      <w:r w:rsidRPr="00B5276F">
        <w:rPr>
          <w:rFonts w:ascii="Cambria" w:hAnsi="Cambria"/>
          <w:sz w:val="20"/>
          <w:szCs w:val="20"/>
          <w:lang w:val="en-US"/>
        </w:rPr>
        <w:t>of Bogot</w:t>
      </w:r>
      <w:r>
        <w:rPr>
          <w:rFonts w:ascii="Cambria" w:hAnsi="Cambria"/>
          <w:sz w:val="20"/>
          <w:szCs w:val="20"/>
          <w:lang w:val="en-US"/>
        </w:rPr>
        <w:t xml:space="preserve">a) in relation to a lack of access to public bidding for the provision of public sanitation services. In said decision, the Court considered that, </w:t>
      </w:r>
    </w:p>
    <w:p w14:paraId="2E339E4D"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0D4CBAE8"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09" w:right="803" w:firstLine="0"/>
        <w:jc w:val="both"/>
        <w:rPr>
          <w:rFonts w:ascii="Cambria" w:hAnsi="Cambria"/>
          <w:sz w:val="20"/>
          <w:szCs w:val="20"/>
          <w:lang w:val="en-US"/>
        </w:rPr>
      </w:pPr>
      <w:r>
        <w:rPr>
          <w:rFonts w:ascii="Cambria" w:hAnsi="Cambria"/>
          <w:sz w:val="20"/>
          <w:szCs w:val="20"/>
          <w:lang w:val="en-US"/>
        </w:rPr>
        <w:t>(…) the Executive Unit of the Public Services of the Capital District of Bogota (</w:t>
      </w:r>
      <w:proofErr w:type="spellStart"/>
      <w:r>
        <w:rPr>
          <w:rFonts w:ascii="Cambria" w:hAnsi="Cambria"/>
          <w:i/>
          <w:sz w:val="20"/>
          <w:szCs w:val="20"/>
          <w:lang w:val="en-US"/>
        </w:rPr>
        <w:t>Unidad</w:t>
      </w:r>
      <w:proofErr w:type="spellEnd"/>
      <w:r>
        <w:rPr>
          <w:rFonts w:ascii="Cambria" w:hAnsi="Cambria"/>
          <w:i/>
          <w:sz w:val="20"/>
          <w:szCs w:val="20"/>
          <w:lang w:val="en-US"/>
        </w:rPr>
        <w:t xml:space="preserve"> </w:t>
      </w:r>
      <w:proofErr w:type="spellStart"/>
      <w:r>
        <w:rPr>
          <w:rFonts w:ascii="Cambria" w:hAnsi="Cambria"/>
          <w:i/>
          <w:sz w:val="20"/>
          <w:szCs w:val="20"/>
          <w:lang w:val="en-US"/>
        </w:rPr>
        <w:t>Ejecutiva</w:t>
      </w:r>
      <w:proofErr w:type="spellEnd"/>
      <w:r>
        <w:rPr>
          <w:rFonts w:ascii="Cambria" w:hAnsi="Cambria"/>
          <w:i/>
          <w:sz w:val="20"/>
          <w:szCs w:val="20"/>
          <w:lang w:val="en-US"/>
        </w:rPr>
        <w:t xml:space="preserve"> de </w:t>
      </w:r>
      <w:proofErr w:type="spellStart"/>
      <w:r>
        <w:rPr>
          <w:rFonts w:ascii="Cambria" w:hAnsi="Cambria"/>
          <w:i/>
          <w:sz w:val="20"/>
          <w:szCs w:val="20"/>
          <w:lang w:val="en-US"/>
        </w:rPr>
        <w:t>Servicios</w:t>
      </w:r>
      <w:proofErr w:type="spellEnd"/>
      <w:r>
        <w:rPr>
          <w:rFonts w:ascii="Cambria" w:hAnsi="Cambria"/>
          <w:i/>
          <w:sz w:val="20"/>
          <w:szCs w:val="20"/>
          <w:lang w:val="en-US"/>
        </w:rPr>
        <w:t xml:space="preserve"> </w:t>
      </w:r>
      <w:proofErr w:type="spellStart"/>
      <w:r>
        <w:rPr>
          <w:rFonts w:ascii="Cambria" w:hAnsi="Cambria"/>
          <w:i/>
          <w:sz w:val="20"/>
          <w:szCs w:val="20"/>
          <w:lang w:val="en-US"/>
        </w:rPr>
        <w:t>Públicos</w:t>
      </w:r>
      <w:proofErr w:type="spellEnd"/>
      <w:r>
        <w:rPr>
          <w:rFonts w:ascii="Cambria" w:hAnsi="Cambria"/>
          <w:i/>
          <w:sz w:val="20"/>
          <w:szCs w:val="20"/>
          <w:lang w:val="en-US"/>
        </w:rPr>
        <w:t xml:space="preserve"> del Distrito Capital de Bogotá</w:t>
      </w:r>
      <w:r>
        <w:rPr>
          <w:rFonts w:ascii="Cambria" w:hAnsi="Cambria"/>
          <w:sz w:val="20"/>
          <w:szCs w:val="20"/>
          <w:lang w:val="en-US"/>
        </w:rPr>
        <w:t>), did not abide by the constitutional mandate that constrains it to adopt measures in favor of marginalized or discriminated groups, such as recyclers, as will be shown below (…)</w:t>
      </w:r>
    </w:p>
    <w:p w14:paraId="53AAFBF8"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09" w:right="803" w:firstLine="0"/>
        <w:jc w:val="both"/>
        <w:rPr>
          <w:rFonts w:ascii="Cambria" w:hAnsi="Cambria"/>
          <w:sz w:val="20"/>
          <w:szCs w:val="20"/>
          <w:lang w:val="en-US"/>
        </w:rPr>
      </w:pPr>
    </w:p>
    <w:p w14:paraId="619140F1" w14:textId="77777777" w:rsidR="00A84770" w:rsidRPr="00022CA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09" w:right="803" w:firstLine="0"/>
        <w:jc w:val="both"/>
        <w:rPr>
          <w:rFonts w:ascii="Cambria" w:hAnsi="Cambria"/>
          <w:sz w:val="20"/>
          <w:szCs w:val="20"/>
          <w:lang w:val="en-US"/>
        </w:rPr>
      </w:pPr>
      <w:r>
        <w:rPr>
          <w:rFonts w:ascii="Cambria" w:hAnsi="Cambria"/>
          <w:sz w:val="20"/>
          <w:szCs w:val="20"/>
          <w:lang w:val="en-US"/>
        </w:rPr>
        <w:t>(…) it urges the Council of Bogota, in relation to its jurisdiction, to include affirmative actions in the process of administrative contracting, in favor of those groups that, as a result of marginalization and discrimination, require special protection from the State (…).</w:t>
      </w:r>
      <w:r w:rsidRPr="009B3BD2">
        <w:rPr>
          <w:rStyle w:val="Refdenotaalpie"/>
          <w:rFonts w:asciiTheme="majorHAnsi" w:hAnsiTheme="majorHAnsi"/>
          <w:sz w:val="20"/>
          <w:szCs w:val="20"/>
          <w:lang w:val="es-CO"/>
        </w:rPr>
        <w:footnoteReference w:id="6"/>
      </w:r>
      <w:r>
        <w:rPr>
          <w:rFonts w:ascii="Cambria" w:hAnsi="Cambria"/>
          <w:sz w:val="20"/>
          <w:szCs w:val="20"/>
          <w:lang w:val="en-US"/>
        </w:rPr>
        <w:t xml:space="preserve"> </w:t>
      </w:r>
    </w:p>
    <w:p w14:paraId="1C755451"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5C305714"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n-US"/>
        </w:rPr>
      </w:pPr>
      <w:r>
        <w:rPr>
          <w:rFonts w:ascii="Cambria" w:hAnsi="Cambria"/>
          <w:sz w:val="20"/>
          <w:szCs w:val="20"/>
          <w:lang w:val="en-US"/>
        </w:rPr>
        <w:t>On July 30, 2010, the Constitutional Court issued Order 268, outlining the criteria to guarantee participation by the recycling association (</w:t>
      </w:r>
      <w:proofErr w:type="spellStart"/>
      <w:r>
        <w:rPr>
          <w:rFonts w:ascii="Cambria" w:hAnsi="Cambria"/>
          <w:i/>
          <w:sz w:val="20"/>
          <w:szCs w:val="20"/>
          <w:lang w:val="en-US"/>
        </w:rPr>
        <w:t>recicladora</w:t>
      </w:r>
      <w:proofErr w:type="spellEnd"/>
      <w:r>
        <w:rPr>
          <w:rFonts w:ascii="Cambria" w:hAnsi="Cambria"/>
          <w:sz w:val="20"/>
          <w:szCs w:val="20"/>
          <w:lang w:val="en-US"/>
        </w:rPr>
        <w:t>) in bidding processes for sanitation services.</w:t>
      </w:r>
      <w:r w:rsidRPr="009B3BD2">
        <w:rPr>
          <w:rStyle w:val="Refdenotaalpie"/>
          <w:rFonts w:asciiTheme="majorHAnsi" w:hAnsiTheme="majorHAnsi"/>
          <w:sz w:val="20"/>
          <w:szCs w:val="20"/>
          <w:lang w:val="es-CO"/>
        </w:rPr>
        <w:footnoteReference w:id="7"/>
      </w:r>
      <w:r>
        <w:rPr>
          <w:rFonts w:ascii="Cambria" w:hAnsi="Cambria"/>
          <w:sz w:val="20"/>
          <w:szCs w:val="20"/>
          <w:lang w:val="en-US"/>
        </w:rPr>
        <w:t xml:space="preserve"> </w:t>
      </w:r>
    </w:p>
    <w:p w14:paraId="4589882F"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n-US"/>
        </w:rPr>
      </w:pPr>
    </w:p>
    <w:p w14:paraId="483A5ED2"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n-US"/>
        </w:rPr>
      </w:pPr>
      <w:r>
        <w:rPr>
          <w:rFonts w:ascii="Cambria" w:hAnsi="Cambria"/>
          <w:sz w:val="20"/>
          <w:szCs w:val="20"/>
          <w:lang w:val="en-US"/>
        </w:rPr>
        <w:t xml:space="preserve">On December 19, 2011, via Order 275, the Constitutional Court declared UAESP’s failure to comply with the orders provided in judgment T-274 of 2003, and the general criteria provided in Order 268 of 2010, and ordered the </w:t>
      </w:r>
      <w:r w:rsidRPr="0091136B">
        <w:rPr>
          <w:rFonts w:ascii="Cambria" w:hAnsi="Cambria"/>
          <w:sz w:val="20"/>
          <w:szCs w:val="20"/>
          <w:lang w:val="en-US"/>
        </w:rPr>
        <w:t>Mayor’s Office of Bogota</w:t>
      </w:r>
      <w:r>
        <w:rPr>
          <w:rFonts w:ascii="Cambria" w:hAnsi="Cambria"/>
          <w:sz w:val="20"/>
          <w:szCs w:val="20"/>
          <w:lang w:val="en-US"/>
        </w:rPr>
        <w:t>, through the UAESP, “to determine a plan of goals in the short term with the aim of formalizing and regulating the recycling population, which contains concrete, qualified, measurable, and verifiable actions, and which must be delivered to the Constitutional Court,  as well as the Office of the Inspector General of the Nation by March 31, 2012, at the latest.”</w:t>
      </w:r>
      <w:r w:rsidRPr="009B3BD2">
        <w:rPr>
          <w:rStyle w:val="Refdenotaalpie"/>
          <w:rFonts w:asciiTheme="majorHAnsi" w:hAnsiTheme="majorHAnsi"/>
          <w:sz w:val="20"/>
          <w:szCs w:val="20"/>
          <w:lang w:val="es-CO"/>
        </w:rPr>
        <w:footnoteReference w:id="8"/>
      </w:r>
      <w:r>
        <w:rPr>
          <w:rFonts w:ascii="Cambria" w:hAnsi="Cambria"/>
          <w:sz w:val="20"/>
          <w:szCs w:val="20"/>
          <w:lang w:val="en-US"/>
        </w:rPr>
        <w:t xml:space="preserve">  </w:t>
      </w:r>
    </w:p>
    <w:p w14:paraId="02547FC6"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rPr>
          <w:rFonts w:ascii="Cambria" w:hAnsi="Cambria"/>
          <w:sz w:val="20"/>
          <w:szCs w:val="20"/>
          <w:lang w:val="en-US"/>
        </w:rPr>
      </w:pPr>
    </w:p>
    <w:p w14:paraId="7EB68E77" w14:textId="77777777" w:rsidR="00A84770" w:rsidRPr="00FE0D61" w:rsidRDefault="00A84770" w:rsidP="00A84770">
      <w:pPr>
        <w:pStyle w:val="Prrafodelista"/>
        <w:numPr>
          <w:ilvl w:val="0"/>
          <w:numId w:val="61"/>
        </w:numPr>
        <w:tabs>
          <w:tab w:val="clear" w:pos="1800"/>
        </w:tabs>
        <w:ind w:hanging="1091"/>
        <w:rPr>
          <w:b/>
          <w:sz w:val="20"/>
          <w:szCs w:val="20"/>
        </w:rPr>
      </w:pPr>
      <w:r w:rsidRPr="00FE0D61">
        <w:rPr>
          <w:b/>
          <w:sz w:val="20"/>
          <w:szCs w:val="20"/>
        </w:rPr>
        <w:t>The signature of contracts 017 and 809 of 2012</w:t>
      </w:r>
    </w:p>
    <w:p w14:paraId="3C846CA2" w14:textId="77777777" w:rsidR="00A84770" w:rsidRPr="00FE0D61"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rPr>
          <w:rFonts w:ascii="Cambria" w:hAnsi="Cambria"/>
          <w:sz w:val="20"/>
          <w:szCs w:val="20"/>
          <w:lang w:val="en-US"/>
        </w:rPr>
      </w:pPr>
    </w:p>
    <w:p w14:paraId="3F4867EE"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n-US"/>
        </w:rPr>
      </w:pPr>
      <w:r w:rsidRPr="00DC24CC">
        <w:rPr>
          <w:rFonts w:ascii="Cambria" w:hAnsi="Cambria"/>
          <w:sz w:val="20"/>
          <w:szCs w:val="20"/>
          <w:lang w:val="en-US"/>
        </w:rPr>
        <w:t>On October 11, 2012, considering the pre</w:t>
      </w:r>
      <w:r>
        <w:rPr>
          <w:rFonts w:ascii="Cambria" w:hAnsi="Cambria"/>
          <w:sz w:val="20"/>
          <w:szCs w:val="20"/>
          <w:lang w:val="en-US"/>
        </w:rPr>
        <w:t xml:space="preserve">vious decisions, as well as other reasons, the UAESP signed contract 017 with the </w:t>
      </w:r>
      <w:proofErr w:type="spellStart"/>
      <w:r>
        <w:rPr>
          <w:rFonts w:ascii="Cambria" w:hAnsi="Cambria"/>
          <w:i/>
          <w:sz w:val="20"/>
          <w:szCs w:val="20"/>
          <w:lang w:val="en-US"/>
        </w:rPr>
        <w:t>Empresa</w:t>
      </w:r>
      <w:proofErr w:type="spellEnd"/>
      <w:r>
        <w:rPr>
          <w:rFonts w:ascii="Cambria" w:hAnsi="Cambria"/>
          <w:i/>
          <w:sz w:val="20"/>
          <w:szCs w:val="20"/>
          <w:lang w:val="en-US"/>
        </w:rPr>
        <w:t xml:space="preserve"> de </w:t>
      </w:r>
      <w:proofErr w:type="spellStart"/>
      <w:r>
        <w:rPr>
          <w:rFonts w:ascii="Cambria" w:hAnsi="Cambria"/>
          <w:i/>
          <w:sz w:val="20"/>
          <w:szCs w:val="20"/>
          <w:lang w:val="en-US"/>
        </w:rPr>
        <w:t>Acueducto</w:t>
      </w:r>
      <w:proofErr w:type="spellEnd"/>
      <w:r>
        <w:rPr>
          <w:rFonts w:ascii="Cambria" w:hAnsi="Cambria"/>
          <w:i/>
          <w:sz w:val="20"/>
          <w:szCs w:val="20"/>
          <w:lang w:val="en-US"/>
        </w:rPr>
        <w:t xml:space="preserve"> y </w:t>
      </w:r>
      <w:proofErr w:type="spellStart"/>
      <w:r>
        <w:rPr>
          <w:rFonts w:ascii="Cambria" w:hAnsi="Cambria"/>
          <w:i/>
          <w:sz w:val="20"/>
          <w:szCs w:val="20"/>
          <w:lang w:val="en-US"/>
        </w:rPr>
        <w:t>Alcantarillado</w:t>
      </w:r>
      <w:proofErr w:type="spellEnd"/>
      <w:r>
        <w:rPr>
          <w:rFonts w:ascii="Cambria" w:hAnsi="Cambria"/>
          <w:i/>
          <w:sz w:val="20"/>
          <w:szCs w:val="20"/>
          <w:lang w:val="en-US"/>
        </w:rPr>
        <w:t xml:space="preserve"> de Bogota E.S.P. </w:t>
      </w:r>
      <w:r w:rsidRPr="00DC24CC">
        <w:rPr>
          <w:rFonts w:ascii="Cambria" w:hAnsi="Cambria"/>
          <w:sz w:val="20"/>
          <w:szCs w:val="20"/>
          <w:lang w:val="en-US"/>
        </w:rPr>
        <w:t xml:space="preserve">(Water and </w:t>
      </w:r>
      <w:r>
        <w:rPr>
          <w:rFonts w:ascii="Cambria" w:hAnsi="Cambria"/>
          <w:sz w:val="20"/>
          <w:szCs w:val="20"/>
          <w:lang w:val="en-US"/>
        </w:rPr>
        <w:t xml:space="preserve">Sewers </w:t>
      </w:r>
      <w:r w:rsidRPr="00DC24CC">
        <w:rPr>
          <w:rFonts w:ascii="Cambria" w:hAnsi="Cambria"/>
          <w:sz w:val="20"/>
          <w:szCs w:val="20"/>
          <w:lang w:val="en-US"/>
        </w:rPr>
        <w:t>Company of Bogota E.S.P)</w:t>
      </w:r>
      <w:r>
        <w:rPr>
          <w:rFonts w:ascii="Cambria" w:hAnsi="Cambria"/>
          <w:sz w:val="20"/>
          <w:szCs w:val="20"/>
          <w:lang w:val="en-US"/>
        </w:rPr>
        <w:t xml:space="preserve">, a public company, which committed to provide “the refuse collection, sweeping, and cleaning of public areas and transportation of waste to the final dumping site in the Capital District of Bogota;” likewise, it will support the UAESP “to guarantee the inclusion of the recycler population in sanitation services (…) paying through tariffs for the work that this population does in collection and transportation of solid waste (…).” </w:t>
      </w:r>
    </w:p>
    <w:p w14:paraId="57C7F093"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rPr>
          <w:rFonts w:ascii="Cambria" w:hAnsi="Cambria"/>
          <w:sz w:val="20"/>
          <w:szCs w:val="20"/>
          <w:lang w:val="en-US"/>
        </w:rPr>
      </w:pPr>
    </w:p>
    <w:p w14:paraId="2C650C73"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n-US"/>
        </w:rPr>
      </w:pPr>
      <w:r>
        <w:rPr>
          <w:rFonts w:ascii="Cambria" w:hAnsi="Cambria"/>
          <w:sz w:val="20"/>
          <w:szCs w:val="20"/>
          <w:lang w:val="en-US"/>
        </w:rPr>
        <w:t>Said contract records that the contractor would implement it with its own technological, economic, financial, human, and material means” (…) “except for the equipment or buildings owned by the Capital District, provided by the UAESP for the implementation of the contract.” Likewise, it states that “the contractor may contract suitable Public Sanitation Companies to provide the service in activities or areas of the city.”</w:t>
      </w:r>
      <w:r w:rsidRPr="009B3BD2">
        <w:rPr>
          <w:rStyle w:val="Refdenotaalpie"/>
          <w:rFonts w:asciiTheme="majorHAnsi" w:hAnsiTheme="majorHAnsi"/>
          <w:sz w:val="20"/>
          <w:szCs w:val="20"/>
          <w:lang w:val="es-VE"/>
        </w:rPr>
        <w:footnoteReference w:id="9"/>
      </w:r>
      <w:r w:rsidRPr="009E7E01">
        <w:rPr>
          <w:rStyle w:val="Refdenotaalpie"/>
          <w:rFonts w:asciiTheme="majorHAnsi" w:hAnsiTheme="majorHAnsi"/>
          <w:sz w:val="20"/>
          <w:szCs w:val="20"/>
          <w:lang w:val="en-US"/>
        </w:rPr>
        <w:t xml:space="preserve"> </w:t>
      </w:r>
    </w:p>
    <w:p w14:paraId="3B9B5179"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rPr>
          <w:rFonts w:ascii="Cambria" w:hAnsi="Cambria"/>
          <w:sz w:val="20"/>
          <w:szCs w:val="20"/>
          <w:lang w:val="en-US"/>
        </w:rPr>
      </w:pPr>
    </w:p>
    <w:p w14:paraId="5091638D" w14:textId="77777777" w:rsidR="00A84770" w:rsidRPr="005A718E"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On December 4, 2012, the Water and Sewers Company of Bogota signed contract 809 with the company Water of Bogota (</w:t>
      </w:r>
      <w:r w:rsidRPr="00166AFE">
        <w:rPr>
          <w:rFonts w:ascii="Cambria" w:hAnsi="Cambria"/>
          <w:i/>
          <w:sz w:val="20"/>
          <w:szCs w:val="20"/>
          <w:lang w:val="en-US"/>
        </w:rPr>
        <w:t>Agua de Bogotá</w:t>
      </w:r>
      <w:r>
        <w:rPr>
          <w:rFonts w:ascii="Cambria" w:hAnsi="Cambria"/>
          <w:sz w:val="20"/>
          <w:szCs w:val="20"/>
          <w:lang w:val="en-US"/>
        </w:rPr>
        <w:t>)</w:t>
      </w:r>
      <w:r>
        <w:rPr>
          <w:rFonts w:ascii="Cambria" w:hAnsi="Cambria"/>
          <w:i/>
          <w:sz w:val="20"/>
          <w:szCs w:val="20"/>
          <w:lang w:val="en-US"/>
        </w:rPr>
        <w:t xml:space="preserve">, </w:t>
      </w:r>
      <w:r>
        <w:rPr>
          <w:rFonts w:ascii="Cambria" w:hAnsi="Cambria"/>
          <w:sz w:val="20"/>
          <w:szCs w:val="20"/>
          <w:lang w:val="en-US"/>
        </w:rPr>
        <w:t>whereby the latter committed to provide sanitation services in public areas of Bogota.</w:t>
      </w:r>
      <w:r w:rsidRPr="009B3BD2">
        <w:rPr>
          <w:rStyle w:val="Refdenotaalpie"/>
          <w:rFonts w:asciiTheme="majorHAnsi" w:hAnsiTheme="majorHAnsi"/>
          <w:sz w:val="20"/>
          <w:szCs w:val="20"/>
          <w:lang w:val="es-CO"/>
        </w:rPr>
        <w:footnoteReference w:id="10"/>
      </w:r>
      <w:r>
        <w:rPr>
          <w:rFonts w:ascii="Cambria" w:hAnsi="Cambria"/>
          <w:sz w:val="20"/>
          <w:szCs w:val="20"/>
          <w:lang w:val="en-US"/>
        </w:rPr>
        <w:t xml:space="preserve"> </w:t>
      </w:r>
    </w:p>
    <w:p w14:paraId="74A4F4D5"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sz w:val="20"/>
          <w:szCs w:val="20"/>
          <w:lang w:val="en-US"/>
        </w:rPr>
      </w:pPr>
    </w:p>
    <w:p w14:paraId="77517CB2" w14:textId="77777777" w:rsidR="00A84770" w:rsidRPr="005A718E" w:rsidRDefault="00A84770" w:rsidP="00A84770">
      <w:pPr>
        <w:pStyle w:val="Prrafodelista"/>
        <w:numPr>
          <w:ilvl w:val="0"/>
          <w:numId w:val="61"/>
        </w:numPr>
        <w:tabs>
          <w:tab w:val="clear" w:pos="1800"/>
        </w:tabs>
        <w:ind w:left="1418" w:hanging="709"/>
        <w:rPr>
          <w:b/>
          <w:sz w:val="20"/>
          <w:szCs w:val="20"/>
        </w:rPr>
      </w:pPr>
      <w:r w:rsidRPr="006A57BD">
        <w:rPr>
          <w:b/>
          <w:sz w:val="20"/>
          <w:szCs w:val="20"/>
        </w:rPr>
        <w:t>Issuance of Decree 564 of December 2012</w:t>
      </w:r>
    </w:p>
    <w:p w14:paraId="0C29B978"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rPr>
          <w:rFonts w:ascii="Cambria" w:hAnsi="Cambria"/>
          <w:sz w:val="20"/>
          <w:szCs w:val="20"/>
          <w:lang w:val="en-US"/>
        </w:rPr>
      </w:pPr>
    </w:p>
    <w:p w14:paraId="37BCED5D"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rPr>
          <w:rFonts w:ascii="Cambria" w:hAnsi="Cambria"/>
          <w:sz w:val="20"/>
          <w:szCs w:val="20"/>
          <w:lang w:val="en-US"/>
        </w:rPr>
      </w:pPr>
      <w:r>
        <w:rPr>
          <w:rFonts w:ascii="Cambria" w:hAnsi="Cambria"/>
          <w:sz w:val="20"/>
          <w:szCs w:val="20"/>
          <w:lang w:val="en-US"/>
        </w:rPr>
        <w:lastRenderedPageBreak/>
        <w:t>On December 10, 2012, the Mayor of Bogota issued Decree 564, which outlined the rules of the provision of the public sanitation services in the city.</w:t>
      </w:r>
    </w:p>
    <w:p w14:paraId="65EAC82C"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09" w:firstLine="0"/>
        <w:rPr>
          <w:rFonts w:ascii="Cambria" w:hAnsi="Cambria"/>
          <w:sz w:val="20"/>
          <w:szCs w:val="20"/>
          <w:lang w:val="en-US"/>
        </w:rPr>
      </w:pPr>
    </w:p>
    <w:p w14:paraId="7B0E3372"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rPr>
          <w:rFonts w:ascii="Cambria" w:hAnsi="Cambria"/>
          <w:sz w:val="20"/>
          <w:szCs w:val="20"/>
          <w:lang w:val="en-US"/>
        </w:rPr>
      </w:pPr>
      <w:r>
        <w:rPr>
          <w:rFonts w:ascii="Cambria" w:hAnsi="Cambria"/>
          <w:sz w:val="20"/>
          <w:szCs w:val="20"/>
          <w:lang w:val="en-US"/>
        </w:rPr>
        <w:t>In pertinent part, said Decree provided the following:</w:t>
      </w:r>
    </w:p>
    <w:p w14:paraId="6AD89918"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rPr>
          <w:rFonts w:ascii="Cambria" w:hAnsi="Cambria"/>
          <w:sz w:val="20"/>
          <w:szCs w:val="20"/>
          <w:lang w:val="en-US"/>
        </w:rPr>
      </w:pPr>
    </w:p>
    <w:p w14:paraId="12761127"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09" w:right="803" w:firstLine="0"/>
        <w:jc w:val="both"/>
        <w:rPr>
          <w:rFonts w:ascii="Cambria" w:hAnsi="Cambria"/>
          <w:sz w:val="20"/>
          <w:szCs w:val="20"/>
          <w:lang w:val="en-US"/>
        </w:rPr>
      </w:pPr>
      <w:r>
        <w:rPr>
          <w:rFonts w:ascii="Cambria" w:hAnsi="Cambria"/>
          <w:sz w:val="20"/>
          <w:szCs w:val="20"/>
          <w:lang w:val="en-US"/>
        </w:rPr>
        <w:t xml:space="preserve">Article 6. Compliance with the power to supervise, coordinate and control of sanitation services. In accordance with Article 116 of the District Agreement 257 of November 30, 2006, for a public or private individual to provide, in the City of Bogota Capital District, public sanitation services, shall accredit before the </w:t>
      </w:r>
      <w:r w:rsidRPr="0031790A">
        <w:rPr>
          <w:rFonts w:ascii="Cambria" w:hAnsi="Cambria"/>
          <w:sz w:val="20"/>
          <w:szCs w:val="20"/>
          <w:lang w:val="en-US"/>
        </w:rPr>
        <w:t>Special Administrative Unit of Public Services</w:t>
      </w:r>
      <w:r>
        <w:rPr>
          <w:rFonts w:ascii="Cambria" w:hAnsi="Cambria"/>
          <w:sz w:val="20"/>
          <w:szCs w:val="20"/>
          <w:lang w:val="en-US"/>
        </w:rPr>
        <w:t xml:space="preserve"> [</w:t>
      </w:r>
      <w:proofErr w:type="spellStart"/>
      <w:r>
        <w:rPr>
          <w:rFonts w:ascii="Cambria" w:hAnsi="Cambria"/>
          <w:i/>
          <w:sz w:val="20"/>
          <w:szCs w:val="20"/>
          <w:lang w:val="en-US"/>
        </w:rPr>
        <w:t>Unidad</w:t>
      </w:r>
      <w:proofErr w:type="spellEnd"/>
      <w:r>
        <w:rPr>
          <w:rFonts w:ascii="Cambria" w:hAnsi="Cambria"/>
          <w:i/>
          <w:sz w:val="20"/>
          <w:szCs w:val="20"/>
          <w:lang w:val="en-US"/>
        </w:rPr>
        <w:t xml:space="preserve"> </w:t>
      </w:r>
      <w:proofErr w:type="spellStart"/>
      <w:r>
        <w:rPr>
          <w:rFonts w:ascii="Cambria" w:hAnsi="Cambria"/>
          <w:i/>
          <w:sz w:val="20"/>
          <w:szCs w:val="20"/>
          <w:lang w:val="en-US"/>
        </w:rPr>
        <w:t>Administrativa</w:t>
      </w:r>
      <w:proofErr w:type="spellEnd"/>
      <w:r>
        <w:rPr>
          <w:rFonts w:ascii="Cambria" w:hAnsi="Cambria"/>
          <w:i/>
          <w:sz w:val="20"/>
          <w:szCs w:val="20"/>
          <w:lang w:val="en-US"/>
        </w:rPr>
        <w:t xml:space="preserve"> Especial de </w:t>
      </w:r>
      <w:proofErr w:type="spellStart"/>
      <w:r>
        <w:rPr>
          <w:rFonts w:ascii="Cambria" w:hAnsi="Cambria"/>
          <w:i/>
          <w:sz w:val="20"/>
          <w:szCs w:val="20"/>
          <w:lang w:val="en-US"/>
        </w:rPr>
        <w:t>Servicios</w:t>
      </w:r>
      <w:proofErr w:type="spellEnd"/>
      <w:r>
        <w:rPr>
          <w:rFonts w:ascii="Cambria" w:hAnsi="Cambria"/>
          <w:i/>
          <w:sz w:val="20"/>
          <w:szCs w:val="20"/>
          <w:lang w:val="en-US"/>
        </w:rPr>
        <w:t xml:space="preserve"> </w:t>
      </w:r>
      <w:proofErr w:type="spellStart"/>
      <w:r>
        <w:rPr>
          <w:rFonts w:ascii="Cambria" w:hAnsi="Cambria"/>
          <w:i/>
          <w:sz w:val="20"/>
          <w:szCs w:val="20"/>
          <w:lang w:val="en-US"/>
        </w:rPr>
        <w:t>Públicos</w:t>
      </w:r>
      <w:proofErr w:type="spellEnd"/>
      <w:r>
        <w:rPr>
          <w:rFonts w:ascii="Cambria" w:hAnsi="Cambria"/>
          <w:i/>
          <w:sz w:val="20"/>
          <w:szCs w:val="20"/>
          <w:lang w:val="en-US"/>
        </w:rPr>
        <w:t xml:space="preserve"> – UAESP</w:t>
      </w:r>
      <w:r>
        <w:rPr>
          <w:rFonts w:ascii="Cambria" w:hAnsi="Cambria"/>
          <w:sz w:val="20"/>
          <w:szCs w:val="20"/>
          <w:lang w:val="en-US"/>
        </w:rPr>
        <w:t>] the requirements provided by law and sign with said Unit, or the Water and Sewers Company of Bogota E.S.P-EAAB, a contract that details the scope of their obligations and, particularly, how the activities of supervision, coordination, and control of the service in charge of the Special Administrative Unit of Public Services UAESP will be fulfilled.</w:t>
      </w:r>
    </w:p>
    <w:p w14:paraId="567CBA24"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09" w:right="803" w:firstLine="0"/>
        <w:rPr>
          <w:rFonts w:ascii="Cambria" w:hAnsi="Cambria"/>
          <w:sz w:val="20"/>
          <w:szCs w:val="20"/>
          <w:lang w:val="en-US"/>
        </w:rPr>
      </w:pPr>
    </w:p>
    <w:p w14:paraId="09FDE108" w14:textId="77777777" w:rsidR="00A84770" w:rsidRPr="00620666"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09" w:right="803" w:firstLine="0"/>
        <w:jc w:val="both"/>
        <w:rPr>
          <w:rFonts w:ascii="Cambria" w:hAnsi="Cambria"/>
          <w:sz w:val="20"/>
          <w:szCs w:val="20"/>
          <w:lang w:val="en-US"/>
        </w:rPr>
      </w:pPr>
      <w:r>
        <w:rPr>
          <w:rFonts w:ascii="Cambria" w:hAnsi="Cambria"/>
          <w:sz w:val="20"/>
          <w:szCs w:val="20"/>
          <w:lang w:val="en-US"/>
        </w:rPr>
        <w:t>Article 9. Access to the Landfill. The access and dumping of solid waste in the Do</w:t>
      </w:r>
      <w:r w:rsidRPr="00620666">
        <w:rPr>
          <w:rFonts w:ascii="Cambria" w:hAnsi="Cambria"/>
          <w:sz w:val="20"/>
          <w:szCs w:val="20"/>
          <w:lang w:val="en-US"/>
        </w:rPr>
        <w:t xml:space="preserve">ña Juana Landfill, owned </w:t>
      </w:r>
      <w:r>
        <w:rPr>
          <w:rFonts w:ascii="Cambria" w:hAnsi="Cambria"/>
          <w:sz w:val="20"/>
          <w:szCs w:val="20"/>
          <w:lang w:val="en-US"/>
        </w:rPr>
        <w:t>by the Capital District, is conditioned on the prior signing of a contract for access to the public sanitation service in the complementary activity of final dumping, with the operator contracted for this purpose, with prior authorization of the Special Administrative Unit of Public Services UAESP, under the terms provided in National Decree 838 of 2005.</w:t>
      </w:r>
      <w:r w:rsidRPr="009E7E01">
        <w:rPr>
          <w:rStyle w:val="Refdenotaalpie"/>
          <w:rFonts w:asciiTheme="majorHAnsi" w:hAnsiTheme="majorHAnsi"/>
          <w:sz w:val="20"/>
          <w:szCs w:val="20"/>
          <w:lang w:val="en-US"/>
        </w:rPr>
        <w:t xml:space="preserve"> </w:t>
      </w:r>
      <w:r w:rsidRPr="009B3BD2">
        <w:rPr>
          <w:rStyle w:val="Refdenotaalpie"/>
          <w:rFonts w:asciiTheme="majorHAnsi" w:hAnsiTheme="majorHAnsi"/>
          <w:sz w:val="20"/>
          <w:szCs w:val="20"/>
          <w:lang w:val="es-CO"/>
        </w:rPr>
        <w:footnoteReference w:id="11"/>
      </w:r>
      <w:r>
        <w:rPr>
          <w:rFonts w:ascii="Cambria" w:hAnsi="Cambria"/>
          <w:sz w:val="20"/>
          <w:szCs w:val="20"/>
          <w:lang w:val="en-US"/>
        </w:rPr>
        <w:t xml:space="preserve"> </w:t>
      </w:r>
    </w:p>
    <w:p w14:paraId="6BAE9D3C"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right="803"/>
        <w:rPr>
          <w:rFonts w:ascii="Cambria" w:hAnsi="Cambria"/>
          <w:sz w:val="20"/>
          <w:szCs w:val="20"/>
          <w:lang w:val="en-US"/>
        </w:rPr>
      </w:pPr>
    </w:p>
    <w:p w14:paraId="24D302E1" w14:textId="77777777" w:rsidR="00A84770" w:rsidRDefault="00A84770" w:rsidP="00A84770">
      <w:pPr>
        <w:pStyle w:val="Prrafodelista"/>
        <w:numPr>
          <w:ilvl w:val="0"/>
          <w:numId w:val="61"/>
        </w:numPr>
        <w:tabs>
          <w:tab w:val="clear" w:pos="1800"/>
        </w:tabs>
        <w:ind w:left="1418" w:hanging="709"/>
        <w:rPr>
          <w:b/>
          <w:sz w:val="20"/>
          <w:szCs w:val="20"/>
        </w:rPr>
      </w:pPr>
      <w:r>
        <w:rPr>
          <w:b/>
          <w:sz w:val="20"/>
          <w:szCs w:val="20"/>
        </w:rPr>
        <w:t>Issuance of Decree 570 of December 2012</w:t>
      </w:r>
    </w:p>
    <w:p w14:paraId="4E2243C9"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rPr>
          <w:rFonts w:ascii="Cambria" w:hAnsi="Cambria"/>
          <w:sz w:val="20"/>
          <w:szCs w:val="20"/>
          <w:lang w:val="en-US"/>
        </w:rPr>
      </w:pPr>
    </w:p>
    <w:p w14:paraId="138F4BE4"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 xml:space="preserve">On December 14, 2012, the </w:t>
      </w:r>
      <w:r w:rsidRPr="001E4698">
        <w:rPr>
          <w:rFonts w:ascii="Cambria" w:hAnsi="Cambria"/>
          <w:sz w:val="20"/>
          <w:szCs w:val="20"/>
          <w:lang w:val="en-US"/>
        </w:rPr>
        <w:t>Office of the Mayor of Bogota</w:t>
      </w:r>
      <w:r>
        <w:rPr>
          <w:rFonts w:ascii="Cambria" w:hAnsi="Cambria"/>
          <w:sz w:val="20"/>
          <w:szCs w:val="20"/>
          <w:lang w:val="en-US"/>
        </w:rPr>
        <w:t xml:space="preserve"> declared a state of prevention or yellow </w:t>
      </w:r>
      <w:r w:rsidRPr="00A52A85">
        <w:rPr>
          <w:rFonts w:ascii="Cambria" w:hAnsi="Cambria"/>
          <w:sz w:val="20"/>
          <w:szCs w:val="20"/>
          <w:lang w:val="en-US"/>
        </w:rPr>
        <w:t>alert</w:t>
      </w:r>
      <w:r>
        <w:rPr>
          <w:rFonts w:ascii="Cambria" w:hAnsi="Cambria"/>
          <w:sz w:val="20"/>
          <w:szCs w:val="20"/>
          <w:lang w:val="en-US"/>
        </w:rPr>
        <w:t xml:space="preserve"> for a period of 4 months in the entire Capital District, taking into consideration, </w:t>
      </w:r>
      <w:r>
        <w:rPr>
          <w:rFonts w:ascii="Cambria" w:hAnsi="Cambria"/>
          <w:i/>
          <w:sz w:val="20"/>
          <w:szCs w:val="20"/>
          <w:lang w:val="en-US"/>
        </w:rPr>
        <w:t xml:space="preserve">inter alia, </w:t>
      </w:r>
      <w:r>
        <w:rPr>
          <w:rFonts w:ascii="Cambria" w:hAnsi="Cambria"/>
          <w:sz w:val="20"/>
          <w:szCs w:val="20"/>
          <w:lang w:val="en-US"/>
        </w:rPr>
        <w:t xml:space="preserve">the following: 1) by November 30, 2012, the UAESP identified 636 critical locations in the city, i.e. public spaces affected by the temporary or permanent presence of solid waste that could affect the environment; 2) on December 12, 2012, “in some areas of the Capital District, there were delays in the collection of solid waste by some providers of sanitation services contracted by UAESP”; and 3) considering that in the adaptation to the new scheme potential risk situations may arise.” </w:t>
      </w:r>
    </w:p>
    <w:p w14:paraId="7B5F2372"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09" w:firstLine="0"/>
        <w:rPr>
          <w:rFonts w:ascii="Cambria" w:hAnsi="Cambria"/>
          <w:sz w:val="20"/>
          <w:szCs w:val="20"/>
          <w:lang w:val="en-US"/>
        </w:rPr>
      </w:pPr>
    </w:p>
    <w:p w14:paraId="0BDFC068"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Likewise, and by virtue of the above, the Decree issued by the Mayor authorized “the use of dump trucks, with the objective of guaranteeing the continuity of public sanitation services, and, as a precautionary measure, to minimize eventual environmental and sanitary impacts.”</w:t>
      </w:r>
      <w:r w:rsidRPr="009B3BD2">
        <w:rPr>
          <w:rStyle w:val="Refdenotaalpie"/>
          <w:rFonts w:asciiTheme="majorHAnsi" w:hAnsiTheme="majorHAnsi"/>
          <w:sz w:val="20"/>
          <w:szCs w:val="20"/>
          <w:lang w:val="es-VE"/>
        </w:rPr>
        <w:footnoteReference w:id="12"/>
      </w:r>
    </w:p>
    <w:p w14:paraId="21E51027"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rPr>
          <w:rFonts w:ascii="Cambria" w:hAnsi="Cambria"/>
          <w:sz w:val="20"/>
          <w:szCs w:val="20"/>
          <w:lang w:val="en-US"/>
        </w:rPr>
      </w:pPr>
    </w:p>
    <w:p w14:paraId="6BA96EC0" w14:textId="77777777" w:rsidR="00A84770" w:rsidRPr="006A57BD" w:rsidRDefault="00A84770" w:rsidP="00A84770">
      <w:pPr>
        <w:pStyle w:val="Prrafodelista"/>
        <w:numPr>
          <w:ilvl w:val="0"/>
          <w:numId w:val="61"/>
        </w:numPr>
        <w:tabs>
          <w:tab w:val="clear" w:pos="1800"/>
        </w:tabs>
        <w:ind w:left="1418" w:hanging="709"/>
        <w:rPr>
          <w:b/>
          <w:sz w:val="20"/>
          <w:szCs w:val="20"/>
        </w:rPr>
      </w:pPr>
      <w:r>
        <w:rPr>
          <w:b/>
          <w:sz w:val="20"/>
          <w:szCs w:val="20"/>
        </w:rPr>
        <w:t>The crisis in Bogota</w:t>
      </w:r>
    </w:p>
    <w:p w14:paraId="5E0A99A2"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rPr>
          <w:rFonts w:ascii="Cambria" w:hAnsi="Cambria"/>
          <w:sz w:val="20"/>
          <w:szCs w:val="20"/>
          <w:lang w:val="en-US"/>
        </w:rPr>
      </w:pPr>
    </w:p>
    <w:p w14:paraId="57B4CC9E"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According to the information provided by the parties as well as public information, on December 18, 19, and 20, 2012, there was a crisis in Bogota due to a lack of trash collection during the transition between the public and private schemes. According to the petitioners, the crisis occurred because prior service providers refused to return trash-compacting vehicles and other equipment that they were required to return under the terms of their contracts.</w:t>
      </w:r>
      <w:r w:rsidRPr="009B3BD2">
        <w:rPr>
          <w:rFonts w:asciiTheme="majorHAnsi" w:hAnsiTheme="majorHAnsi"/>
          <w:sz w:val="20"/>
          <w:szCs w:val="20"/>
          <w:vertAlign w:val="superscript"/>
        </w:rPr>
        <w:footnoteReference w:id="13"/>
      </w:r>
      <w:r>
        <w:rPr>
          <w:rFonts w:ascii="Cambria" w:hAnsi="Cambria"/>
          <w:sz w:val="20"/>
          <w:szCs w:val="20"/>
          <w:lang w:val="en-US"/>
        </w:rPr>
        <w:t xml:space="preserve"> For its part, the State stated that the crisis came about because of the actions of the alleged victim. </w:t>
      </w:r>
    </w:p>
    <w:p w14:paraId="4E1AB166"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rPr>
          <w:rFonts w:ascii="Cambria" w:hAnsi="Cambria"/>
          <w:sz w:val="20"/>
          <w:szCs w:val="20"/>
          <w:lang w:val="en-US"/>
        </w:rPr>
      </w:pPr>
    </w:p>
    <w:p w14:paraId="71147463" w14:textId="77777777" w:rsidR="00A84770" w:rsidRPr="009756C6" w:rsidRDefault="00A84770" w:rsidP="00A84770">
      <w:pPr>
        <w:pStyle w:val="Ttulo2"/>
        <w:numPr>
          <w:ilvl w:val="0"/>
          <w:numId w:val="60"/>
        </w:numPr>
        <w:ind w:left="1418" w:hanging="709"/>
        <w:rPr>
          <w:rFonts w:cs="Arial"/>
          <w:bCs/>
          <w:iCs/>
          <w:lang w:val="en-US"/>
        </w:rPr>
      </w:pPr>
      <w:bookmarkStart w:id="12" w:name="_Toc496666296"/>
      <w:r>
        <w:rPr>
          <w:rFonts w:cs="Arial"/>
          <w:bCs/>
          <w:iCs/>
          <w:lang w:val="en-US"/>
        </w:rPr>
        <w:t>About</w:t>
      </w:r>
      <w:r w:rsidRPr="009756C6">
        <w:rPr>
          <w:rFonts w:cs="Arial"/>
          <w:bCs/>
          <w:iCs/>
          <w:lang w:val="en-US"/>
        </w:rPr>
        <w:t xml:space="preserve"> of the first disciplinary proceeding</w:t>
      </w:r>
      <w:bookmarkEnd w:id="12"/>
      <w:r w:rsidRPr="009756C6">
        <w:rPr>
          <w:rFonts w:cs="Arial"/>
          <w:bCs/>
          <w:iCs/>
          <w:lang w:val="en-US"/>
        </w:rPr>
        <w:t xml:space="preserve"> </w:t>
      </w:r>
    </w:p>
    <w:p w14:paraId="38C1EE1B" w14:textId="77777777" w:rsidR="00A84770" w:rsidRDefault="00A84770" w:rsidP="00A84770"/>
    <w:p w14:paraId="3EA5DEFB" w14:textId="0232855D" w:rsidR="00A84770" w:rsidRPr="00A33870" w:rsidRDefault="00A84770" w:rsidP="00A338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 xml:space="preserve">According to the casefile, in 2013, the Office of the Inspector General of the Nation received complaints against the alleged victim by the General Secretary of the Regional Worker’s Federation, a council </w:t>
      </w:r>
      <w:r>
        <w:rPr>
          <w:rFonts w:ascii="Cambria" w:hAnsi="Cambria"/>
          <w:sz w:val="20"/>
          <w:szCs w:val="20"/>
          <w:lang w:val="en-US"/>
        </w:rPr>
        <w:lastRenderedPageBreak/>
        <w:t xml:space="preserve">member of the District of Bogota, a representative of Bogota, and the Ombudsman, all in relation to Bogota’s sanitation system. In response, the Office of the Inspector General of the Nation initiated a disciplinary investigation. </w:t>
      </w:r>
    </w:p>
    <w:p w14:paraId="7C681993" w14:textId="77777777" w:rsidR="00A84770" w:rsidRPr="00326384" w:rsidRDefault="00A84770" w:rsidP="00A84770">
      <w:pPr>
        <w:pStyle w:val="Ttulo3"/>
        <w:numPr>
          <w:ilvl w:val="0"/>
          <w:numId w:val="62"/>
        </w:numPr>
        <w:tabs>
          <w:tab w:val="clear" w:pos="1800"/>
        </w:tabs>
        <w:ind w:left="720" w:firstLine="0"/>
        <w:rPr>
          <w:color w:val="auto"/>
          <w:sz w:val="20"/>
          <w:szCs w:val="20"/>
          <w:lang w:val="es-VE"/>
        </w:rPr>
      </w:pPr>
      <w:bookmarkStart w:id="13" w:name="_Toc496666297"/>
      <w:proofErr w:type="spellStart"/>
      <w:r w:rsidRPr="00326384">
        <w:rPr>
          <w:color w:val="auto"/>
          <w:sz w:val="20"/>
          <w:szCs w:val="20"/>
          <w:lang w:val="es-VE"/>
        </w:rPr>
        <w:t>Disciplinary</w:t>
      </w:r>
      <w:proofErr w:type="spellEnd"/>
      <w:r w:rsidRPr="00326384">
        <w:rPr>
          <w:color w:val="auto"/>
          <w:sz w:val="20"/>
          <w:szCs w:val="20"/>
          <w:lang w:val="es-VE"/>
        </w:rPr>
        <w:t xml:space="preserve"> </w:t>
      </w:r>
      <w:proofErr w:type="spellStart"/>
      <w:r w:rsidRPr="00326384">
        <w:rPr>
          <w:color w:val="auto"/>
          <w:sz w:val="20"/>
          <w:szCs w:val="20"/>
          <w:lang w:val="es-VE"/>
        </w:rPr>
        <w:t>Charges</w:t>
      </w:r>
      <w:bookmarkEnd w:id="13"/>
      <w:proofErr w:type="spellEnd"/>
    </w:p>
    <w:p w14:paraId="40AA1DCE"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rPr>
          <w:rFonts w:ascii="Cambria" w:hAnsi="Cambria"/>
          <w:sz w:val="20"/>
          <w:szCs w:val="20"/>
          <w:lang w:val="en-US"/>
        </w:rPr>
      </w:pPr>
    </w:p>
    <w:p w14:paraId="594635FC"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On June 20, 2013, the Disciplinary Chamber of the Office of the Inspector General of the Nation brought charges against the alleged victim and stated that he may have committed serious offenses under subsections 31, 37 and 60 of Article 47 of the Single Disciplinary Code in relation to three separate acts.</w:t>
      </w:r>
    </w:p>
    <w:p w14:paraId="7591EFB1"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09" w:firstLine="0"/>
        <w:jc w:val="both"/>
        <w:rPr>
          <w:rFonts w:ascii="Cambria" w:hAnsi="Cambria"/>
          <w:sz w:val="20"/>
          <w:szCs w:val="20"/>
          <w:lang w:val="en-US"/>
        </w:rPr>
      </w:pPr>
    </w:p>
    <w:p w14:paraId="7AA54FC2"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 xml:space="preserve">The first charge was based on the signature of the inter-administrative contract 017 of October 11, 2012 by the Special Administrative Unit of Public Services (UAESP) with the Water and Sewers Company of Bogota (EAAB), “without the company having the minimum experience and required capacity.” Likewise, because said contract meant that the EAAB signed a contract with the company </w:t>
      </w:r>
      <w:r>
        <w:rPr>
          <w:rFonts w:ascii="Cambria" w:hAnsi="Cambria"/>
          <w:i/>
          <w:sz w:val="20"/>
          <w:szCs w:val="20"/>
          <w:lang w:val="en-US"/>
        </w:rPr>
        <w:t>Aguas de Bogota</w:t>
      </w:r>
      <w:r>
        <w:rPr>
          <w:rFonts w:ascii="Cambria" w:hAnsi="Cambria"/>
          <w:sz w:val="20"/>
          <w:szCs w:val="20"/>
          <w:lang w:val="en-US"/>
        </w:rPr>
        <w:t xml:space="preserve"> (S.A.E.S.P) on December 4, 2012, “without the company having the minimum experience and required capacity.” </w:t>
      </w:r>
    </w:p>
    <w:p w14:paraId="32F1CC6C"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013C2A53"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 xml:space="preserve">The second charge was made for “issuing Decree 564 of December 10, 2012, through which a scheme for the provision of public sanitation services for the city of Bogota was adopted, which was totally contrary to the legal system, and which violated the constitutional principle of </w:t>
      </w:r>
      <w:r w:rsidRPr="00EF45E6">
        <w:rPr>
          <w:rFonts w:ascii="Cambria" w:hAnsi="Cambria"/>
          <w:sz w:val="20"/>
          <w:szCs w:val="20"/>
          <w:lang w:val="en-US"/>
        </w:rPr>
        <w:t>freedom of</w:t>
      </w:r>
      <w:r>
        <w:rPr>
          <w:rFonts w:ascii="Cambria" w:hAnsi="Cambria"/>
          <w:sz w:val="20"/>
          <w:szCs w:val="20"/>
          <w:lang w:val="en-US"/>
        </w:rPr>
        <w:t xml:space="preserve"> enterprise, preventing companies, other than entities of the District of Bogota, to provide,</w:t>
      </w:r>
      <w:r w:rsidRPr="00EF45E6">
        <w:rPr>
          <w:rFonts w:ascii="Cambria" w:hAnsi="Cambria"/>
          <w:sz w:val="20"/>
          <w:szCs w:val="20"/>
          <w:lang w:val="en-US"/>
        </w:rPr>
        <w:t xml:space="preserve"> </w:t>
      </w:r>
      <w:r>
        <w:rPr>
          <w:rFonts w:ascii="Cambria" w:hAnsi="Cambria"/>
          <w:sz w:val="20"/>
          <w:szCs w:val="20"/>
          <w:lang w:val="en-US"/>
        </w:rPr>
        <w:t xml:space="preserve">under equal conditions, the sanitation services in the capital city, from December 18, 2012.” </w:t>
      </w:r>
    </w:p>
    <w:p w14:paraId="7C305285"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64DAA423"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 xml:space="preserve"> The third charge was made for “having issued Decree 570 of December 14, 2012, by which the use of dump trucks was authorized, to guarantee continuity in sanitation services as a precautionary measure and to minimize the eventual environmental and sanitary impacts, because said authorization violated constitutional and legal dispositions in relation to the protection of the environment, which created a grave risk for the health of the inhabitants of the city of Bogota and for the environment.”</w:t>
      </w:r>
      <w:r w:rsidRPr="009B3BD2">
        <w:rPr>
          <w:rStyle w:val="Refdenotaalpie"/>
          <w:rFonts w:asciiTheme="majorHAnsi" w:hAnsiTheme="majorHAnsi"/>
          <w:sz w:val="20"/>
          <w:szCs w:val="20"/>
          <w:lang w:val="es-CO"/>
        </w:rPr>
        <w:footnoteReference w:id="14"/>
      </w:r>
      <w:r>
        <w:rPr>
          <w:rFonts w:ascii="Cambria" w:hAnsi="Cambria"/>
          <w:sz w:val="20"/>
          <w:szCs w:val="20"/>
          <w:lang w:val="en-US"/>
        </w:rPr>
        <w:t xml:space="preserve"> </w:t>
      </w:r>
    </w:p>
    <w:p w14:paraId="32D7C6C8"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1AF1A7FF"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The record of the disciplinary proceeding registers that a report was submitted by the District Secretariat of Environment of Bogota (</w:t>
      </w:r>
      <w:proofErr w:type="spellStart"/>
      <w:r>
        <w:rPr>
          <w:rFonts w:ascii="Cambria" w:hAnsi="Cambria"/>
          <w:i/>
          <w:sz w:val="20"/>
          <w:szCs w:val="20"/>
          <w:lang w:val="en-US"/>
        </w:rPr>
        <w:t>Secretar</w:t>
      </w:r>
      <w:r w:rsidRPr="004B0433">
        <w:rPr>
          <w:rFonts w:ascii="Cambria" w:hAnsi="Cambria"/>
          <w:i/>
          <w:sz w:val="20"/>
          <w:szCs w:val="20"/>
          <w:lang w:val="en-US"/>
        </w:rPr>
        <w:t>ía</w:t>
      </w:r>
      <w:proofErr w:type="spellEnd"/>
      <w:r w:rsidRPr="004B0433">
        <w:rPr>
          <w:rFonts w:ascii="Cambria" w:hAnsi="Cambria"/>
          <w:i/>
          <w:sz w:val="20"/>
          <w:szCs w:val="20"/>
          <w:lang w:val="en-US"/>
        </w:rPr>
        <w:t xml:space="preserve"> </w:t>
      </w:r>
      <w:proofErr w:type="spellStart"/>
      <w:r w:rsidRPr="004B0433">
        <w:rPr>
          <w:rFonts w:ascii="Cambria" w:hAnsi="Cambria"/>
          <w:i/>
          <w:sz w:val="20"/>
          <w:szCs w:val="20"/>
          <w:lang w:val="en-US"/>
        </w:rPr>
        <w:t>Distrital</w:t>
      </w:r>
      <w:proofErr w:type="spellEnd"/>
      <w:r w:rsidRPr="004B0433">
        <w:rPr>
          <w:rFonts w:ascii="Cambria" w:hAnsi="Cambria"/>
          <w:i/>
          <w:sz w:val="20"/>
          <w:szCs w:val="20"/>
          <w:lang w:val="en-US"/>
        </w:rPr>
        <w:t xml:space="preserve"> de </w:t>
      </w:r>
      <w:proofErr w:type="spellStart"/>
      <w:r w:rsidRPr="004B0433">
        <w:rPr>
          <w:rFonts w:ascii="Cambria" w:hAnsi="Cambria"/>
          <w:i/>
          <w:sz w:val="20"/>
          <w:szCs w:val="20"/>
          <w:lang w:val="en-US"/>
        </w:rPr>
        <w:t>Ambiente</w:t>
      </w:r>
      <w:proofErr w:type="spellEnd"/>
      <w:r w:rsidRPr="004B0433">
        <w:rPr>
          <w:rFonts w:ascii="Cambria" w:hAnsi="Cambria"/>
          <w:i/>
          <w:sz w:val="20"/>
          <w:szCs w:val="20"/>
          <w:lang w:val="en-US"/>
        </w:rPr>
        <w:t xml:space="preserve"> de Bogotá</w:t>
      </w:r>
      <w:r>
        <w:rPr>
          <w:rFonts w:ascii="Cambria" w:hAnsi="Cambria"/>
          <w:sz w:val="20"/>
          <w:szCs w:val="20"/>
          <w:lang w:val="en-US"/>
        </w:rPr>
        <w:t>). It was entitled “Environmental Monitoring and Control,” concerned the situation of solid waste in Bogota in December 2012, and concluded the following:</w:t>
      </w:r>
    </w:p>
    <w:p w14:paraId="43C6A419"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36923158" w14:textId="77777777" w:rsidR="00A84770" w:rsidRPr="00721F94" w:rsidRDefault="00A84770" w:rsidP="00A84770">
      <w:pPr>
        <w:pStyle w:val="Sangradetextonormal"/>
        <w:numPr>
          <w:ilvl w:val="4"/>
          <w:numId w:val="54"/>
        </w:numPr>
        <w:pBdr>
          <w:top w:val="none" w:sz="0" w:space="0" w:color="auto"/>
          <w:left w:val="none" w:sz="0" w:space="0" w:color="auto"/>
          <w:bottom w:val="none" w:sz="0" w:space="0" w:color="auto"/>
          <w:right w:val="none" w:sz="0" w:space="0" w:color="auto"/>
          <w:between w:val="none" w:sz="0" w:space="0" w:color="auto"/>
          <w:bar w:val="none" w:sz="0" w:color="auto"/>
        </w:pBdr>
        <w:ind w:left="990" w:hanging="270"/>
        <w:jc w:val="both"/>
        <w:rPr>
          <w:rFonts w:ascii="Cambria" w:hAnsi="Cambria"/>
          <w:sz w:val="20"/>
          <w:szCs w:val="20"/>
          <w:lang w:val="en-US"/>
        </w:rPr>
      </w:pPr>
      <w:r>
        <w:rPr>
          <w:rFonts w:ascii="Cambria" w:hAnsi="Cambria"/>
          <w:sz w:val="20"/>
          <w:szCs w:val="20"/>
          <w:lang w:val="en-US"/>
        </w:rPr>
        <w:t xml:space="preserve"> </w:t>
      </w:r>
      <w:r>
        <w:rPr>
          <w:rFonts w:ascii="Cambria" w:hAnsi="Cambria"/>
          <w:sz w:val="20"/>
          <w:szCs w:val="20"/>
          <w:lang w:val="en-US"/>
        </w:rPr>
        <w:tab/>
      </w:r>
      <w:r w:rsidRPr="00721F94">
        <w:rPr>
          <w:rFonts w:ascii="Cambria" w:hAnsi="Cambria"/>
          <w:sz w:val="20"/>
          <w:szCs w:val="20"/>
          <w:lang w:val="en-US"/>
        </w:rPr>
        <w:t xml:space="preserve">There was a visual impact due to the non-collection of waste. </w:t>
      </w:r>
    </w:p>
    <w:p w14:paraId="217BC3C7" w14:textId="77777777" w:rsidR="00A84770" w:rsidRPr="00721F94" w:rsidRDefault="00A84770" w:rsidP="00A84770">
      <w:pPr>
        <w:pStyle w:val="Sangradetextonormal"/>
        <w:numPr>
          <w:ilvl w:val="4"/>
          <w:numId w:val="54"/>
        </w:numPr>
        <w:pBdr>
          <w:top w:val="none" w:sz="0" w:space="0" w:color="auto"/>
          <w:left w:val="none" w:sz="0" w:space="0" w:color="auto"/>
          <w:bottom w:val="none" w:sz="0" w:space="0" w:color="auto"/>
          <w:right w:val="none" w:sz="0" w:space="0" w:color="auto"/>
          <w:between w:val="none" w:sz="0" w:space="0" w:color="auto"/>
          <w:bar w:val="none" w:sz="0" w:color="auto"/>
        </w:pBdr>
        <w:ind w:left="990" w:hanging="270"/>
        <w:jc w:val="both"/>
        <w:rPr>
          <w:rFonts w:ascii="Cambria" w:hAnsi="Cambria"/>
          <w:sz w:val="20"/>
          <w:szCs w:val="20"/>
          <w:lang w:val="en-US"/>
        </w:rPr>
      </w:pPr>
      <w:r w:rsidRPr="00721F94">
        <w:rPr>
          <w:rFonts w:ascii="Cambria" w:hAnsi="Cambria"/>
          <w:sz w:val="20"/>
          <w:szCs w:val="20"/>
          <w:lang w:val="en-US"/>
        </w:rPr>
        <w:t xml:space="preserve"> </w:t>
      </w:r>
      <w:r w:rsidRPr="00721F94">
        <w:rPr>
          <w:rFonts w:ascii="Cambria" w:hAnsi="Cambria"/>
          <w:sz w:val="20"/>
          <w:szCs w:val="20"/>
          <w:lang w:val="en-US"/>
        </w:rPr>
        <w:tab/>
        <w:t>There was a persistent bad smell in some areas of the city.</w:t>
      </w:r>
    </w:p>
    <w:p w14:paraId="241275B9" w14:textId="77777777" w:rsidR="00A84770" w:rsidRPr="00721F94" w:rsidRDefault="00A84770" w:rsidP="00A84770">
      <w:pPr>
        <w:pStyle w:val="Sangradetextonormal"/>
        <w:numPr>
          <w:ilvl w:val="4"/>
          <w:numId w:val="54"/>
        </w:numPr>
        <w:pBdr>
          <w:top w:val="none" w:sz="0" w:space="0" w:color="auto"/>
          <w:left w:val="none" w:sz="0" w:space="0" w:color="auto"/>
          <w:bottom w:val="none" w:sz="0" w:space="0" w:color="auto"/>
          <w:right w:val="none" w:sz="0" w:space="0" w:color="auto"/>
          <w:between w:val="none" w:sz="0" w:space="0" w:color="auto"/>
          <w:bar w:val="none" w:sz="0" w:color="auto"/>
        </w:pBdr>
        <w:ind w:left="990" w:hanging="270"/>
        <w:jc w:val="both"/>
        <w:rPr>
          <w:rFonts w:ascii="Cambria" w:hAnsi="Cambria"/>
          <w:sz w:val="20"/>
          <w:szCs w:val="20"/>
          <w:lang w:val="en-US"/>
        </w:rPr>
      </w:pPr>
      <w:r w:rsidRPr="00721F94">
        <w:rPr>
          <w:rFonts w:ascii="Cambria" w:hAnsi="Cambria"/>
          <w:sz w:val="20"/>
          <w:szCs w:val="20"/>
          <w:lang w:val="en-US"/>
        </w:rPr>
        <w:t xml:space="preserve">           In relation to disease vectors, impact on drainage, and the impact on the EEP (Main Ecological   Structures), no environmental impacts were caused, rather, these were potential threats. </w:t>
      </w:r>
    </w:p>
    <w:p w14:paraId="733AF82C" w14:textId="77777777" w:rsidR="00A84770" w:rsidRPr="00721F94" w:rsidRDefault="00A84770" w:rsidP="00A84770">
      <w:pPr>
        <w:pStyle w:val="Sangradetextonormal"/>
        <w:numPr>
          <w:ilvl w:val="4"/>
          <w:numId w:val="54"/>
        </w:numPr>
        <w:pBdr>
          <w:top w:val="none" w:sz="0" w:space="0" w:color="auto"/>
          <w:left w:val="none" w:sz="0" w:space="0" w:color="auto"/>
          <w:bottom w:val="none" w:sz="0" w:space="0" w:color="auto"/>
          <w:right w:val="none" w:sz="0" w:space="0" w:color="auto"/>
          <w:between w:val="none" w:sz="0" w:space="0" w:color="auto"/>
          <w:bar w:val="none" w:sz="0" w:color="auto"/>
        </w:pBdr>
        <w:ind w:left="990" w:hanging="270"/>
        <w:jc w:val="both"/>
        <w:rPr>
          <w:rFonts w:ascii="Cambria" w:hAnsi="Cambria"/>
          <w:sz w:val="20"/>
          <w:szCs w:val="20"/>
          <w:lang w:val="en-US"/>
        </w:rPr>
      </w:pPr>
      <w:r w:rsidRPr="00721F94">
        <w:rPr>
          <w:rFonts w:ascii="Cambria" w:hAnsi="Cambria"/>
          <w:sz w:val="20"/>
          <w:szCs w:val="20"/>
          <w:lang w:val="en-US"/>
        </w:rPr>
        <w:t xml:space="preserve"> </w:t>
      </w:r>
      <w:r w:rsidRPr="00721F94">
        <w:rPr>
          <w:rFonts w:ascii="Cambria" w:hAnsi="Cambria"/>
          <w:sz w:val="20"/>
          <w:szCs w:val="20"/>
          <w:lang w:val="en-US"/>
        </w:rPr>
        <w:tab/>
        <w:t xml:space="preserve">Street sweeping and cleaning. No environmental impacts were caused, rather, these were potential threats. </w:t>
      </w:r>
    </w:p>
    <w:p w14:paraId="384F9224" w14:textId="77777777" w:rsidR="00A84770" w:rsidRPr="00721F94" w:rsidRDefault="00A84770" w:rsidP="00A84770">
      <w:pPr>
        <w:pStyle w:val="Sangradetextonormal"/>
        <w:numPr>
          <w:ilvl w:val="4"/>
          <w:numId w:val="54"/>
        </w:numPr>
        <w:pBdr>
          <w:top w:val="none" w:sz="0" w:space="0" w:color="auto"/>
          <w:left w:val="none" w:sz="0" w:space="0" w:color="auto"/>
          <w:bottom w:val="none" w:sz="0" w:space="0" w:color="auto"/>
          <w:right w:val="none" w:sz="0" w:space="0" w:color="auto"/>
          <w:between w:val="none" w:sz="0" w:space="0" w:color="auto"/>
          <w:bar w:val="none" w:sz="0" w:color="auto"/>
        </w:pBdr>
        <w:ind w:left="990" w:hanging="270"/>
        <w:jc w:val="both"/>
        <w:rPr>
          <w:rFonts w:ascii="Cambria" w:hAnsi="Cambria"/>
          <w:sz w:val="20"/>
          <w:szCs w:val="20"/>
          <w:lang w:val="en-US"/>
        </w:rPr>
      </w:pPr>
      <w:r w:rsidRPr="00721F94">
        <w:rPr>
          <w:rFonts w:ascii="Cambria" w:hAnsi="Cambria"/>
          <w:sz w:val="20"/>
          <w:szCs w:val="20"/>
          <w:lang w:val="en-US"/>
        </w:rPr>
        <w:t>Transport. No environmental impacts were caused, rather, these were potential threats.</w:t>
      </w:r>
      <w:r w:rsidRPr="00721F94">
        <w:rPr>
          <w:rStyle w:val="Refdenotaalpie"/>
          <w:rFonts w:ascii="Cambria" w:hAnsi="Cambria"/>
          <w:sz w:val="20"/>
          <w:szCs w:val="20"/>
          <w:lang w:val="es-CO"/>
        </w:rPr>
        <w:footnoteReference w:id="15"/>
      </w:r>
      <w:r w:rsidRPr="00721F94">
        <w:rPr>
          <w:rFonts w:ascii="Cambria" w:hAnsi="Cambria"/>
          <w:sz w:val="20"/>
          <w:szCs w:val="20"/>
          <w:lang w:val="en-US"/>
        </w:rPr>
        <w:t xml:space="preserve"> </w:t>
      </w:r>
    </w:p>
    <w:p w14:paraId="5FA6471E"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09033427"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sidRPr="00BA02E0">
        <w:rPr>
          <w:rFonts w:ascii="Cambria" w:hAnsi="Cambria"/>
          <w:sz w:val="20"/>
          <w:szCs w:val="20"/>
          <w:lang w:val="en-US"/>
        </w:rPr>
        <w:t>The report’s author, Julio Cesar Pulido</w:t>
      </w:r>
      <w:r>
        <w:rPr>
          <w:rFonts w:ascii="Cambria" w:hAnsi="Cambria"/>
          <w:sz w:val="20"/>
          <w:szCs w:val="20"/>
          <w:lang w:val="en-US"/>
        </w:rPr>
        <w:t>,</w:t>
      </w:r>
      <w:r w:rsidRPr="00BA02E0">
        <w:rPr>
          <w:rFonts w:ascii="Cambria" w:hAnsi="Cambria"/>
          <w:sz w:val="20"/>
          <w:szCs w:val="20"/>
          <w:lang w:val="en-US"/>
        </w:rPr>
        <w:t xml:space="preserve"> declared </w:t>
      </w:r>
      <w:r>
        <w:rPr>
          <w:rFonts w:ascii="Cambria" w:hAnsi="Cambria"/>
          <w:sz w:val="20"/>
          <w:szCs w:val="20"/>
          <w:lang w:val="en-US"/>
        </w:rPr>
        <w:t>during the trial that “he did not have the methodology to measure magnitude, and that there was no technical basis to determine those environmental impacts.”</w:t>
      </w:r>
      <w:r w:rsidRPr="009B3BD2">
        <w:rPr>
          <w:rFonts w:asciiTheme="majorHAnsi" w:hAnsiTheme="majorHAnsi"/>
          <w:sz w:val="20"/>
          <w:szCs w:val="20"/>
          <w:vertAlign w:val="superscript"/>
        </w:rPr>
        <w:footnoteReference w:id="16"/>
      </w:r>
      <w:r>
        <w:rPr>
          <w:rFonts w:ascii="Cambria" w:hAnsi="Cambria"/>
          <w:sz w:val="20"/>
          <w:szCs w:val="20"/>
          <w:lang w:val="en-US"/>
        </w:rPr>
        <w:t xml:space="preserve"> </w:t>
      </w:r>
    </w:p>
    <w:p w14:paraId="5AF45F02" w14:textId="77777777" w:rsidR="00A84770" w:rsidRPr="00326384"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lastRenderedPageBreak/>
        <w:t>The Commission notes that throughout the process that the alleged victim maintained that the disciplinary proceeding was retaliation for his political views and ideology and sought to punish him in order to impose the political will of superiors in the hierarchy, and that the outcome had been pre-determined from the outset of the investigation.</w:t>
      </w:r>
      <w:r w:rsidRPr="009B3BD2">
        <w:rPr>
          <w:rStyle w:val="Refdenotaalpie"/>
          <w:rFonts w:asciiTheme="majorHAnsi" w:hAnsiTheme="majorHAnsi"/>
          <w:sz w:val="20"/>
          <w:szCs w:val="20"/>
          <w:lang w:val="es-CO"/>
        </w:rPr>
        <w:footnoteReference w:id="17"/>
      </w:r>
    </w:p>
    <w:p w14:paraId="6BEDBB52" w14:textId="77777777" w:rsidR="00A84770" w:rsidRPr="00326384" w:rsidRDefault="00A84770" w:rsidP="00A84770">
      <w:pPr>
        <w:pStyle w:val="Ttulo3"/>
        <w:numPr>
          <w:ilvl w:val="0"/>
          <w:numId w:val="62"/>
        </w:numPr>
        <w:tabs>
          <w:tab w:val="clear" w:pos="1800"/>
        </w:tabs>
        <w:ind w:left="720" w:firstLine="0"/>
        <w:rPr>
          <w:color w:val="auto"/>
          <w:sz w:val="20"/>
          <w:szCs w:val="20"/>
          <w:lang w:val="es-VE"/>
        </w:rPr>
      </w:pPr>
      <w:bookmarkStart w:id="14" w:name="_Toc496666298"/>
      <w:proofErr w:type="spellStart"/>
      <w:r w:rsidRPr="00326384">
        <w:rPr>
          <w:color w:val="auto"/>
          <w:sz w:val="20"/>
          <w:szCs w:val="20"/>
          <w:lang w:val="es-VE"/>
        </w:rPr>
        <w:t>Sanctioning</w:t>
      </w:r>
      <w:proofErr w:type="spellEnd"/>
      <w:r w:rsidRPr="00326384">
        <w:rPr>
          <w:color w:val="auto"/>
          <w:sz w:val="20"/>
          <w:szCs w:val="20"/>
          <w:lang w:val="es-VE"/>
        </w:rPr>
        <w:t xml:space="preserve"> </w:t>
      </w:r>
      <w:proofErr w:type="spellStart"/>
      <w:r w:rsidRPr="00326384">
        <w:rPr>
          <w:color w:val="auto"/>
          <w:sz w:val="20"/>
          <w:szCs w:val="20"/>
          <w:lang w:val="es-VE"/>
        </w:rPr>
        <w:t>ruling</w:t>
      </w:r>
      <w:proofErr w:type="spellEnd"/>
      <w:r w:rsidRPr="00326384">
        <w:rPr>
          <w:color w:val="auto"/>
          <w:sz w:val="20"/>
          <w:szCs w:val="20"/>
          <w:lang w:val="es-VE"/>
        </w:rPr>
        <w:t xml:space="preserve"> of </w:t>
      </w:r>
      <w:proofErr w:type="spellStart"/>
      <w:r w:rsidRPr="00326384">
        <w:rPr>
          <w:color w:val="auto"/>
          <w:sz w:val="20"/>
          <w:szCs w:val="20"/>
          <w:lang w:val="es-VE"/>
        </w:rPr>
        <w:t>sole</w:t>
      </w:r>
      <w:proofErr w:type="spellEnd"/>
      <w:r w:rsidRPr="00326384">
        <w:rPr>
          <w:color w:val="auto"/>
          <w:sz w:val="20"/>
          <w:szCs w:val="20"/>
          <w:lang w:val="es-VE"/>
        </w:rPr>
        <w:t xml:space="preserve"> </w:t>
      </w:r>
      <w:proofErr w:type="spellStart"/>
      <w:r w:rsidRPr="00326384">
        <w:rPr>
          <w:color w:val="auto"/>
          <w:sz w:val="20"/>
          <w:szCs w:val="20"/>
          <w:lang w:val="es-VE"/>
        </w:rPr>
        <w:t>instance</w:t>
      </w:r>
      <w:bookmarkEnd w:id="14"/>
      <w:proofErr w:type="spellEnd"/>
    </w:p>
    <w:p w14:paraId="1A3832B3" w14:textId="77777777" w:rsidR="00A84770" w:rsidRPr="00BA02E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rPr>
          <w:rFonts w:ascii="Cambria" w:hAnsi="Cambria"/>
          <w:sz w:val="20"/>
          <w:szCs w:val="20"/>
          <w:lang w:val="en-US"/>
        </w:rPr>
      </w:pPr>
    </w:p>
    <w:p w14:paraId="78FDC4E1"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On December 9, 2013, the Disciplinary Chamber of the Office of the Inspector General of the Nation, through two appointed Procurators,</w:t>
      </w:r>
      <w:r w:rsidRPr="009B3BD2">
        <w:rPr>
          <w:rStyle w:val="Refdenotaalpie"/>
          <w:rFonts w:asciiTheme="majorHAnsi" w:hAnsiTheme="majorHAnsi"/>
          <w:sz w:val="20"/>
          <w:szCs w:val="20"/>
          <w:lang w:val="es-CO"/>
        </w:rPr>
        <w:footnoteReference w:id="18"/>
      </w:r>
      <w:r w:rsidRPr="00DA5020">
        <w:rPr>
          <w:rFonts w:ascii="Cambria" w:hAnsi="Cambria"/>
          <w:sz w:val="20"/>
          <w:szCs w:val="20"/>
          <w:lang w:val="en-US"/>
        </w:rPr>
        <w:t xml:space="preserve"> </w:t>
      </w:r>
      <w:r>
        <w:rPr>
          <w:rFonts w:ascii="Cambria" w:hAnsi="Cambria"/>
          <w:sz w:val="20"/>
          <w:szCs w:val="20"/>
          <w:lang w:val="en-US"/>
        </w:rPr>
        <w:t xml:space="preserve">ruled against the nullification petitions filed by the alleged victim and determined that the three charges brought against him had been proven. It also determined that “as a consequence of the declaration of responsibility for the three disciplinary offenses stated above, to impose as a sanction on the </w:t>
      </w:r>
      <w:r w:rsidRPr="00407B74">
        <w:rPr>
          <w:rFonts w:ascii="Cambria" w:hAnsi="Cambria"/>
          <w:sz w:val="20"/>
          <w:szCs w:val="20"/>
          <w:lang w:val="en-US"/>
        </w:rPr>
        <w:t>disciplined person</w:t>
      </w:r>
      <w:r>
        <w:rPr>
          <w:rFonts w:ascii="Cambria" w:hAnsi="Cambria"/>
          <w:sz w:val="20"/>
          <w:szCs w:val="20"/>
          <w:lang w:val="en-US"/>
        </w:rPr>
        <w:t xml:space="preserve"> DISMISSAL AND </w:t>
      </w:r>
      <w:r w:rsidRPr="00407B74">
        <w:rPr>
          <w:rFonts w:ascii="Cambria" w:hAnsi="Cambria"/>
          <w:sz w:val="20"/>
          <w:szCs w:val="20"/>
          <w:lang w:val="en-US"/>
        </w:rPr>
        <w:t xml:space="preserve">GENERAL </w:t>
      </w:r>
      <w:r>
        <w:rPr>
          <w:rFonts w:ascii="Cambria" w:hAnsi="Cambria"/>
          <w:sz w:val="20"/>
          <w:szCs w:val="20"/>
          <w:lang w:val="en-US"/>
        </w:rPr>
        <w:t>DISQUALIFICATION for a period of FIFTEEN (15) YEARS, for the reasons noted in the analysis of this decision.”</w:t>
      </w:r>
      <w:r w:rsidRPr="009B3BD2">
        <w:rPr>
          <w:rStyle w:val="Refdenotaalpie"/>
          <w:rFonts w:asciiTheme="majorHAnsi" w:hAnsiTheme="majorHAnsi"/>
          <w:sz w:val="20"/>
          <w:szCs w:val="20"/>
          <w:lang w:val="es-CO"/>
        </w:rPr>
        <w:footnoteReference w:id="19"/>
      </w:r>
      <w:r>
        <w:rPr>
          <w:rFonts w:ascii="Cambria" w:hAnsi="Cambria"/>
          <w:sz w:val="20"/>
          <w:szCs w:val="20"/>
          <w:lang w:val="en-US"/>
        </w:rPr>
        <w:t xml:space="preserve"> </w:t>
      </w:r>
    </w:p>
    <w:p w14:paraId="3A76F35C"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09" w:firstLine="0"/>
        <w:rPr>
          <w:rFonts w:ascii="Cambria" w:hAnsi="Cambria"/>
          <w:sz w:val="20"/>
          <w:szCs w:val="20"/>
          <w:lang w:val="en-US"/>
        </w:rPr>
      </w:pPr>
    </w:p>
    <w:p w14:paraId="0062E193"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The Chamber considered that the two first offenses were committed with malice, and the third was a very serious offense.</w:t>
      </w:r>
      <w:r w:rsidRPr="009B3BD2">
        <w:rPr>
          <w:rStyle w:val="Refdenotaalpie"/>
          <w:rFonts w:asciiTheme="majorHAnsi" w:hAnsiTheme="majorHAnsi"/>
          <w:sz w:val="20"/>
          <w:szCs w:val="20"/>
          <w:lang w:val="es-CO"/>
        </w:rPr>
        <w:footnoteReference w:id="20"/>
      </w:r>
      <w:r>
        <w:rPr>
          <w:rFonts w:ascii="Cambria" w:hAnsi="Cambria"/>
          <w:sz w:val="20"/>
          <w:szCs w:val="20"/>
          <w:lang w:val="en-US"/>
        </w:rPr>
        <w:t xml:space="preserve"> </w:t>
      </w:r>
    </w:p>
    <w:p w14:paraId="6C746D03"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rPr>
          <w:rFonts w:ascii="Cambria" w:hAnsi="Cambria"/>
          <w:sz w:val="20"/>
          <w:szCs w:val="20"/>
          <w:lang w:val="en-US"/>
        </w:rPr>
      </w:pPr>
    </w:p>
    <w:p w14:paraId="4986F72A"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In relation to the first charge, the Chamber stated that it was proven that, in the second semester of 2012, the UAESP and the EAAB signed the inter-administrative contract 017 of October 11, 2012, without the latter having the minimum experience and required capacity. In relation to the type of conduct, it stated that:</w:t>
      </w:r>
    </w:p>
    <w:p w14:paraId="59C4DDD9"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rPr>
          <w:rFonts w:ascii="Cambria" w:hAnsi="Cambria"/>
          <w:sz w:val="20"/>
          <w:szCs w:val="20"/>
          <w:lang w:val="en-US"/>
        </w:rPr>
      </w:pPr>
    </w:p>
    <w:p w14:paraId="707FB4A2"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09" w:right="803" w:firstLine="0"/>
        <w:jc w:val="both"/>
        <w:rPr>
          <w:rFonts w:ascii="Cambria" w:hAnsi="Cambria"/>
          <w:sz w:val="20"/>
          <w:szCs w:val="20"/>
          <w:lang w:val="en-US"/>
        </w:rPr>
      </w:pPr>
      <w:r>
        <w:rPr>
          <w:rFonts w:ascii="Cambria" w:hAnsi="Cambria"/>
          <w:sz w:val="20"/>
          <w:szCs w:val="20"/>
          <w:lang w:val="en-US"/>
        </w:rPr>
        <w:t xml:space="preserve">Subsection 31 of Article 48 of the Single Disciplinary Code “determined as a very serious offense, that a public official </w:t>
      </w:r>
      <w:r w:rsidRPr="007351E5">
        <w:rPr>
          <w:rFonts w:ascii="Cambria" w:hAnsi="Cambria"/>
          <w:sz w:val="20"/>
          <w:szCs w:val="20"/>
          <w:lang w:val="en-US"/>
        </w:rPr>
        <w:t>take</w:t>
      </w:r>
      <w:r>
        <w:rPr>
          <w:rFonts w:ascii="Cambria" w:hAnsi="Cambria"/>
          <w:sz w:val="20"/>
          <w:szCs w:val="20"/>
          <w:lang w:val="en-US"/>
        </w:rPr>
        <w:t>s part in a pre-contractual stage or in a</w:t>
      </w:r>
      <w:r w:rsidRPr="007351E5">
        <w:rPr>
          <w:rFonts w:ascii="Cambria" w:hAnsi="Cambria"/>
          <w:sz w:val="20"/>
          <w:szCs w:val="20"/>
          <w:lang w:val="en-US"/>
        </w:rPr>
        <w:t xml:space="preserve"> contractual activity</w:t>
      </w:r>
      <w:r>
        <w:rPr>
          <w:rFonts w:ascii="Cambria" w:hAnsi="Cambria"/>
          <w:sz w:val="20"/>
          <w:szCs w:val="20"/>
          <w:lang w:val="en-US"/>
        </w:rPr>
        <w:t xml:space="preserve"> that </w:t>
      </w:r>
      <w:r w:rsidRPr="007351E5">
        <w:rPr>
          <w:rFonts w:ascii="Cambria" w:hAnsi="Cambria"/>
          <w:sz w:val="20"/>
          <w:szCs w:val="20"/>
          <w:lang w:val="en-US"/>
        </w:rPr>
        <w:t>disregard</w:t>
      </w:r>
      <w:r>
        <w:rPr>
          <w:rFonts w:ascii="Cambria" w:hAnsi="Cambria"/>
          <w:sz w:val="20"/>
          <w:szCs w:val="20"/>
          <w:lang w:val="en-US"/>
        </w:rPr>
        <w:t>s the principles regulating</w:t>
      </w:r>
      <w:r w:rsidRPr="007351E5">
        <w:rPr>
          <w:rFonts w:ascii="Cambria" w:hAnsi="Cambria"/>
          <w:sz w:val="20"/>
          <w:szCs w:val="20"/>
          <w:lang w:val="en-US"/>
        </w:rPr>
        <w:t xml:space="preserve"> </w:t>
      </w:r>
      <w:r>
        <w:rPr>
          <w:rFonts w:ascii="Cambria" w:hAnsi="Cambria"/>
          <w:sz w:val="20"/>
          <w:szCs w:val="20"/>
          <w:lang w:val="en-US"/>
        </w:rPr>
        <w:t>S</w:t>
      </w:r>
      <w:r w:rsidRPr="007351E5">
        <w:rPr>
          <w:rFonts w:ascii="Cambria" w:hAnsi="Cambria"/>
          <w:sz w:val="20"/>
          <w:szCs w:val="20"/>
          <w:lang w:val="en-US"/>
        </w:rPr>
        <w:t>tate contracting and the administrative</w:t>
      </w:r>
      <w:r>
        <w:rPr>
          <w:rFonts w:ascii="Cambria" w:hAnsi="Cambria"/>
          <w:sz w:val="20"/>
          <w:szCs w:val="20"/>
          <w:lang w:val="en-US"/>
        </w:rPr>
        <w:t xml:space="preserve"> </w:t>
      </w:r>
      <w:r w:rsidRPr="007351E5">
        <w:rPr>
          <w:rFonts w:ascii="Cambria" w:hAnsi="Cambria"/>
          <w:sz w:val="20"/>
          <w:szCs w:val="20"/>
          <w:lang w:val="en-US"/>
        </w:rPr>
        <w:t>function contemp</w:t>
      </w:r>
      <w:r>
        <w:rPr>
          <w:rFonts w:ascii="Cambria" w:hAnsi="Cambria"/>
          <w:sz w:val="20"/>
          <w:szCs w:val="20"/>
          <w:lang w:val="en-US"/>
        </w:rPr>
        <w:t>lated in the Constitution and</w:t>
      </w:r>
      <w:r w:rsidRPr="007351E5">
        <w:rPr>
          <w:rFonts w:ascii="Cambria" w:hAnsi="Cambria"/>
          <w:sz w:val="20"/>
          <w:szCs w:val="20"/>
          <w:lang w:val="en-US"/>
        </w:rPr>
        <w:t xml:space="preserve"> the law.</w:t>
      </w:r>
      <w:r>
        <w:rPr>
          <w:rFonts w:ascii="Cambria" w:hAnsi="Cambria"/>
          <w:sz w:val="20"/>
          <w:szCs w:val="20"/>
          <w:lang w:val="en-US"/>
        </w:rPr>
        <w:t xml:space="preserve"> In the present case, the signature of the inter-administrative contract 017 of October 11, 2012, and 809 of December 4, 2012, signed between the Special Administrative Unit of Public Services (UAESP) and the Water and Sewers Company of Bogota (EAAB) and the </w:t>
      </w:r>
      <w:r>
        <w:rPr>
          <w:rFonts w:ascii="Cambria" w:hAnsi="Cambria"/>
          <w:i/>
          <w:sz w:val="20"/>
          <w:szCs w:val="20"/>
          <w:lang w:val="en-US"/>
        </w:rPr>
        <w:t>Aguas de Bogota</w:t>
      </w:r>
      <w:r>
        <w:rPr>
          <w:rFonts w:ascii="Cambria" w:hAnsi="Cambria"/>
          <w:sz w:val="20"/>
          <w:szCs w:val="20"/>
          <w:lang w:val="en-US"/>
        </w:rPr>
        <w:t xml:space="preserve"> company (S.A.E.S.P), respectively, where totally irregular because neither of these two District companies had the required knowledge, experience, and capacity to take responsibility for the provision of sanitation services (…).</w:t>
      </w:r>
    </w:p>
    <w:p w14:paraId="6E418CC8"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09" w:right="803" w:firstLine="0"/>
        <w:jc w:val="both"/>
        <w:rPr>
          <w:rFonts w:ascii="Cambria" w:hAnsi="Cambria"/>
          <w:sz w:val="20"/>
          <w:szCs w:val="20"/>
          <w:lang w:val="en-US"/>
        </w:rPr>
      </w:pPr>
    </w:p>
    <w:p w14:paraId="63C2BE14" w14:textId="77777777" w:rsidR="00A84770" w:rsidRPr="00462B7F"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09" w:right="803" w:firstLine="0"/>
        <w:jc w:val="both"/>
        <w:rPr>
          <w:rFonts w:ascii="Cambria" w:hAnsi="Cambria"/>
          <w:sz w:val="20"/>
          <w:szCs w:val="20"/>
          <w:lang w:val="en-US"/>
        </w:rPr>
      </w:pPr>
      <w:r>
        <w:rPr>
          <w:rFonts w:ascii="Cambria" w:hAnsi="Cambria"/>
          <w:sz w:val="20"/>
          <w:szCs w:val="20"/>
          <w:lang w:val="en-US"/>
        </w:rPr>
        <w:t xml:space="preserve">(…) Mr. GUSTAVO FRANCISCO PETRO URREGO, in the second semester of 2012, and in his position as Mayor of Bogota, and chief of the district administration, took a decision that District companies should take over public sanitation services in Bogota, specifying the </w:t>
      </w:r>
      <w:r>
        <w:rPr>
          <w:rFonts w:ascii="Cambria" w:hAnsi="Cambria"/>
          <w:sz w:val="20"/>
          <w:szCs w:val="20"/>
          <w:lang w:val="en-US"/>
        </w:rPr>
        <w:lastRenderedPageBreak/>
        <w:t xml:space="preserve">Director of the UAESP and the managers of the EAAB, and the </w:t>
      </w:r>
      <w:r>
        <w:rPr>
          <w:rFonts w:ascii="Cambria" w:hAnsi="Cambria"/>
          <w:i/>
          <w:sz w:val="20"/>
          <w:szCs w:val="20"/>
          <w:lang w:val="en-US"/>
        </w:rPr>
        <w:t>Aguas de Bogota</w:t>
      </w:r>
      <w:r>
        <w:rPr>
          <w:rFonts w:ascii="Cambria" w:hAnsi="Cambria"/>
          <w:sz w:val="20"/>
          <w:szCs w:val="20"/>
          <w:lang w:val="en-US"/>
        </w:rPr>
        <w:t xml:space="preserve"> company, to sign the respective inter-administrative contracts.</w:t>
      </w:r>
      <w:r w:rsidRPr="009B3BD2">
        <w:rPr>
          <w:rStyle w:val="Refdenotaalpie"/>
          <w:rFonts w:asciiTheme="majorHAnsi" w:hAnsiTheme="majorHAnsi"/>
          <w:sz w:val="20"/>
          <w:szCs w:val="20"/>
          <w:lang w:val="es-CO"/>
        </w:rPr>
        <w:footnoteReference w:id="21"/>
      </w:r>
    </w:p>
    <w:p w14:paraId="4102F4FC"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rPr>
          <w:rFonts w:ascii="Cambria" w:hAnsi="Cambria"/>
          <w:sz w:val="20"/>
          <w:szCs w:val="20"/>
          <w:lang w:val="en-US"/>
        </w:rPr>
      </w:pPr>
    </w:p>
    <w:p w14:paraId="297D3AB8"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In particular, the Chamber stated that the signature of contract 017 of October 11, 2012, violated various principles of S</w:t>
      </w:r>
      <w:r w:rsidRPr="00564466">
        <w:rPr>
          <w:rFonts w:ascii="Cambria" w:hAnsi="Cambria"/>
          <w:sz w:val="20"/>
          <w:szCs w:val="20"/>
          <w:lang w:val="en-US"/>
        </w:rPr>
        <w:t>tate contracting</w:t>
      </w:r>
      <w:r>
        <w:rPr>
          <w:rFonts w:ascii="Cambria" w:hAnsi="Cambria"/>
          <w:sz w:val="20"/>
          <w:szCs w:val="20"/>
          <w:lang w:val="en-US"/>
        </w:rPr>
        <w:t>. It also stated that the principle of transparency has been violated because the UAESP did not comply with public bidding rules and chose a company that had no knowledge, experience, or technical capacity. It added that the principle of economy was violated because “they used a direct contracting provision to contract a company without the necessary experience,” and “neither did they carry out the prior required studies to determine that the ideal contractor (sic) and that it met the conditions of experience and technical capacity.”</w:t>
      </w:r>
      <w:r w:rsidRPr="009B3BD2">
        <w:rPr>
          <w:rStyle w:val="Refdenotaalpie"/>
          <w:rFonts w:asciiTheme="majorHAnsi" w:hAnsiTheme="majorHAnsi"/>
          <w:sz w:val="20"/>
          <w:szCs w:val="20"/>
          <w:lang w:val="es-CO"/>
        </w:rPr>
        <w:footnoteReference w:id="22"/>
      </w:r>
    </w:p>
    <w:p w14:paraId="44427026"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09" w:firstLine="0"/>
        <w:jc w:val="both"/>
        <w:rPr>
          <w:rFonts w:ascii="Cambria" w:hAnsi="Cambria"/>
          <w:sz w:val="20"/>
          <w:szCs w:val="20"/>
          <w:lang w:val="en-US"/>
        </w:rPr>
      </w:pPr>
    </w:p>
    <w:p w14:paraId="43D52A56"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 xml:space="preserve"> On the other hand, in relation to the inter-administrative contract 0809 of December 4, 2012 signed between EAAB and the </w:t>
      </w:r>
      <w:r>
        <w:rPr>
          <w:rFonts w:ascii="Cambria" w:hAnsi="Cambria"/>
          <w:i/>
          <w:sz w:val="20"/>
          <w:szCs w:val="20"/>
          <w:lang w:val="en-US"/>
        </w:rPr>
        <w:t>Aguas de Bogota</w:t>
      </w:r>
      <w:r>
        <w:rPr>
          <w:rFonts w:ascii="Cambria" w:hAnsi="Cambria"/>
          <w:sz w:val="20"/>
          <w:szCs w:val="20"/>
          <w:lang w:val="en-US"/>
        </w:rPr>
        <w:t xml:space="preserve"> company, the Chamber stated that “(…) the endless list of contracts that </w:t>
      </w:r>
      <w:r>
        <w:rPr>
          <w:rFonts w:ascii="Cambria" w:hAnsi="Cambria"/>
          <w:i/>
          <w:sz w:val="20"/>
          <w:szCs w:val="20"/>
          <w:lang w:val="en-US"/>
        </w:rPr>
        <w:t>Aguas de Bogota</w:t>
      </w:r>
      <w:r>
        <w:rPr>
          <w:rFonts w:ascii="Cambria" w:hAnsi="Cambria"/>
          <w:sz w:val="20"/>
          <w:szCs w:val="20"/>
          <w:lang w:val="en-US"/>
        </w:rPr>
        <w:t xml:space="preserve"> had to sign to attempt to get the minimum required equipment and the lack of experience, and the financial situation of the company, were the reasons for which it was determined that with the signature of said contract the contracting norms in force were disregarded, particularly, the principle of objective selection, thus placing at risk the continuity of the provision of the public sanitation service in the city of Bogota.”</w:t>
      </w:r>
      <w:r w:rsidRPr="009B3BD2">
        <w:rPr>
          <w:rStyle w:val="Refdenotaalpie"/>
          <w:rFonts w:asciiTheme="majorHAnsi" w:hAnsiTheme="majorHAnsi"/>
          <w:sz w:val="20"/>
          <w:szCs w:val="20"/>
          <w:lang w:val="es-CO"/>
        </w:rPr>
        <w:footnoteReference w:id="23"/>
      </w:r>
      <w:r>
        <w:rPr>
          <w:rFonts w:ascii="Cambria" w:hAnsi="Cambria"/>
          <w:sz w:val="20"/>
          <w:szCs w:val="20"/>
          <w:lang w:val="en-US"/>
        </w:rPr>
        <w:t xml:space="preserve"> </w:t>
      </w:r>
    </w:p>
    <w:p w14:paraId="63C5F87C"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3CDAA5AF"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In relation to culpability, it added that the alleged victim “acted voluntarily and with knowledge of the facts and the illegality of his conduct, and more so, because in many of his explanations he stated that one of the reasons behind his decision was to break the cartel</w:t>
      </w:r>
      <w:r w:rsidRPr="00EC6B04">
        <w:rPr>
          <w:rFonts w:ascii="Cambria" w:hAnsi="Cambria"/>
          <w:sz w:val="20"/>
          <w:szCs w:val="20"/>
          <w:lang w:val="en-US"/>
        </w:rPr>
        <w:t xml:space="preserve"> formed by</w:t>
      </w:r>
      <w:r>
        <w:rPr>
          <w:rFonts w:ascii="Cambria" w:hAnsi="Cambria"/>
          <w:sz w:val="20"/>
          <w:szCs w:val="20"/>
          <w:lang w:val="en-US"/>
        </w:rPr>
        <w:t xml:space="preserve"> a group of contractors, a reason that did not bear any relationship to the contractual norms in force and the guarantee of the provision of the public sanitation in the city of Bogota.”</w:t>
      </w:r>
      <w:r w:rsidRPr="009B3BD2">
        <w:rPr>
          <w:rStyle w:val="Refdenotaalpie"/>
          <w:rFonts w:asciiTheme="majorHAnsi" w:hAnsiTheme="majorHAnsi"/>
          <w:sz w:val="20"/>
          <w:szCs w:val="20"/>
          <w:lang w:val="es-CO"/>
        </w:rPr>
        <w:footnoteReference w:id="24"/>
      </w:r>
      <w:r>
        <w:rPr>
          <w:rFonts w:ascii="Cambria" w:hAnsi="Cambria"/>
          <w:sz w:val="20"/>
          <w:szCs w:val="20"/>
          <w:lang w:val="en-US"/>
        </w:rPr>
        <w:t xml:space="preserve"> </w:t>
      </w:r>
    </w:p>
    <w:p w14:paraId="2B12EEFC"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10670D2C"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 xml:space="preserve">On the other hand, in relation to the second charge, and consistent with the disciplinary offense provided in </w:t>
      </w:r>
      <w:r w:rsidRPr="00727B28">
        <w:rPr>
          <w:rFonts w:ascii="Cambria" w:hAnsi="Cambria"/>
          <w:sz w:val="20"/>
          <w:szCs w:val="20"/>
          <w:lang w:val="en-US"/>
        </w:rPr>
        <w:t>subsection 60</w:t>
      </w:r>
      <w:r>
        <w:rPr>
          <w:rFonts w:ascii="Cambria" w:hAnsi="Cambria"/>
          <w:sz w:val="20"/>
          <w:szCs w:val="20"/>
          <w:lang w:val="en-US"/>
        </w:rPr>
        <w:t xml:space="preserve"> of Article 48 of the Unified Disciplinary Code, the Chamber stated that the conduct is typical because said article establishes that it is a very serious disciplinary offense for a public servant to use the powers inherent in </w:t>
      </w:r>
      <w:r w:rsidRPr="00727B28">
        <w:rPr>
          <w:rFonts w:ascii="Cambria" w:hAnsi="Cambria"/>
          <w:sz w:val="20"/>
          <w:szCs w:val="20"/>
          <w:lang w:val="en-US"/>
        </w:rPr>
        <w:t>his job or function</w:t>
      </w:r>
      <w:r>
        <w:rPr>
          <w:rFonts w:ascii="Cambria" w:hAnsi="Cambria"/>
          <w:sz w:val="20"/>
          <w:szCs w:val="20"/>
          <w:lang w:val="en-US"/>
        </w:rPr>
        <w:t xml:space="preserve"> for another end than that provided for in his mandate, and in the present case:</w:t>
      </w:r>
    </w:p>
    <w:p w14:paraId="5C70F95F"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751B87AD"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09" w:right="803" w:firstLine="0"/>
        <w:jc w:val="both"/>
        <w:rPr>
          <w:rFonts w:ascii="Cambria" w:hAnsi="Cambria"/>
          <w:sz w:val="20"/>
          <w:szCs w:val="20"/>
          <w:lang w:val="en-US"/>
        </w:rPr>
      </w:pPr>
      <w:r>
        <w:rPr>
          <w:rFonts w:ascii="Cambria" w:hAnsi="Cambria"/>
          <w:sz w:val="20"/>
          <w:szCs w:val="20"/>
          <w:lang w:val="en-US"/>
        </w:rPr>
        <w:t xml:space="preserve">The Mayor of Bogota used the norms of the legal system to issue administrative acts related to public sanitation and to violate the principle of </w:t>
      </w:r>
      <w:r w:rsidRPr="00141AB9">
        <w:rPr>
          <w:rFonts w:ascii="Cambria" w:hAnsi="Cambria"/>
          <w:sz w:val="20"/>
          <w:szCs w:val="20"/>
          <w:lang w:val="en-US"/>
        </w:rPr>
        <w:t>freedom of enterprise</w:t>
      </w:r>
      <w:r>
        <w:rPr>
          <w:rFonts w:ascii="Cambria" w:hAnsi="Cambria"/>
          <w:sz w:val="20"/>
          <w:szCs w:val="20"/>
          <w:lang w:val="en-US"/>
        </w:rPr>
        <w:t>, […].”</w:t>
      </w:r>
      <w:r w:rsidRPr="009B3BD2">
        <w:rPr>
          <w:rStyle w:val="Refdenotaalpie"/>
          <w:rFonts w:asciiTheme="majorHAnsi" w:hAnsiTheme="majorHAnsi"/>
          <w:sz w:val="20"/>
          <w:szCs w:val="20"/>
          <w:lang w:val="es-CO"/>
        </w:rPr>
        <w:footnoteReference w:id="25"/>
      </w:r>
      <w:r>
        <w:rPr>
          <w:rFonts w:ascii="Cambria" w:hAnsi="Cambria"/>
          <w:sz w:val="20"/>
          <w:szCs w:val="20"/>
          <w:lang w:val="en-US"/>
        </w:rPr>
        <w:t xml:space="preserve"> In particular, it recalled that, according to Article 333 of the Political Constitution of Colombia, “free economic responsibility is a right of everyone, entailing responsibilities.”</w:t>
      </w:r>
      <w:r w:rsidRPr="009B3BD2">
        <w:rPr>
          <w:rStyle w:val="Refdenotaalpie"/>
          <w:rFonts w:asciiTheme="majorHAnsi" w:hAnsiTheme="majorHAnsi"/>
          <w:sz w:val="20"/>
          <w:szCs w:val="20"/>
          <w:lang w:val="es-CO"/>
        </w:rPr>
        <w:footnoteReference w:id="26"/>
      </w:r>
      <w:r>
        <w:rPr>
          <w:rFonts w:ascii="Cambria" w:hAnsi="Cambria"/>
          <w:sz w:val="20"/>
          <w:szCs w:val="20"/>
          <w:lang w:val="en-US"/>
        </w:rPr>
        <w:t xml:space="preserve"> It added that in the present case, “the principles of public service such as objectiveness, legality, and impartiality were seriously undermined due to the adoption of a sanitation scheme for the City of Bogota outside of the legal system (legality) and which resulted in the violation of the principle of freedom of enterprise, preventing other companies, different from the entities of </w:t>
      </w:r>
      <w:r>
        <w:rPr>
          <w:rFonts w:ascii="Cambria" w:hAnsi="Cambria"/>
          <w:sz w:val="20"/>
          <w:szCs w:val="20"/>
          <w:lang w:val="en-US"/>
        </w:rPr>
        <w:lastRenderedPageBreak/>
        <w:t>the District of Bogota, to provide, after December 18, 2012, and under equal conditions, public sanitation services in the capital city (objectiveness and impartiality).</w:t>
      </w:r>
      <w:r w:rsidRPr="009B3BD2">
        <w:rPr>
          <w:rStyle w:val="Refdenotaalpie"/>
          <w:rFonts w:asciiTheme="majorHAnsi" w:hAnsiTheme="majorHAnsi"/>
          <w:sz w:val="20"/>
          <w:szCs w:val="20"/>
          <w:lang w:val="es-CO"/>
        </w:rPr>
        <w:footnoteReference w:id="27"/>
      </w:r>
    </w:p>
    <w:p w14:paraId="3C30F3B4"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rPr>
          <w:rFonts w:ascii="Cambria" w:hAnsi="Cambria"/>
          <w:sz w:val="20"/>
          <w:szCs w:val="20"/>
          <w:lang w:val="en-US"/>
        </w:rPr>
      </w:pPr>
    </w:p>
    <w:p w14:paraId="3D0223F9"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In relation to culpability, it stated that the alleged victim “knew and wanted companies, different from those of the District, to be unable to provide sanitation services in the city of Bogota under equal conditions. To this end, in July and August 2012, he gave precise instructions to the then-manager of EAAB, Diego Bravo. In addition, days before issuing Decree 564 of December 10, 2012, it was known that the district administration would prevent private companies from providing sanitation services, as was known to some witnesses and as it was recorded in the media, given the notoriety of these facts […].”</w:t>
      </w:r>
      <w:r w:rsidRPr="009B3BD2">
        <w:rPr>
          <w:rStyle w:val="Refdenotaalpie"/>
          <w:rFonts w:asciiTheme="majorHAnsi" w:hAnsiTheme="majorHAnsi"/>
          <w:sz w:val="20"/>
          <w:szCs w:val="20"/>
          <w:lang w:val="es-CO"/>
        </w:rPr>
        <w:footnoteReference w:id="28"/>
      </w:r>
      <w:r>
        <w:rPr>
          <w:rFonts w:ascii="Cambria" w:hAnsi="Cambria"/>
          <w:sz w:val="20"/>
          <w:szCs w:val="20"/>
          <w:lang w:val="en-US"/>
        </w:rPr>
        <w:t xml:space="preserve">  </w:t>
      </w:r>
    </w:p>
    <w:p w14:paraId="162ACA4C"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09" w:firstLine="0"/>
        <w:rPr>
          <w:rFonts w:ascii="Cambria" w:hAnsi="Cambria"/>
          <w:sz w:val="20"/>
          <w:szCs w:val="20"/>
          <w:lang w:val="en-US"/>
        </w:rPr>
      </w:pPr>
    </w:p>
    <w:p w14:paraId="029F79FD"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In relation to the third charge, and consistent with the disciplinary offense contained in subsection 37 of Article 48 of the Single Disciplinary Code, the Chamber stated that in the present case “the mayor of Bogota acted outside of his remit and duty by imposing an administrative act that authorized the use of dump trucks for sanitation in the city of Bogota, contrary to existing legislation, particularly provisions of Article 41 of Decree 948 of 1995, and Article 49 of Decree 1713 of 2002.”</w:t>
      </w:r>
      <w:r w:rsidRPr="001C1528">
        <w:rPr>
          <w:rStyle w:val="Refdenotaalpie"/>
          <w:rFonts w:asciiTheme="majorHAnsi" w:hAnsiTheme="majorHAnsi"/>
          <w:sz w:val="20"/>
          <w:szCs w:val="20"/>
          <w:lang w:val="en-US"/>
        </w:rPr>
        <w:t xml:space="preserve"> </w:t>
      </w:r>
      <w:r w:rsidRPr="009B3BD2">
        <w:rPr>
          <w:rStyle w:val="Refdenotaalpie"/>
          <w:rFonts w:asciiTheme="majorHAnsi" w:hAnsiTheme="majorHAnsi"/>
          <w:sz w:val="20"/>
          <w:szCs w:val="20"/>
          <w:lang w:val="es-CO"/>
        </w:rPr>
        <w:footnoteReference w:id="29"/>
      </w:r>
      <w:r>
        <w:rPr>
          <w:rFonts w:ascii="Cambria" w:hAnsi="Cambria"/>
          <w:sz w:val="20"/>
          <w:szCs w:val="20"/>
          <w:lang w:val="en-US"/>
        </w:rPr>
        <w:t xml:space="preserve"> </w:t>
      </w:r>
    </w:p>
    <w:p w14:paraId="3B17911D"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rPr>
          <w:rFonts w:ascii="Cambria" w:hAnsi="Cambria"/>
          <w:sz w:val="20"/>
          <w:szCs w:val="20"/>
          <w:lang w:val="en-US"/>
        </w:rPr>
      </w:pPr>
    </w:p>
    <w:p w14:paraId="1226D3D7"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On the other hand, the Chamber recalled that, according to the expert assessment submitted in the proceeding, “it was determined that there were considerable environmental impacts and threats, because in the city of Bogota between 6.000 and 9.000 tons of solid waste were not collected on 18, 19, and 20 of December 2012.”</w:t>
      </w:r>
      <w:r w:rsidRPr="00F104D4">
        <w:rPr>
          <w:rStyle w:val="Refdenotaalpie"/>
          <w:rFonts w:asciiTheme="majorHAnsi" w:hAnsiTheme="majorHAnsi"/>
          <w:sz w:val="20"/>
          <w:szCs w:val="20"/>
          <w:lang w:val="en-US"/>
        </w:rPr>
        <w:t xml:space="preserve"> </w:t>
      </w:r>
      <w:r w:rsidRPr="009B3BD2">
        <w:rPr>
          <w:rStyle w:val="Refdenotaalpie"/>
          <w:rFonts w:asciiTheme="majorHAnsi" w:hAnsiTheme="majorHAnsi"/>
          <w:sz w:val="20"/>
          <w:szCs w:val="20"/>
          <w:lang w:val="es-CO"/>
        </w:rPr>
        <w:footnoteReference w:id="30"/>
      </w:r>
      <w:r>
        <w:rPr>
          <w:rFonts w:ascii="Cambria" w:hAnsi="Cambria"/>
          <w:sz w:val="20"/>
          <w:szCs w:val="20"/>
          <w:lang w:val="en-US"/>
        </w:rPr>
        <w:t xml:space="preserve"> It added that “the occurrence of this incident was mainly due to the authorization by the Mayor of Bogota for the public operator in the new sanitation model to use dump trucks, when the regulations clearly and precisely required compacting vehicles, a situation that was even irregularly extended until the month of July 2013, while slowly and progressively the compacting vehicles were being obtained by the public operator.”</w:t>
      </w:r>
      <w:r w:rsidRPr="009B3BD2">
        <w:rPr>
          <w:rStyle w:val="Refdenotaalpie"/>
          <w:rFonts w:asciiTheme="majorHAnsi" w:hAnsiTheme="majorHAnsi"/>
          <w:sz w:val="20"/>
          <w:szCs w:val="20"/>
          <w:lang w:val="es-CO"/>
        </w:rPr>
        <w:footnoteReference w:id="31"/>
      </w:r>
      <w:r>
        <w:rPr>
          <w:rFonts w:ascii="Cambria" w:hAnsi="Cambria"/>
          <w:sz w:val="20"/>
          <w:szCs w:val="20"/>
          <w:lang w:val="en-US"/>
        </w:rPr>
        <w:t xml:space="preserve"> It added that the disciplinary offense committed by the alleged victim affected the duty of his function without having demonstrated any reason for it in the proceedings, and that they found no elements to demonstrate that this was malicious conduct.”</w:t>
      </w:r>
      <w:r w:rsidRPr="009B3BD2">
        <w:rPr>
          <w:rStyle w:val="Refdenotaalpie"/>
          <w:rFonts w:asciiTheme="majorHAnsi" w:hAnsiTheme="majorHAnsi"/>
          <w:sz w:val="20"/>
          <w:szCs w:val="20"/>
          <w:lang w:val="es-CO"/>
        </w:rPr>
        <w:footnoteReference w:id="32"/>
      </w:r>
    </w:p>
    <w:p w14:paraId="7699A277"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rPr>
          <w:rFonts w:ascii="Cambria" w:hAnsi="Cambria"/>
          <w:sz w:val="20"/>
          <w:szCs w:val="20"/>
          <w:lang w:val="en-US"/>
        </w:rPr>
      </w:pPr>
    </w:p>
    <w:p w14:paraId="7EFA9461" w14:textId="77777777" w:rsidR="00A84770" w:rsidRPr="00326384"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 xml:space="preserve">Finally, with regard to the sanction, it stated that “article 46 of the same regulation provided that </w:t>
      </w:r>
      <w:r w:rsidRPr="00895BAC">
        <w:rPr>
          <w:rFonts w:ascii="Cambria" w:hAnsi="Cambria"/>
          <w:sz w:val="20"/>
          <w:szCs w:val="20"/>
          <w:lang w:val="en-US"/>
        </w:rPr>
        <w:t xml:space="preserve">general </w:t>
      </w:r>
      <w:r>
        <w:rPr>
          <w:rFonts w:ascii="Cambria" w:hAnsi="Cambria"/>
          <w:sz w:val="20"/>
          <w:szCs w:val="20"/>
          <w:lang w:val="en-US"/>
        </w:rPr>
        <w:t>disqualification would be from ten to twenty years, a sanction that would imply a prohibition to hold any charges or position for the term that is determined in this decision in accordance to the grading criteria contained in article 47 of Law 734 of 2002;” and considered that “taking into consideration that Mr. GUSTAVO FRANCISCO PETRO URREGO occupied the high level position of Mayor of Bogota, that in the offenses committed there was knowledge of the illegality, and that with various actions he contravened three dispositions of the disciplinary law, the Chamber shall impose as a disciplinary corrective measure DISMISSAL AND GENERAL DISQUALIFICATION for the PERIOD of FIFTEEN (15) YEARS.”</w:t>
      </w:r>
      <w:r w:rsidRPr="009B3BD2">
        <w:rPr>
          <w:rStyle w:val="Refdenotaalpie"/>
          <w:rFonts w:asciiTheme="majorHAnsi" w:hAnsiTheme="majorHAnsi"/>
          <w:sz w:val="20"/>
          <w:szCs w:val="20"/>
          <w:lang w:val="es-CO"/>
        </w:rPr>
        <w:footnoteReference w:id="33"/>
      </w:r>
    </w:p>
    <w:p w14:paraId="6E1B55D4" w14:textId="77777777" w:rsidR="00A84770" w:rsidRPr="00017B77" w:rsidRDefault="00A84770" w:rsidP="00A84770">
      <w:pPr>
        <w:pStyle w:val="Ttulo3"/>
        <w:numPr>
          <w:ilvl w:val="0"/>
          <w:numId w:val="62"/>
        </w:numPr>
        <w:tabs>
          <w:tab w:val="clear" w:pos="1800"/>
        </w:tabs>
        <w:ind w:left="720" w:firstLine="0"/>
        <w:rPr>
          <w:color w:val="auto"/>
          <w:sz w:val="20"/>
          <w:szCs w:val="20"/>
        </w:rPr>
      </w:pPr>
      <w:bookmarkStart w:id="15" w:name="_Toc496666299"/>
      <w:r w:rsidRPr="00017B77">
        <w:rPr>
          <w:color w:val="auto"/>
          <w:sz w:val="20"/>
          <w:szCs w:val="20"/>
        </w:rPr>
        <w:t>Reversal Petition</w:t>
      </w:r>
      <w:bookmarkEnd w:id="15"/>
    </w:p>
    <w:p w14:paraId="29B8AB51" w14:textId="77777777" w:rsidR="00A84770" w:rsidRDefault="00A84770" w:rsidP="00A84770">
      <w:pPr>
        <w:pStyle w:val="Prrafodelista"/>
        <w:ind w:left="1418"/>
        <w:rPr>
          <w:b/>
          <w:sz w:val="20"/>
          <w:szCs w:val="20"/>
          <w:lang w:val="es-ES"/>
        </w:rPr>
      </w:pPr>
    </w:p>
    <w:p w14:paraId="2C90FB4C"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lastRenderedPageBreak/>
        <w:t xml:space="preserve">Following the above-described decision, the alleged victim filed a petition for reversal, requesting that the judgment be revoked and, additionally, that the Inspector General refrain from imposing sanctions that would contravene Article 23 of the American Convention. </w:t>
      </w:r>
    </w:p>
    <w:p w14:paraId="51056747"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09" w:firstLine="0"/>
        <w:rPr>
          <w:rFonts w:ascii="Cambria" w:hAnsi="Cambria"/>
          <w:sz w:val="20"/>
          <w:szCs w:val="20"/>
          <w:lang w:val="en-US"/>
        </w:rPr>
      </w:pPr>
    </w:p>
    <w:p w14:paraId="5757F25F"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With respect to the first charge, he maintained that he had not participated in the pre-contractual stage or in the contractual activity that led to the administrative implementation of the “cero trash” (</w:t>
      </w:r>
      <w:proofErr w:type="spellStart"/>
      <w:r>
        <w:rPr>
          <w:rFonts w:ascii="Cambria" w:hAnsi="Cambria"/>
          <w:i/>
          <w:sz w:val="20"/>
          <w:szCs w:val="20"/>
          <w:lang w:val="en-US"/>
        </w:rPr>
        <w:t>basura</w:t>
      </w:r>
      <w:proofErr w:type="spellEnd"/>
      <w:r>
        <w:rPr>
          <w:rFonts w:ascii="Cambria" w:hAnsi="Cambria"/>
          <w:i/>
          <w:sz w:val="20"/>
          <w:szCs w:val="20"/>
          <w:lang w:val="en-US"/>
        </w:rPr>
        <w:t xml:space="preserve"> cero</w:t>
      </w:r>
      <w:r>
        <w:rPr>
          <w:rFonts w:ascii="Cambria" w:hAnsi="Cambria"/>
          <w:sz w:val="20"/>
          <w:szCs w:val="20"/>
          <w:lang w:val="en-US"/>
        </w:rPr>
        <w:t xml:space="preserve">) public policy, and that his actions did not result in any detriment to the public or disregard State contracting principles. </w:t>
      </w:r>
    </w:p>
    <w:p w14:paraId="63FA0FB6"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rPr>
          <w:rFonts w:ascii="Cambria" w:hAnsi="Cambria"/>
          <w:sz w:val="20"/>
          <w:szCs w:val="20"/>
          <w:lang w:val="en-US"/>
        </w:rPr>
      </w:pPr>
    </w:p>
    <w:p w14:paraId="0B3993DC"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In relation to the second charge, he stated that Decree 564 of 2012 seeks to comply with the orders of the Constitutional Court. Finally, in relation to the third charge, he stated that he did not commit the attributed offense. Finally, he stated that the “Office of the Inspector General does not have competence to restrict, limit, or suspend the exercise of political rights of a popularly elected public servant.”</w:t>
      </w:r>
      <w:r w:rsidRPr="009B3BD2">
        <w:rPr>
          <w:rStyle w:val="Refdenotaalpie"/>
          <w:rFonts w:ascii="Cambria" w:hAnsi="Cambria"/>
          <w:sz w:val="20"/>
          <w:szCs w:val="20"/>
          <w:lang w:val="es-CO"/>
        </w:rPr>
        <w:footnoteReference w:id="34"/>
      </w:r>
    </w:p>
    <w:p w14:paraId="3AEA1120"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409FC6ED"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 xml:space="preserve">On December 31, 2013, the alleged victim requested that certain assessments be performed, including: </w:t>
      </w:r>
      <w:proofErr w:type="spellStart"/>
      <w:r>
        <w:rPr>
          <w:rFonts w:ascii="Cambria" w:hAnsi="Cambria"/>
          <w:sz w:val="20"/>
          <w:szCs w:val="20"/>
          <w:lang w:val="en-US"/>
        </w:rPr>
        <w:t>i</w:t>
      </w:r>
      <w:proofErr w:type="spellEnd"/>
      <w:r>
        <w:rPr>
          <w:rFonts w:ascii="Cambria" w:hAnsi="Cambria"/>
          <w:sz w:val="20"/>
          <w:szCs w:val="20"/>
          <w:lang w:val="en-US"/>
        </w:rPr>
        <w:t xml:space="preserve">) in relation to Decrees 564 and 570 of 2012, “to request the State Council to list the number of decrees, of this rank or of national order, declared null because of illegality or unconstitutionality in the last (20) years; and ii) that the Office of the Inspector General of the Nation certifies in how many of these proceedings or in how many </w:t>
      </w:r>
      <w:proofErr w:type="spellStart"/>
      <w:r>
        <w:rPr>
          <w:rFonts w:ascii="Cambria" w:hAnsi="Cambria"/>
          <w:i/>
          <w:sz w:val="20"/>
          <w:szCs w:val="20"/>
          <w:lang w:val="en-US"/>
        </w:rPr>
        <w:t>motu</w:t>
      </w:r>
      <w:proofErr w:type="spellEnd"/>
      <w:r>
        <w:rPr>
          <w:rFonts w:ascii="Cambria" w:hAnsi="Cambria"/>
          <w:i/>
          <w:sz w:val="20"/>
          <w:szCs w:val="20"/>
          <w:lang w:val="en-US"/>
        </w:rPr>
        <w:t xml:space="preserve"> </w:t>
      </w:r>
      <w:proofErr w:type="spellStart"/>
      <w:r>
        <w:rPr>
          <w:rFonts w:ascii="Cambria" w:hAnsi="Cambria"/>
          <w:i/>
          <w:sz w:val="20"/>
          <w:szCs w:val="20"/>
          <w:lang w:val="en-US"/>
        </w:rPr>
        <w:t>proprio</w:t>
      </w:r>
      <w:proofErr w:type="spellEnd"/>
      <w:r>
        <w:rPr>
          <w:rFonts w:ascii="Cambria" w:hAnsi="Cambria"/>
          <w:sz w:val="20"/>
          <w:szCs w:val="20"/>
          <w:lang w:val="en-US"/>
        </w:rPr>
        <w:t xml:space="preserve"> did it advance sanctioning proceedings; and in how many or in which did it issue a sanction and what type of sanction was imposed;” likewise, he requested the testimony of epidemiology experts to explain potential risks to the human health that could be caused by the alleged trash crisis of 18, 19, and 20 of December, 2013.</w:t>
      </w:r>
      <w:r w:rsidRPr="000F55A6">
        <w:rPr>
          <w:rStyle w:val="Refdenotaalpie"/>
          <w:rFonts w:ascii="Cambria" w:hAnsi="Cambria"/>
          <w:sz w:val="20"/>
          <w:szCs w:val="20"/>
          <w:lang w:val="en-US"/>
        </w:rPr>
        <w:t xml:space="preserve"> </w:t>
      </w:r>
      <w:r w:rsidRPr="009B3BD2">
        <w:rPr>
          <w:rStyle w:val="Refdenotaalpie"/>
          <w:rFonts w:ascii="Cambria" w:hAnsi="Cambria"/>
          <w:sz w:val="20"/>
          <w:szCs w:val="20"/>
          <w:lang w:val="es-CO"/>
        </w:rPr>
        <w:footnoteReference w:id="35"/>
      </w:r>
      <w:r>
        <w:rPr>
          <w:rFonts w:ascii="Cambria" w:hAnsi="Cambria"/>
          <w:sz w:val="20"/>
          <w:szCs w:val="20"/>
          <w:lang w:val="en-US"/>
        </w:rPr>
        <w:t xml:space="preserve"> </w:t>
      </w:r>
    </w:p>
    <w:p w14:paraId="4C9F44D1"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151FF426"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 xml:space="preserve">On January 13, 2014, the Disciplinary Chamber of the Office of the Inspector General of the Nation rejected the requested assessments “given the extemporaneous nature of the requests and the absence of the need to undertake them” considering that “the undertaking of assessments during the trial stage is during the proper procedural opportunities </w:t>
      </w:r>
      <w:r w:rsidRPr="00BA2A53">
        <w:rPr>
          <w:rFonts w:ascii="Cambria" w:hAnsi="Cambria"/>
          <w:sz w:val="20"/>
          <w:szCs w:val="20"/>
          <w:lang w:val="en-US"/>
        </w:rPr>
        <w:t>(</w:t>
      </w:r>
      <w:proofErr w:type="spellStart"/>
      <w:r>
        <w:rPr>
          <w:rFonts w:ascii="Cambria" w:hAnsi="Cambria"/>
          <w:i/>
          <w:sz w:val="20"/>
          <w:szCs w:val="20"/>
          <w:lang w:val="en-US"/>
        </w:rPr>
        <w:t>té</w:t>
      </w:r>
      <w:r w:rsidRPr="00BA2A53">
        <w:rPr>
          <w:rFonts w:ascii="Cambria" w:hAnsi="Cambria"/>
          <w:i/>
          <w:sz w:val="20"/>
          <w:szCs w:val="20"/>
          <w:lang w:val="en-US"/>
        </w:rPr>
        <w:t>rmino</w:t>
      </w:r>
      <w:proofErr w:type="spellEnd"/>
      <w:r w:rsidRPr="00BA2A53">
        <w:rPr>
          <w:rFonts w:ascii="Cambria" w:hAnsi="Cambria"/>
          <w:i/>
          <w:sz w:val="20"/>
          <w:szCs w:val="20"/>
          <w:lang w:val="en-US"/>
        </w:rPr>
        <w:t xml:space="preserve"> de </w:t>
      </w:r>
      <w:proofErr w:type="spellStart"/>
      <w:r w:rsidRPr="00BA2A53">
        <w:rPr>
          <w:rFonts w:ascii="Cambria" w:hAnsi="Cambria"/>
          <w:i/>
          <w:sz w:val="20"/>
          <w:szCs w:val="20"/>
          <w:lang w:val="en-US"/>
        </w:rPr>
        <w:t>traslado</w:t>
      </w:r>
      <w:proofErr w:type="spellEnd"/>
      <w:r w:rsidRPr="00BA2A53">
        <w:rPr>
          <w:rFonts w:ascii="Cambria" w:hAnsi="Cambria"/>
          <w:sz w:val="20"/>
          <w:szCs w:val="20"/>
          <w:lang w:val="en-US"/>
        </w:rPr>
        <w:t>)</w:t>
      </w:r>
      <w:r>
        <w:rPr>
          <w:rFonts w:ascii="Cambria" w:hAnsi="Cambria"/>
          <w:sz w:val="20"/>
          <w:szCs w:val="20"/>
          <w:lang w:val="en-US"/>
        </w:rPr>
        <w:t xml:space="preserve"> […];” and that “if this was regarding assessments derived from other assessments undertaken during the trial, the adequate procedural opportunity lasted until concluding arguments were made, because then it could have been reasoned why it was necessary to undertake other assessments to resolve some issues that eventually were not clarified […].”</w:t>
      </w:r>
      <w:r w:rsidRPr="009B3BD2">
        <w:rPr>
          <w:rStyle w:val="Refdenotaalpie"/>
          <w:rFonts w:asciiTheme="majorHAnsi" w:hAnsiTheme="majorHAnsi"/>
          <w:sz w:val="20"/>
          <w:szCs w:val="20"/>
          <w:lang w:val="es-CO"/>
        </w:rPr>
        <w:footnoteReference w:id="36"/>
      </w:r>
      <w:r>
        <w:rPr>
          <w:rFonts w:ascii="Cambria" w:hAnsi="Cambria"/>
          <w:sz w:val="20"/>
          <w:szCs w:val="20"/>
          <w:lang w:val="en-US"/>
        </w:rPr>
        <w:t xml:space="preserve"> He added that “the possibility of undertaking assessments after issuing the judgment of first or sole instance follows an </w:t>
      </w:r>
      <w:proofErr w:type="spellStart"/>
      <w:r w:rsidRPr="00BA2A53">
        <w:rPr>
          <w:rFonts w:ascii="Cambria" w:hAnsi="Cambria"/>
          <w:i/>
          <w:sz w:val="20"/>
          <w:szCs w:val="20"/>
          <w:lang w:val="en-US"/>
        </w:rPr>
        <w:t>oficiosa</w:t>
      </w:r>
      <w:proofErr w:type="spellEnd"/>
      <w:r w:rsidRPr="00BA2A53">
        <w:rPr>
          <w:rFonts w:ascii="Cambria" w:hAnsi="Cambria"/>
          <w:sz w:val="20"/>
          <w:szCs w:val="20"/>
          <w:lang w:val="en-US"/>
        </w:rPr>
        <w:t xml:space="preserve"> power</w:t>
      </w:r>
      <w:r>
        <w:rPr>
          <w:rFonts w:ascii="Cambria" w:hAnsi="Cambria"/>
          <w:sz w:val="20"/>
          <w:szCs w:val="20"/>
          <w:lang w:val="en-US"/>
        </w:rPr>
        <w:t>, circumscribed by the need to resolve some issue that could substantially change the merits of the matter.”</w:t>
      </w:r>
      <w:r w:rsidRPr="009B3BD2">
        <w:rPr>
          <w:rStyle w:val="Refdenotaalpie"/>
          <w:rFonts w:asciiTheme="majorHAnsi" w:hAnsiTheme="majorHAnsi"/>
          <w:sz w:val="20"/>
          <w:szCs w:val="20"/>
          <w:lang w:val="es-CO"/>
        </w:rPr>
        <w:footnoteReference w:id="37"/>
      </w:r>
      <w:r>
        <w:rPr>
          <w:rFonts w:ascii="Cambria" w:hAnsi="Cambria"/>
          <w:sz w:val="20"/>
          <w:szCs w:val="20"/>
          <w:lang w:val="en-US"/>
        </w:rPr>
        <w:t xml:space="preserve"> </w:t>
      </w:r>
    </w:p>
    <w:p w14:paraId="05E610B4"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661B7406"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In the same decision, the Disciplinary Chamber of the Office of the Inspector General of the Nation, through the two Procurators appointed and that issued a decision on December 9, 2013,</w:t>
      </w:r>
      <w:r w:rsidRPr="00066D1B">
        <w:rPr>
          <w:rStyle w:val="Refdenotaalpie"/>
          <w:rFonts w:ascii="Cambria" w:hAnsi="Cambria"/>
          <w:sz w:val="20"/>
          <w:szCs w:val="20"/>
          <w:lang w:val="es-CO"/>
        </w:rPr>
        <w:footnoteReference w:id="38"/>
      </w:r>
      <w:r>
        <w:rPr>
          <w:rFonts w:ascii="Cambria" w:hAnsi="Cambria"/>
          <w:sz w:val="20"/>
          <w:szCs w:val="20"/>
          <w:lang w:val="en-US"/>
        </w:rPr>
        <w:t xml:space="preserve"> overruled the reversal petition, confirming the judgment of sole instance.</w:t>
      </w:r>
      <w:r w:rsidRPr="009B3BD2">
        <w:rPr>
          <w:rStyle w:val="Refdenotaalpie"/>
          <w:rFonts w:asciiTheme="majorHAnsi" w:hAnsiTheme="majorHAnsi"/>
          <w:sz w:val="20"/>
          <w:szCs w:val="20"/>
          <w:lang w:val="es-CO"/>
        </w:rPr>
        <w:footnoteReference w:id="39"/>
      </w:r>
    </w:p>
    <w:p w14:paraId="463EF195"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77C6AE14"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 xml:space="preserve">In relation to the first charge, it was stated that “it is true that the Mayor of Bogota did not have direct participation in the precise activities that comprised the pre-contractual and contractual stages of the two inter-administrative contracts, for instance, in the drafting of the studies and very specific activities. </w:t>
      </w:r>
      <w:r>
        <w:rPr>
          <w:rFonts w:ascii="Cambria" w:hAnsi="Cambria"/>
          <w:sz w:val="20"/>
          <w:szCs w:val="20"/>
          <w:lang w:val="en-US"/>
        </w:rPr>
        <w:lastRenderedPageBreak/>
        <w:t>But, it is logical to consider that in an administrative structure countless officers intervene, all of these fulfill specific roles designated to them, but with the indisputable characteristic that their functions are exercised add follow the orders of their respective superiors. In the present case, this situation is evident because the assignment of sanitation services to the public entities of the District was always within the domain and subject to the decision of the Mayor of Bogota, who also had a second position as the member of the Board of Directors of EAAB, as demonstrated by all the evidence in the process (…).”</w:t>
      </w:r>
      <w:r w:rsidRPr="009B3BD2">
        <w:rPr>
          <w:rStyle w:val="Refdenotaalpie"/>
          <w:rFonts w:asciiTheme="majorHAnsi" w:hAnsiTheme="majorHAnsi"/>
          <w:sz w:val="20"/>
          <w:szCs w:val="20"/>
          <w:lang w:val="es-CO"/>
        </w:rPr>
        <w:footnoteReference w:id="40"/>
      </w:r>
    </w:p>
    <w:p w14:paraId="1C112403"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589F4C8C"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 xml:space="preserve">In relation to the second charge, </w:t>
      </w:r>
      <w:r w:rsidRPr="001703AF">
        <w:rPr>
          <w:rFonts w:ascii="Cambria" w:hAnsi="Cambria"/>
          <w:sz w:val="20"/>
          <w:szCs w:val="20"/>
          <w:lang w:val="en-US"/>
        </w:rPr>
        <w:t>it</w:t>
      </w:r>
      <w:r>
        <w:rPr>
          <w:rFonts w:ascii="Cambria" w:hAnsi="Cambria"/>
          <w:sz w:val="20"/>
          <w:szCs w:val="20"/>
          <w:lang w:val="en-US"/>
        </w:rPr>
        <w:t xml:space="preserve"> stated that “the prevalence of the principle of </w:t>
      </w:r>
      <w:r w:rsidRPr="001703AF">
        <w:rPr>
          <w:rFonts w:ascii="Cambria" w:hAnsi="Cambria"/>
          <w:sz w:val="20"/>
          <w:szCs w:val="20"/>
          <w:lang w:val="en-US"/>
        </w:rPr>
        <w:t xml:space="preserve"> freedom of enterprise</w:t>
      </w:r>
      <w:r>
        <w:rPr>
          <w:rFonts w:ascii="Cambria" w:hAnsi="Cambria"/>
          <w:sz w:val="20"/>
          <w:szCs w:val="20"/>
          <w:lang w:val="en-US"/>
        </w:rPr>
        <w:t xml:space="preserve"> and freedom of competition is not an assumption as argued by the defendant; to the contrary, it is a principle of mandatory compliance under the Constitution and the law, and its only restriction or </w:t>
      </w:r>
      <w:r w:rsidRPr="00375A58">
        <w:rPr>
          <w:rFonts w:ascii="Cambria" w:hAnsi="Cambria"/>
          <w:sz w:val="20"/>
          <w:szCs w:val="20"/>
          <w:lang w:val="en-US"/>
        </w:rPr>
        <w:t>adaptation</w:t>
      </w:r>
      <w:r>
        <w:rPr>
          <w:rFonts w:ascii="Cambria" w:hAnsi="Cambria"/>
          <w:sz w:val="20"/>
          <w:szCs w:val="20"/>
          <w:lang w:val="en-US"/>
        </w:rPr>
        <w:t xml:space="preserve"> is in the implementation of Areas of Exclusive Service (</w:t>
      </w:r>
      <w:proofErr w:type="spellStart"/>
      <w:r>
        <w:rPr>
          <w:rFonts w:ascii="Cambria" w:hAnsi="Cambria"/>
          <w:i/>
          <w:sz w:val="20"/>
          <w:szCs w:val="20"/>
          <w:lang w:val="en-US"/>
        </w:rPr>
        <w:t>Áreas</w:t>
      </w:r>
      <w:proofErr w:type="spellEnd"/>
      <w:r>
        <w:rPr>
          <w:rFonts w:ascii="Cambria" w:hAnsi="Cambria"/>
          <w:i/>
          <w:sz w:val="20"/>
          <w:szCs w:val="20"/>
          <w:lang w:val="en-US"/>
        </w:rPr>
        <w:t xml:space="preserve"> de </w:t>
      </w:r>
      <w:proofErr w:type="spellStart"/>
      <w:r>
        <w:rPr>
          <w:rFonts w:ascii="Cambria" w:hAnsi="Cambria"/>
          <w:i/>
          <w:sz w:val="20"/>
          <w:szCs w:val="20"/>
          <w:lang w:val="en-US"/>
        </w:rPr>
        <w:t>Servicio</w:t>
      </w:r>
      <w:proofErr w:type="spellEnd"/>
      <w:r>
        <w:rPr>
          <w:rFonts w:ascii="Cambria" w:hAnsi="Cambria"/>
          <w:i/>
          <w:sz w:val="20"/>
          <w:szCs w:val="20"/>
          <w:lang w:val="en-US"/>
        </w:rPr>
        <w:t xml:space="preserve"> </w:t>
      </w:r>
      <w:proofErr w:type="spellStart"/>
      <w:r>
        <w:rPr>
          <w:rFonts w:ascii="Cambria" w:hAnsi="Cambria"/>
          <w:i/>
          <w:sz w:val="20"/>
          <w:szCs w:val="20"/>
          <w:lang w:val="en-US"/>
        </w:rPr>
        <w:t>Exclusivo</w:t>
      </w:r>
      <w:proofErr w:type="spellEnd"/>
      <w:r>
        <w:rPr>
          <w:rFonts w:ascii="Cambria" w:hAnsi="Cambria"/>
          <w:sz w:val="20"/>
          <w:szCs w:val="20"/>
          <w:lang w:val="en-US"/>
        </w:rPr>
        <w:t>), in accordance with the requirements and parameters provided in the legal framework (…).”</w:t>
      </w:r>
      <w:r w:rsidRPr="009B3BD2">
        <w:rPr>
          <w:rStyle w:val="Refdenotaalpie"/>
          <w:rFonts w:asciiTheme="majorHAnsi" w:hAnsiTheme="majorHAnsi"/>
          <w:sz w:val="20"/>
          <w:szCs w:val="20"/>
          <w:lang w:val="es-CO"/>
        </w:rPr>
        <w:footnoteReference w:id="41"/>
      </w:r>
      <w:r>
        <w:rPr>
          <w:rFonts w:ascii="Cambria" w:hAnsi="Cambria"/>
          <w:sz w:val="20"/>
          <w:szCs w:val="20"/>
          <w:lang w:val="en-US"/>
        </w:rPr>
        <w:t xml:space="preserve"> It also considered that “Decree 564 of 2012 did restrict the principle of </w:t>
      </w:r>
      <w:r w:rsidRPr="00272AD1">
        <w:rPr>
          <w:rFonts w:ascii="Cambria" w:hAnsi="Cambria"/>
          <w:sz w:val="20"/>
          <w:szCs w:val="20"/>
          <w:lang w:val="en-US"/>
        </w:rPr>
        <w:t>freedom of enterprise</w:t>
      </w:r>
      <w:r>
        <w:rPr>
          <w:rFonts w:ascii="Cambria" w:hAnsi="Cambria"/>
          <w:sz w:val="20"/>
          <w:szCs w:val="20"/>
          <w:lang w:val="en-US"/>
        </w:rPr>
        <w:t xml:space="preserve"> in the field of public domestic services, because it repeats that the entire administration and responsibility of this service was transferred to the </w:t>
      </w:r>
      <w:r w:rsidRPr="00272AD1">
        <w:rPr>
          <w:rFonts w:ascii="Cambria" w:hAnsi="Cambria"/>
          <w:sz w:val="20"/>
          <w:szCs w:val="20"/>
          <w:lang w:val="en-US"/>
        </w:rPr>
        <w:t>Water and Sewers</w:t>
      </w:r>
      <w:r>
        <w:rPr>
          <w:rFonts w:ascii="Cambria" w:hAnsi="Cambria"/>
          <w:sz w:val="20"/>
          <w:szCs w:val="20"/>
          <w:lang w:val="en-US"/>
        </w:rPr>
        <w:t xml:space="preserve"> Company of Bogota (EAAB), and that the only possibility for private operators to participate was via subcontracts with the UAESP, which was in accordance with the conditions and percentages that the District determined, this, because the public operator was unable to take the entire operation of the city as was initially decided by the disciplined individual.” </w:t>
      </w:r>
      <w:r w:rsidRPr="000A4A43">
        <w:rPr>
          <w:rFonts w:ascii="Cambria" w:hAnsi="Cambria"/>
          <w:sz w:val="20"/>
          <w:szCs w:val="20"/>
          <w:lang w:val="en-US"/>
        </w:rPr>
        <w:t>It</w:t>
      </w:r>
      <w:r>
        <w:rPr>
          <w:rFonts w:ascii="Cambria" w:hAnsi="Cambria"/>
          <w:sz w:val="20"/>
          <w:szCs w:val="20"/>
          <w:lang w:val="en-US"/>
        </w:rPr>
        <w:t xml:space="preserve"> added, as evidence, that the percentage of the provision of the service by the public operator, between December 18, 2012, and April 22, 2013, was 52.62% of the city, whereas on April 22, 2013, and afterwards, the percentage of the provision of the service was 63.15% where, for example, the private operator ATESA S.A., no longer provided the service.</w:t>
      </w:r>
      <w:r w:rsidRPr="009B3BD2">
        <w:rPr>
          <w:rStyle w:val="Refdenotaalpie"/>
          <w:rFonts w:asciiTheme="majorHAnsi" w:hAnsiTheme="majorHAnsi"/>
          <w:sz w:val="20"/>
          <w:szCs w:val="20"/>
          <w:lang w:val="es-CO"/>
        </w:rPr>
        <w:footnoteReference w:id="42"/>
      </w:r>
    </w:p>
    <w:p w14:paraId="72487F4F"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09" w:firstLine="0"/>
        <w:jc w:val="both"/>
        <w:rPr>
          <w:rFonts w:ascii="Cambria" w:hAnsi="Cambria"/>
          <w:sz w:val="20"/>
          <w:szCs w:val="20"/>
          <w:lang w:val="en-US"/>
        </w:rPr>
      </w:pPr>
    </w:p>
    <w:p w14:paraId="6248DB7B"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 xml:space="preserve">In relation to the third charge, the Chamber stated, by issuing Decree 570, the Mayor committed a </w:t>
      </w:r>
      <w:r w:rsidRPr="00F77C1C">
        <w:rPr>
          <w:rFonts w:ascii="Cambria" w:hAnsi="Cambria"/>
          <w:sz w:val="20"/>
          <w:szCs w:val="20"/>
          <w:lang w:val="en-US"/>
        </w:rPr>
        <w:t xml:space="preserve">very serious </w:t>
      </w:r>
      <w:r>
        <w:rPr>
          <w:rFonts w:ascii="Cambria" w:hAnsi="Cambria"/>
          <w:sz w:val="20"/>
          <w:szCs w:val="20"/>
          <w:lang w:val="en-US"/>
        </w:rPr>
        <w:t>offense because “he knew that compacting vehicles were needed for the sanitation service,” and because his high rank would convey a message that “it was a duty to comply with the norms contained in the legal framework, among these, Decrees 948 of 1995, and 1713 of 2002.”</w:t>
      </w:r>
      <w:r w:rsidRPr="000F55A6">
        <w:rPr>
          <w:rStyle w:val="Refdenotaalpie"/>
          <w:rFonts w:asciiTheme="majorHAnsi" w:hAnsiTheme="majorHAnsi"/>
          <w:sz w:val="20"/>
          <w:szCs w:val="20"/>
          <w:lang w:val="en-US"/>
        </w:rPr>
        <w:t xml:space="preserve"> </w:t>
      </w:r>
      <w:r w:rsidRPr="009B3BD2">
        <w:rPr>
          <w:rStyle w:val="Refdenotaalpie"/>
          <w:rFonts w:asciiTheme="majorHAnsi" w:hAnsiTheme="majorHAnsi"/>
          <w:sz w:val="20"/>
          <w:szCs w:val="20"/>
          <w:lang w:val="es-CO"/>
        </w:rPr>
        <w:footnoteReference w:id="43"/>
      </w:r>
      <w:r>
        <w:rPr>
          <w:rFonts w:ascii="Cambria" w:hAnsi="Cambria"/>
          <w:sz w:val="20"/>
          <w:szCs w:val="20"/>
          <w:lang w:val="en-US"/>
        </w:rPr>
        <w:t xml:space="preserve"> It stated that “it was not the exceptional and unforeseen circumstances of the transition in the entry into operation of EAAB or the denial of the private operators to return equipment, rather, it was the incapacity of the District to take over the sanitation service, and this situation arose because of decisions adopted by the </w:t>
      </w:r>
      <w:r w:rsidRPr="001F41F1">
        <w:rPr>
          <w:rFonts w:ascii="Cambria" w:hAnsi="Cambria"/>
          <w:sz w:val="20"/>
          <w:szCs w:val="20"/>
          <w:lang w:val="en-US"/>
        </w:rPr>
        <w:t>Mayor of Bogota</w:t>
      </w:r>
      <w:r>
        <w:rPr>
          <w:rFonts w:ascii="Cambria" w:hAnsi="Cambria"/>
          <w:sz w:val="20"/>
          <w:szCs w:val="20"/>
          <w:lang w:val="en-US"/>
        </w:rPr>
        <w:t>.”</w:t>
      </w:r>
      <w:r w:rsidRPr="009B3BD2">
        <w:rPr>
          <w:rStyle w:val="Refdenotaalpie"/>
          <w:rFonts w:asciiTheme="majorHAnsi" w:hAnsiTheme="majorHAnsi"/>
          <w:sz w:val="20"/>
          <w:szCs w:val="20"/>
          <w:lang w:val="es-CO"/>
        </w:rPr>
        <w:footnoteReference w:id="44"/>
      </w:r>
      <w:r>
        <w:rPr>
          <w:rFonts w:ascii="Cambria" w:hAnsi="Cambria"/>
          <w:sz w:val="20"/>
          <w:szCs w:val="20"/>
          <w:lang w:val="en-US"/>
        </w:rPr>
        <w:t xml:space="preserve"> </w:t>
      </w:r>
    </w:p>
    <w:p w14:paraId="2018D92C"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74503E81"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Finally, it referred to the imposed sanction, indicating that,</w:t>
      </w:r>
    </w:p>
    <w:p w14:paraId="457ACCAE"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130B05C2"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09" w:right="803" w:firstLine="0"/>
        <w:jc w:val="both"/>
        <w:rPr>
          <w:rFonts w:ascii="Cambria" w:hAnsi="Cambria"/>
          <w:sz w:val="20"/>
          <w:szCs w:val="20"/>
          <w:lang w:val="en-US"/>
        </w:rPr>
      </w:pPr>
      <w:r>
        <w:rPr>
          <w:rFonts w:ascii="Cambria" w:hAnsi="Cambria"/>
          <w:sz w:val="20"/>
          <w:szCs w:val="20"/>
          <w:lang w:val="en-US"/>
        </w:rPr>
        <w:t xml:space="preserve">(…) three disciplinary offenses were committed, and considering that the last one was not committed with malice, rather as a very serious offense, the Disciplinary chamber imposed a sanction of 15 years. In other words, it could be stated that it was twelve years for the first offense; two more years for the second; and for the third, another year; a graduation of the sanction adjusted proportionally as </w:t>
      </w:r>
      <w:r w:rsidRPr="00E0447D">
        <w:rPr>
          <w:rFonts w:ascii="Cambria" w:hAnsi="Cambria"/>
          <w:sz w:val="20"/>
          <w:szCs w:val="20"/>
          <w:lang w:val="en-US"/>
        </w:rPr>
        <w:t>provided in subsection 2</w:t>
      </w:r>
      <w:r>
        <w:rPr>
          <w:rFonts w:ascii="Cambria" w:hAnsi="Cambria"/>
          <w:sz w:val="20"/>
          <w:szCs w:val="20"/>
          <w:lang w:val="en-US"/>
        </w:rPr>
        <w:t xml:space="preserve"> of Article 47 of the Single Disciplinary Code, for those cases known as </w:t>
      </w:r>
      <w:proofErr w:type="spellStart"/>
      <w:r>
        <w:rPr>
          <w:rFonts w:ascii="Cambria" w:hAnsi="Cambria"/>
          <w:i/>
          <w:sz w:val="20"/>
          <w:szCs w:val="20"/>
          <w:lang w:val="en-US"/>
        </w:rPr>
        <w:t>concurso</w:t>
      </w:r>
      <w:proofErr w:type="spellEnd"/>
      <w:r>
        <w:rPr>
          <w:rFonts w:ascii="Cambria" w:hAnsi="Cambria"/>
          <w:i/>
          <w:sz w:val="20"/>
          <w:szCs w:val="20"/>
          <w:lang w:val="en-US"/>
        </w:rPr>
        <w:t xml:space="preserve"> material </w:t>
      </w:r>
      <w:proofErr w:type="spellStart"/>
      <w:r>
        <w:rPr>
          <w:rFonts w:ascii="Cambria" w:hAnsi="Cambria"/>
          <w:i/>
          <w:sz w:val="20"/>
          <w:szCs w:val="20"/>
          <w:lang w:val="en-US"/>
        </w:rPr>
        <w:t>heterogé</w:t>
      </w:r>
      <w:r w:rsidRPr="004B2B7B">
        <w:rPr>
          <w:rFonts w:ascii="Cambria" w:hAnsi="Cambria"/>
          <w:i/>
          <w:sz w:val="20"/>
          <w:szCs w:val="20"/>
          <w:lang w:val="en-US"/>
        </w:rPr>
        <w:t>neo</w:t>
      </w:r>
      <w:proofErr w:type="spellEnd"/>
      <w:r w:rsidRPr="004B2B7B">
        <w:rPr>
          <w:rFonts w:ascii="Cambria" w:hAnsi="Cambria"/>
          <w:sz w:val="20"/>
          <w:szCs w:val="20"/>
          <w:lang w:val="en-US"/>
        </w:rPr>
        <w:t>.</w:t>
      </w:r>
      <w:r>
        <w:rPr>
          <w:rFonts w:ascii="Cambria" w:hAnsi="Cambria"/>
          <w:sz w:val="20"/>
          <w:szCs w:val="20"/>
          <w:lang w:val="en-US"/>
        </w:rPr>
        <w:t>”</w:t>
      </w:r>
      <w:r w:rsidRPr="009B3BD2">
        <w:rPr>
          <w:rStyle w:val="Refdenotaalpie"/>
          <w:rFonts w:asciiTheme="majorHAnsi" w:hAnsiTheme="majorHAnsi"/>
          <w:sz w:val="20"/>
          <w:szCs w:val="20"/>
          <w:lang w:val="es-CO"/>
        </w:rPr>
        <w:footnoteReference w:id="45"/>
      </w:r>
    </w:p>
    <w:p w14:paraId="28E88F16"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7CC60DE3"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 xml:space="preserve">In a January 15, 2014, interview with the newspaper “El </w:t>
      </w:r>
      <w:proofErr w:type="spellStart"/>
      <w:r>
        <w:rPr>
          <w:rFonts w:ascii="Cambria" w:hAnsi="Cambria"/>
          <w:sz w:val="20"/>
          <w:szCs w:val="20"/>
          <w:lang w:val="en-US"/>
        </w:rPr>
        <w:t>Tiempo</w:t>
      </w:r>
      <w:proofErr w:type="spellEnd"/>
      <w:r>
        <w:rPr>
          <w:rFonts w:ascii="Cambria" w:hAnsi="Cambria"/>
          <w:sz w:val="20"/>
          <w:szCs w:val="20"/>
          <w:lang w:val="en-US"/>
        </w:rPr>
        <w:t xml:space="preserve">”, the Inspector General of Nation was asked if Mayor Petro was leaving because of his leftist political views or because he is a bad mayor, </w:t>
      </w:r>
      <w:r>
        <w:rPr>
          <w:rFonts w:ascii="Cambria" w:hAnsi="Cambria"/>
          <w:sz w:val="20"/>
          <w:szCs w:val="20"/>
          <w:lang w:val="en-US"/>
        </w:rPr>
        <w:lastRenderedPageBreak/>
        <w:t>to which he replied “doctor Petro is leaving because he is a bad mayor, for not fulfilling his duties with great seriousness. For conduct that squandered the public budget and must be investigated. For disregarding the constitution that limits his functions. He placed at risk the health of the people of Bogota and of the environment.”</w:t>
      </w:r>
      <w:r w:rsidRPr="009B3BD2">
        <w:rPr>
          <w:rStyle w:val="Refdenotaalpie"/>
          <w:rFonts w:ascii="Cambria" w:hAnsi="Cambria"/>
          <w:sz w:val="20"/>
          <w:szCs w:val="20"/>
          <w:lang w:val="es-CO"/>
        </w:rPr>
        <w:footnoteReference w:id="46"/>
      </w:r>
    </w:p>
    <w:p w14:paraId="550FC7EE" w14:textId="77777777" w:rsidR="00A84770" w:rsidRPr="007E6B9F"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09" w:firstLine="0"/>
        <w:jc w:val="both"/>
        <w:rPr>
          <w:rFonts w:ascii="Cambria" w:hAnsi="Cambria"/>
          <w:sz w:val="20"/>
          <w:szCs w:val="20"/>
          <w:lang w:val="en-US"/>
        </w:rPr>
      </w:pPr>
    </w:p>
    <w:p w14:paraId="5975E913" w14:textId="77777777" w:rsidR="00A84770" w:rsidRPr="00260153"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On March 18, 2014, the IACHR granted precautionary measures in favor of the alleged victim and requested that the State of Colombia “</w:t>
      </w:r>
      <w:r w:rsidRPr="00260153">
        <w:rPr>
          <w:rFonts w:ascii="Cambria" w:hAnsi="Cambria"/>
          <w:sz w:val="20"/>
          <w:szCs w:val="20"/>
          <w:lang w:val="en-US"/>
        </w:rPr>
        <w:t>suspend immediately the effects of the decision</w:t>
      </w:r>
      <w:r>
        <w:rPr>
          <w:rFonts w:ascii="Cambria" w:hAnsi="Cambria"/>
          <w:sz w:val="20"/>
          <w:szCs w:val="20"/>
          <w:lang w:val="en-US"/>
        </w:rPr>
        <w:t xml:space="preserve"> </w:t>
      </w:r>
      <w:r w:rsidRPr="00260153">
        <w:rPr>
          <w:rFonts w:ascii="Cambria" w:hAnsi="Cambria"/>
          <w:sz w:val="20"/>
          <w:szCs w:val="20"/>
          <w:lang w:val="en-US"/>
        </w:rPr>
        <w:t>of December 9, 2013, issued and endorsed by the Inspector General’s Office on Janua</w:t>
      </w:r>
      <w:r>
        <w:rPr>
          <w:rFonts w:ascii="Cambria" w:hAnsi="Cambria"/>
          <w:sz w:val="20"/>
          <w:szCs w:val="20"/>
          <w:lang w:val="en-US"/>
        </w:rPr>
        <w:t>ry</w:t>
      </w:r>
      <w:r w:rsidRPr="00260153">
        <w:rPr>
          <w:rFonts w:ascii="Cambria" w:hAnsi="Cambria"/>
          <w:sz w:val="20"/>
          <w:szCs w:val="20"/>
          <w:lang w:val="en-US"/>
        </w:rPr>
        <w:t xml:space="preserve"> 13, 2014, to ensure the exercise of the political rights of Mr. Gustavo Francisco Petro </w:t>
      </w:r>
      <w:proofErr w:type="spellStart"/>
      <w:r w:rsidRPr="00260153">
        <w:rPr>
          <w:rFonts w:ascii="Cambria" w:hAnsi="Cambria"/>
          <w:sz w:val="20"/>
          <w:szCs w:val="20"/>
          <w:lang w:val="en-US"/>
        </w:rPr>
        <w:t>Urrego</w:t>
      </w:r>
      <w:proofErr w:type="spellEnd"/>
      <w:r>
        <w:rPr>
          <w:rFonts w:ascii="Cambria" w:hAnsi="Cambria"/>
          <w:sz w:val="20"/>
          <w:szCs w:val="20"/>
          <w:lang w:val="en-US"/>
        </w:rPr>
        <w:t>,</w:t>
      </w:r>
      <w:r w:rsidRPr="00260153">
        <w:rPr>
          <w:rFonts w:ascii="Cambria" w:hAnsi="Cambria"/>
          <w:sz w:val="20"/>
          <w:szCs w:val="20"/>
          <w:lang w:val="en-US"/>
        </w:rPr>
        <w:t xml:space="preserve"> and that he remains in office as Mayor of the city of Bogotá D.C. during the term for which he was elected on October 30, 2011, until the Commission has made a decision on individual petition P-1742-13.</w:t>
      </w:r>
      <w:r>
        <w:rPr>
          <w:rFonts w:ascii="Cambria" w:hAnsi="Cambria"/>
          <w:sz w:val="20"/>
          <w:szCs w:val="20"/>
          <w:lang w:val="en-US"/>
        </w:rPr>
        <w:t>”</w:t>
      </w:r>
      <w:r w:rsidRPr="0054721C">
        <w:rPr>
          <w:rStyle w:val="Refdenotaalpie"/>
          <w:rFonts w:asciiTheme="majorHAnsi" w:hAnsiTheme="majorHAnsi"/>
          <w:sz w:val="20"/>
          <w:szCs w:val="20"/>
          <w:lang w:val="en-US"/>
        </w:rPr>
        <w:t xml:space="preserve"> </w:t>
      </w:r>
      <w:r w:rsidRPr="009B3BD2">
        <w:rPr>
          <w:rStyle w:val="Refdenotaalpie"/>
          <w:rFonts w:asciiTheme="majorHAnsi" w:hAnsiTheme="majorHAnsi"/>
          <w:sz w:val="20"/>
          <w:szCs w:val="20"/>
          <w:lang w:val="es-CO"/>
        </w:rPr>
        <w:footnoteReference w:id="47"/>
      </w:r>
    </w:p>
    <w:p w14:paraId="1B7B6229"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677173B8" w14:textId="77777777" w:rsidR="00A84770" w:rsidRPr="00326384"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sidRPr="00260153">
        <w:rPr>
          <w:rFonts w:ascii="Cambria" w:hAnsi="Cambria"/>
          <w:sz w:val="20"/>
          <w:szCs w:val="20"/>
          <w:lang w:val="en-US"/>
        </w:rPr>
        <w:t xml:space="preserve">On March 20, 2014, through Decree 570, the President of the Republic </w:t>
      </w:r>
      <w:r w:rsidRPr="008C65E2">
        <w:rPr>
          <w:rFonts w:ascii="Cambria" w:hAnsi="Cambria"/>
          <w:sz w:val="20"/>
          <w:szCs w:val="20"/>
          <w:lang w:val="en-US"/>
        </w:rPr>
        <w:t>decreed</w:t>
      </w:r>
      <w:r>
        <w:rPr>
          <w:rFonts w:ascii="Cambria" w:hAnsi="Cambria"/>
          <w:sz w:val="20"/>
          <w:szCs w:val="20"/>
          <w:lang w:val="en-US"/>
        </w:rPr>
        <w:t xml:space="preserve"> the removal of the Mayor of Bogota, Gustavo Francisco Petro </w:t>
      </w:r>
      <w:proofErr w:type="spellStart"/>
      <w:r>
        <w:rPr>
          <w:rFonts w:ascii="Cambria" w:hAnsi="Cambria"/>
          <w:sz w:val="20"/>
          <w:szCs w:val="20"/>
          <w:lang w:val="en-US"/>
        </w:rPr>
        <w:t>Urrego</w:t>
      </w:r>
      <w:proofErr w:type="spellEnd"/>
      <w:r>
        <w:rPr>
          <w:rFonts w:ascii="Cambria" w:hAnsi="Cambria"/>
          <w:sz w:val="20"/>
          <w:szCs w:val="20"/>
          <w:lang w:val="en-US"/>
        </w:rPr>
        <w:t>, to comply with the Office of the Inspector General of the Nation’s judgment of December 9, 2013, and designated Rafael Pardo Rueda as Mayor of Bogota.</w:t>
      </w:r>
      <w:r w:rsidRPr="0054721C">
        <w:rPr>
          <w:rStyle w:val="Refdenotaalpie"/>
          <w:rFonts w:asciiTheme="majorHAnsi" w:hAnsiTheme="majorHAnsi"/>
          <w:sz w:val="20"/>
          <w:szCs w:val="20"/>
          <w:lang w:val="en-US"/>
        </w:rPr>
        <w:t xml:space="preserve"> </w:t>
      </w:r>
      <w:r w:rsidRPr="009B3BD2">
        <w:rPr>
          <w:rStyle w:val="Refdenotaalpie"/>
          <w:rFonts w:asciiTheme="majorHAnsi" w:hAnsiTheme="majorHAnsi"/>
          <w:sz w:val="20"/>
          <w:szCs w:val="20"/>
          <w:lang w:val="es-VE"/>
        </w:rPr>
        <w:footnoteReference w:id="48"/>
      </w:r>
    </w:p>
    <w:p w14:paraId="067135DC" w14:textId="77777777" w:rsidR="00A84770" w:rsidRPr="00326384" w:rsidRDefault="00A84770" w:rsidP="00A84770">
      <w:pPr>
        <w:pStyle w:val="Ttulo3"/>
        <w:numPr>
          <w:ilvl w:val="0"/>
          <w:numId w:val="62"/>
        </w:numPr>
        <w:tabs>
          <w:tab w:val="clear" w:pos="1800"/>
        </w:tabs>
        <w:ind w:left="720" w:firstLine="0"/>
        <w:rPr>
          <w:color w:val="auto"/>
          <w:sz w:val="20"/>
          <w:szCs w:val="20"/>
        </w:rPr>
      </w:pPr>
      <w:bookmarkStart w:id="16" w:name="_Toc496666300"/>
      <w:r>
        <w:rPr>
          <w:color w:val="auto"/>
          <w:sz w:val="20"/>
          <w:szCs w:val="20"/>
        </w:rPr>
        <w:t>Request of nullification</w:t>
      </w:r>
      <w:r w:rsidRPr="00326384">
        <w:rPr>
          <w:color w:val="auto"/>
          <w:sz w:val="20"/>
          <w:szCs w:val="20"/>
        </w:rPr>
        <w:t xml:space="preserve"> and reversal petition</w:t>
      </w:r>
      <w:bookmarkEnd w:id="16"/>
    </w:p>
    <w:p w14:paraId="402BEE7F" w14:textId="77777777" w:rsidR="00A84770" w:rsidRDefault="00A84770" w:rsidP="00A84770">
      <w:pPr>
        <w:pStyle w:val="Prrafodelista"/>
        <w:ind w:left="0"/>
        <w:rPr>
          <w:b/>
          <w:sz w:val="20"/>
          <w:szCs w:val="20"/>
        </w:rPr>
      </w:pPr>
    </w:p>
    <w:p w14:paraId="7069531A"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 xml:space="preserve">On March 31, 2014, the alleged victim filed a request for nullification and reversal before the Administrative Court of Cundinamarca. This was in relation to the administrative decisions issued by the Disciplinary Chamber of the Office of the Inspector General of the Nation, through which the alleged victim was sanctioned with dismissal and general disqualification from exercising public positions and </w:t>
      </w:r>
      <w:r w:rsidRPr="001229E0">
        <w:rPr>
          <w:rFonts w:ascii="Cambria" w:hAnsi="Cambria"/>
          <w:sz w:val="20"/>
          <w:szCs w:val="20"/>
          <w:lang w:val="en-US"/>
        </w:rPr>
        <w:t>functions</w:t>
      </w:r>
      <w:r>
        <w:rPr>
          <w:rFonts w:ascii="Cambria" w:hAnsi="Cambria"/>
          <w:sz w:val="20"/>
          <w:szCs w:val="20"/>
          <w:lang w:val="en-US"/>
        </w:rPr>
        <w:t xml:space="preserve"> for fifteen years. The request was transferred to the Chamber of the Contentious-Administrative of the State Council, for reasons of </w:t>
      </w:r>
      <w:r w:rsidRPr="007B7DB0">
        <w:rPr>
          <w:rFonts w:ascii="Cambria" w:hAnsi="Cambria"/>
          <w:sz w:val="20"/>
          <w:szCs w:val="20"/>
          <w:lang w:val="en-US"/>
        </w:rPr>
        <w:t>competence</w:t>
      </w:r>
      <w:r>
        <w:rPr>
          <w:rFonts w:ascii="Cambria" w:hAnsi="Cambria"/>
          <w:sz w:val="20"/>
          <w:szCs w:val="20"/>
          <w:lang w:val="en-US"/>
        </w:rPr>
        <w:t>.</w:t>
      </w:r>
      <w:r w:rsidRPr="00992915">
        <w:rPr>
          <w:rStyle w:val="Refdenotaalpie"/>
          <w:rFonts w:asciiTheme="majorHAnsi" w:hAnsiTheme="majorHAnsi"/>
          <w:sz w:val="20"/>
          <w:szCs w:val="20"/>
          <w:lang w:val="en-US"/>
        </w:rPr>
        <w:t xml:space="preserve"> </w:t>
      </w:r>
      <w:r w:rsidRPr="009B3BD2">
        <w:rPr>
          <w:rStyle w:val="Refdenotaalpie"/>
          <w:rFonts w:asciiTheme="majorHAnsi" w:hAnsiTheme="majorHAnsi"/>
          <w:sz w:val="20"/>
          <w:szCs w:val="20"/>
          <w:lang w:val="es-CO"/>
        </w:rPr>
        <w:footnoteReference w:id="49"/>
      </w:r>
      <w:r>
        <w:rPr>
          <w:rFonts w:ascii="Cambria" w:hAnsi="Cambria"/>
          <w:sz w:val="20"/>
          <w:szCs w:val="20"/>
          <w:lang w:val="en-US"/>
        </w:rPr>
        <w:t xml:space="preserve"> </w:t>
      </w:r>
    </w:p>
    <w:p w14:paraId="13A60BE7"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09" w:firstLine="0"/>
        <w:jc w:val="both"/>
        <w:rPr>
          <w:rFonts w:ascii="Cambria" w:hAnsi="Cambria"/>
          <w:sz w:val="20"/>
          <w:szCs w:val="20"/>
          <w:lang w:val="en-US"/>
        </w:rPr>
      </w:pPr>
    </w:p>
    <w:p w14:paraId="64234F58"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 xml:space="preserve">On April 21, 2014, the </w:t>
      </w:r>
      <w:r w:rsidRPr="007B7DB0">
        <w:rPr>
          <w:rFonts w:ascii="Cambria" w:hAnsi="Cambria"/>
          <w:sz w:val="20"/>
          <w:szCs w:val="20"/>
          <w:lang w:val="en-US"/>
        </w:rPr>
        <w:t>Civil Chamber of Lands Restitution</w:t>
      </w:r>
      <w:r>
        <w:rPr>
          <w:rFonts w:ascii="Cambria" w:hAnsi="Cambria"/>
          <w:sz w:val="20"/>
          <w:szCs w:val="20"/>
          <w:lang w:val="en-US"/>
        </w:rPr>
        <w:t xml:space="preserve">, when deciding an order of protection, suspended the dismissal and ordered the President of the Republic to annul Decree 570 of March 20, 2014, and to comply with the precautionary measures granted by the IACHR. </w:t>
      </w:r>
    </w:p>
    <w:p w14:paraId="39A7C62D"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746A72B4"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On April 23, 2014, the President of the Republic issued Decree 797, voiding Decree 570 of March 20, 2014.</w:t>
      </w:r>
      <w:r w:rsidRPr="00992915">
        <w:rPr>
          <w:rStyle w:val="Refdenotaalpie"/>
          <w:rFonts w:asciiTheme="majorHAnsi" w:hAnsiTheme="majorHAnsi"/>
          <w:sz w:val="20"/>
          <w:szCs w:val="20"/>
          <w:lang w:val="en-US"/>
        </w:rPr>
        <w:t xml:space="preserve"> </w:t>
      </w:r>
      <w:r w:rsidRPr="009B3BD2">
        <w:rPr>
          <w:rStyle w:val="Refdenotaalpie"/>
          <w:rFonts w:asciiTheme="majorHAnsi" w:hAnsiTheme="majorHAnsi"/>
          <w:sz w:val="20"/>
          <w:szCs w:val="20"/>
          <w:lang w:val="es-CO"/>
        </w:rPr>
        <w:footnoteReference w:id="50"/>
      </w:r>
      <w:r>
        <w:rPr>
          <w:rFonts w:ascii="Cambria" w:hAnsi="Cambria"/>
          <w:sz w:val="20"/>
          <w:szCs w:val="20"/>
          <w:lang w:val="en-US"/>
        </w:rPr>
        <w:t xml:space="preserve"> </w:t>
      </w:r>
    </w:p>
    <w:p w14:paraId="32BF52BC"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70D5CD23"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 xml:space="preserve">On May 13, 2014, the Chamber of the </w:t>
      </w:r>
      <w:r w:rsidRPr="0003058F">
        <w:rPr>
          <w:rFonts w:ascii="Cambria" w:hAnsi="Cambria"/>
          <w:sz w:val="20"/>
          <w:szCs w:val="20"/>
          <w:lang w:val="en-US"/>
        </w:rPr>
        <w:t>Contentious-Administrative of State Council</w:t>
      </w:r>
      <w:r>
        <w:rPr>
          <w:rFonts w:ascii="Cambria" w:hAnsi="Cambria"/>
          <w:sz w:val="20"/>
          <w:szCs w:val="20"/>
          <w:lang w:val="en-US"/>
        </w:rPr>
        <w:t>, decreed the provisional suspension of the decisions of the Disciplinary Chamber of the Office of the Inspector General of the Nation of December 9, 2013, and January 13, 2014.</w:t>
      </w:r>
      <w:r w:rsidRPr="00992915">
        <w:rPr>
          <w:rStyle w:val="Refdenotaalpie"/>
          <w:rFonts w:asciiTheme="majorHAnsi" w:hAnsiTheme="majorHAnsi"/>
          <w:sz w:val="20"/>
          <w:szCs w:val="20"/>
          <w:lang w:val="en-US"/>
        </w:rPr>
        <w:t xml:space="preserve"> </w:t>
      </w:r>
      <w:r w:rsidRPr="009B3BD2">
        <w:rPr>
          <w:rStyle w:val="Refdenotaalpie"/>
          <w:rFonts w:asciiTheme="majorHAnsi" w:hAnsiTheme="majorHAnsi"/>
          <w:sz w:val="20"/>
          <w:szCs w:val="20"/>
          <w:lang w:val="es-CO"/>
        </w:rPr>
        <w:footnoteReference w:id="51"/>
      </w:r>
      <w:r>
        <w:rPr>
          <w:rFonts w:ascii="Cambria" w:hAnsi="Cambria"/>
          <w:sz w:val="20"/>
          <w:szCs w:val="20"/>
          <w:lang w:val="en-US"/>
        </w:rPr>
        <w:t xml:space="preserve"> In the decision, this Chamber of the State Council stated:</w:t>
      </w:r>
    </w:p>
    <w:p w14:paraId="552BA58F"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067B43E2" w14:textId="77777777" w:rsidR="00A84770" w:rsidRPr="00B225D2"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09" w:right="803" w:firstLine="0"/>
        <w:jc w:val="both"/>
        <w:rPr>
          <w:rFonts w:ascii="Cambria" w:hAnsi="Cambria"/>
          <w:sz w:val="20"/>
          <w:szCs w:val="20"/>
          <w:lang w:val="en-US"/>
        </w:rPr>
      </w:pPr>
      <w:r>
        <w:rPr>
          <w:rFonts w:ascii="Cambria" w:hAnsi="Cambria"/>
          <w:sz w:val="20"/>
          <w:szCs w:val="20"/>
          <w:lang w:val="en-US"/>
        </w:rPr>
        <w:t xml:space="preserve">First. </w:t>
      </w:r>
      <w:r>
        <w:rPr>
          <w:rFonts w:ascii="Cambria" w:hAnsi="Cambria"/>
          <w:b/>
          <w:sz w:val="20"/>
          <w:szCs w:val="20"/>
          <w:lang w:val="en-US"/>
        </w:rPr>
        <w:t xml:space="preserve">DECREE </w:t>
      </w:r>
      <w:r>
        <w:rPr>
          <w:rFonts w:ascii="Cambria" w:hAnsi="Cambria"/>
          <w:sz w:val="20"/>
          <w:szCs w:val="20"/>
          <w:lang w:val="en-US"/>
        </w:rPr>
        <w:t xml:space="preserve">the PROVISIONAL SUSPENSION of the legal effects of the following administrative acts: 1.- Decision of sole instance issued by the Disciplinary Chamber of the Office of the Inspector General of the Nation of December 9, 2013, imposing a dismissal and general disqualification for 15 years on Mr. Gustavo Francisco Petro </w:t>
      </w:r>
      <w:proofErr w:type="spellStart"/>
      <w:r>
        <w:rPr>
          <w:rFonts w:ascii="Cambria" w:hAnsi="Cambria"/>
          <w:sz w:val="20"/>
          <w:szCs w:val="20"/>
          <w:lang w:val="en-US"/>
        </w:rPr>
        <w:t>Urrego</w:t>
      </w:r>
      <w:proofErr w:type="spellEnd"/>
      <w:r>
        <w:rPr>
          <w:rFonts w:ascii="Cambria" w:hAnsi="Cambria"/>
          <w:sz w:val="20"/>
          <w:szCs w:val="20"/>
          <w:lang w:val="en-US"/>
        </w:rPr>
        <w:t xml:space="preserve">. 2.- Decision of January 13, 2014, issued by the Disciplinary Chamber of the Office of the Inspector General of </w:t>
      </w:r>
      <w:r>
        <w:rPr>
          <w:rFonts w:ascii="Cambria" w:hAnsi="Cambria"/>
          <w:sz w:val="20"/>
          <w:szCs w:val="20"/>
          <w:lang w:val="en-US"/>
        </w:rPr>
        <w:lastRenderedPageBreak/>
        <w:t>the Nation, which decided not to reverse and, consequently, confirmed the decision of sole instance of December 9, 2013.</w:t>
      </w:r>
      <w:r w:rsidRPr="00992915">
        <w:rPr>
          <w:rStyle w:val="Refdenotaalpie"/>
          <w:rFonts w:asciiTheme="majorHAnsi" w:hAnsiTheme="majorHAnsi"/>
          <w:sz w:val="20"/>
          <w:szCs w:val="20"/>
          <w:lang w:val="en-US"/>
        </w:rPr>
        <w:t xml:space="preserve"> </w:t>
      </w:r>
      <w:r w:rsidRPr="009B3BD2">
        <w:rPr>
          <w:rStyle w:val="Refdenotaalpie"/>
          <w:rFonts w:asciiTheme="majorHAnsi" w:hAnsiTheme="majorHAnsi"/>
          <w:sz w:val="20"/>
          <w:szCs w:val="20"/>
          <w:lang w:val="es-CO"/>
        </w:rPr>
        <w:footnoteReference w:id="52"/>
      </w:r>
      <w:r>
        <w:rPr>
          <w:rFonts w:ascii="Cambria" w:hAnsi="Cambria"/>
          <w:sz w:val="20"/>
          <w:szCs w:val="20"/>
          <w:lang w:val="en-US"/>
        </w:rPr>
        <w:t xml:space="preserve"> </w:t>
      </w:r>
    </w:p>
    <w:p w14:paraId="41E7DBEA"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76EC7D4A"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 xml:space="preserve">By virtue of said measure, the alleged victim was </w:t>
      </w:r>
      <w:r w:rsidRPr="007B0FEF">
        <w:rPr>
          <w:rFonts w:ascii="Cambria" w:hAnsi="Cambria"/>
          <w:sz w:val="20"/>
          <w:szCs w:val="20"/>
          <w:lang w:val="en-US"/>
        </w:rPr>
        <w:t>re-instated</w:t>
      </w:r>
      <w:r>
        <w:rPr>
          <w:rFonts w:ascii="Cambria" w:hAnsi="Cambria"/>
          <w:sz w:val="20"/>
          <w:szCs w:val="20"/>
          <w:lang w:val="en-US"/>
        </w:rPr>
        <w:t xml:space="preserve"> to his position as Mayor of Bogota. The Office of the Inspector General of the Nation filed an application for reconsideration against the decision of May 13, 2014. On March 17, 2015, the </w:t>
      </w:r>
      <w:r w:rsidRPr="0076670C">
        <w:rPr>
          <w:rFonts w:ascii="Cambria" w:hAnsi="Cambria"/>
          <w:sz w:val="20"/>
          <w:szCs w:val="20"/>
          <w:lang w:val="en-US"/>
        </w:rPr>
        <w:t>Plenary Chamber of the Contentious-Administrative</w:t>
      </w:r>
      <w:r>
        <w:rPr>
          <w:rFonts w:ascii="Cambria" w:hAnsi="Cambria"/>
          <w:sz w:val="20"/>
          <w:szCs w:val="20"/>
          <w:lang w:val="en-US"/>
        </w:rPr>
        <w:t xml:space="preserve"> of the State Council dismissed said application and confirmed the decision “that ordered the precautionary measure of provisional suspension of the administrative acts issued.”</w:t>
      </w:r>
      <w:r w:rsidRPr="00992915">
        <w:rPr>
          <w:rStyle w:val="Refdenotaalpie"/>
          <w:rFonts w:asciiTheme="majorHAnsi" w:hAnsiTheme="majorHAnsi"/>
          <w:sz w:val="20"/>
          <w:szCs w:val="20"/>
          <w:lang w:val="en-US"/>
        </w:rPr>
        <w:t xml:space="preserve"> </w:t>
      </w:r>
      <w:r w:rsidRPr="009B3BD2">
        <w:rPr>
          <w:rStyle w:val="Refdenotaalpie"/>
          <w:rFonts w:asciiTheme="majorHAnsi" w:hAnsiTheme="majorHAnsi"/>
          <w:sz w:val="20"/>
          <w:szCs w:val="20"/>
          <w:lang w:val="es-CO"/>
        </w:rPr>
        <w:footnoteReference w:id="53"/>
      </w:r>
      <w:r>
        <w:rPr>
          <w:rFonts w:ascii="Cambria" w:hAnsi="Cambria"/>
          <w:sz w:val="20"/>
          <w:szCs w:val="20"/>
          <w:lang w:val="en-US"/>
        </w:rPr>
        <w:t xml:space="preserve"> </w:t>
      </w:r>
    </w:p>
    <w:p w14:paraId="698F858D"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09" w:firstLine="0"/>
        <w:jc w:val="both"/>
        <w:rPr>
          <w:rFonts w:ascii="Cambria" w:hAnsi="Cambria"/>
          <w:sz w:val="20"/>
          <w:szCs w:val="20"/>
          <w:lang w:val="en-US"/>
        </w:rPr>
      </w:pPr>
    </w:p>
    <w:p w14:paraId="42037439"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 xml:space="preserve">To date, the request for nullification and the reversal petition has not been resolved. </w:t>
      </w:r>
    </w:p>
    <w:p w14:paraId="198E8E2B" w14:textId="77777777" w:rsidR="00A84770" w:rsidRDefault="00A84770" w:rsidP="00A84770">
      <w:pPr>
        <w:pStyle w:val="Prrafodelista"/>
        <w:tabs>
          <w:tab w:val="left" w:pos="1410"/>
        </w:tabs>
        <w:ind w:left="0"/>
        <w:rPr>
          <w:b/>
          <w:sz w:val="20"/>
          <w:szCs w:val="20"/>
        </w:rPr>
      </w:pPr>
    </w:p>
    <w:p w14:paraId="0CF0CAD6" w14:textId="77777777" w:rsidR="00A84770" w:rsidRPr="00663FD9" w:rsidRDefault="00A84770" w:rsidP="00A84770">
      <w:pPr>
        <w:pStyle w:val="Ttulo2"/>
        <w:numPr>
          <w:ilvl w:val="0"/>
          <w:numId w:val="60"/>
        </w:numPr>
        <w:ind w:left="1418" w:hanging="709"/>
        <w:rPr>
          <w:rFonts w:cs="Arial"/>
          <w:bCs/>
          <w:iCs/>
          <w:lang w:val="en-US"/>
        </w:rPr>
      </w:pPr>
      <w:bookmarkStart w:id="17" w:name="_Toc496666301"/>
      <w:r w:rsidRPr="00663FD9">
        <w:rPr>
          <w:rFonts w:cs="Arial"/>
          <w:bCs/>
          <w:iCs/>
          <w:lang w:val="en-US"/>
        </w:rPr>
        <w:t>About the second disciplinary proceeding</w:t>
      </w:r>
      <w:bookmarkEnd w:id="17"/>
      <w:r w:rsidRPr="00663FD9">
        <w:rPr>
          <w:rFonts w:cs="Arial"/>
          <w:bCs/>
          <w:iCs/>
          <w:lang w:val="en-US"/>
        </w:rPr>
        <w:t xml:space="preserve"> </w:t>
      </w:r>
    </w:p>
    <w:p w14:paraId="0CA22499" w14:textId="77777777" w:rsidR="00A84770" w:rsidRPr="00663FD9" w:rsidRDefault="00A84770" w:rsidP="00A84770">
      <w:pPr>
        <w:pStyle w:val="Prrafodelista"/>
        <w:tabs>
          <w:tab w:val="left" w:pos="1410"/>
        </w:tabs>
        <w:ind w:left="0"/>
        <w:rPr>
          <w:b/>
          <w:sz w:val="20"/>
          <w:szCs w:val="20"/>
        </w:rPr>
      </w:pPr>
    </w:p>
    <w:p w14:paraId="4362C58B"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According to public information, on August 26, 2013, the Mayor of Bogota decreed the “exceptional modification of the urban regulations on the Guidelines of Territorial Planning of Bogota” through Decree 364.</w:t>
      </w:r>
      <w:r w:rsidRPr="00992915">
        <w:rPr>
          <w:rStyle w:val="Refdenotaalpie"/>
          <w:rFonts w:asciiTheme="majorHAnsi" w:hAnsiTheme="majorHAnsi"/>
          <w:sz w:val="20"/>
          <w:szCs w:val="20"/>
          <w:lang w:val="en-US"/>
        </w:rPr>
        <w:t xml:space="preserve"> </w:t>
      </w:r>
      <w:r w:rsidRPr="009B3BD2">
        <w:rPr>
          <w:rStyle w:val="Refdenotaalpie"/>
          <w:rFonts w:asciiTheme="majorHAnsi" w:hAnsiTheme="majorHAnsi"/>
          <w:sz w:val="20"/>
          <w:szCs w:val="20"/>
          <w:lang w:val="es-CO"/>
        </w:rPr>
        <w:footnoteReference w:id="54"/>
      </w:r>
      <w:r>
        <w:rPr>
          <w:rFonts w:ascii="Cambria" w:hAnsi="Cambria"/>
          <w:sz w:val="20"/>
          <w:szCs w:val="20"/>
          <w:lang w:val="en-US"/>
        </w:rPr>
        <w:t xml:space="preserve"> </w:t>
      </w:r>
    </w:p>
    <w:p w14:paraId="3F4135AB"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09" w:firstLine="0"/>
        <w:jc w:val="both"/>
        <w:rPr>
          <w:rFonts w:ascii="Cambria" w:hAnsi="Cambria"/>
          <w:sz w:val="20"/>
          <w:szCs w:val="20"/>
          <w:lang w:val="en-US"/>
        </w:rPr>
      </w:pPr>
    </w:p>
    <w:p w14:paraId="43B4C899" w14:textId="77777777" w:rsidR="00A84770" w:rsidRPr="00551AE3"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 xml:space="preserve">He stated that, according to a Decree of 2004, the exceptional modification of the urban regulations on the Guidelines of Territorial Planning by the Municipal or District Mayor is possible as long as the reasons underlying the modifications are technically justified and demonstrated, and stated that the reasons that motivated the modification are: </w:t>
      </w:r>
      <w:proofErr w:type="spellStart"/>
      <w:r>
        <w:rPr>
          <w:rFonts w:ascii="Cambria" w:hAnsi="Cambria"/>
          <w:sz w:val="20"/>
          <w:szCs w:val="20"/>
          <w:lang w:val="en-US"/>
        </w:rPr>
        <w:t>i</w:t>
      </w:r>
      <w:proofErr w:type="spellEnd"/>
      <w:r>
        <w:rPr>
          <w:rFonts w:ascii="Cambria" w:hAnsi="Cambria"/>
          <w:sz w:val="20"/>
          <w:szCs w:val="20"/>
          <w:lang w:val="en-US"/>
        </w:rPr>
        <w:t xml:space="preserve">) changes in the projection and composition of the population in Bogota; ii) the need to develop impact projects in the mobility of the city; iii) to integrate risk management and adaptation to climate change to territorial planning, incorporating the </w:t>
      </w:r>
      <w:r w:rsidRPr="0016611E">
        <w:rPr>
          <w:rFonts w:ascii="Cambria" w:hAnsi="Cambria"/>
          <w:sz w:val="20"/>
          <w:szCs w:val="20"/>
          <w:lang w:val="en-US"/>
        </w:rPr>
        <w:t>provisions</w:t>
      </w:r>
      <w:r>
        <w:rPr>
          <w:rFonts w:ascii="Cambria" w:hAnsi="Cambria"/>
          <w:sz w:val="20"/>
          <w:szCs w:val="20"/>
          <w:lang w:val="en-US"/>
        </w:rPr>
        <w:t xml:space="preserve"> of Law 1523 of 2012; iv) to harmonize rural land planning with national norms provided in Decree 3600 of 2007; and v) the simplification of regulations.</w:t>
      </w:r>
      <w:r w:rsidRPr="00992915">
        <w:rPr>
          <w:rStyle w:val="Refdenotaalpie"/>
          <w:rFonts w:asciiTheme="majorHAnsi" w:hAnsiTheme="majorHAnsi"/>
          <w:sz w:val="20"/>
          <w:szCs w:val="20"/>
          <w:lang w:val="en-US"/>
        </w:rPr>
        <w:t xml:space="preserve"> </w:t>
      </w:r>
      <w:r w:rsidRPr="009B3BD2">
        <w:rPr>
          <w:rStyle w:val="Refdenotaalpie"/>
          <w:rFonts w:asciiTheme="majorHAnsi" w:hAnsiTheme="majorHAnsi"/>
          <w:sz w:val="20"/>
          <w:szCs w:val="20"/>
          <w:lang w:val="es-CO"/>
        </w:rPr>
        <w:footnoteReference w:id="55"/>
      </w:r>
      <w:r>
        <w:rPr>
          <w:rFonts w:ascii="Cambria" w:hAnsi="Cambria"/>
          <w:sz w:val="20"/>
          <w:szCs w:val="20"/>
          <w:lang w:val="en-US"/>
        </w:rPr>
        <w:t xml:space="preserve"> </w:t>
      </w:r>
    </w:p>
    <w:p w14:paraId="09806981" w14:textId="77777777" w:rsidR="00A84770" w:rsidRPr="00551AE3" w:rsidRDefault="00A84770" w:rsidP="000829C4">
      <w:pPr>
        <w:pStyle w:val="Ttulo3"/>
        <w:numPr>
          <w:ilvl w:val="0"/>
          <w:numId w:val="67"/>
        </w:numPr>
        <w:tabs>
          <w:tab w:val="clear" w:pos="1800"/>
        </w:tabs>
        <w:ind w:left="1418" w:hanging="709"/>
        <w:rPr>
          <w:color w:val="auto"/>
          <w:sz w:val="20"/>
          <w:szCs w:val="20"/>
        </w:rPr>
      </w:pPr>
      <w:bookmarkStart w:id="18" w:name="_Toc496666302"/>
      <w:r w:rsidRPr="00551AE3">
        <w:rPr>
          <w:color w:val="auto"/>
          <w:sz w:val="20"/>
          <w:szCs w:val="20"/>
        </w:rPr>
        <w:t>Disciplinary Charges</w:t>
      </w:r>
      <w:bookmarkEnd w:id="18"/>
      <w:r w:rsidRPr="00551AE3">
        <w:rPr>
          <w:color w:val="auto"/>
          <w:sz w:val="20"/>
          <w:szCs w:val="20"/>
        </w:rPr>
        <w:t xml:space="preserve"> </w:t>
      </w:r>
    </w:p>
    <w:p w14:paraId="1E5C3E20" w14:textId="77777777" w:rsidR="00A84770" w:rsidRDefault="00A84770" w:rsidP="00A84770">
      <w:pPr>
        <w:pStyle w:val="Prrafodelista"/>
        <w:ind w:left="0"/>
        <w:rPr>
          <w:b/>
          <w:sz w:val="20"/>
          <w:szCs w:val="20"/>
        </w:rPr>
      </w:pPr>
    </w:p>
    <w:p w14:paraId="53C8174F"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On September 26, 2013, a council member of the District of Bogota denounced the alleged victim before the Inspector General of the Nation asserting that he had exceeded his powers by issuing Decree 364. Later, the Regional Chamber of Construction of Bogota D.C. joined the complaint.</w:t>
      </w:r>
      <w:r w:rsidRPr="009B3BD2">
        <w:rPr>
          <w:rStyle w:val="Refdenotaalpie"/>
          <w:rFonts w:asciiTheme="majorHAnsi" w:hAnsiTheme="majorHAnsi"/>
          <w:sz w:val="20"/>
          <w:szCs w:val="20"/>
          <w:lang w:val="es-CO"/>
        </w:rPr>
        <w:footnoteReference w:id="56"/>
      </w:r>
      <w:r>
        <w:rPr>
          <w:rFonts w:ascii="Cambria" w:hAnsi="Cambria"/>
          <w:sz w:val="20"/>
          <w:szCs w:val="20"/>
          <w:lang w:val="en-US"/>
        </w:rPr>
        <w:t xml:space="preserve"> </w:t>
      </w:r>
    </w:p>
    <w:p w14:paraId="3E3308B1"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09" w:firstLine="0"/>
        <w:rPr>
          <w:rFonts w:ascii="Cambria" w:hAnsi="Cambria"/>
          <w:sz w:val="20"/>
          <w:szCs w:val="20"/>
          <w:lang w:val="en-US"/>
        </w:rPr>
      </w:pPr>
    </w:p>
    <w:p w14:paraId="46E143B8" w14:textId="77777777" w:rsidR="00A84770" w:rsidRPr="002E111A"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b/>
          <w:sz w:val="20"/>
          <w:szCs w:val="20"/>
          <w:lang w:val="en-US"/>
        </w:rPr>
      </w:pPr>
      <w:r>
        <w:rPr>
          <w:rFonts w:ascii="Cambria" w:hAnsi="Cambria"/>
          <w:sz w:val="20"/>
          <w:szCs w:val="20"/>
          <w:lang w:val="en-US"/>
        </w:rPr>
        <w:t xml:space="preserve">Based on this, </w:t>
      </w:r>
      <w:r w:rsidRPr="002E111A">
        <w:rPr>
          <w:rFonts w:ascii="Cambria" w:hAnsi="Cambria"/>
          <w:sz w:val="20"/>
          <w:szCs w:val="20"/>
          <w:lang w:val="en-US"/>
        </w:rPr>
        <w:t xml:space="preserve">the Office of the </w:t>
      </w:r>
      <w:r>
        <w:rPr>
          <w:rFonts w:ascii="Cambria" w:hAnsi="Cambria"/>
          <w:sz w:val="20"/>
          <w:szCs w:val="20"/>
          <w:lang w:val="en-US"/>
        </w:rPr>
        <w:t>Inspector</w:t>
      </w:r>
      <w:r w:rsidRPr="002E111A">
        <w:rPr>
          <w:rFonts w:ascii="Cambria" w:hAnsi="Cambria"/>
          <w:sz w:val="20"/>
          <w:szCs w:val="20"/>
          <w:lang w:val="en-US"/>
        </w:rPr>
        <w:t xml:space="preserve"> General of the Nation </w:t>
      </w:r>
      <w:r>
        <w:rPr>
          <w:rFonts w:ascii="Cambria" w:hAnsi="Cambria"/>
          <w:sz w:val="20"/>
          <w:szCs w:val="20"/>
          <w:lang w:val="en-US"/>
        </w:rPr>
        <w:t>initiated a disciplinary proceeding against the alleged victim for irregularities committed during the issuance of the Decree on the Guidelines of Territorial Planning.</w:t>
      </w:r>
      <w:r w:rsidRPr="00992915">
        <w:rPr>
          <w:rStyle w:val="Refdenotaalpie"/>
          <w:rFonts w:asciiTheme="majorHAnsi" w:hAnsiTheme="majorHAnsi"/>
          <w:sz w:val="20"/>
          <w:szCs w:val="20"/>
          <w:lang w:val="en-US"/>
        </w:rPr>
        <w:t xml:space="preserve"> </w:t>
      </w:r>
      <w:r w:rsidRPr="009B3BD2">
        <w:rPr>
          <w:rStyle w:val="Refdenotaalpie"/>
          <w:rFonts w:asciiTheme="majorHAnsi" w:hAnsiTheme="majorHAnsi"/>
          <w:sz w:val="20"/>
          <w:szCs w:val="20"/>
          <w:lang w:val="es-CO"/>
        </w:rPr>
        <w:footnoteReference w:id="57"/>
      </w:r>
      <w:r>
        <w:rPr>
          <w:rFonts w:ascii="Cambria" w:hAnsi="Cambria"/>
          <w:sz w:val="20"/>
          <w:szCs w:val="20"/>
          <w:lang w:val="en-US"/>
        </w:rPr>
        <w:t xml:space="preserve"> </w:t>
      </w:r>
    </w:p>
    <w:p w14:paraId="4AEFC661"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rPr>
          <w:b/>
          <w:sz w:val="20"/>
          <w:szCs w:val="20"/>
          <w:lang w:val="en-US"/>
        </w:rPr>
      </w:pPr>
    </w:p>
    <w:p w14:paraId="6B9A5D97" w14:textId="77777777" w:rsidR="00A84770" w:rsidRPr="00B575CC"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b/>
          <w:sz w:val="20"/>
          <w:szCs w:val="20"/>
          <w:lang w:val="en-US"/>
        </w:rPr>
      </w:pPr>
      <w:r>
        <w:rPr>
          <w:rFonts w:ascii="Cambria" w:hAnsi="Cambria"/>
          <w:sz w:val="20"/>
          <w:szCs w:val="20"/>
          <w:lang w:val="en-US"/>
        </w:rPr>
        <w:t xml:space="preserve">On August 10, 2015, the Office of the Inspector General of the Nation laid charges against the alleged victim because “he failed to comply with constitutional, legal, and regulatory norms imposing an obligation to comply with the decision of the District Council,” which denied his </w:t>
      </w:r>
      <w:r w:rsidRPr="004003FA">
        <w:rPr>
          <w:rFonts w:ascii="Cambria" w:hAnsi="Cambria"/>
          <w:sz w:val="20"/>
          <w:szCs w:val="20"/>
          <w:lang w:val="en-US"/>
        </w:rPr>
        <w:t>project</w:t>
      </w:r>
      <w:r>
        <w:rPr>
          <w:rFonts w:ascii="Cambria" w:hAnsi="Cambria"/>
          <w:sz w:val="20"/>
          <w:szCs w:val="20"/>
          <w:lang w:val="en-US"/>
        </w:rPr>
        <w:t>.</w:t>
      </w:r>
      <w:r w:rsidRPr="009B3BD2">
        <w:rPr>
          <w:rStyle w:val="Refdenotaalpie"/>
          <w:rFonts w:asciiTheme="majorHAnsi" w:hAnsiTheme="majorHAnsi"/>
          <w:sz w:val="20"/>
          <w:szCs w:val="20"/>
          <w:lang w:val="es-CO"/>
        </w:rPr>
        <w:footnoteReference w:id="58"/>
      </w:r>
      <w:r>
        <w:rPr>
          <w:rFonts w:ascii="Cambria" w:hAnsi="Cambria"/>
          <w:sz w:val="20"/>
          <w:szCs w:val="20"/>
          <w:lang w:val="en-US"/>
        </w:rPr>
        <w:t xml:space="preserve"> Nevertheless, he </w:t>
      </w:r>
      <w:r>
        <w:rPr>
          <w:rFonts w:ascii="Cambria" w:hAnsi="Cambria"/>
          <w:sz w:val="20"/>
          <w:szCs w:val="20"/>
          <w:lang w:val="en-US"/>
        </w:rPr>
        <w:lastRenderedPageBreak/>
        <w:t>“decided to voluntarily issue Decree 364 […].”</w:t>
      </w:r>
      <w:r w:rsidRPr="009B3BD2">
        <w:rPr>
          <w:rStyle w:val="Refdenotaalpie"/>
          <w:rFonts w:asciiTheme="majorHAnsi" w:hAnsiTheme="majorHAnsi"/>
          <w:sz w:val="20"/>
          <w:szCs w:val="20"/>
          <w:lang w:val="es-CO"/>
        </w:rPr>
        <w:footnoteReference w:id="59"/>
      </w:r>
      <w:r>
        <w:rPr>
          <w:rFonts w:ascii="Cambria" w:hAnsi="Cambria"/>
          <w:sz w:val="20"/>
          <w:szCs w:val="20"/>
          <w:lang w:val="en-US"/>
        </w:rPr>
        <w:t xml:space="preserve"> The charges were determined the conduct of the alleged victim to be a very serious offense </w:t>
      </w:r>
      <w:r w:rsidRPr="009B331B">
        <w:rPr>
          <w:rFonts w:ascii="Cambria" w:hAnsi="Cambria"/>
          <w:sz w:val="20"/>
          <w:szCs w:val="20"/>
          <w:lang w:val="en-US"/>
        </w:rPr>
        <w:t>for the degree of culpability</w:t>
      </w:r>
      <w:r>
        <w:rPr>
          <w:rFonts w:ascii="Cambria" w:hAnsi="Cambria"/>
          <w:sz w:val="20"/>
          <w:szCs w:val="20"/>
          <w:lang w:val="en-US"/>
        </w:rPr>
        <w:t>, as he was the Mayor of Bogota and because they were of social importance given that “the use of land is an issue that affects “the general conglomerate.””</w:t>
      </w:r>
      <w:r w:rsidRPr="00992915">
        <w:rPr>
          <w:rStyle w:val="Refdenotaalpie"/>
          <w:rFonts w:asciiTheme="majorHAnsi" w:hAnsiTheme="majorHAnsi"/>
          <w:sz w:val="20"/>
          <w:szCs w:val="20"/>
          <w:lang w:val="en-US"/>
        </w:rPr>
        <w:t xml:space="preserve"> </w:t>
      </w:r>
      <w:r w:rsidRPr="009B3BD2">
        <w:rPr>
          <w:rStyle w:val="Refdenotaalpie"/>
          <w:rFonts w:asciiTheme="majorHAnsi" w:hAnsiTheme="majorHAnsi"/>
          <w:sz w:val="20"/>
          <w:szCs w:val="20"/>
          <w:lang w:val="es-CO"/>
        </w:rPr>
        <w:footnoteReference w:id="60"/>
      </w:r>
      <w:r>
        <w:rPr>
          <w:rFonts w:ascii="Cambria" w:hAnsi="Cambria"/>
          <w:sz w:val="20"/>
          <w:szCs w:val="20"/>
          <w:lang w:val="en-US"/>
        </w:rPr>
        <w:t xml:space="preserve"> </w:t>
      </w:r>
    </w:p>
    <w:p w14:paraId="1C054858"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b/>
          <w:sz w:val="20"/>
          <w:szCs w:val="20"/>
          <w:lang w:val="en-US"/>
        </w:rPr>
      </w:pPr>
    </w:p>
    <w:p w14:paraId="11B50D65" w14:textId="77777777" w:rsidR="00A84770" w:rsidRPr="004A2501"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b/>
          <w:sz w:val="20"/>
          <w:szCs w:val="20"/>
          <w:lang w:val="en-US"/>
        </w:rPr>
      </w:pPr>
      <w:r>
        <w:rPr>
          <w:rFonts w:ascii="Cambria" w:hAnsi="Cambria"/>
          <w:sz w:val="20"/>
          <w:szCs w:val="20"/>
          <w:lang w:val="en-US"/>
        </w:rPr>
        <w:t xml:space="preserve">In the context of the proceedings, the alleged victim filed a series of requests for </w:t>
      </w:r>
      <w:r w:rsidRPr="0083657B">
        <w:rPr>
          <w:rFonts w:ascii="Cambria" w:hAnsi="Cambria"/>
          <w:sz w:val="20"/>
          <w:szCs w:val="20"/>
          <w:lang w:val="en-US"/>
        </w:rPr>
        <w:t>dismissal</w:t>
      </w:r>
      <w:r>
        <w:rPr>
          <w:rFonts w:ascii="Cambria" w:hAnsi="Cambria"/>
          <w:sz w:val="20"/>
          <w:szCs w:val="20"/>
          <w:lang w:val="en-US"/>
        </w:rPr>
        <w:t xml:space="preserve">. He particularly stated that he had the power to issue Decree 364 pursuant to Article 12 of Law 810 of 2003, because on June 7, 2013, the Project of </w:t>
      </w:r>
      <w:r w:rsidRPr="004827EE">
        <w:rPr>
          <w:rFonts w:ascii="Cambria" w:hAnsi="Cambria"/>
          <w:sz w:val="20"/>
          <w:szCs w:val="20"/>
          <w:lang w:val="en-US"/>
        </w:rPr>
        <w:t>Agreement 118</w:t>
      </w:r>
      <w:r>
        <w:rPr>
          <w:rFonts w:ascii="Cambria" w:hAnsi="Cambria"/>
          <w:sz w:val="20"/>
          <w:szCs w:val="20"/>
          <w:lang w:val="en-US"/>
        </w:rPr>
        <w:t>, which had proposed modifications to territorial planning, was “not approved.” He stated that the natural and obvious meaning must be given to the words “not approved” in Article 12 of Law 810 of 2003, i.e. it must mean “not agreeing with the project.”</w:t>
      </w:r>
      <w:r w:rsidRPr="004F24EB">
        <w:rPr>
          <w:rStyle w:val="Refdenotaalpie"/>
          <w:rFonts w:asciiTheme="majorHAnsi" w:hAnsiTheme="majorHAnsi"/>
          <w:sz w:val="20"/>
          <w:szCs w:val="20"/>
          <w:lang w:val="en-US"/>
        </w:rPr>
        <w:t xml:space="preserve"> </w:t>
      </w:r>
      <w:r w:rsidRPr="009B3BD2">
        <w:rPr>
          <w:rStyle w:val="Refdenotaalpie"/>
          <w:rFonts w:asciiTheme="majorHAnsi" w:hAnsiTheme="majorHAnsi"/>
          <w:sz w:val="20"/>
          <w:szCs w:val="20"/>
          <w:lang w:val="es-CO"/>
        </w:rPr>
        <w:footnoteReference w:id="61"/>
      </w:r>
      <w:r>
        <w:rPr>
          <w:rFonts w:ascii="Cambria" w:hAnsi="Cambria"/>
          <w:sz w:val="20"/>
          <w:szCs w:val="20"/>
          <w:lang w:val="en-US"/>
        </w:rPr>
        <w:t xml:space="preserve"> Likewise, he argued that there is no typical conduct, and that even though such classification is open in the disciplinary field, the existence of a disciplinary offense must be unequivocally stated, which had not occurred in this case, </w:t>
      </w:r>
      <w:r w:rsidRPr="004A2501">
        <w:rPr>
          <w:rFonts w:ascii="Cambria" w:hAnsi="Cambria"/>
          <w:sz w:val="20"/>
          <w:szCs w:val="20"/>
          <w:lang w:val="en-US"/>
        </w:rPr>
        <w:t>where there are other legal and reasonable interpretations of the norms invoked.</w:t>
      </w:r>
      <w:r w:rsidRPr="004A2501">
        <w:rPr>
          <w:rStyle w:val="Refdenotaalpie"/>
          <w:rFonts w:ascii="Cambria" w:hAnsi="Cambria"/>
          <w:sz w:val="20"/>
          <w:szCs w:val="20"/>
          <w:lang w:val="es-CO"/>
        </w:rPr>
        <w:footnoteReference w:id="62"/>
      </w:r>
      <w:r w:rsidRPr="004A2501">
        <w:rPr>
          <w:rFonts w:ascii="Cambria" w:hAnsi="Cambria"/>
          <w:sz w:val="20"/>
          <w:szCs w:val="20"/>
          <w:lang w:val="en-US"/>
        </w:rPr>
        <w:t xml:space="preserve"> </w:t>
      </w:r>
    </w:p>
    <w:p w14:paraId="69CFA2B9" w14:textId="77777777" w:rsidR="00A84770" w:rsidRPr="004A2501"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b/>
          <w:sz w:val="20"/>
          <w:szCs w:val="20"/>
          <w:lang w:val="en-US"/>
        </w:rPr>
      </w:pPr>
    </w:p>
    <w:p w14:paraId="5DA2748A" w14:textId="77777777" w:rsidR="00A84770" w:rsidRPr="004A2501" w:rsidRDefault="00A84770" w:rsidP="000829C4">
      <w:pPr>
        <w:pStyle w:val="Ttulo3"/>
        <w:numPr>
          <w:ilvl w:val="0"/>
          <w:numId w:val="67"/>
        </w:numPr>
        <w:tabs>
          <w:tab w:val="clear" w:pos="1800"/>
        </w:tabs>
        <w:ind w:left="1418" w:hanging="709"/>
        <w:rPr>
          <w:color w:val="auto"/>
          <w:sz w:val="20"/>
          <w:szCs w:val="20"/>
        </w:rPr>
      </w:pPr>
      <w:bookmarkStart w:id="19" w:name="_Toc496666303"/>
      <w:r w:rsidRPr="004A2501">
        <w:rPr>
          <w:color w:val="auto"/>
          <w:sz w:val="20"/>
          <w:szCs w:val="20"/>
        </w:rPr>
        <w:t>Suspension of Decree 364 by the State Council</w:t>
      </w:r>
      <w:bookmarkEnd w:id="19"/>
      <w:r w:rsidRPr="004A2501">
        <w:rPr>
          <w:color w:val="auto"/>
          <w:sz w:val="20"/>
          <w:szCs w:val="20"/>
        </w:rPr>
        <w:t xml:space="preserve"> </w:t>
      </w:r>
    </w:p>
    <w:p w14:paraId="3C5DAA19" w14:textId="77777777" w:rsidR="00A84770" w:rsidRPr="004A2501"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b/>
          <w:sz w:val="20"/>
          <w:szCs w:val="20"/>
          <w:lang w:val="en-US"/>
        </w:rPr>
      </w:pPr>
    </w:p>
    <w:p w14:paraId="7053645C" w14:textId="77777777" w:rsidR="00A84770" w:rsidRPr="004A2501"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b/>
          <w:sz w:val="20"/>
          <w:szCs w:val="20"/>
          <w:lang w:val="en-US"/>
        </w:rPr>
      </w:pPr>
      <w:r w:rsidRPr="004A2501">
        <w:rPr>
          <w:rFonts w:ascii="Cambria" w:hAnsi="Cambria"/>
          <w:sz w:val="20"/>
          <w:szCs w:val="20"/>
          <w:lang w:val="en-US"/>
        </w:rPr>
        <w:t>On March 27, 2014, the Chamber of the Contentious-Administrative of the State Council decreed th</w:t>
      </w:r>
      <w:r>
        <w:rPr>
          <w:rFonts w:ascii="Cambria" w:hAnsi="Cambria"/>
          <w:sz w:val="20"/>
          <w:szCs w:val="20"/>
          <w:lang w:val="en-US"/>
        </w:rPr>
        <w:t xml:space="preserve">e provisional suspension of </w:t>
      </w:r>
      <w:r w:rsidRPr="004A2501">
        <w:rPr>
          <w:rFonts w:ascii="Cambria" w:hAnsi="Cambria"/>
          <w:sz w:val="20"/>
          <w:szCs w:val="20"/>
          <w:lang w:val="en-US"/>
        </w:rPr>
        <w:t>Decree</w:t>
      </w:r>
      <w:r>
        <w:rPr>
          <w:rFonts w:ascii="Cambria" w:hAnsi="Cambria"/>
          <w:sz w:val="20"/>
          <w:szCs w:val="20"/>
          <w:lang w:val="en-US"/>
        </w:rPr>
        <w:t xml:space="preserve"> 364,</w:t>
      </w:r>
      <w:r w:rsidRPr="004A2501">
        <w:rPr>
          <w:rFonts w:ascii="Cambria" w:hAnsi="Cambria"/>
          <w:sz w:val="20"/>
          <w:szCs w:val="20"/>
          <w:lang w:val="en-US"/>
        </w:rPr>
        <w:t xml:space="preserve"> considering that</w:t>
      </w:r>
      <w:r>
        <w:rPr>
          <w:rFonts w:ascii="Cambria" w:hAnsi="Cambria"/>
          <w:sz w:val="20"/>
          <w:szCs w:val="20"/>
          <w:lang w:val="en-US"/>
        </w:rPr>
        <w:t>, while</w:t>
      </w:r>
      <w:r w:rsidRPr="004A2501">
        <w:rPr>
          <w:rFonts w:ascii="Cambria" w:hAnsi="Cambria"/>
          <w:sz w:val="20"/>
          <w:szCs w:val="20"/>
          <w:lang w:val="en-US"/>
        </w:rPr>
        <w:t xml:space="preserve"> the Mayor has the power to except</w:t>
      </w:r>
      <w:r>
        <w:rPr>
          <w:rFonts w:ascii="Cambria" w:hAnsi="Cambria"/>
          <w:sz w:val="20"/>
          <w:szCs w:val="20"/>
          <w:lang w:val="en-US"/>
        </w:rPr>
        <w:t>ionally modify the Guidelines of</w:t>
      </w:r>
      <w:r w:rsidRPr="004A2501">
        <w:rPr>
          <w:rFonts w:ascii="Cambria" w:hAnsi="Cambria"/>
          <w:sz w:val="20"/>
          <w:szCs w:val="20"/>
          <w:lang w:val="en-US"/>
        </w:rPr>
        <w:t xml:space="preserve"> Territorial Planning, “this is only possible when the Council does not adopt any decision on the Agreement Project for revision, in the sense of approving or rejecting it in a timeframe of 90 calendar d</w:t>
      </w:r>
      <w:r>
        <w:rPr>
          <w:rFonts w:ascii="Cambria" w:hAnsi="Cambria"/>
          <w:sz w:val="20"/>
          <w:szCs w:val="20"/>
          <w:lang w:val="en-US"/>
        </w:rPr>
        <w:t>ays, which did not happen</w:t>
      </w:r>
      <w:r w:rsidRPr="004A2501">
        <w:rPr>
          <w:rFonts w:ascii="Cambria" w:hAnsi="Cambria"/>
          <w:sz w:val="20"/>
          <w:szCs w:val="20"/>
          <w:lang w:val="en-US"/>
        </w:rPr>
        <w:t xml:space="preserve"> </w:t>
      </w:r>
      <w:r w:rsidRPr="004A2501">
        <w:rPr>
          <w:rFonts w:ascii="Cambria" w:hAnsi="Cambria"/>
          <w:i/>
          <w:sz w:val="20"/>
          <w:szCs w:val="20"/>
          <w:lang w:val="en-US"/>
        </w:rPr>
        <w:t>sub lite,</w:t>
      </w:r>
      <w:r>
        <w:rPr>
          <w:rFonts w:ascii="Cambria" w:hAnsi="Cambria"/>
          <w:sz w:val="20"/>
          <w:szCs w:val="20"/>
          <w:lang w:val="en-US"/>
        </w:rPr>
        <w:t xml:space="preserve"> because, as</w:t>
      </w:r>
      <w:r w:rsidRPr="004A2501">
        <w:rPr>
          <w:rFonts w:ascii="Cambria" w:hAnsi="Cambria"/>
          <w:sz w:val="20"/>
          <w:szCs w:val="20"/>
          <w:lang w:val="en-US"/>
        </w:rPr>
        <w:t xml:space="preserve"> seen, the </w:t>
      </w:r>
      <w:proofErr w:type="spellStart"/>
      <w:r w:rsidRPr="004A2501">
        <w:rPr>
          <w:rFonts w:ascii="Cambria" w:hAnsi="Cambria"/>
          <w:sz w:val="20"/>
          <w:szCs w:val="20"/>
          <w:lang w:val="en-US"/>
        </w:rPr>
        <w:t>Edilicea</w:t>
      </w:r>
      <w:proofErr w:type="spellEnd"/>
      <w:r w:rsidRPr="004A2501">
        <w:rPr>
          <w:rFonts w:ascii="Cambria" w:hAnsi="Cambria"/>
          <w:sz w:val="20"/>
          <w:szCs w:val="20"/>
          <w:lang w:val="en-US"/>
        </w:rPr>
        <w:t xml:space="preserve"> Corporation of Bogota decided </w:t>
      </w:r>
      <w:r>
        <w:rPr>
          <w:rFonts w:ascii="Cambria" w:hAnsi="Cambria"/>
          <w:sz w:val="20"/>
          <w:szCs w:val="20"/>
          <w:lang w:val="en-US"/>
        </w:rPr>
        <w:t xml:space="preserve">against </w:t>
      </w:r>
      <w:r w:rsidRPr="004A2501">
        <w:rPr>
          <w:rFonts w:ascii="Cambria" w:hAnsi="Cambria"/>
          <w:sz w:val="20"/>
          <w:szCs w:val="20"/>
          <w:lang w:val="en-US"/>
        </w:rPr>
        <w:t xml:space="preserve">Agreement Project 118 of 2013, </w:t>
      </w:r>
      <w:r>
        <w:rPr>
          <w:rFonts w:ascii="Cambria" w:hAnsi="Cambria"/>
          <w:sz w:val="20"/>
          <w:szCs w:val="20"/>
          <w:lang w:val="en-US"/>
        </w:rPr>
        <w:t xml:space="preserve">and, </w:t>
      </w:r>
      <w:r w:rsidRPr="004A2501">
        <w:rPr>
          <w:rFonts w:ascii="Cambria" w:hAnsi="Cambria"/>
          <w:sz w:val="20"/>
          <w:szCs w:val="20"/>
          <w:lang w:val="en-US"/>
        </w:rPr>
        <w:t xml:space="preserve">thus, the Mayor could not adopt it via </w:t>
      </w:r>
      <w:r>
        <w:rPr>
          <w:rFonts w:ascii="Cambria" w:hAnsi="Cambria"/>
          <w:sz w:val="20"/>
          <w:szCs w:val="20"/>
          <w:lang w:val="en-US"/>
        </w:rPr>
        <w:t xml:space="preserve">a </w:t>
      </w:r>
      <w:r w:rsidRPr="004A2501">
        <w:rPr>
          <w:rFonts w:ascii="Cambria" w:hAnsi="Cambria"/>
          <w:sz w:val="20"/>
          <w:szCs w:val="20"/>
          <w:lang w:val="en-US"/>
        </w:rPr>
        <w:t>Decree.”</w:t>
      </w:r>
      <w:r w:rsidRPr="004A2501">
        <w:rPr>
          <w:rStyle w:val="Refdenotaalpie"/>
          <w:rFonts w:ascii="Cambria" w:hAnsi="Cambria"/>
          <w:sz w:val="20"/>
          <w:szCs w:val="20"/>
          <w:lang w:val="en-US"/>
        </w:rPr>
        <w:t xml:space="preserve"> </w:t>
      </w:r>
      <w:r w:rsidRPr="004A2501">
        <w:rPr>
          <w:rStyle w:val="Refdenotaalpie"/>
          <w:rFonts w:ascii="Cambria" w:hAnsi="Cambria"/>
          <w:sz w:val="20"/>
          <w:szCs w:val="20"/>
          <w:lang w:val="es-CO"/>
        </w:rPr>
        <w:footnoteReference w:id="63"/>
      </w:r>
    </w:p>
    <w:p w14:paraId="4A3E111C" w14:textId="77777777" w:rsidR="00A84770" w:rsidRDefault="00A84770" w:rsidP="00A84770">
      <w:pPr>
        <w:pStyle w:val="Prrafodelista"/>
        <w:ind w:left="0"/>
        <w:rPr>
          <w:b/>
          <w:sz w:val="20"/>
          <w:szCs w:val="20"/>
        </w:rPr>
      </w:pPr>
    </w:p>
    <w:p w14:paraId="4A234A65" w14:textId="77777777" w:rsidR="00A84770" w:rsidRPr="00551AE3" w:rsidRDefault="00A84770" w:rsidP="000829C4">
      <w:pPr>
        <w:pStyle w:val="Ttulo3"/>
        <w:numPr>
          <w:ilvl w:val="0"/>
          <w:numId w:val="67"/>
        </w:numPr>
        <w:tabs>
          <w:tab w:val="clear" w:pos="1800"/>
        </w:tabs>
        <w:ind w:left="1418" w:hanging="709"/>
        <w:rPr>
          <w:color w:val="auto"/>
          <w:sz w:val="20"/>
          <w:szCs w:val="20"/>
        </w:rPr>
      </w:pPr>
      <w:bookmarkStart w:id="20" w:name="_Toc496666304"/>
      <w:r w:rsidRPr="00551AE3">
        <w:rPr>
          <w:color w:val="auto"/>
          <w:sz w:val="20"/>
          <w:szCs w:val="20"/>
        </w:rPr>
        <w:t>Sanctioning decision of sole instance</w:t>
      </w:r>
      <w:bookmarkEnd w:id="20"/>
    </w:p>
    <w:p w14:paraId="46E9DBC2" w14:textId="77777777" w:rsidR="00A84770" w:rsidRDefault="00A84770" w:rsidP="00A84770">
      <w:pPr>
        <w:pStyle w:val="Prrafodelista"/>
        <w:ind w:left="0"/>
        <w:rPr>
          <w:b/>
          <w:sz w:val="20"/>
          <w:szCs w:val="20"/>
        </w:rPr>
      </w:pPr>
    </w:p>
    <w:p w14:paraId="14A07DDE"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 xml:space="preserve">On June 27, 2016, the Inspector General of the Nation declared that “the stages within the disciplinary process” had been exhausted and issued a </w:t>
      </w:r>
      <w:r w:rsidRPr="00446F34">
        <w:rPr>
          <w:rFonts w:ascii="Cambria" w:hAnsi="Cambria"/>
          <w:sz w:val="20"/>
          <w:szCs w:val="20"/>
          <w:lang w:val="en-US"/>
        </w:rPr>
        <w:t>decision</w:t>
      </w:r>
      <w:r>
        <w:rPr>
          <w:rFonts w:ascii="Cambria" w:hAnsi="Cambria"/>
          <w:sz w:val="20"/>
          <w:szCs w:val="20"/>
          <w:lang w:val="en-US"/>
        </w:rPr>
        <w:t xml:space="preserve"> of sole instance deciding “TO SANCTION Mr. GUSTAVO FRANCISCO PETRO URREGO (…) for the serious offense, with malice, to TWELVE MONTHS OF SUSPENSION AND SPECIAL DISQUALITIFICATION for the same period, in accordance with the considerations of this office.” Likewise, he decided “</w:t>
      </w:r>
      <w:r w:rsidRPr="00286A53">
        <w:rPr>
          <w:rFonts w:ascii="Cambria" w:hAnsi="Cambria"/>
          <w:sz w:val="20"/>
          <w:szCs w:val="20"/>
          <w:lang w:val="en-US"/>
        </w:rPr>
        <w:t>NOT TO RE-INSTATE</w:t>
      </w:r>
      <w:r>
        <w:rPr>
          <w:rFonts w:ascii="Cambria" w:hAnsi="Cambria"/>
          <w:sz w:val="20"/>
          <w:szCs w:val="20"/>
          <w:lang w:val="en-US"/>
        </w:rPr>
        <w:t xml:space="preserve"> the decision of March 30, 2016, which resolved a request for nullification by the </w:t>
      </w:r>
      <w:r w:rsidRPr="00286A53">
        <w:rPr>
          <w:rFonts w:ascii="Cambria" w:hAnsi="Cambria"/>
          <w:sz w:val="20"/>
          <w:szCs w:val="20"/>
          <w:lang w:val="en-US"/>
        </w:rPr>
        <w:t>representative of the disciplined</w:t>
      </w:r>
      <w:r>
        <w:rPr>
          <w:rFonts w:ascii="Cambria" w:hAnsi="Cambria"/>
          <w:sz w:val="20"/>
          <w:szCs w:val="20"/>
          <w:lang w:val="en-US"/>
        </w:rPr>
        <w:t>, warning that administrative recourses cannot proceed against this decision.”</w:t>
      </w:r>
      <w:r w:rsidRPr="0054721C">
        <w:rPr>
          <w:rStyle w:val="Refdenotaalpie"/>
          <w:rFonts w:asciiTheme="majorHAnsi" w:hAnsiTheme="majorHAnsi"/>
          <w:sz w:val="20"/>
          <w:szCs w:val="20"/>
          <w:lang w:val="en-US"/>
        </w:rPr>
        <w:t xml:space="preserve"> </w:t>
      </w:r>
      <w:r w:rsidRPr="009B3BD2">
        <w:rPr>
          <w:rStyle w:val="Refdenotaalpie"/>
          <w:rFonts w:asciiTheme="majorHAnsi" w:hAnsiTheme="majorHAnsi"/>
          <w:sz w:val="20"/>
          <w:szCs w:val="20"/>
          <w:lang w:val="es-CO"/>
        </w:rPr>
        <w:footnoteReference w:id="64"/>
      </w:r>
    </w:p>
    <w:p w14:paraId="6C095FB3"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09" w:firstLine="0"/>
        <w:jc w:val="both"/>
        <w:rPr>
          <w:rFonts w:ascii="Cambria" w:hAnsi="Cambria"/>
          <w:sz w:val="20"/>
          <w:szCs w:val="20"/>
          <w:lang w:val="en-US"/>
        </w:rPr>
      </w:pPr>
    </w:p>
    <w:p w14:paraId="3EA93CC1"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On the other hand, the Inspector General qualified the offense as serious, taking into consideration “</w:t>
      </w:r>
      <w:r w:rsidRPr="00765AC4">
        <w:rPr>
          <w:rFonts w:ascii="Cambria" w:hAnsi="Cambria"/>
          <w:sz w:val="20"/>
          <w:szCs w:val="20"/>
          <w:lang w:val="en-US"/>
        </w:rPr>
        <w:t>the level of culpability</w:t>
      </w:r>
      <w:r>
        <w:rPr>
          <w:rFonts w:ascii="Cambria" w:hAnsi="Cambria"/>
          <w:sz w:val="20"/>
          <w:szCs w:val="20"/>
          <w:lang w:val="en-US"/>
        </w:rPr>
        <w:t>,” and “the hierarchy and the position of the public servant,” as the District Mayor of Bogota, “which must generate in the administration an example of the compliance with the constitutional, legal, and regulatory provisions comprising the legal system,” as well as “the social transcendence of the offense,” referencing with respect to the latter “land use […] that affects the collective in a general way.”</w:t>
      </w:r>
      <w:r w:rsidRPr="004F24EB">
        <w:rPr>
          <w:rStyle w:val="Refdenotaalpie"/>
          <w:rFonts w:asciiTheme="majorHAnsi" w:hAnsiTheme="majorHAnsi"/>
          <w:sz w:val="20"/>
          <w:szCs w:val="20"/>
          <w:lang w:val="en-US"/>
        </w:rPr>
        <w:t xml:space="preserve"> </w:t>
      </w:r>
      <w:r w:rsidRPr="009B3BD2">
        <w:rPr>
          <w:rStyle w:val="Refdenotaalpie"/>
          <w:rFonts w:asciiTheme="majorHAnsi" w:hAnsiTheme="majorHAnsi"/>
          <w:sz w:val="20"/>
          <w:szCs w:val="20"/>
          <w:lang w:val="es-CO"/>
        </w:rPr>
        <w:footnoteReference w:id="65"/>
      </w:r>
      <w:r>
        <w:rPr>
          <w:rFonts w:ascii="Cambria" w:hAnsi="Cambria"/>
          <w:sz w:val="20"/>
          <w:szCs w:val="20"/>
          <w:lang w:val="en-US"/>
        </w:rPr>
        <w:t xml:space="preserve"> Thus, it decided to impose the sanction of twelve months of suspension from the position and </w:t>
      </w:r>
      <w:r>
        <w:rPr>
          <w:rFonts w:ascii="Cambria" w:hAnsi="Cambria"/>
          <w:sz w:val="20"/>
          <w:szCs w:val="20"/>
          <w:lang w:val="en-US"/>
        </w:rPr>
        <w:lastRenderedPageBreak/>
        <w:t>general disqualification for the same period “in accordance with the grading criteria contained in Article 47 of Law 734 of 2002” and taking into consideration the previous elements “that make part of the consideration of proportionality and reasonableness, taking as reference a minimum and maximum term to impose the sanction, under the terms of Article 46 of Law 734 of 2002, which prevents it from being less than 30 days and not more than 12 months.”</w:t>
      </w:r>
      <w:r w:rsidRPr="009B3BD2">
        <w:rPr>
          <w:rStyle w:val="Refdenotaalpie"/>
          <w:rFonts w:asciiTheme="majorHAnsi" w:hAnsiTheme="majorHAnsi"/>
          <w:sz w:val="20"/>
          <w:szCs w:val="20"/>
          <w:lang w:val="es-CO"/>
        </w:rPr>
        <w:footnoteReference w:id="66"/>
      </w:r>
      <w:r>
        <w:rPr>
          <w:rFonts w:ascii="Cambria" w:hAnsi="Cambria"/>
          <w:sz w:val="20"/>
          <w:szCs w:val="20"/>
          <w:lang w:val="en-US"/>
        </w:rPr>
        <w:t xml:space="preserve"> </w:t>
      </w:r>
    </w:p>
    <w:p w14:paraId="7D8C9326" w14:textId="77777777" w:rsidR="00A84770" w:rsidRPr="00AC5C27"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14F60D3F" w14:textId="77777777" w:rsidR="00A84770" w:rsidRPr="00551AE3" w:rsidRDefault="00A84770" w:rsidP="000829C4">
      <w:pPr>
        <w:pStyle w:val="Ttulo3"/>
        <w:numPr>
          <w:ilvl w:val="0"/>
          <w:numId w:val="67"/>
        </w:numPr>
        <w:tabs>
          <w:tab w:val="clear" w:pos="1800"/>
        </w:tabs>
        <w:ind w:left="1418" w:hanging="709"/>
        <w:rPr>
          <w:color w:val="auto"/>
          <w:sz w:val="20"/>
          <w:szCs w:val="20"/>
        </w:rPr>
      </w:pPr>
      <w:bookmarkStart w:id="21" w:name="_Toc496666305"/>
      <w:r w:rsidRPr="00551AE3">
        <w:rPr>
          <w:color w:val="auto"/>
          <w:sz w:val="20"/>
          <w:szCs w:val="20"/>
        </w:rPr>
        <w:t>Adoption of Law 1864 of 2017</w:t>
      </w:r>
      <w:bookmarkEnd w:id="21"/>
    </w:p>
    <w:p w14:paraId="3E66E7DA"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rPr>
          <w:rFonts w:ascii="Cambria" w:hAnsi="Cambria"/>
          <w:sz w:val="20"/>
          <w:szCs w:val="20"/>
          <w:lang w:val="en-US"/>
        </w:rPr>
      </w:pPr>
    </w:p>
    <w:p w14:paraId="0CD9785B"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On August 17, the Congress of Colombia adopted Law 1864 that provides in article 5, the following:</w:t>
      </w:r>
    </w:p>
    <w:p w14:paraId="0DEAEC97"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09" w:firstLine="0"/>
        <w:jc w:val="both"/>
        <w:rPr>
          <w:rFonts w:ascii="Cambria" w:hAnsi="Cambria"/>
          <w:sz w:val="20"/>
          <w:szCs w:val="20"/>
          <w:lang w:val="en-US"/>
        </w:rPr>
      </w:pPr>
    </w:p>
    <w:p w14:paraId="088312CF"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09" w:right="803" w:firstLine="0"/>
        <w:jc w:val="both"/>
        <w:rPr>
          <w:rFonts w:ascii="Cambria" w:hAnsi="Cambria"/>
          <w:sz w:val="20"/>
          <w:szCs w:val="20"/>
          <w:lang w:val="en-US"/>
        </w:rPr>
      </w:pPr>
      <w:r>
        <w:rPr>
          <w:rFonts w:ascii="Cambria" w:hAnsi="Cambria"/>
          <w:sz w:val="20"/>
          <w:szCs w:val="20"/>
          <w:lang w:val="en-US"/>
        </w:rPr>
        <w:t>Article 389 A. Illicit election of candidates. He/she who is elected for a position by popular vote while being disqualified from performing that position by a judicial, disciplinary, or fiscal decision shall be punishable by imprisonment for four (4) to nine (9) years and a fine from two hundred (200) to eight hundred (800) minimum legal salaries in force.</w:t>
      </w:r>
      <w:r w:rsidRPr="009B3BD2">
        <w:rPr>
          <w:rStyle w:val="Refdenotaalpie"/>
          <w:rFonts w:ascii="Cambria" w:hAnsi="Cambria"/>
          <w:sz w:val="20"/>
          <w:szCs w:val="20"/>
          <w:lang w:val="es-CO"/>
        </w:rPr>
        <w:footnoteReference w:id="67"/>
      </w:r>
      <w:r>
        <w:rPr>
          <w:rFonts w:ascii="Cambria" w:hAnsi="Cambria"/>
          <w:sz w:val="20"/>
          <w:szCs w:val="20"/>
          <w:lang w:val="en-US"/>
        </w:rPr>
        <w:t xml:space="preserve"> </w:t>
      </w:r>
    </w:p>
    <w:p w14:paraId="27753A49"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09" w:firstLine="0"/>
        <w:jc w:val="both"/>
        <w:rPr>
          <w:rFonts w:ascii="Cambria" w:hAnsi="Cambria"/>
          <w:sz w:val="20"/>
          <w:szCs w:val="20"/>
          <w:lang w:val="en-US"/>
        </w:rPr>
      </w:pPr>
    </w:p>
    <w:p w14:paraId="5749C701"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 xml:space="preserve">The Commission highlights that throughout the two disciplinary proceedings that imposed disqualifications, the alleged victim argued that the Inspector General of the Nation did not have the power to disqualify popularly elected officials, in accordance with Article 23 of the American Convention. Nonetheless, his arguments were dismissed, on the basis that the Constitutional Court has previously ruled that the power to disqualify was constitutional, taking into account national and international standards. </w:t>
      </w:r>
    </w:p>
    <w:p w14:paraId="44644BF4"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09" w:firstLine="0"/>
        <w:jc w:val="both"/>
        <w:rPr>
          <w:rFonts w:ascii="Cambria" w:hAnsi="Cambria"/>
          <w:sz w:val="20"/>
          <w:szCs w:val="20"/>
          <w:lang w:val="en-US"/>
        </w:rPr>
      </w:pPr>
    </w:p>
    <w:p w14:paraId="56C29A45" w14:textId="77777777" w:rsidR="00A84770" w:rsidRPr="00663FD9" w:rsidRDefault="00A84770" w:rsidP="00A84770">
      <w:pPr>
        <w:pStyle w:val="Ttulo2"/>
        <w:numPr>
          <w:ilvl w:val="0"/>
          <w:numId w:val="60"/>
        </w:numPr>
        <w:ind w:left="1418" w:hanging="709"/>
        <w:rPr>
          <w:rFonts w:cs="Arial"/>
          <w:bCs/>
          <w:iCs/>
          <w:lang w:val="en-US"/>
        </w:rPr>
      </w:pPr>
      <w:bookmarkStart w:id="22" w:name="_Toc496666306"/>
      <w:r>
        <w:rPr>
          <w:rFonts w:cs="Arial"/>
          <w:bCs/>
          <w:iCs/>
          <w:lang w:val="en-US"/>
        </w:rPr>
        <w:t>About</w:t>
      </w:r>
      <w:r w:rsidRPr="00663FD9">
        <w:rPr>
          <w:rFonts w:cs="Arial"/>
          <w:bCs/>
          <w:iCs/>
          <w:lang w:val="en-US"/>
        </w:rPr>
        <w:t xml:space="preserve"> the third proceeding for fiscal responsibility</w:t>
      </w:r>
      <w:bookmarkEnd w:id="22"/>
      <w:r w:rsidRPr="00663FD9">
        <w:rPr>
          <w:rFonts w:cs="Arial"/>
          <w:bCs/>
          <w:iCs/>
          <w:lang w:val="en-US"/>
        </w:rPr>
        <w:t xml:space="preserve"> </w:t>
      </w:r>
    </w:p>
    <w:p w14:paraId="02A51F9D" w14:textId="77777777" w:rsidR="00A84770" w:rsidRPr="00663FD9"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13BA75A5"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sidRPr="007D1AC0">
        <w:rPr>
          <w:rFonts w:ascii="Cambria" w:hAnsi="Cambria"/>
          <w:sz w:val="20"/>
          <w:szCs w:val="20"/>
          <w:lang w:val="en-US"/>
        </w:rPr>
        <w:t>According to public informatio</w:t>
      </w:r>
      <w:r>
        <w:rPr>
          <w:rFonts w:ascii="Cambria" w:hAnsi="Cambria"/>
          <w:sz w:val="20"/>
          <w:szCs w:val="20"/>
          <w:lang w:val="en-US"/>
        </w:rPr>
        <w:t>n</w:t>
      </w:r>
      <w:r w:rsidRPr="007D1AC0">
        <w:rPr>
          <w:rFonts w:ascii="Cambria" w:hAnsi="Cambria"/>
          <w:sz w:val="20"/>
          <w:szCs w:val="20"/>
          <w:lang w:val="en-US"/>
        </w:rPr>
        <w:t xml:space="preserve">, on July 23, 2012, the Mayor of Bogota issued Decree 356 </w:t>
      </w:r>
      <w:r>
        <w:rPr>
          <w:rFonts w:ascii="Cambria" w:hAnsi="Cambria"/>
          <w:sz w:val="20"/>
          <w:szCs w:val="20"/>
          <w:lang w:val="en-US"/>
        </w:rPr>
        <w:t xml:space="preserve">establishing “the fare of the service of massive urban transportation of passengers of the </w:t>
      </w:r>
      <w:proofErr w:type="spellStart"/>
      <w:r>
        <w:rPr>
          <w:rFonts w:ascii="Cambria" w:hAnsi="Cambria"/>
          <w:sz w:val="20"/>
          <w:szCs w:val="20"/>
          <w:lang w:val="en-US"/>
        </w:rPr>
        <w:t>Transmillennium</w:t>
      </w:r>
      <w:proofErr w:type="spellEnd"/>
      <w:r>
        <w:rPr>
          <w:rFonts w:ascii="Cambria" w:hAnsi="Cambria"/>
          <w:sz w:val="20"/>
          <w:szCs w:val="20"/>
          <w:lang w:val="en-US"/>
        </w:rPr>
        <w:t xml:space="preserve"> System and the zoning component of the Integrated System of Public Transportation (SITP), in the Capital District.”</w:t>
      </w:r>
      <w:r w:rsidRPr="009B3BD2">
        <w:rPr>
          <w:rStyle w:val="Refdenotaalpie"/>
          <w:rFonts w:asciiTheme="majorHAnsi" w:hAnsiTheme="majorHAnsi"/>
          <w:sz w:val="20"/>
          <w:szCs w:val="20"/>
          <w:lang w:val="es-VE"/>
        </w:rPr>
        <w:footnoteReference w:id="68"/>
      </w:r>
      <w:r>
        <w:rPr>
          <w:rFonts w:ascii="Cambria" w:hAnsi="Cambria"/>
          <w:sz w:val="20"/>
          <w:szCs w:val="20"/>
          <w:lang w:val="en-US"/>
        </w:rPr>
        <w:t xml:space="preserve"> Said Decree reduced the amount of the fares collected by </w:t>
      </w:r>
      <w:proofErr w:type="spellStart"/>
      <w:r>
        <w:rPr>
          <w:rFonts w:ascii="Cambria" w:hAnsi="Cambria"/>
          <w:sz w:val="20"/>
          <w:szCs w:val="20"/>
          <w:lang w:val="en-US"/>
        </w:rPr>
        <w:t>Transmillennium</w:t>
      </w:r>
      <w:proofErr w:type="spellEnd"/>
      <w:r>
        <w:rPr>
          <w:rFonts w:ascii="Cambria" w:hAnsi="Cambria"/>
          <w:sz w:val="20"/>
          <w:szCs w:val="20"/>
          <w:lang w:val="en-US"/>
        </w:rPr>
        <w:t>.</w:t>
      </w:r>
      <w:r w:rsidRPr="009B3BD2">
        <w:rPr>
          <w:rStyle w:val="Refdenotaalpie"/>
          <w:rFonts w:asciiTheme="majorHAnsi" w:hAnsiTheme="majorHAnsi"/>
          <w:sz w:val="20"/>
          <w:szCs w:val="20"/>
          <w:lang w:val="es-VE"/>
        </w:rPr>
        <w:footnoteReference w:id="69"/>
      </w:r>
      <w:r>
        <w:rPr>
          <w:rFonts w:ascii="Cambria" w:hAnsi="Cambria"/>
          <w:sz w:val="20"/>
          <w:szCs w:val="20"/>
          <w:lang w:val="en-US"/>
        </w:rPr>
        <w:t xml:space="preserve"> </w:t>
      </w:r>
    </w:p>
    <w:p w14:paraId="734009D7"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09" w:firstLine="0"/>
        <w:jc w:val="both"/>
        <w:rPr>
          <w:rFonts w:ascii="Cambria" w:hAnsi="Cambria"/>
          <w:sz w:val="20"/>
          <w:szCs w:val="20"/>
          <w:lang w:val="en-US"/>
        </w:rPr>
      </w:pPr>
    </w:p>
    <w:p w14:paraId="7AC67836" w14:textId="77777777" w:rsidR="00A84770" w:rsidRPr="00104DFA"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 xml:space="preserve">On June 27, 2016, the </w:t>
      </w:r>
      <w:r w:rsidRPr="00D365B5">
        <w:rPr>
          <w:rFonts w:ascii="Cambria" w:hAnsi="Cambria"/>
          <w:sz w:val="20"/>
          <w:szCs w:val="20"/>
          <w:lang w:val="en-US"/>
        </w:rPr>
        <w:t xml:space="preserve">Director of Fiscal Responsibility and </w:t>
      </w:r>
      <w:r w:rsidRPr="008F0D7B">
        <w:rPr>
          <w:rFonts w:ascii="Cambria" w:hAnsi="Cambria"/>
          <w:sz w:val="20"/>
          <w:szCs w:val="20"/>
          <w:lang w:val="en-US"/>
        </w:rPr>
        <w:t>Co-active</w:t>
      </w:r>
      <w:r w:rsidRPr="00D365B5">
        <w:rPr>
          <w:rFonts w:ascii="Cambria" w:hAnsi="Cambria"/>
          <w:sz w:val="20"/>
          <w:szCs w:val="20"/>
          <w:lang w:val="en-US"/>
        </w:rPr>
        <w:t xml:space="preserve"> Jurisdiction of the Comptroller</w:t>
      </w:r>
      <w:r>
        <w:rPr>
          <w:rFonts w:ascii="Cambria" w:hAnsi="Cambria"/>
          <w:sz w:val="20"/>
          <w:szCs w:val="20"/>
          <w:lang w:val="en-US"/>
        </w:rPr>
        <w:t>’s Office</w:t>
      </w:r>
      <w:r w:rsidRPr="00D365B5">
        <w:rPr>
          <w:rFonts w:ascii="Cambria" w:hAnsi="Cambria"/>
          <w:sz w:val="20"/>
          <w:szCs w:val="20"/>
          <w:lang w:val="en-US"/>
        </w:rPr>
        <w:t xml:space="preserve"> of</w:t>
      </w:r>
      <w:r>
        <w:rPr>
          <w:rFonts w:ascii="Cambria" w:hAnsi="Cambria"/>
          <w:sz w:val="20"/>
          <w:szCs w:val="20"/>
          <w:lang w:val="en-US"/>
        </w:rPr>
        <w:t xml:space="preserve"> Bogota D.C. (</w:t>
      </w:r>
      <w:proofErr w:type="spellStart"/>
      <w:r w:rsidRPr="00F1209C">
        <w:rPr>
          <w:rFonts w:ascii="Cambria" w:hAnsi="Cambria"/>
          <w:i/>
          <w:sz w:val="20"/>
          <w:szCs w:val="20"/>
          <w:lang w:val="en-US"/>
        </w:rPr>
        <w:t>Directora</w:t>
      </w:r>
      <w:proofErr w:type="spellEnd"/>
      <w:r w:rsidRPr="00F1209C">
        <w:rPr>
          <w:rFonts w:ascii="Cambria" w:hAnsi="Cambria"/>
          <w:i/>
          <w:sz w:val="20"/>
          <w:szCs w:val="20"/>
          <w:lang w:val="en-US"/>
        </w:rPr>
        <w:t xml:space="preserve"> de </w:t>
      </w:r>
      <w:proofErr w:type="spellStart"/>
      <w:r w:rsidRPr="00F1209C">
        <w:rPr>
          <w:rFonts w:ascii="Cambria" w:hAnsi="Cambria"/>
          <w:i/>
          <w:sz w:val="20"/>
          <w:szCs w:val="20"/>
          <w:lang w:val="en-US"/>
        </w:rPr>
        <w:t>Responsabilidad</w:t>
      </w:r>
      <w:proofErr w:type="spellEnd"/>
      <w:r w:rsidRPr="00F1209C">
        <w:rPr>
          <w:rFonts w:ascii="Cambria" w:hAnsi="Cambria"/>
          <w:i/>
          <w:sz w:val="20"/>
          <w:szCs w:val="20"/>
          <w:lang w:val="en-US"/>
        </w:rPr>
        <w:t xml:space="preserve"> Fiscal y </w:t>
      </w:r>
      <w:proofErr w:type="spellStart"/>
      <w:r w:rsidRPr="00F1209C">
        <w:rPr>
          <w:rFonts w:ascii="Cambria" w:hAnsi="Cambria"/>
          <w:i/>
          <w:sz w:val="20"/>
          <w:szCs w:val="20"/>
          <w:lang w:val="en-US"/>
        </w:rPr>
        <w:t>Jurisdicción</w:t>
      </w:r>
      <w:proofErr w:type="spellEnd"/>
      <w:r w:rsidRPr="00F1209C">
        <w:rPr>
          <w:rFonts w:ascii="Cambria" w:hAnsi="Cambria"/>
          <w:i/>
          <w:sz w:val="20"/>
          <w:szCs w:val="20"/>
          <w:lang w:val="en-US"/>
        </w:rPr>
        <w:t xml:space="preserve"> </w:t>
      </w:r>
      <w:proofErr w:type="spellStart"/>
      <w:r w:rsidRPr="00F1209C">
        <w:rPr>
          <w:rFonts w:ascii="Cambria" w:hAnsi="Cambria"/>
          <w:i/>
          <w:sz w:val="20"/>
          <w:szCs w:val="20"/>
          <w:lang w:val="en-US"/>
        </w:rPr>
        <w:t>Coactiva</w:t>
      </w:r>
      <w:proofErr w:type="spellEnd"/>
      <w:r w:rsidRPr="00F1209C">
        <w:rPr>
          <w:rFonts w:ascii="Cambria" w:hAnsi="Cambria"/>
          <w:i/>
          <w:sz w:val="20"/>
          <w:szCs w:val="20"/>
          <w:lang w:val="en-US"/>
        </w:rPr>
        <w:t xml:space="preserve"> de la </w:t>
      </w:r>
      <w:proofErr w:type="spellStart"/>
      <w:r w:rsidRPr="00F1209C">
        <w:rPr>
          <w:rFonts w:ascii="Cambria" w:hAnsi="Cambria"/>
          <w:i/>
          <w:sz w:val="20"/>
          <w:szCs w:val="20"/>
          <w:lang w:val="en-US"/>
        </w:rPr>
        <w:t>Contraloria</w:t>
      </w:r>
      <w:proofErr w:type="spellEnd"/>
      <w:r w:rsidRPr="00F1209C">
        <w:rPr>
          <w:rFonts w:ascii="Cambria" w:hAnsi="Cambria"/>
          <w:i/>
          <w:sz w:val="20"/>
          <w:szCs w:val="20"/>
          <w:lang w:val="en-US"/>
        </w:rPr>
        <w:t xml:space="preserve"> de Bogotá D.C.</w:t>
      </w:r>
      <w:r>
        <w:rPr>
          <w:rFonts w:ascii="Cambria" w:hAnsi="Cambria"/>
          <w:sz w:val="20"/>
          <w:szCs w:val="20"/>
          <w:lang w:val="en-US"/>
        </w:rPr>
        <w:t xml:space="preserve">) issued Order 01, declaring Gustavo Francisco Petro </w:t>
      </w:r>
      <w:proofErr w:type="spellStart"/>
      <w:r>
        <w:rPr>
          <w:rFonts w:ascii="Cambria" w:hAnsi="Cambria"/>
          <w:sz w:val="20"/>
          <w:szCs w:val="20"/>
          <w:lang w:val="en-US"/>
        </w:rPr>
        <w:t>Urrego’s</w:t>
      </w:r>
      <w:proofErr w:type="spellEnd"/>
      <w:r>
        <w:rPr>
          <w:rFonts w:ascii="Cambria" w:hAnsi="Cambria"/>
          <w:sz w:val="20"/>
          <w:szCs w:val="20"/>
          <w:lang w:val="en-US"/>
        </w:rPr>
        <w:t xml:space="preserve"> fiscal responsibility for the reduction in fares received by the </w:t>
      </w:r>
      <w:proofErr w:type="spellStart"/>
      <w:r>
        <w:rPr>
          <w:rFonts w:ascii="Cambria" w:hAnsi="Cambria"/>
          <w:sz w:val="20"/>
          <w:szCs w:val="20"/>
          <w:lang w:val="en-US"/>
        </w:rPr>
        <w:t>Transmilenio</w:t>
      </w:r>
      <w:proofErr w:type="spellEnd"/>
      <w:r>
        <w:rPr>
          <w:rFonts w:ascii="Cambria" w:hAnsi="Cambria"/>
          <w:sz w:val="20"/>
          <w:szCs w:val="20"/>
          <w:lang w:val="en-US"/>
        </w:rPr>
        <w:t xml:space="preserve"> S.A., transportation company.</w:t>
      </w:r>
      <w:r w:rsidRPr="009B3BD2">
        <w:rPr>
          <w:rStyle w:val="Refdenotaalpie"/>
          <w:rFonts w:asciiTheme="majorHAnsi" w:hAnsiTheme="majorHAnsi"/>
          <w:sz w:val="20"/>
          <w:szCs w:val="20"/>
          <w:lang w:val="es-CO"/>
        </w:rPr>
        <w:footnoteReference w:id="70"/>
      </w:r>
    </w:p>
    <w:p w14:paraId="2AFE9A3E"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04700249"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On July 15 and 16, counsel for the alleged victim filed a series of nullification</w:t>
      </w:r>
      <w:r w:rsidRPr="00F30612">
        <w:rPr>
          <w:rFonts w:ascii="Cambria" w:hAnsi="Cambria"/>
          <w:sz w:val="20"/>
          <w:szCs w:val="20"/>
          <w:lang w:val="en-US"/>
        </w:rPr>
        <w:t xml:space="preserve"> requests</w:t>
      </w:r>
      <w:r>
        <w:rPr>
          <w:rFonts w:ascii="Cambria" w:hAnsi="Cambria"/>
          <w:sz w:val="20"/>
          <w:szCs w:val="20"/>
          <w:lang w:val="en-US"/>
        </w:rPr>
        <w:t xml:space="preserve"> against Order 01, all of which were dismissed on July 25, 2016. The alleged victim filed another nullification</w:t>
      </w:r>
      <w:r w:rsidRPr="00F30612">
        <w:rPr>
          <w:rFonts w:ascii="Cambria" w:hAnsi="Cambria"/>
          <w:sz w:val="20"/>
          <w:szCs w:val="20"/>
          <w:lang w:val="en-US"/>
        </w:rPr>
        <w:t xml:space="preserve"> </w:t>
      </w:r>
      <w:r>
        <w:rPr>
          <w:rFonts w:ascii="Cambria" w:hAnsi="Cambria"/>
          <w:sz w:val="20"/>
          <w:szCs w:val="20"/>
          <w:lang w:val="en-US"/>
        </w:rPr>
        <w:t xml:space="preserve">request on July 27, 2016, and this was dismissed on August 3, 2016. He also filed appeals for reconsideration against these decisions, which were dismissed on October 27, 2016. Finally, he appealed. </w:t>
      </w:r>
    </w:p>
    <w:p w14:paraId="5814621D"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2104EA33"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 xml:space="preserve">On November 29, 2016, the Comptroller of Bogota ruled against the appeals filed by the alleged victim and decided “TO CONFIRM in all its parts, the judgement of Fiscal responsibility No. 01 of June 27, 2016, in accordance with the elements presented in the </w:t>
      </w:r>
      <w:proofErr w:type="spellStart"/>
      <w:r w:rsidRPr="008372E1">
        <w:rPr>
          <w:rFonts w:ascii="Cambria" w:hAnsi="Cambria"/>
          <w:i/>
          <w:sz w:val="20"/>
          <w:szCs w:val="20"/>
          <w:lang w:val="en-US"/>
        </w:rPr>
        <w:t>consideranda</w:t>
      </w:r>
      <w:proofErr w:type="spellEnd"/>
      <w:r>
        <w:rPr>
          <w:rFonts w:ascii="Cambria" w:hAnsi="Cambria"/>
          <w:sz w:val="20"/>
          <w:szCs w:val="20"/>
          <w:lang w:val="en-US"/>
        </w:rPr>
        <w:t>”</w:t>
      </w:r>
      <w:r w:rsidRPr="009B3BD2">
        <w:rPr>
          <w:rStyle w:val="Refdenotaalpie"/>
          <w:rFonts w:asciiTheme="majorHAnsi" w:hAnsiTheme="majorHAnsi"/>
          <w:sz w:val="20"/>
          <w:szCs w:val="20"/>
          <w:lang w:val="es-CO"/>
        </w:rPr>
        <w:footnoteReference w:id="71"/>
      </w:r>
      <w:r>
        <w:rPr>
          <w:rFonts w:ascii="Cambria" w:hAnsi="Cambria"/>
          <w:sz w:val="20"/>
          <w:szCs w:val="20"/>
          <w:lang w:val="en-US"/>
        </w:rPr>
        <w:t xml:space="preserve"> Said decision stated that “it is fully demonstrated that the generalized reduction in the fares resulted in a detriment to the patrimony in the </w:t>
      </w:r>
      <w:r>
        <w:rPr>
          <w:rFonts w:ascii="Cambria" w:hAnsi="Cambria"/>
          <w:sz w:val="20"/>
          <w:szCs w:val="20"/>
          <w:lang w:val="en-US"/>
        </w:rPr>
        <w:lastRenderedPageBreak/>
        <w:t>amount of $217.204.847.989 for the transfer of funds from the Capital District through the Treasury Secretariat, to cover the difference in fares that resulted from the general reduction of said fares.”</w:t>
      </w:r>
      <w:r w:rsidRPr="009B3BD2">
        <w:rPr>
          <w:rStyle w:val="Refdenotaalpie"/>
          <w:rFonts w:asciiTheme="majorHAnsi" w:hAnsiTheme="majorHAnsi"/>
          <w:sz w:val="20"/>
          <w:szCs w:val="20"/>
          <w:lang w:val="es-CO"/>
        </w:rPr>
        <w:footnoteReference w:id="72"/>
      </w:r>
      <w:r>
        <w:rPr>
          <w:rFonts w:ascii="Cambria" w:hAnsi="Cambria"/>
          <w:sz w:val="20"/>
          <w:szCs w:val="20"/>
          <w:lang w:val="en-US"/>
        </w:rPr>
        <w:t xml:space="preserve"> </w:t>
      </w:r>
    </w:p>
    <w:p w14:paraId="54995D13"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1A9484BC"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On March 31, 2017, the petitioner filed a judicial action of nullification</w:t>
      </w:r>
      <w:r w:rsidRPr="004741AE">
        <w:rPr>
          <w:rFonts w:ascii="Cambria" w:hAnsi="Cambria"/>
          <w:sz w:val="20"/>
          <w:szCs w:val="20"/>
          <w:lang w:val="en-US"/>
        </w:rPr>
        <w:t xml:space="preserve"> and reversal </w:t>
      </w:r>
      <w:r>
        <w:rPr>
          <w:rFonts w:ascii="Cambria" w:hAnsi="Cambria"/>
          <w:sz w:val="20"/>
          <w:szCs w:val="20"/>
          <w:lang w:val="en-US"/>
        </w:rPr>
        <w:t>before the State Council, which remains unresolved at this time.</w:t>
      </w:r>
      <w:r w:rsidRPr="009B3BD2">
        <w:rPr>
          <w:rStyle w:val="Refdenotaalpie"/>
          <w:rFonts w:asciiTheme="majorHAnsi" w:hAnsiTheme="majorHAnsi"/>
          <w:sz w:val="20"/>
          <w:szCs w:val="20"/>
          <w:lang w:val="es-CO"/>
        </w:rPr>
        <w:footnoteReference w:id="73"/>
      </w:r>
    </w:p>
    <w:p w14:paraId="4EB4EA2D"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0D889DF0"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The Commission observes that Article 60 of Law 610 of 2000 provides that:</w:t>
      </w:r>
    </w:p>
    <w:p w14:paraId="4D1FAEA4"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537BBB18"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09" w:firstLine="0"/>
        <w:jc w:val="both"/>
        <w:rPr>
          <w:rFonts w:ascii="Cambria" w:hAnsi="Cambria"/>
          <w:sz w:val="20"/>
          <w:szCs w:val="20"/>
          <w:lang w:val="en-US"/>
        </w:rPr>
      </w:pPr>
      <w:r>
        <w:rPr>
          <w:rFonts w:ascii="Cambria" w:hAnsi="Cambria"/>
          <w:sz w:val="20"/>
          <w:szCs w:val="20"/>
          <w:lang w:val="en-US"/>
        </w:rPr>
        <w:t xml:space="preserve">Bulletin of fiscally liable persons. […] The legal representatives, as well as the designating individuals and other competent officers, shall refrain from naming, giving possession to, or concluding any type of contract with those who appear in the </w:t>
      </w:r>
      <w:r w:rsidRPr="002A5D61">
        <w:rPr>
          <w:rFonts w:ascii="Cambria" w:hAnsi="Cambria"/>
          <w:sz w:val="20"/>
          <w:szCs w:val="20"/>
          <w:lang w:val="en-US"/>
        </w:rPr>
        <w:t xml:space="preserve">bulletin of </w:t>
      </w:r>
      <w:r>
        <w:rPr>
          <w:rFonts w:ascii="Cambria" w:hAnsi="Cambria"/>
          <w:sz w:val="20"/>
          <w:szCs w:val="20"/>
          <w:lang w:val="en-US"/>
        </w:rPr>
        <w:t xml:space="preserve">fiscally liable persons, at the risk of committing the causal of </w:t>
      </w:r>
      <w:r w:rsidRPr="002A5D61">
        <w:rPr>
          <w:rFonts w:ascii="Cambria" w:hAnsi="Cambria"/>
          <w:sz w:val="20"/>
          <w:szCs w:val="20"/>
          <w:lang w:val="en-US"/>
        </w:rPr>
        <w:t>bad conduct</w:t>
      </w:r>
      <w:r>
        <w:rPr>
          <w:rFonts w:ascii="Cambria" w:hAnsi="Cambria"/>
          <w:sz w:val="20"/>
          <w:szCs w:val="20"/>
          <w:lang w:val="en-US"/>
        </w:rPr>
        <w:t>, in accordance with the provisions of Article 6 of Law 190 of 1995.</w:t>
      </w:r>
      <w:r w:rsidRPr="000E4B19">
        <w:rPr>
          <w:rStyle w:val="Refdenotaalpie"/>
          <w:rFonts w:ascii="Cambria" w:hAnsi="Cambria" w:cs="Arial"/>
          <w:sz w:val="20"/>
          <w:szCs w:val="20"/>
          <w:shd w:val="clear" w:color="auto" w:fill="FFFFFF"/>
          <w:lang w:val="en-US"/>
        </w:rPr>
        <w:t xml:space="preserve"> </w:t>
      </w:r>
      <w:r w:rsidRPr="009B3BD2">
        <w:rPr>
          <w:rStyle w:val="Refdenotaalpie"/>
          <w:rFonts w:ascii="Cambria" w:hAnsi="Cambria" w:cs="Arial"/>
          <w:sz w:val="20"/>
          <w:szCs w:val="20"/>
          <w:shd w:val="clear" w:color="auto" w:fill="FFFFFF"/>
          <w:lang w:val="es-VE"/>
        </w:rPr>
        <w:footnoteReference w:id="74"/>
      </w:r>
      <w:r>
        <w:rPr>
          <w:rFonts w:ascii="Cambria" w:hAnsi="Cambria"/>
          <w:sz w:val="20"/>
          <w:szCs w:val="20"/>
          <w:lang w:val="en-US"/>
        </w:rPr>
        <w:t xml:space="preserve"> </w:t>
      </w:r>
    </w:p>
    <w:p w14:paraId="4CC568AD"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4C4D9056" w14:textId="77777777" w:rsidR="00A84770" w:rsidRPr="00ED438A" w:rsidRDefault="00A84770" w:rsidP="00A84770">
      <w:pPr>
        <w:pStyle w:val="Ttulo2"/>
        <w:numPr>
          <w:ilvl w:val="0"/>
          <w:numId w:val="60"/>
        </w:numPr>
        <w:ind w:left="1418" w:hanging="709"/>
        <w:rPr>
          <w:rFonts w:cs="Arial"/>
          <w:bCs/>
          <w:iCs/>
          <w:lang w:val="en-US"/>
        </w:rPr>
      </w:pPr>
      <w:bookmarkStart w:id="23" w:name="_Toc496666307"/>
      <w:r>
        <w:rPr>
          <w:rFonts w:cs="Arial"/>
          <w:bCs/>
          <w:iCs/>
          <w:lang w:val="en-US"/>
        </w:rPr>
        <w:t>About</w:t>
      </w:r>
      <w:r w:rsidRPr="00ED438A">
        <w:rPr>
          <w:rFonts w:cs="Arial"/>
          <w:bCs/>
          <w:iCs/>
          <w:lang w:val="en-US"/>
        </w:rPr>
        <w:t xml:space="preserve"> </w:t>
      </w:r>
      <w:r>
        <w:rPr>
          <w:rFonts w:cs="Arial"/>
          <w:bCs/>
          <w:iCs/>
          <w:lang w:val="en-US"/>
        </w:rPr>
        <w:t>the fine from the Superintendence of Industry and Commerce</w:t>
      </w:r>
      <w:bookmarkEnd w:id="23"/>
    </w:p>
    <w:p w14:paraId="56A704C3"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606E9EA7" w14:textId="77777777" w:rsidR="00A84770" w:rsidRPr="007D1AC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 xml:space="preserve">In 2014, the Superintendence of Industry and Commerce fined Mr. Petro </w:t>
      </w:r>
      <w:proofErr w:type="spellStart"/>
      <w:r>
        <w:rPr>
          <w:rFonts w:ascii="Cambria" w:hAnsi="Cambria"/>
          <w:sz w:val="20"/>
          <w:szCs w:val="20"/>
          <w:lang w:val="en-US"/>
        </w:rPr>
        <w:t>Urrego</w:t>
      </w:r>
      <w:proofErr w:type="spellEnd"/>
      <w:r>
        <w:rPr>
          <w:rFonts w:ascii="Cambria" w:hAnsi="Cambria"/>
          <w:sz w:val="20"/>
          <w:szCs w:val="20"/>
          <w:lang w:val="en-US"/>
        </w:rPr>
        <w:t xml:space="preserve"> $410.256.000.00 pesos; it also fined other individuals, the Water, Sewers, and Sanitation Company of Bogota (EAB), the Special Administrative Unit of Public Services (UAESP), and </w:t>
      </w:r>
      <w:r>
        <w:rPr>
          <w:rFonts w:ascii="Cambria" w:hAnsi="Cambria"/>
          <w:i/>
          <w:sz w:val="20"/>
          <w:szCs w:val="20"/>
          <w:lang w:val="en-US"/>
        </w:rPr>
        <w:t>Aguas de Bogota</w:t>
      </w:r>
      <w:r>
        <w:rPr>
          <w:rFonts w:ascii="Cambria" w:hAnsi="Cambria"/>
          <w:sz w:val="20"/>
          <w:szCs w:val="20"/>
          <w:lang w:val="en-US"/>
        </w:rPr>
        <w:t xml:space="preserve">, for “commercial activities that are restrict </w:t>
      </w:r>
      <w:r w:rsidRPr="00385EF7">
        <w:rPr>
          <w:rFonts w:ascii="Cambria" w:hAnsi="Cambria"/>
          <w:sz w:val="20"/>
          <w:szCs w:val="20"/>
          <w:lang w:val="en-US"/>
        </w:rPr>
        <w:t>free competition</w:t>
      </w:r>
      <w:r>
        <w:rPr>
          <w:rFonts w:ascii="Cambria" w:hAnsi="Cambria"/>
          <w:sz w:val="20"/>
          <w:szCs w:val="20"/>
          <w:lang w:val="en-US"/>
        </w:rPr>
        <w:t xml:space="preserve"> in the market for sanitation services in Bogota.”</w:t>
      </w:r>
      <w:r w:rsidRPr="009844BB">
        <w:rPr>
          <w:rStyle w:val="Refdenotaalpie"/>
          <w:rFonts w:ascii="Cambria" w:hAnsi="Cambria"/>
          <w:sz w:val="20"/>
          <w:szCs w:val="20"/>
          <w:lang w:val="en-US"/>
        </w:rPr>
        <w:t xml:space="preserve"> </w:t>
      </w:r>
      <w:r w:rsidRPr="009B3BD2">
        <w:rPr>
          <w:rStyle w:val="Refdenotaalpie"/>
          <w:rFonts w:asciiTheme="majorHAnsi" w:hAnsiTheme="majorHAnsi"/>
          <w:sz w:val="20"/>
          <w:szCs w:val="20"/>
          <w:lang w:val="es-CO"/>
        </w:rPr>
        <w:footnoteReference w:id="75"/>
      </w:r>
      <w:r>
        <w:rPr>
          <w:rFonts w:ascii="Cambria" w:hAnsi="Cambria"/>
          <w:sz w:val="20"/>
          <w:szCs w:val="20"/>
          <w:lang w:val="en-US"/>
        </w:rPr>
        <w:t xml:space="preserve"> </w:t>
      </w:r>
    </w:p>
    <w:p w14:paraId="0EC96980"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rPr>
          <w:rFonts w:ascii="Cambria" w:hAnsi="Cambria"/>
          <w:sz w:val="20"/>
          <w:szCs w:val="20"/>
          <w:lang w:val="en-US"/>
        </w:rPr>
      </w:pPr>
    </w:p>
    <w:p w14:paraId="5FE11E80" w14:textId="77777777" w:rsidR="00A84770" w:rsidRPr="009B3BD2" w:rsidRDefault="00A84770" w:rsidP="00A84770">
      <w:pPr>
        <w:pStyle w:val="Ttulo1"/>
        <w:numPr>
          <w:ilvl w:val="0"/>
          <w:numId w:val="57"/>
        </w:numPr>
      </w:pPr>
      <w:bookmarkStart w:id="24" w:name="_Toc496666308"/>
      <w:r>
        <w:t>LEGAL ANALYSIS</w:t>
      </w:r>
      <w:bookmarkEnd w:id="24"/>
    </w:p>
    <w:p w14:paraId="5A5C0DE2" w14:textId="77777777" w:rsidR="00A84770" w:rsidRPr="009B3BD2" w:rsidRDefault="00A84770" w:rsidP="00A84770">
      <w:pPr>
        <w:rPr>
          <w:lang w:val="es-ES_tradnl"/>
        </w:rPr>
      </w:pPr>
    </w:p>
    <w:p w14:paraId="188D7AD5" w14:textId="77777777" w:rsidR="00A84770" w:rsidRPr="009844BB" w:rsidRDefault="00A84770" w:rsidP="000829C4">
      <w:pPr>
        <w:pStyle w:val="Ttulo1"/>
        <w:numPr>
          <w:ilvl w:val="0"/>
          <w:numId w:val="64"/>
        </w:numPr>
        <w:ind w:left="1418" w:hanging="698"/>
        <w:jc w:val="both"/>
        <w:rPr>
          <w:lang w:val="en-US"/>
        </w:rPr>
      </w:pPr>
      <w:bookmarkStart w:id="25" w:name="_Toc496666309"/>
      <w:r w:rsidRPr="009844BB">
        <w:rPr>
          <w:lang w:val="en-US"/>
        </w:rPr>
        <w:t>Political rights</w:t>
      </w:r>
      <w:r w:rsidRPr="009B3BD2">
        <w:rPr>
          <w:rStyle w:val="Refdenotaalpie"/>
          <w:rFonts w:asciiTheme="majorHAnsi" w:hAnsiTheme="majorHAnsi"/>
          <w:b w:val="0"/>
          <w:sz w:val="20"/>
          <w:lang w:val="es-CO"/>
        </w:rPr>
        <w:footnoteReference w:id="76"/>
      </w:r>
      <w:r w:rsidRPr="009844BB">
        <w:rPr>
          <w:lang w:val="en-US"/>
        </w:rPr>
        <w:t xml:space="preserve"> in conjunction with Articles 1(1)</w:t>
      </w:r>
      <w:r w:rsidRPr="009B3BD2">
        <w:rPr>
          <w:rStyle w:val="Refdenotaalpie"/>
          <w:rFonts w:asciiTheme="majorHAnsi" w:hAnsiTheme="majorHAnsi"/>
          <w:b w:val="0"/>
          <w:sz w:val="20"/>
          <w:lang w:val="es-CO"/>
        </w:rPr>
        <w:footnoteReference w:id="77"/>
      </w:r>
      <w:r w:rsidRPr="009844BB">
        <w:rPr>
          <w:lang w:val="en-US"/>
        </w:rPr>
        <w:t xml:space="preserve"> and 2</w:t>
      </w:r>
      <w:r w:rsidRPr="009B3BD2">
        <w:rPr>
          <w:rStyle w:val="Refdenotaalpie"/>
          <w:rFonts w:asciiTheme="majorHAnsi" w:hAnsiTheme="majorHAnsi"/>
          <w:b w:val="0"/>
          <w:sz w:val="20"/>
          <w:lang w:val="es-CO"/>
        </w:rPr>
        <w:footnoteReference w:id="78"/>
      </w:r>
      <w:r w:rsidRPr="009844BB">
        <w:rPr>
          <w:lang w:val="en-US"/>
        </w:rPr>
        <w:t xml:space="preserve"> of the American Convention</w:t>
      </w:r>
      <w:bookmarkEnd w:id="25"/>
      <w:r w:rsidRPr="009844BB">
        <w:rPr>
          <w:b w:val="0"/>
          <w:lang w:val="en-US"/>
        </w:rPr>
        <w:t xml:space="preserve"> </w:t>
      </w:r>
    </w:p>
    <w:p w14:paraId="06AE0E28" w14:textId="77777777" w:rsidR="00A84770" w:rsidRPr="009844BB" w:rsidRDefault="00A84770" w:rsidP="00A84770">
      <w:pPr>
        <w:tabs>
          <w:tab w:val="left" w:pos="1440"/>
        </w:tabs>
        <w:jc w:val="both"/>
      </w:pPr>
    </w:p>
    <w:p w14:paraId="5E61C0AA" w14:textId="77777777" w:rsidR="00A84770" w:rsidRPr="00C5352C" w:rsidRDefault="00A84770" w:rsidP="000829C4">
      <w:pPr>
        <w:pStyle w:val="Ttulo2"/>
        <w:numPr>
          <w:ilvl w:val="0"/>
          <w:numId w:val="63"/>
        </w:numPr>
        <w:tabs>
          <w:tab w:val="clear" w:pos="1800"/>
        </w:tabs>
        <w:ind w:left="1418" w:hanging="709"/>
      </w:pPr>
      <w:bookmarkStart w:id="26" w:name="_Toc496666310"/>
      <w:r>
        <w:t xml:space="preserve">General </w:t>
      </w:r>
      <w:r w:rsidRPr="00351CF5">
        <w:rPr>
          <w:lang w:val="en-US"/>
        </w:rPr>
        <w:t>considerations</w:t>
      </w:r>
      <w:bookmarkEnd w:id="26"/>
    </w:p>
    <w:p w14:paraId="67291312" w14:textId="77777777" w:rsidR="00A84770" w:rsidRPr="007D1AC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rPr>
          <w:rFonts w:ascii="Cambria" w:hAnsi="Cambria"/>
          <w:sz w:val="20"/>
          <w:szCs w:val="20"/>
          <w:lang w:val="en-US"/>
        </w:rPr>
      </w:pPr>
    </w:p>
    <w:p w14:paraId="2DCD8729"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A</w:t>
      </w:r>
      <w:r w:rsidRPr="00FD52A0">
        <w:rPr>
          <w:rFonts w:ascii="Cambria" w:hAnsi="Cambria"/>
          <w:sz w:val="20"/>
          <w:szCs w:val="20"/>
          <w:lang w:val="en-US"/>
        </w:rPr>
        <w:t>rticle 23 of</w:t>
      </w:r>
      <w:r>
        <w:rPr>
          <w:rFonts w:ascii="Cambria" w:hAnsi="Cambria"/>
          <w:sz w:val="20"/>
          <w:szCs w:val="20"/>
          <w:lang w:val="en-US"/>
        </w:rPr>
        <w:t xml:space="preserve"> </w:t>
      </w:r>
      <w:r w:rsidRPr="00FD52A0">
        <w:rPr>
          <w:rFonts w:ascii="Cambria" w:hAnsi="Cambria"/>
          <w:sz w:val="20"/>
          <w:szCs w:val="20"/>
          <w:lang w:val="en-US"/>
        </w:rPr>
        <w:t>the American Convention recognizes and protects political participation through the right to active</w:t>
      </w:r>
      <w:r>
        <w:rPr>
          <w:rFonts w:ascii="Cambria" w:hAnsi="Cambria"/>
          <w:sz w:val="20"/>
          <w:szCs w:val="20"/>
          <w:lang w:val="en-US"/>
        </w:rPr>
        <w:t xml:space="preserve"> </w:t>
      </w:r>
      <w:r w:rsidRPr="00FD52A0">
        <w:rPr>
          <w:rFonts w:ascii="Cambria" w:hAnsi="Cambria"/>
          <w:sz w:val="20"/>
          <w:szCs w:val="20"/>
          <w:lang w:val="en-US"/>
        </w:rPr>
        <w:t xml:space="preserve">and passive suffrage, the latter understood </w:t>
      </w:r>
      <w:r>
        <w:rPr>
          <w:rFonts w:ascii="Cambria" w:hAnsi="Cambria"/>
          <w:sz w:val="20"/>
          <w:szCs w:val="20"/>
          <w:lang w:val="en-US"/>
        </w:rPr>
        <w:t>as the right to run for elected</w:t>
      </w:r>
      <w:r w:rsidRPr="00FD52A0">
        <w:rPr>
          <w:rFonts w:ascii="Cambria" w:hAnsi="Cambria"/>
          <w:sz w:val="20"/>
          <w:szCs w:val="20"/>
          <w:lang w:val="en-US"/>
        </w:rPr>
        <w:t xml:space="preserve"> office, and the</w:t>
      </w:r>
      <w:r>
        <w:rPr>
          <w:rFonts w:ascii="Cambria" w:hAnsi="Cambria"/>
          <w:sz w:val="20"/>
          <w:szCs w:val="20"/>
          <w:lang w:val="en-US"/>
        </w:rPr>
        <w:t xml:space="preserve"> </w:t>
      </w:r>
      <w:r w:rsidRPr="00FD52A0">
        <w:rPr>
          <w:rFonts w:ascii="Cambria" w:hAnsi="Cambria"/>
          <w:sz w:val="20"/>
          <w:szCs w:val="20"/>
          <w:lang w:val="en-US"/>
        </w:rPr>
        <w:t xml:space="preserve">establishment of </w:t>
      </w:r>
      <w:r>
        <w:rPr>
          <w:rFonts w:ascii="Cambria" w:hAnsi="Cambria"/>
          <w:sz w:val="20"/>
          <w:szCs w:val="20"/>
          <w:lang w:val="en-US"/>
        </w:rPr>
        <w:t>an adequate electoral regime</w:t>
      </w:r>
      <w:r w:rsidRPr="00FD52A0">
        <w:rPr>
          <w:rFonts w:ascii="Cambria" w:hAnsi="Cambria"/>
          <w:sz w:val="20"/>
          <w:szCs w:val="20"/>
          <w:lang w:val="en-US"/>
        </w:rPr>
        <w:t xml:space="preserve"> that considers the political process and the conditions in</w:t>
      </w:r>
      <w:r>
        <w:rPr>
          <w:rFonts w:ascii="Cambria" w:hAnsi="Cambria"/>
          <w:sz w:val="20"/>
          <w:szCs w:val="20"/>
          <w:lang w:val="en-US"/>
        </w:rPr>
        <w:t xml:space="preserve"> </w:t>
      </w:r>
      <w:r w:rsidRPr="00FD52A0">
        <w:rPr>
          <w:rFonts w:ascii="Cambria" w:hAnsi="Cambria"/>
          <w:sz w:val="20"/>
          <w:szCs w:val="20"/>
          <w:lang w:val="en-US"/>
        </w:rPr>
        <w:t>which that process unfolds, in order to ensure the effective exercise of that right without arbitrary or</w:t>
      </w:r>
      <w:r>
        <w:rPr>
          <w:rFonts w:ascii="Cambria" w:hAnsi="Cambria"/>
          <w:sz w:val="20"/>
          <w:szCs w:val="20"/>
          <w:lang w:val="en-US"/>
        </w:rPr>
        <w:t xml:space="preserve"> </w:t>
      </w:r>
      <w:r w:rsidRPr="00FD52A0">
        <w:rPr>
          <w:rFonts w:ascii="Cambria" w:hAnsi="Cambria"/>
          <w:sz w:val="20"/>
          <w:szCs w:val="20"/>
          <w:lang w:val="en-US"/>
        </w:rPr>
        <w:t>discriminatory exclusions.</w:t>
      </w:r>
      <w:r w:rsidRPr="009B3BD2">
        <w:rPr>
          <w:rStyle w:val="Refdenotaalpie"/>
          <w:rFonts w:ascii="Cambria" w:hAnsi="Cambria"/>
          <w:sz w:val="20"/>
          <w:szCs w:val="20"/>
          <w:lang w:val="es-CO"/>
        </w:rPr>
        <w:footnoteReference w:id="79"/>
      </w:r>
      <w:r w:rsidRPr="00FD52A0">
        <w:rPr>
          <w:rFonts w:ascii="Cambria" w:hAnsi="Cambria"/>
          <w:sz w:val="20"/>
          <w:szCs w:val="20"/>
          <w:lang w:val="en-US"/>
        </w:rPr>
        <w:t xml:space="preserve"> </w:t>
      </w:r>
      <w:r>
        <w:rPr>
          <w:rFonts w:ascii="Cambria" w:hAnsi="Cambria"/>
          <w:sz w:val="20"/>
          <w:szCs w:val="20"/>
          <w:lang w:val="en-US"/>
        </w:rPr>
        <w:t xml:space="preserve">Article 23(2) provides that the </w:t>
      </w:r>
      <w:r w:rsidRPr="004E1171">
        <w:rPr>
          <w:rFonts w:ascii="Cambria" w:hAnsi="Cambria"/>
          <w:sz w:val="20"/>
          <w:szCs w:val="20"/>
          <w:lang w:val="en-US"/>
        </w:rPr>
        <w:t xml:space="preserve">exercise of the rights </w:t>
      </w:r>
      <w:r>
        <w:rPr>
          <w:rFonts w:ascii="Cambria" w:hAnsi="Cambria"/>
          <w:sz w:val="20"/>
          <w:szCs w:val="20"/>
          <w:lang w:val="en-US"/>
        </w:rPr>
        <w:t>can be regulated “</w:t>
      </w:r>
      <w:r w:rsidRPr="004E1171">
        <w:rPr>
          <w:rFonts w:ascii="Cambria" w:hAnsi="Cambria"/>
          <w:sz w:val="20"/>
          <w:szCs w:val="20"/>
          <w:lang w:val="en-US"/>
        </w:rPr>
        <w:t>only on the basis of age, nationality, residence, language, education, civil and mental capacity, or sentencing by a competent court in criminal proceedings.</w:t>
      </w:r>
      <w:r>
        <w:rPr>
          <w:rFonts w:ascii="Cambria" w:hAnsi="Cambria"/>
          <w:sz w:val="20"/>
          <w:szCs w:val="20"/>
          <w:lang w:val="en-US"/>
        </w:rPr>
        <w:t xml:space="preserve">” </w:t>
      </w:r>
    </w:p>
    <w:p w14:paraId="40C6FFC5"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09" w:firstLine="0"/>
        <w:jc w:val="both"/>
        <w:rPr>
          <w:rFonts w:ascii="Cambria" w:hAnsi="Cambria"/>
          <w:sz w:val="20"/>
          <w:szCs w:val="20"/>
          <w:lang w:val="en-US"/>
        </w:rPr>
      </w:pPr>
    </w:p>
    <w:p w14:paraId="2D4EF42C"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lastRenderedPageBreak/>
        <w:t>The IACHR considers that the right to be elected to public office, as well as to fulfill the corresponding mandate, constitutes one of the essential attributes of political rights, because restrictions to said right must be aimed to protect the fundamental legal basis, therefore, these must be carefully and rigorously scrutinized. In a case, such as the present case, of a person elected to office by popular vote, it must be taken into consideration that a restriction on the right to active suffrage may not only affect the respective person but also the free expression of the people through universal suffrage.</w:t>
      </w:r>
      <w:r w:rsidRPr="009B3BD2">
        <w:rPr>
          <w:rStyle w:val="Refdenotaalpie"/>
          <w:rFonts w:ascii="Cambria" w:hAnsi="Cambria" w:cs="Courier New"/>
          <w:color w:val="212121"/>
          <w:sz w:val="20"/>
          <w:szCs w:val="20"/>
          <w:lang w:val="es-ES"/>
        </w:rPr>
        <w:footnoteReference w:id="80"/>
      </w:r>
      <w:r>
        <w:rPr>
          <w:rFonts w:ascii="Cambria" w:hAnsi="Cambria"/>
          <w:sz w:val="20"/>
          <w:szCs w:val="20"/>
          <w:lang w:val="en-US"/>
        </w:rPr>
        <w:t xml:space="preserve"> Therefore, an arbitrary restriction of political rights that impacts on the right of a person to be elected by popular vote not only affects the rights of that person, it also implies a curtailment of the collective dimension of those rights, and, in sum, significantly influences the democratic system. </w:t>
      </w:r>
    </w:p>
    <w:p w14:paraId="48F9FA06"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38F9A14E" w14:textId="77777777" w:rsidR="00A84770"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 xml:space="preserve">In relation to the collective dimension of restrictions on political rights, the European Court of Human Rights in </w:t>
      </w:r>
      <w:proofErr w:type="spellStart"/>
      <w:r w:rsidRPr="00454A82">
        <w:rPr>
          <w:rFonts w:ascii="Cambria" w:hAnsi="Cambria"/>
          <w:i/>
          <w:sz w:val="20"/>
          <w:szCs w:val="20"/>
          <w:lang w:val="en-US"/>
        </w:rPr>
        <w:t>Paksas</w:t>
      </w:r>
      <w:proofErr w:type="spellEnd"/>
      <w:r w:rsidRPr="00454A82">
        <w:rPr>
          <w:rFonts w:ascii="Cambria" w:hAnsi="Cambria"/>
          <w:i/>
          <w:sz w:val="20"/>
          <w:szCs w:val="20"/>
          <w:lang w:val="en-US"/>
        </w:rPr>
        <w:t xml:space="preserve"> v. Lithuania</w:t>
      </w:r>
      <w:r>
        <w:rPr>
          <w:rFonts w:ascii="Cambria" w:hAnsi="Cambria"/>
          <w:i/>
          <w:sz w:val="20"/>
          <w:szCs w:val="20"/>
          <w:lang w:val="en-US"/>
        </w:rPr>
        <w:t xml:space="preserve"> </w:t>
      </w:r>
      <w:r>
        <w:rPr>
          <w:rFonts w:ascii="Cambria" w:hAnsi="Cambria"/>
          <w:sz w:val="20"/>
          <w:szCs w:val="20"/>
          <w:lang w:val="en-US"/>
        </w:rPr>
        <w:t>(concerning the ousting of a President of the Republic, and his later disqualification to become a member of Parliament), stated that:</w:t>
      </w:r>
    </w:p>
    <w:p w14:paraId="5BAE011B"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3D6D457F"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09" w:right="803" w:firstLine="0"/>
        <w:jc w:val="both"/>
        <w:rPr>
          <w:rFonts w:ascii="Cambria" w:hAnsi="Cambria"/>
          <w:sz w:val="20"/>
          <w:szCs w:val="20"/>
          <w:lang w:val="en-US"/>
        </w:rPr>
      </w:pPr>
      <w:r w:rsidRPr="0085364B">
        <w:rPr>
          <w:rFonts w:ascii="Cambria" w:hAnsi="Cambria"/>
          <w:sz w:val="20"/>
          <w:szCs w:val="20"/>
          <w:lang w:val="en-US"/>
        </w:rPr>
        <w:t xml:space="preserve">In the Court's view, it is understandable that a State should consider a gross violation of the Constitution or a breach of the constitutional oath to be a particularly serious matter requiring firm action when committed </w:t>
      </w:r>
      <w:r>
        <w:rPr>
          <w:rFonts w:ascii="Cambria" w:hAnsi="Cambria"/>
          <w:sz w:val="20"/>
          <w:szCs w:val="20"/>
          <w:lang w:val="en-US"/>
        </w:rPr>
        <w:t>by a person holding that office (…) [h]</w:t>
      </w:r>
      <w:proofErr w:type="spellStart"/>
      <w:r w:rsidRPr="0085364B">
        <w:rPr>
          <w:rFonts w:ascii="Cambria" w:hAnsi="Cambria"/>
          <w:sz w:val="20"/>
          <w:szCs w:val="20"/>
          <w:lang w:val="en-US"/>
        </w:rPr>
        <w:t>owever</w:t>
      </w:r>
      <w:proofErr w:type="spellEnd"/>
      <w:r w:rsidRPr="0085364B">
        <w:rPr>
          <w:rFonts w:ascii="Cambria" w:hAnsi="Cambria"/>
          <w:sz w:val="20"/>
          <w:szCs w:val="20"/>
          <w:lang w:val="en-US"/>
        </w:rPr>
        <w:t xml:space="preserve">, that is not sufficient to persuade the Court that the applicant's permanent and irreversible disqualification from standing for election as a result of a general provision constitutes a proportionate response to the requirements of preserving the democratic order. </w:t>
      </w:r>
    </w:p>
    <w:p w14:paraId="240FE710"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09" w:right="803" w:firstLine="0"/>
        <w:jc w:val="both"/>
        <w:rPr>
          <w:rFonts w:ascii="Cambria" w:hAnsi="Cambria"/>
          <w:sz w:val="20"/>
          <w:szCs w:val="20"/>
          <w:lang w:val="en-US"/>
        </w:rPr>
      </w:pPr>
    </w:p>
    <w:p w14:paraId="1120270F" w14:textId="77777777" w:rsidR="00A84770" w:rsidRDefault="00A84770" w:rsidP="00A84770">
      <w:pPr>
        <w:pStyle w:val="Sangradetextonormal"/>
        <w:ind w:left="709" w:right="803" w:firstLine="0"/>
        <w:jc w:val="both"/>
        <w:rPr>
          <w:rFonts w:ascii="Cambria" w:hAnsi="Cambria"/>
          <w:sz w:val="20"/>
          <w:szCs w:val="20"/>
          <w:lang w:val="en-US"/>
        </w:rPr>
      </w:pPr>
      <w:r>
        <w:rPr>
          <w:rFonts w:ascii="Cambria" w:hAnsi="Cambria"/>
          <w:sz w:val="20"/>
          <w:szCs w:val="20"/>
          <w:lang w:val="en-US"/>
        </w:rPr>
        <w:t xml:space="preserve">(…) </w:t>
      </w:r>
      <w:r w:rsidRPr="00C5527E">
        <w:rPr>
          <w:rFonts w:ascii="Cambria" w:hAnsi="Cambria"/>
          <w:sz w:val="20"/>
          <w:szCs w:val="20"/>
          <w:lang w:val="en-US"/>
        </w:rPr>
        <w:t>Nevertheless, the decision to bar a senior official</w:t>
      </w:r>
      <w:r>
        <w:rPr>
          <w:rFonts w:ascii="Cambria" w:hAnsi="Cambria"/>
          <w:sz w:val="20"/>
          <w:szCs w:val="20"/>
          <w:lang w:val="en-US"/>
        </w:rPr>
        <w:t xml:space="preserve"> </w:t>
      </w:r>
      <w:r w:rsidRPr="00C5527E">
        <w:rPr>
          <w:rFonts w:ascii="Cambria" w:hAnsi="Cambria"/>
          <w:sz w:val="20"/>
          <w:szCs w:val="20"/>
          <w:lang w:val="en-US"/>
        </w:rPr>
        <w:t>who has proved unfit for office from ever being a member of parliament in</w:t>
      </w:r>
      <w:r>
        <w:rPr>
          <w:rFonts w:ascii="Cambria" w:hAnsi="Cambria"/>
          <w:sz w:val="20"/>
          <w:szCs w:val="20"/>
          <w:lang w:val="en-US"/>
        </w:rPr>
        <w:t xml:space="preserve"> </w:t>
      </w:r>
      <w:r w:rsidRPr="00C5527E">
        <w:rPr>
          <w:rFonts w:ascii="Cambria" w:hAnsi="Cambria"/>
          <w:sz w:val="20"/>
          <w:szCs w:val="20"/>
          <w:lang w:val="en-US"/>
        </w:rPr>
        <w:t>future is above all a matter for voters, who have the opportunity to choose at</w:t>
      </w:r>
      <w:r>
        <w:rPr>
          <w:rFonts w:ascii="Cambria" w:hAnsi="Cambria"/>
          <w:sz w:val="20"/>
          <w:szCs w:val="20"/>
          <w:lang w:val="en-US"/>
        </w:rPr>
        <w:t xml:space="preserve"> </w:t>
      </w:r>
      <w:r w:rsidRPr="00C5527E">
        <w:rPr>
          <w:rFonts w:ascii="Cambria" w:hAnsi="Cambria"/>
          <w:sz w:val="20"/>
          <w:szCs w:val="20"/>
          <w:lang w:val="en-US"/>
        </w:rPr>
        <w:t>the polls whether to renew their trust in the person concerned.</w:t>
      </w:r>
      <w:r w:rsidRPr="005262A9">
        <w:rPr>
          <w:rStyle w:val="Refdenotaalpie"/>
          <w:rFonts w:ascii="Cambria" w:hAnsi="Cambria"/>
          <w:sz w:val="20"/>
          <w:szCs w:val="20"/>
          <w:lang w:val="en-US"/>
        </w:rPr>
        <w:t xml:space="preserve"> </w:t>
      </w:r>
      <w:r w:rsidRPr="009B3BD2">
        <w:rPr>
          <w:rStyle w:val="Refdenotaalpie"/>
          <w:rFonts w:ascii="Cambria" w:hAnsi="Cambria"/>
          <w:sz w:val="20"/>
          <w:szCs w:val="20"/>
          <w:lang w:val="es-CO"/>
        </w:rPr>
        <w:footnoteReference w:id="81"/>
      </w:r>
    </w:p>
    <w:p w14:paraId="1987208D"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14:paraId="6FF87A3E" w14:textId="77777777" w:rsidR="00A84770" w:rsidRPr="00AB3508" w:rsidRDefault="00A84770" w:rsidP="00A84770">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rFonts w:ascii="Cambria" w:hAnsi="Cambria"/>
          <w:sz w:val="20"/>
          <w:szCs w:val="20"/>
          <w:lang w:val="en-US"/>
        </w:rPr>
      </w:pPr>
      <w:r>
        <w:rPr>
          <w:rFonts w:ascii="Cambria" w:hAnsi="Cambria"/>
          <w:sz w:val="20"/>
          <w:szCs w:val="20"/>
          <w:lang w:val="en-US"/>
        </w:rPr>
        <w:t xml:space="preserve">Both the Commission and the Inter-American Court ruled on the sanction of disqualification to hold elected office in light of Article 23 of the American Convention in the </w:t>
      </w:r>
      <w:r w:rsidRPr="00B95A7F">
        <w:rPr>
          <w:rFonts w:ascii="Cambria" w:hAnsi="Cambria"/>
          <w:sz w:val="20"/>
          <w:szCs w:val="20"/>
          <w:lang w:val="en-US"/>
        </w:rPr>
        <w:t>Case of</w:t>
      </w:r>
      <w:r>
        <w:rPr>
          <w:rFonts w:ascii="Cambria" w:hAnsi="Cambria"/>
          <w:i/>
          <w:sz w:val="20"/>
          <w:szCs w:val="20"/>
          <w:lang w:val="en-US"/>
        </w:rPr>
        <w:t xml:space="preserve"> Lopez Mendoza v. Venezuela. </w:t>
      </w:r>
    </w:p>
    <w:p w14:paraId="2A767F21"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09" w:firstLine="0"/>
        <w:jc w:val="both"/>
        <w:rPr>
          <w:rFonts w:ascii="Cambria" w:hAnsi="Cambria"/>
          <w:sz w:val="20"/>
          <w:szCs w:val="20"/>
          <w:lang w:val="en-US"/>
        </w:rPr>
      </w:pPr>
    </w:p>
    <w:p w14:paraId="1EF7F054" w14:textId="77777777" w:rsidR="00A84770" w:rsidRDefault="00A84770" w:rsidP="00A84770">
      <w:pPr>
        <w:pStyle w:val="Sangradetextonormal"/>
        <w:numPr>
          <w:ilvl w:val="0"/>
          <w:numId w:val="58"/>
        </w:numPr>
        <w:ind w:left="0" w:firstLine="709"/>
        <w:jc w:val="both"/>
        <w:rPr>
          <w:rFonts w:ascii="Cambria" w:hAnsi="Cambria"/>
          <w:sz w:val="20"/>
          <w:szCs w:val="20"/>
          <w:lang w:val="en-US"/>
        </w:rPr>
      </w:pPr>
      <w:r>
        <w:rPr>
          <w:rFonts w:ascii="Cambria" w:hAnsi="Cambria"/>
          <w:sz w:val="20"/>
          <w:szCs w:val="20"/>
          <w:lang w:val="en-US"/>
        </w:rPr>
        <w:t>In that case, the Inter-American Court analyzed Article 23(2) of the American Convention, particularly, the phrase “</w:t>
      </w:r>
      <w:r w:rsidRPr="00A415C2">
        <w:rPr>
          <w:rFonts w:ascii="Cambria" w:hAnsi="Cambria"/>
          <w:sz w:val="20"/>
          <w:szCs w:val="20"/>
          <w:lang w:val="en-US"/>
        </w:rPr>
        <w:t>conviction by a competent</w:t>
      </w:r>
      <w:r>
        <w:rPr>
          <w:rFonts w:ascii="Cambria" w:hAnsi="Cambria"/>
          <w:sz w:val="20"/>
          <w:szCs w:val="20"/>
          <w:lang w:val="en-US"/>
        </w:rPr>
        <w:t xml:space="preserve"> </w:t>
      </w:r>
      <w:r w:rsidRPr="00A415C2">
        <w:rPr>
          <w:rFonts w:ascii="Cambria" w:hAnsi="Cambria"/>
          <w:sz w:val="20"/>
          <w:szCs w:val="20"/>
          <w:lang w:val="en-US"/>
        </w:rPr>
        <w:t>court in criminal proceedings</w:t>
      </w:r>
      <w:r>
        <w:rPr>
          <w:rFonts w:ascii="Cambria" w:hAnsi="Cambria"/>
          <w:sz w:val="20"/>
          <w:szCs w:val="20"/>
          <w:lang w:val="en-US"/>
        </w:rPr>
        <w:t>,” concluding that restrictions on political rights must be based on the criteria of Article 23(2) of the Convention, and, therefore, that disqualification through an administrative procedure, instead of a criminal one, is prohibited by the American Convention.</w:t>
      </w:r>
      <w:r w:rsidRPr="009B3BD2">
        <w:rPr>
          <w:rStyle w:val="Refdenotaalpie"/>
          <w:rFonts w:ascii="Cambria" w:hAnsi="Cambria" w:cs="Tahoma"/>
          <w:sz w:val="20"/>
          <w:szCs w:val="20"/>
          <w:lang w:val="es-VE"/>
        </w:rPr>
        <w:footnoteReference w:id="82"/>
      </w:r>
      <w:r>
        <w:rPr>
          <w:rFonts w:ascii="Cambria" w:hAnsi="Cambria"/>
          <w:sz w:val="20"/>
          <w:szCs w:val="20"/>
          <w:lang w:val="en-US"/>
        </w:rPr>
        <w:t xml:space="preserve"> The Court stated that:</w:t>
      </w:r>
    </w:p>
    <w:p w14:paraId="28CB8A1A" w14:textId="77777777" w:rsidR="00A84770" w:rsidRDefault="00A84770" w:rsidP="00A84770">
      <w:pPr>
        <w:pStyle w:val="Sangradetextonormal"/>
        <w:ind w:left="0" w:firstLine="0"/>
        <w:jc w:val="both"/>
        <w:rPr>
          <w:rFonts w:ascii="Cambria" w:hAnsi="Cambria"/>
          <w:sz w:val="20"/>
          <w:szCs w:val="20"/>
          <w:lang w:val="en-US"/>
        </w:rPr>
      </w:pPr>
    </w:p>
    <w:p w14:paraId="237DDB24" w14:textId="77777777" w:rsidR="00A84770" w:rsidRDefault="00A84770" w:rsidP="00A84770">
      <w:pPr>
        <w:pStyle w:val="Sangradetextonormal"/>
        <w:ind w:left="709" w:right="803" w:firstLine="0"/>
        <w:jc w:val="both"/>
        <w:rPr>
          <w:rFonts w:ascii="Cambria" w:hAnsi="Cambria"/>
          <w:sz w:val="20"/>
          <w:szCs w:val="20"/>
          <w:lang w:val="en-US"/>
        </w:rPr>
      </w:pPr>
      <w:r>
        <w:rPr>
          <w:rFonts w:ascii="Cambria" w:hAnsi="Cambria"/>
          <w:sz w:val="20"/>
          <w:szCs w:val="20"/>
          <w:lang w:val="en-US"/>
        </w:rPr>
        <w:t>[W]</w:t>
      </w:r>
      <w:proofErr w:type="spellStart"/>
      <w:r w:rsidRPr="00C97932">
        <w:rPr>
          <w:rFonts w:ascii="Cambria" w:hAnsi="Cambria"/>
          <w:sz w:val="20"/>
          <w:szCs w:val="20"/>
          <w:lang w:val="en-US"/>
        </w:rPr>
        <w:t>hich</w:t>
      </w:r>
      <w:proofErr w:type="spellEnd"/>
      <w:r w:rsidRPr="00C97932">
        <w:rPr>
          <w:rFonts w:ascii="Cambria" w:hAnsi="Cambria"/>
          <w:sz w:val="20"/>
          <w:szCs w:val="20"/>
          <w:lang w:val="en-US"/>
        </w:rPr>
        <w:t xml:space="preserve"> is about a</w:t>
      </w:r>
      <w:r>
        <w:rPr>
          <w:rFonts w:ascii="Cambria" w:hAnsi="Cambria"/>
          <w:sz w:val="20"/>
          <w:szCs w:val="20"/>
          <w:lang w:val="en-US"/>
        </w:rPr>
        <w:t xml:space="preserve"> </w:t>
      </w:r>
      <w:r w:rsidRPr="00C97932">
        <w:rPr>
          <w:rFonts w:ascii="Cambria" w:hAnsi="Cambria"/>
          <w:sz w:val="20"/>
          <w:szCs w:val="20"/>
          <w:lang w:val="en-US"/>
        </w:rPr>
        <w:t>restriction imposed by way of a sanction, it should be about a</w:t>
      </w:r>
      <w:r>
        <w:rPr>
          <w:rFonts w:ascii="Cambria" w:hAnsi="Cambria"/>
          <w:sz w:val="20"/>
          <w:szCs w:val="20"/>
          <w:lang w:val="en-US"/>
        </w:rPr>
        <w:t xml:space="preserve"> “conviction by a </w:t>
      </w:r>
      <w:r w:rsidRPr="00C97932">
        <w:rPr>
          <w:rFonts w:ascii="Cambria" w:hAnsi="Cambria"/>
          <w:sz w:val="20"/>
          <w:szCs w:val="20"/>
          <w:lang w:val="en-US"/>
        </w:rPr>
        <w:t>competent</w:t>
      </w:r>
      <w:r>
        <w:rPr>
          <w:rFonts w:ascii="Cambria" w:hAnsi="Cambria"/>
          <w:sz w:val="20"/>
          <w:szCs w:val="20"/>
          <w:lang w:val="en-US"/>
        </w:rPr>
        <w:t xml:space="preserve"> </w:t>
      </w:r>
      <w:r w:rsidRPr="00C97932">
        <w:rPr>
          <w:rFonts w:ascii="Cambria" w:hAnsi="Cambria"/>
          <w:sz w:val="20"/>
          <w:szCs w:val="20"/>
          <w:lang w:val="en-US"/>
        </w:rPr>
        <w:t>court in criminal proceedings.”</w:t>
      </w:r>
      <w:r>
        <w:rPr>
          <w:rFonts w:ascii="Cambria" w:hAnsi="Cambria"/>
          <w:sz w:val="20"/>
          <w:szCs w:val="20"/>
          <w:lang w:val="en-US"/>
        </w:rPr>
        <w:t xml:space="preserve"> </w:t>
      </w:r>
      <w:r w:rsidRPr="00C97932">
        <w:rPr>
          <w:rFonts w:ascii="Cambria" w:hAnsi="Cambria"/>
          <w:sz w:val="20"/>
          <w:szCs w:val="20"/>
          <w:lang w:val="en-US"/>
        </w:rPr>
        <w:t>None of these requirements have been fulfilled, given that</w:t>
      </w:r>
      <w:r>
        <w:rPr>
          <w:rFonts w:ascii="Cambria" w:hAnsi="Cambria"/>
          <w:sz w:val="20"/>
          <w:szCs w:val="20"/>
          <w:lang w:val="en-US"/>
        </w:rPr>
        <w:t xml:space="preserve"> </w:t>
      </w:r>
      <w:r w:rsidRPr="00C97932">
        <w:rPr>
          <w:rFonts w:ascii="Cambria" w:hAnsi="Cambria"/>
          <w:sz w:val="20"/>
          <w:szCs w:val="20"/>
          <w:lang w:val="en-US"/>
        </w:rPr>
        <w:t>the body that imposed the sanctions was not a "competent court,” there was no</w:t>
      </w:r>
      <w:r>
        <w:rPr>
          <w:rFonts w:ascii="Cambria" w:hAnsi="Cambria"/>
          <w:sz w:val="20"/>
          <w:szCs w:val="20"/>
          <w:lang w:val="en-US"/>
        </w:rPr>
        <w:t xml:space="preserve"> </w:t>
      </w:r>
      <w:r w:rsidRPr="00C97932">
        <w:rPr>
          <w:rFonts w:ascii="Cambria" w:hAnsi="Cambria"/>
          <w:sz w:val="20"/>
          <w:szCs w:val="20"/>
          <w:lang w:val="en-US"/>
        </w:rPr>
        <w:t>"conviction," and the sanctions were not applied as a result of a "criminal proceeding,”</w:t>
      </w:r>
      <w:r>
        <w:rPr>
          <w:rFonts w:ascii="Cambria" w:hAnsi="Cambria"/>
          <w:sz w:val="20"/>
          <w:szCs w:val="20"/>
          <w:lang w:val="en-US"/>
        </w:rPr>
        <w:t xml:space="preserve"> </w:t>
      </w:r>
      <w:r w:rsidRPr="00C97932">
        <w:rPr>
          <w:rFonts w:ascii="Cambria" w:hAnsi="Cambria"/>
          <w:sz w:val="20"/>
          <w:szCs w:val="20"/>
          <w:lang w:val="en-US"/>
        </w:rPr>
        <w:t>where the judicial guarantees enshrined in Article 8 of the American Convention should</w:t>
      </w:r>
      <w:r>
        <w:rPr>
          <w:rFonts w:ascii="Cambria" w:hAnsi="Cambria"/>
          <w:sz w:val="20"/>
          <w:szCs w:val="20"/>
          <w:lang w:val="en-US"/>
        </w:rPr>
        <w:t xml:space="preserve"> </w:t>
      </w:r>
      <w:r w:rsidRPr="00C97932">
        <w:rPr>
          <w:rFonts w:ascii="Cambria" w:hAnsi="Cambria"/>
          <w:sz w:val="20"/>
          <w:szCs w:val="20"/>
          <w:lang w:val="en-US"/>
        </w:rPr>
        <w:t>have been respected.</w:t>
      </w:r>
    </w:p>
    <w:p w14:paraId="2E4CC9CC" w14:textId="77777777" w:rsidR="00A84770" w:rsidRDefault="00A84770" w:rsidP="00A84770">
      <w:pPr>
        <w:pStyle w:val="Sangradetextonormal"/>
        <w:ind w:left="0" w:firstLine="0"/>
        <w:jc w:val="both"/>
        <w:rPr>
          <w:rFonts w:ascii="Cambria" w:hAnsi="Cambria"/>
          <w:sz w:val="20"/>
          <w:szCs w:val="20"/>
          <w:lang w:val="en-US"/>
        </w:rPr>
      </w:pPr>
    </w:p>
    <w:p w14:paraId="52E66928" w14:textId="77777777" w:rsidR="00A84770" w:rsidRDefault="00A84770" w:rsidP="00A84770">
      <w:pPr>
        <w:pStyle w:val="Sangradetextonormal"/>
        <w:numPr>
          <w:ilvl w:val="0"/>
          <w:numId w:val="58"/>
        </w:numPr>
        <w:ind w:left="0" w:firstLine="709"/>
        <w:jc w:val="both"/>
        <w:rPr>
          <w:rFonts w:ascii="Cambria" w:hAnsi="Cambria"/>
          <w:sz w:val="20"/>
          <w:szCs w:val="20"/>
          <w:lang w:val="en-US"/>
        </w:rPr>
      </w:pPr>
      <w:r>
        <w:rPr>
          <w:rFonts w:ascii="Cambria" w:hAnsi="Cambria"/>
          <w:sz w:val="20"/>
          <w:szCs w:val="20"/>
          <w:lang w:val="en-US"/>
        </w:rPr>
        <w:t>In its merits report in the same case, the Commission analyzed the sanction of disqualification in relation to the express meaning of Article 23(2) of the American Convention. It concluded that “</w:t>
      </w:r>
      <w:r w:rsidRPr="00216FCC">
        <w:rPr>
          <w:rFonts w:ascii="Cambria" w:hAnsi="Cambria"/>
          <w:sz w:val="20"/>
          <w:szCs w:val="20"/>
          <w:lang w:val="en-US"/>
        </w:rPr>
        <w:t xml:space="preserve">imposing a disqualification from competing for popularly elected office for a period of time is, by nature, a criminal penalty and so the authority imposing it must be required to uphold certain procedural guarantees inherent to </w:t>
      </w:r>
      <w:r w:rsidRPr="00216FCC">
        <w:rPr>
          <w:rFonts w:ascii="Cambria" w:hAnsi="Cambria"/>
          <w:sz w:val="20"/>
          <w:szCs w:val="20"/>
          <w:lang w:val="en-US"/>
        </w:rPr>
        <w:lastRenderedPageBreak/>
        <w:t xml:space="preserve">criminal proceedings, which are </w:t>
      </w:r>
      <w:proofErr w:type="gramStart"/>
      <w:r w:rsidRPr="00216FCC">
        <w:rPr>
          <w:rFonts w:ascii="Cambria" w:hAnsi="Cambria"/>
          <w:sz w:val="20"/>
          <w:szCs w:val="20"/>
          <w:lang w:val="en-US"/>
        </w:rPr>
        <w:t>more strict</w:t>
      </w:r>
      <w:proofErr w:type="gramEnd"/>
      <w:r w:rsidRPr="00216FCC">
        <w:rPr>
          <w:rFonts w:ascii="Cambria" w:hAnsi="Cambria"/>
          <w:sz w:val="20"/>
          <w:szCs w:val="20"/>
          <w:lang w:val="en-US"/>
        </w:rPr>
        <w:t xml:space="preserve"> than the guarantees of due process required in administrative procedures.</w:t>
      </w:r>
      <w:r>
        <w:rPr>
          <w:rFonts w:ascii="Cambria" w:hAnsi="Cambria"/>
          <w:sz w:val="20"/>
          <w:szCs w:val="20"/>
          <w:lang w:val="en-US"/>
        </w:rPr>
        <w:t>”</w:t>
      </w:r>
      <w:r w:rsidRPr="009B3BD2">
        <w:rPr>
          <w:rStyle w:val="Refdenotaalpie"/>
          <w:rFonts w:ascii="Cambria" w:hAnsi="Cambria"/>
          <w:sz w:val="20"/>
          <w:szCs w:val="20"/>
          <w:lang w:val="es-CO"/>
        </w:rPr>
        <w:footnoteReference w:id="83"/>
      </w:r>
    </w:p>
    <w:p w14:paraId="6C5CF966" w14:textId="77777777" w:rsidR="00A84770" w:rsidRPr="00216FCC" w:rsidRDefault="00A84770" w:rsidP="00A84770">
      <w:pPr>
        <w:pStyle w:val="Sangradetextonormal"/>
        <w:ind w:left="709" w:firstLine="0"/>
        <w:jc w:val="both"/>
        <w:rPr>
          <w:rFonts w:ascii="Cambria" w:hAnsi="Cambria"/>
          <w:sz w:val="20"/>
          <w:szCs w:val="20"/>
          <w:lang w:val="en-US"/>
        </w:rPr>
      </w:pPr>
    </w:p>
    <w:p w14:paraId="45D89E0A" w14:textId="77777777" w:rsidR="00A84770" w:rsidRPr="00C90266" w:rsidRDefault="00A84770" w:rsidP="00A84770">
      <w:pPr>
        <w:pStyle w:val="Sangradetextonormal"/>
        <w:numPr>
          <w:ilvl w:val="0"/>
          <w:numId w:val="58"/>
        </w:numPr>
        <w:ind w:left="0" w:firstLine="709"/>
        <w:jc w:val="both"/>
        <w:rPr>
          <w:lang w:val="en-US"/>
        </w:rPr>
      </w:pPr>
      <w:r w:rsidRPr="00C75F95">
        <w:rPr>
          <w:rFonts w:ascii="Cambria" w:hAnsi="Cambria"/>
          <w:sz w:val="20"/>
          <w:szCs w:val="20"/>
          <w:lang w:val="en-US"/>
        </w:rPr>
        <w:t xml:space="preserve">The Commission understands that the requirement </w:t>
      </w:r>
      <w:r>
        <w:rPr>
          <w:rFonts w:ascii="Cambria" w:hAnsi="Cambria"/>
          <w:sz w:val="20"/>
          <w:szCs w:val="20"/>
          <w:lang w:val="en-US"/>
        </w:rPr>
        <w:t xml:space="preserve">of </w:t>
      </w:r>
      <w:r w:rsidRPr="00C75F95">
        <w:rPr>
          <w:rFonts w:ascii="Cambria" w:hAnsi="Cambria"/>
          <w:sz w:val="20"/>
          <w:szCs w:val="20"/>
          <w:lang w:val="en-US"/>
        </w:rPr>
        <w:t xml:space="preserve">a </w:t>
      </w:r>
      <w:r w:rsidRPr="00763D25">
        <w:rPr>
          <w:rFonts w:ascii="Cambria" w:hAnsi="Cambria"/>
          <w:sz w:val="20"/>
          <w:szCs w:val="20"/>
          <w:lang w:val="en-US"/>
        </w:rPr>
        <w:t>final criminal judgment</w:t>
      </w:r>
      <w:r>
        <w:rPr>
          <w:rFonts w:ascii="Cambria" w:hAnsi="Cambria"/>
          <w:sz w:val="20"/>
          <w:szCs w:val="20"/>
          <w:lang w:val="en-US"/>
        </w:rPr>
        <w:t xml:space="preserve"> can be explained because, if </w:t>
      </w:r>
      <w:r w:rsidRPr="00C75F95">
        <w:rPr>
          <w:rFonts w:ascii="Cambria" w:hAnsi="Cambria"/>
          <w:sz w:val="20"/>
          <w:szCs w:val="20"/>
          <w:lang w:val="en-US"/>
        </w:rPr>
        <w:t xml:space="preserve">the disqualification of an officer </w:t>
      </w:r>
      <w:r>
        <w:rPr>
          <w:rFonts w:ascii="Cambria" w:hAnsi="Cambria"/>
          <w:sz w:val="20"/>
          <w:szCs w:val="20"/>
          <w:lang w:val="en-US"/>
        </w:rPr>
        <w:t>is based on solely</w:t>
      </w:r>
      <w:r w:rsidRPr="00C75F95">
        <w:rPr>
          <w:rFonts w:ascii="Cambria" w:hAnsi="Cambria"/>
          <w:sz w:val="20"/>
          <w:szCs w:val="20"/>
          <w:lang w:val="en-US"/>
        </w:rPr>
        <w:t xml:space="preserve"> administrative </w:t>
      </w:r>
      <w:r>
        <w:rPr>
          <w:rFonts w:ascii="Cambria" w:hAnsi="Cambria"/>
          <w:sz w:val="20"/>
          <w:szCs w:val="20"/>
          <w:lang w:val="en-US"/>
        </w:rPr>
        <w:t>offenses, which do not constitute a crime, this co</w:t>
      </w:r>
      <w:r w:rsidRPr="00C75F95">
        <w:rPr>
          <w:rFonts w:ascii="Cambria" w:hAnsi="Cambria"/>
          <w:sz w:val="20"/>
          <w:szCs w:val="20"/>
          <w:lang w:val="en-US"/>
        </w:rPr>
        <w:t xml:space="preserve">uld </w:t>
      </w:r>
      <w:r>
        <w:rPr>
          <w:rFonts w:ascii="Cambria" w:hAnsi="Cambria"/>
          <w:sz w:val="20"/>
          <w:szCs w:val="20"/>
          <w:lang w:val="en-US"/>
        </w:rPr>
        <w:t xml:space="preserve">prevent some </w:t>
      </w:r>
      <w:r w:rsidRPr="00C75F95">
        <w:rPr>
          <w:rFonts w:ascii="Cambria" w:hAnsi="Cambria"/>
          <w:sz w:val="20"/>
          <w:szCs w:val="20"/>
          <w:lang w:val="en-US"/>
        </w:rPr>
        <w:t xml:space="preserve">individuals </w:t>
      </w:r>
      <w:r>
        <w:rPr>
          <w:rFonts w:ascii="Cambria" w:hAnsi="Cambria"/>
          <w:sz w:val="20"/>
          <w:szCs w:val="20"/>
          <w:lang w:val="en-US"/>
        </w:rPr>
        <w:t xml:space="preserve">from </w:t>
      </w:r>
      <w:r w:rsidRPr="00352B97">
        <w:rPr>
          <w:rFonts w:ascii="Cambria" w:hAnsi="Cambria"/>
          <w:sz w:val="20"/>
          <w:szCs w:val="20"/>
          <w:lang w:val="en-US"/>
        </w:rPr>
        <w:t>hold</w:t>
      </w:r>
      <w:r>
        <w:rPr>
          <w:rFonts w:ascii="Cambria" w:hAnsi="Cambria"/>
          <w:sz w:val="20"/>
          <w:szCs w:val="20"/>
          <w:lang w:val="en-US"/>
        </w:rPr>
        <w:t>ing</w:t>
      </w:r>
      <w:r w:rsidRPr="00352B97">
        <w:rPr>
          <w:rFonts w:ascii="Cambria" w:hAnsi="Cambria"/>
          <w:sz w:val="20"/>
          <w:szCs w:val="20"/>
          <w:lang w:val="en-US"/>
        </w:rPr>
        <w:t xml:space="preserve"> public office</w:t>
      </w:r>
      <w:r>
        <w:rPr>
          <w:rFonts w:ascii="Cambria" w:hAnsi="Cambria"/>
          <w:sz w:val="20"/>
          <w:szCs w:val="20"/>
          <w:lang w:val="en-US"/>
        </w:rPr>
        <w:t>. T</w:t>
      </w:r>
      <w:r w:rsidRPr="00C75F95">
        <w:rPr>
          <w:rFonts w:ascii="Cambria" w:hAnsi="Cambria"/>
          <w:sz w:val="20"/>
          <w:szCs w:val="20"/>
          <w:lang w:val="en-US"/>
        </w:rPr>
        <w:t>h</w:t>
      </w:r>
      <w:r>
        <w:rPr>
          <w:rFonts w:ascii="Cambria" w:hAnsi="Cambria"/>
          <w:sz w:val="20"/>
          <w:szCs w:val="20"/>
          <w:lang w:val="en-US"/>
        </w:rPr>
        <w:t>ere are less injurious means to accomplish the</w:t>
      </w:r>
      <w:r w:rsidRPr="00C75F95">
        <w:rPr>
          <w:rFonts w:ascii="Cambria" w:hAnsi="Cambria"/>
          <w:sz w:val="20"/>
          <w:szCs w:val="20"/>
          <w:lang w:val="en-US"/>
        </w:rPr>
        <w:t xml:space="preserve"> objective, </w:t>
      </w:r>
      <w:r w:rsidRPr="00352B97">
        <w:rPr>
          <w:rFonts w:ascii="Cambria" w:hAnsi="Cambria"/>
          <w:sz w:val="20"/>
          <w:szCs w:val="20"/>
          <w:lang w:val="en-US"/>
        </w:rPr>
        <w:t xml:space="preserve">which must be assessed </w:t>
      </w:r>
      <w:r>
        <w:rPr>
          <w:rFonts w:ascii="Cambria" w:hAnsi="Cambria"/>
          <w:sz w:val="20"/>
          <w:szCs w:val="20"/>
          <w:lang w:val="en-US"/>
        </w:rPr>
        <w:t xml:space="preserve">by fully taking into account, </w:t>
      </w:r>
      <w:r w:rsidRPr="00352B97">
        <w:rPr>
          <w:rFonts w:ascii="Cambria" w:hAnsi="Cambria"/>
          <w:sz w:val="20"/>
          <w:szCs w:val="20"/>
          <w:lang w:val="en-US"/>
        </w:rPr>
        <w:t xml:space="preserve">as stated by the European Court, </w:t>
      </w:r>
      <w:r>
        <w:rPr>
          <w:rFonts w:ascii="Cambria" w:hAnsi="Cambria"/>
          <w:sz w:val="20"/>
          <w:szCs w:val="20"/>
          <w:lang w:val="en-US"/>
        </w:rPr>
        <w:t xml:space="preserve">that </w:t>
      </w:r>
      <w:r w:rsidRPr="00352B97">
        <w:rPr>
          <w:rFonts w:ascii="Cambria" w:hAnsi="Cambria"/>
          <w:sz w:val="20"/>
          <w:szCs w:val="20"/>
          <w:lang w:val="en-US"/>
        </w:rPr>
        <w:t>it i</w:t>
      </w:r>
      <w:r>
        <w:rPr>
          <w:rFonts w:ascii="Cambria" w:hAnsi="Cambria"/>
          <w:sz w:val="20"/>
          <w:szCs w:val="20"/>
          <w:lang w:val="en-US"/>
        </w:rPr>
        <w:t>s, in principle, the electorate</w:t>
      </w:r>
      <w:r w:rsidRPr="00352B97">
        <w:rPr>
          <w:rFonts w:ascii="Cambria" w:hAnsi="Cambria"/>
          <w:sz w:val="20"/>
          <w:szCs w:val="20"/>
          <w:lang w:val="en-US"/>
        </w:rPr>
        <w:t xml:space="preserve"> in the democratic system</w:t>
      </w:r>
      <w:r>
        <w:rPr>
          <w:rFonts w:ascii="Cambria" w:hAnsi="Cambria"/>
          <w:sz w:val="20"/>
          <w:szCs w:val="20"/>
          <w:lang w:val="en-US"/>
        </w:rPr>
        <w:t xml:space="preserve"> </w:t>
      </w:r>
      <w:r w:rsidRPr="00352B97">
        <w:rPr>
          <w:rFonts w:ascii="Cambria" w:hAnsi="Cambria"/>
          <w:sz w:val="20"/>
          <w:szCs w:val="20"/>
          <w:lang w:val="en-US"/>
        </w:rPr>
        <w:t>who will</w:t>
      </w:r>
      <w:r>
        <w:rPr>
          <w:rFonts w:ascii="Cambria" w:hAnsi="Cambria"/>
          <w:sz w:val="20"/>
          <w:szCs w:val="20"/>
          <w:lang w:val="en-US"/>
        </w:rPr>
        <w:t xml:space="preserve"> be</w:t>
      </w:r>
      <w:r w:rsidRPr="00352B97">
        <w:rPr>
          <w:rFonts w:ascii="Cambria" w:hAnsi="Cambria"/>
          <w:sz w:val="20"/>
          <w:szCs w:val="20"/>
          <w:lang w:val="en-US"/>
        </w:rPr>
        <w:t xml:space="preserve"> responsible </w:t>
      </w:r>
      <w:r>
        <w:rPr>
          <w:rFonts w:ascii="Cambria" w:hAnsi="Cambria"/>
          <w:sz w:val="20"/>
          <w:szCs w:val="20"/>
          <w:lang w:val="en-US"/>
        </w:rPr>
        <w:t>for determining</w:t>
      </w:r>
      <w:r w:rsidRPr="00352B97">
        <w:rPr>
          <w:rFonts w:ascii="Cambria" w:hAnsi="Cambria"/>
          <w:sz w:val="20"/>
          <w:szCs w:val="20"/>
          <w:lang w:val="en-US"/>
        </w:rPr>
        <w:t xml:space="preserve"> through</w:t>
      </w:r>
      <w:r>
        <w:rPr>
          <w:rFonts w:ascii="Cambria" w:hAnsi="Cambria"/>
          <w:sz w:val="20"/>
          <w:szCs w:val="20"/>
          <w:lang w:val="en-US"/>
        </w:rPr>
        <w:t xml:space="preserve"> their right of active suffrage who is a</w:t>
      </w:r>
      <w:r w:rsidRPr="00352B97">
        <w:rPr>
          <w:rFonts w:ascii="Cambria" w:hAnsi="Cambria"/>
          <w:sz w:val="20"/>
          <w:szCs w:val="20"/>
          <w:lang w:val="en-US"/>
        </w:rPr>
        <w:t xml:space="preserve"> suitable candidate for public office.</w:t>
      </w:r>
      <w:r>
        <w:rPr>
          <w:rFonts w:ascii="Cambria" w:hAnsi="Cambria"/>
          <w:sz w:val="20"/>
          <w:szCs w:val="20"/>
          <w:lang w:val="en-US"/>
        </w:rPr>
        <w:t xml:space="preserve"> Disqualification for mere administrative offenses that do not constitute a crime does not satisfy the standard of proportionality, neither in the ranking of effect on political rights, both of the individual and of society as a whole, and it is especially significant in light of guaranteeing the suitableness of candidates to </w:t>
      </w:r>
      <w:r w:rsidRPr="007B7FF5">
        <w:rPr>
          <w:rFonts w:ascii="Cambria" w:hAnsi="Cambria"/>
          <w:sz w:val="20"/>
          <w:szCs w:val="20"/>
          <w:lang w:val="en-US"/>
        </w:rPr>
        <w:t>hold public office</w:t>
      </w:r>
      <w:r>
        <w:rPr>
          <w:rFonts w:ascii="Cambria" w:hAnsi="Cambria"/>
          <w:sz w:val="20"/>
          <w:szCs w:val="20"/>
          <w:lang w:val="en-US"/>
        </w:rPr>
        <w:t xml:space="preserve"> where they may have committed administrative offenses of a certain </w:t>
      </w:r>
      <w:r w:rsidRPr="007B7FF5">
        <w:rPr>
          <w:rFonts w:ascii="Cambria" w:hAnsi="Cambria"/>
          <w:sz w:val="20"/>
          <w:szCs w:val="20"/>
          <w:lang w:val="en-US"/>
        </w:rPr>
        <w:t>gravity,</w:t>
      </w:r>
      <w:r>
        <w:rPr>
          <w:rFonts w:ascii="Cambria" w:hAnsi="Cambria"/>
          <w:sz w:val="20"/>
          <w:szCs w:val="20"/>
          <w:lang w:val="en-US"/>
        </w:rPr>
        <w:t xml:space="preserve"> by not reaching the level of a crime, that this cannot justify the intense effect on political rights in the terms explained.</w:t>
      </w:r>
      <w:r w:rsidRPr="000337A1">
        <w:rPr>
          <w:rStyle w:val="Refdenotaalpie"/>
          <w:rFonts w:ascii="Cambria" w:hAnsi="Cambria"/>
          <w:sz w:val="20"/>
          <w:szCs w:val="20"/>
          <w:lang w:val="en-US"/>
        </w:rPr>
        <w:t xml:space="preserve"> </w:t>
      </w:r>
      <w:r w:rsidRPr="009B3BD2">
        <w:rPr>
          <w:rStyle w:val="Refdenotaalpie"/>
          <w:rFonts w:ascii="Cambria" w:hAnsi="Cambria"/>
          <w:sz w:val="20"/>
          <w:szCs w:val="20"/>
          <w:lang w:val="es-CO"/>
        </w:rPr>
        <w:footnoteReference w:id="84"/>
      </w:r>
      <w:r>
        <w:rPr>
          <w:rFonts w:ascii="Cambria" w:hAnsi="Cambria"/>
          <w:sz w:val="20"/>
          <w:szCs w:val="20"/>
          <w:lang w:val="en-US"/>
        </w:rPr>
        <w:t xml:space="preserve"> </w:t>
      </w:r>
    </w:p>
    <w:p w14:paraId="2233B356" w14:textId="77777777" w:rsidR="00A84770" w:rsidRPr="00C90266" w:rsidRDefault="00A84770" w:rsidP="00A84770">
      <w:pPr>
        <w:pStyle w:val="Sangradetextonormal"/>
        <w:ind w:left="709" w:firstLine="0"/>
        <w:jc w:val="both"/>
        <w:rPr>
          <w:lang w:val="en-US"/>
        </w:rPr>
      </w:pPr>
    </w:p>
    <w:p w14:paraId="3473AB95" w14:textId="77777777" w:rsidR="00A84770" w:rsidRDefault="00A84770" w:rsidP="00A84770">
      <w:pPr>
        <w:pStyle w:val="Sangradetextonormal"/>
        <w:numPr>
          <w:ilvl w:val="0"/>
          <w:numId w:val="58"/>
        </w:numPr>
        <w:ind w:left="0" w:firstLine="709"/>
        <w:jc w:val="both"/>
        <w:rPr>
          <w:rFonts w:ascii="Cambria" w:hAnsi="Cambria"/>
          <w:sz w:val="20"/>
          <w:szCs w:val="20"/>
          <w:lang w:val="en-US"/>
        </w:rPr>
      </w:pPr>
      <w:r w:rsidRPr="00284541">
        <w:rPr>
          <w:rFonts w:ascii="Cambria" w:hAnsi="Cambria"/>
          <w:sz w:val="20"/>
          <w:szCs w:val="20"/>
          <w:lang w:val="en-US"/>
        </w:rPr>
        <w:t>In sum, both orga</w:t>
      </w:r>
      <w:r>
        <w:rPr>
          <w:rFonts w:ascii="Cambria" w:hAnsi="Cambria"/>
          <w:sz w:val="20"/>
          <w:szCs w:val="20"/>
          <w:lang w:val="en-US"/>
        </w:rPr>
        <w:t>ns of the Inter-American System</w:t>
      </w:r>
      <w:r w:rsidRPr="00284541">
        <w:rPr>
          <w:rFonts w:ascii="Cambria" w:hAnsi="Cambria"/>
          <w:sz w:val="20"/>
          <w:szCs w:val="20"/>
          <w:lang w:val="en-US"/>
        </w:rPr>
        <w:t xml:space="preserve"> have reached the same conclusion </w:t>
      </w:r>
      <w:r>
        <w:rPr>
          <w:rFonts w:ascii="Cambria" w:hAnsi="Cambria"/>
          <w:sz w:val="20"/>
          <w:szCs w:val="20"/>
          <w:lang w:val="en-US"/>
        </w:rPr>
        <w:t>in their</w:t>
      </w:r>
      <w:r w:rsidRPr="00284541">
        <w:rPr>
          <w:rFonts w:ascii="Cambria" w:hAnsi="Cambria"/>
          <w:sz w:val="20"/>
          <w:szCs w:val="20"/>
          <w:lang w:val="en-US"/>
        </w:rPr>
        <w:t xml:space="preserve"> analy</w:t>
      </w:r>
      <w:r>
        <w:rPr>
          <w:rFonts w:ascii="Cambria" w:hAnsi="Cambria"/>
          <w:sz w:val="20"/>
          <w:szCs w:val="20"/>
          <w:lang w:val="en-US"/>
        </w:rPr>
        <w:t xml:space="preserve">sis of </w:t>
      </w:r>
      <w:r w:rsidRPr="00284541">
        <w:rPr>
          <w:rFonts w:ascii="Cambria" w:hAnsi="Cambria"/>
          <w:sz w:val="20"/>
          <w:szCs w:val="20"/>
          <w:lang w:val="en-US"/>
        </w:rPr>
        <w:t xml:space="preserve">Article 23(2) </w:t>
      </w:r>
      <w:r>
        <w:rPr>
          <w:rFonts w:ascii="Cambria" w:hAnsi="Cambria"/>
          <w:sz w:val="20"/>
          <w:szCs w:val="20"/>
          <w:lang w:val="en-US"/>
        </w:rPr>
        <w:t xml:space="preserve">that there is </w:t>
      </w:r>
      <w:r w:rsidRPr="00284541">
        <w:rPr>
          <w:rFonts w:ascii="Cambria" w:hAnsi="Cambria"/>
          <w:sz w:val="20"/>
          <w:szCs w:val="20"/>
          <w:lang w:val="en-US"/>
        </w:rPr>
        <w:t>a c</w:t>
      </w:r>
      <w:r>
        <w:rPr>
          <w:rFonts w:ascii="Cambria" w:hAnsi="Cambria"/>
          <w:sz w:val="20"/>
          <w:szCs w:val="20"/>
          <w:lang w:val="en-US"/>
        </w:rPr>
        <w:t>lear rule according to which the sanction of</w:t>
      </w:r>
      <w:r w:rsidRPr="00284541">
        <w:rPr>
          <w:rFonts w:ascii="Cambria" w:hAnsi="Cambria"/>
          <w:sz w:val="20"/>
          <w:szCs w:val="20"/>
          <w:lang w:val="en-US"/>
        </w:rPr>
        <w:t xml:space="preserve"> disqualification </w:t>
      </w:r>
      <w:r>
        <w:rPr>
          <w:rFonts w:ascii="Cambria" w:hAnsi="Cambria"/>
          <w:sz w:val="20"/>
          <w:szCs w:val="20"/>
          <w:lang w:val="en-US"/>
        </w:rPr>
        <w:t>from being elected by popular vote must be imposed by a final criminal conviction, not through administrative procedures.</w:t>
      </w:r>
    </w:p>
    <w:p w14:paraId="548A3597" w14:textId="77777777" w:rsidR="00A84770" w:rsidRDefault="00A84770" w:rsidP="00A84770">
      <w:pPr>
        <w:pStyle w:val="Sangradetextonormal"/>
        <w:ind w:left="0" w:firstLine="0"/>
        <w:jc w:val="both"/>
        <w:rPr>
          <w:rFonts w:ascii="Cambria" w:hAnsi="Cambria"/>
          <w:sz w:val="20"/>
          <w:szCs w:val="20"/>
          <w:lang w:val="en-US"/>
        </w:rPr>
      </w:pPr>
    </w:p>
    <w:p w14:paraId="5536C01D" w14:textId="77777777" w:rsidR="00A84770" w:rsidRPr="004144AE" w:rsidRDefault="00A84770" w:rsidP="000829C4">
      <w:pPr>
        <w:pStyle w:val="Ttulo2"/>
        <w:numPr>
          <w:ilvl w:val="0"/>
          <w:numId w:val="63"/>
        </w:numPr>
        <w:tabs>
          <w:tab w:val="clear" w:pos="1800"/>
        </w:tabs>
        <w:ind w:hanging="1091"/>
      </w:pPr>
      <w:bookmarkStart w:id="27" w:name="_Toc496666311"/>
      <w:proofErr w:type="spellStart"/>
      <w:r>
        <w:t>Analysis</w:t>
      </w:r>
      <w:proofErr w:type="spellEnd"/>
      <w:r>
        <w:t xml:space="preserve"> of </w:t>
      </w:r>
      <w:proofErr w:type="spellStart"/>
      <w:r>
        <w:t>the</w:t>
      </w:r>
      <w:proofErr w:type="spellEnd"/>
      <w:r>
        <w:t xml:space="preserve"> </w:t>
      </w:r>
      <w:proofErr w:type="spellStart"/>
      <w:r>
        <w:t>present</w:t>
      </w:r>
      <w:proofErr w:type="spellEnd"/>
      <w:r>
        <w:t xml:space="preserve"> case</w:t>
      </w:r>
      <w:bookmarkEnd w:id="27"/>
    </w:p>
    <w:p w14:paraId="307505B5" w14:textId="77777777" w:rsidR="00A84770" w:rsidRDefault="00A84770" w:rsidP="00A84770">
      <w:pPr>
        <w:pStyle w:val="Sangradetextonormal"/>
        <w:ind w:left="0" w:firstLine="0"/>
        <w:jc w:val="both"/>
        <w:rPr>
          <w:rFonts w:ascii="Cambria" w:hAnsi="Cambria"/>
          <w:sz w:val="20"/>
          <w:szCs w:val="20"/>
          <w:lang w:val="en-US"/>
        </w:rPr>
      </w:pPr>
    </w:p>
    <w:p w14:paraId="1468BD2F" w14:textId="77777777" w:rsidR="00A84770" w:rsidRDefault="00A84770" w:rsidP="00A84770">
      <w:pPr>
        <w:pStyle w:val="Sangradetextonormal"/>
        <w:numPr>
          <w:ilvl w:val="0"/>
          <w:numId w:val="58"/>
        </w:numPr>
        <w:ind w:left="0" w:firstLine="709"/>
        <w:jc w:val="both"/>
        <w:rPr>
          <w:rFonts w:ascii="Cambria" w:hAnsi="Cambria"/>
          <w:sz w:val="20"/>
          <w:szCs w:val="20"/>
          <w:lang w:val="en-US"/>
        </w:rPr>
      </w:pPr>
      <w:r>
        <w:rPr>
          <w:rFonts w:ascii="Cambria" w:hAnsi="Cambria"/>
          <w:sz w:val="20"/>
          <w:szCs w:val="20"/>
          <w:lang w:val="en-US"/>
        </w:rPr>
        <w:t xml:space="preserve">In the present case, the Inspector General of the Nation imposed on the alleged victim a sanction of general disqualification from office for a period of 15 years on December 9, 2013, for signing an inter-administrative contract and for issuing Mayoral Decrees 564 and 570. Likewise, he imposed a new and special disqualification on June 27, 2016, for issuing Decree 4002, which modified the norms of the Guidelines of Territorial Planning. The Commission highlights that the Political Constitution grants disciplinary powers to the Office of the Inspector General of the Nation without expressly mentioning the possibility of imposing a sanction of disqualification. Said sanction is considered in the Single Disciplinary Code among the various sanctions that said entity can impose in the exercise of its disciplinary powers as provided by the constitution. </w:t>
      </w:r>
    </w:p>
    <w:p w14:paraId="112E720B" w14:textId="77777777" w:rsidR="00A84770" w:rsidRDefault="00A84770" w:rsidP="00A84770">
      <w:pPr>
        <w:pStyle w:val="Sangradetextonormal"/>
        <w:ind w:left="709" w:firstLine="0"/>
        <w:jc w:val="both"/>
        <w:rPr>
          <w:rFonts w:ascii="Cambria" w:hAnsi="Cambria"/>
          <w:sz w:val="20"/>
          <w:szCs w:val="20"/>
          <w:lang w:val="en-US"/>
        </w:rPr>
      </w:pPr>
    </w:p>
    <w:p w14:paraId="3DD9CBCA" w14:textId="77777777" w:rsidR="00A84770" w:rsidRDefault="00A84770" w:rsidP="00A84770">
      <w:pPr>
        <w:pStyle w:val="Sangradetextonormal"/>
        <w:numPr>
          <w:ilvl w:val="0"/>
          <w:numId w:val="58"/>
        </w:numPr>
        <w:ind w:left="0" w:firstLine="709"/>
        <w:jc w:val="both"/>
        <w:rPr>
          <w:rFonts w:ascii="Cambria" w:hAnsi="Cambria"/>
          <w:sz w:val="20"/>
          <w:szCs w:val="20"/>
          <w:lang w:val="en-US"/>
        </w:rPr>
      </w:pPr>
      <w:r>
        <w:rPr>
          <w:rFonts w:ascii="Cambria" w:hAnsi="Cambria"/>
          <w:sz w:val="20"/>
          <w:szCs w:val="20"/>
          <w:lang w:val="en-US"/>
        </w:rPr>
        <w:t xml:space="preserve">The IACHR observes that the disqualification of Mr. Petro </w:t>
      </w:r>
      <w:proofErr w:type="spellStart"/>
      <w:r>
        <w:rPr>
          <w:rFonts w:ascii="Cambria" w:hAnsi="Cambria"/>
          <w:sz w:val="20"/>
          <w:szCs w:val="20"/>
          <w:lang w:val="en-US"/>
        </w:rPr>
        <w:t>Urrego</w:t>
      </w:r>
      <w:proofErr w:type="spellEnd"/>
      <w:r>
        <w:rPr>
          <w:rFonts w:ascii="Cambria" w:hAnsi="Cambria"/>
          <w:sz w:val="20"/>
          <w:szCs w:val="20"/>
          <w:lang w:val="en-US"/>
        </w:rPr>
        <w:t xml:space="preserve"> was not imposed by a final decision of a criminal court as is required by the above-mentioned standards. Additionally, the authority is not the suitable one to impose a sanction of this nature, given that the disciplinary offenses that Mr. Petro </w:t>
      </w:r>
      <w:proofErr w:type="spellStart"/>
      <w:r>
        <w:rPr>
          <w:rFonts w:ascii="Cambria" w:hAnsi="Cambria"/>
          <w:sz w:val="20"/>
          <w:szCs w:val="20"/>
          <w:lang w:val="en-US"/>
        </w:rPr>
        <w:t>Urrego</w:t>
      </w:r>
      <w:proofErr w:type="spellEnd"/>
      <w:r>
        <w:rPr>
          <w:rFonts w:ascii="Cambria" w:hAnsi="Cambria"/>
          <w:sz w:val="20"/>
          <w:szCs w:val="20"/>
          <w:lang w:val="en-US"/>
        </w:rPr>
        <w:t xml:space="preserve"> may have committed did not constitute criminal offenses, and it is evident that the sanction of disqualification is incompatible with Article 23 of the American Convention as analyzed above. The Commission highlights that the sanctions of dismissal and disqualification were imposed on the alleged victim, then Mayor of Bogota and elected by popular vote, during his mandate. For the above reasons, the sanction of disqualification imposed on Mr. Petro </w:t>
      </w:r>
      <w:proofErr w:type="spellStart"/>
      <w:r>
        <w:rPr>
          <w:rFonts w:ascii="Cambria" w:hAnsi="Cambria"/>
          <w:sz w:val="20"/>
          <w:szCs w:val="20"/>
          <w:lang w:val="en-US"/>
        </w:rPr>
        <w:t>Urrego</w:t>
      </w:r>
      <w:proofErr w:type="spellEnd"/>
      <w:r>
        <w:rPr>
          <w:rFonts w:ascii="Cambria" w:hAnsi="Cambria"/>
          <w:sz w:val="20"/>
          <w:szCs w:val="20"/>
          <w:lang w:val="en-US"/>
        </w:rPr>
        <w:t xml:space="preserve"> constituted an arbitrary restriction and contravenes his political rights. </w:t>
      </w:r>
    </w:p>
    <w:p w14:paraId="676BDC46" w14:textId="77777777" w:rsidR="00A84770" w:rsidRDefault="00A84770" w:rsidP="00A84770">
      <w:pPr>
        <w:pStyle w:val="Sangradetextonormal"/>
        <w:ind w:left="0" w:firstLine="0"/>
        <w:jc w:val="both"/>
        <w:rPr>
          <w:rFonts w:ascii="Cambria" w:hAnsi="Cambria"/>
          <w:sz w:val="20"/>
          <w:szCs w:val="20"/>
          <w:lang w:val="en-US"/>
        </w:rPr>
      </w:pPr>
    </w:p>
    <w:p w14:paraId="2FEE45BE" w14:textId="77777777" w:rsidR="00A84770" w:rsidRDefault="00A84770" w:rsidP="00A84770">
      <w:pPr>
        <w:pStyle w:val="Sangradetextonormal"/>
        <w:numPr>
          <w:ilvl w:val="0"/>
          <w:numId w:val="58"/>
        </w:numPr>
        <w:ind w:left="0" w:firstLine="709"/>
        <w:jc w:val="both"/>
        <w:rPr>
          <w:rFonts w:ascii="Cambria" w:hAnsi="Cambria"/>
          <w:sz w:val="20"/>
          <w:szCs w:val="20"/>
          <w:lang w:val="en-US"/>
        </w:rPr>
      </w:pPr>
      <w:r>
        <w:rPr>
          <w:rFonts w:ascii="Cambria" w:hAnsi="Cambria"/>
          <w:sz w:val="20"/>
          <w:szCs w:val="20"/>
          <w:lang w:val="en-US"/>
        </w:rPr>
        <w:t xml:space="preserve">In addition to this conclusion, the Commission is profoundly concerned about the recent adoption of Article 5 of Law 1864, which imposes a prison sentence of 4-9 years on a person elected to office by popular vote while also disqualified due to a “judicial, administrative, or fiscal” decision. This norm, while validating that disqualification may be imposed by “disciplinary or fiscal” decision, contravenes Article 23 of the American Convention, and, therefore, as stated in the recommendations herein, would constitute another violation of the political rights of Mr. Petro </w:t>
      </w:r>
      <w:proofErr w:type="spellStart"/>
      <w:r>
        <w:rPr>
          <w:rFonts w:ascii="Cambria" w:hAnsi="Cambria"/>
          <w:sz w:val="20"/>
          <w:szCs w:val="20"/>
          <w:lang w:val="en-US"/>
        </w:rPr>
        <w:t>Urrego</w:t>
      </w:r>
      <w:proofErr w:type="spellEnd"/>
      <w:r>
        <w:rPr>
          <w:rFonts w:ascii="Cambria" w:hAnsi="Cambria"/>
          <w:sz w:val="20"/>
          <w:szCs w:val="20"/>
          <w:lang w:val="en-US"/>
        </w:rPr>
        <w:t xml:space="preserve">, who has not been disqualified by a final decision of a criminal procedure as required by the Convention. </w:t>
      </w:r>
    </w:p>
    <w:p w14:paraId="62F65B78" w14:textId="77777777" w:rsidR="00A84770" w:rsidRDefault="00A84770" w:rsidP="00A84770">
      <w:pPr>
        <w:pStyle w:val="Sangradetextonormal"/>
        <w:ind w:left="0" w:firstLine="0"/>
        <w:jc w:val="both"/>
        <w:rPr>
          <w:rFonts w:ascii="Cambria" w:hAnsi="Cambria"/>
          <w:sz w:val="20"/>
          <w:szCs w:val="20"/>
          <w:lang w:val="en-US"/>
        </w:rPr>
      </w:pPr>
    </w:p>
    <w:p w14:paraId="201FF572" w14:textId="77777777" w:rsidR="00A84770" w:rsidRDefault="00A84770" w:rsidP="00A84770">
      <w:pPr>
        <w:pStyle w:val="Sangradetextonormal"/>
        <w:numPr>
          <w:ilvl w:val="0"/>
          <w:numId w:val="58"/>
        </w:numPr>
        <w:ind w:left="0" w:firstLine="709"/>
        <w:jc w:val="both"/>
        <w:rPr>
          <w:rFonts w:ascii="Cambria" w:hAnsi="Cambria"/>
          <w:sz w:val="20"/>
          <w:szCs w:val="20"/>
          <w:lang w:val="en-US"/>
        </w:rPr>
      </w:pPr>
      <w:r>
        <w:rPr>
          <w:rFonts w:ascii="Cambria" w:hAnsi="Cambria"/>
          <w:sz w:val="20"/>
          <w:szCs w:val="20"/>
          <w:lang w:val="en-US"/>
        </w:rPr>
        <w:t xml:space="preserve">Finally, the Commission is cognizant that the main defense of the Colombian State relies on the prior decision of its Constitutional Court holding that the Inspector General of the Nation may disqualifies </w:t>
      </w:r>
      <w:r>
        <w:rPr>
          <w:rFonts w:ascii="Cambria" w:hAnsi="Cambria"/>
          <w:sz w:val="20"/>
          <w:szCs w:val="20"/>
          <w:lang w:val="en-US"/>
        </w:rPr>
        <w:lastRenderedPageBreak/>
        <w:t xml:space="preserve">person through a disciplinary proceeding and that this is compatible with the American Convention. In this regard, the Commission recalls that the organs of the Inter-American system authoritatively interpret the American Convention, and thus may determine whether said judicial interpretation is in accordance with the Convention. In the present case, the decision of the Constitutional Court, invoking Article 23 of the Convention, is incompatible with said Article; both organs of the system concluded as much in </w:t>
      </w:r>
      <w:proofErr w:type="spellStart"/>
      <w:r>
        <w:rPr>
          <w:rFonts w:ascii="Cambria" w:hAnsi="Cambria"/>
          <w:i/>
          <w:sz w:val="20"/>
          <w:szCs w:val="20"/>
          <w:lang w:val="en-US"/>
        </w:rPr>
        <w:t>López</w:t>
      </w:r>
      <w:proofErr w:type="spellEnd"/>
      <w:r>
        <w:rPr>
          <w:rFonts w:ascii="Cambria" w:hAnsi="Cambria"/>
          <w:i/>
          <w:sz w:val="20"/>
          <w:szCs w:val="20"/>
          <w:lang w:val="en-US"/>
        </w:rPr>
        <w:t xml:space="preserve"> Mendoza v. Venezuela</w:t>
      </w:r>
      <w:r>
        <w:rPr>
          <w:rFonts w:ascii="Cambria" w:hAnsi="Cambria"/>
          <w:sz w:val="20"/>
          <w:szCs w:val="20"/>
          <w:lang w:val="en-US"/>
        </w:rPr>
        <w:t xml:space="preserve">, and this is reaffirmed in the instant case. </w:t>
      </w:r>
    </w:p>
    <w:p w14:paraId="0517CAA5" w14:textId="77777777" w:rsidR="00A84770" w:rsidRDefault="00A84770" w:rsidP="00A84770">
      <w:pPr>
        <w:pStyle w:val="Sangradetextonormal"/>
        <w:ind w:left="0" w:firstLine="0"/>
        <w:jc w:val="both"/>
        <w:rPr>
          <w:rFonts w:ascii="Cambria" w:hAnsi="Cambria"/>
          <w:sz w:val="20"/>
          <w:szCs w:val="20"/>
          <w:lang w:val="en-US"/>
        </w:rPr>
      </w:pPr>
    </w:p>
    <w:p w14:paraId="7CC5C034" w14:textId="77777777" w:rsidR="00A84770" w:rsidRDefault="00A84770" w:rsidP="00A84770">
      <w:pPr>
        <w:pStyle w:val="Sangradetextonormal"/>
        <w:numPr>
          <w:ilvl w:val="0"/>
          <w:numId w:val="58"/>
        </w:numPr>
        <w:ind w:left="0" w:firstLine="709"/>
        <w:jc w:val="both"/>
        <w:rPr>
          <w:rFonts w:ascii="Cambria" w:hAnsi="Cambria"/>
          <w:sz w:val="20"/>
          <w:szCs w:val="20"/>
          <w:lang w:val="en-US"/>
        </w:rPr>
      </w:pPr>
      <w:r>
        <w:rPr>
          <w:rFonts w:ascii="Cambria" w:hAnsi="Cambria"/>
          <w:sz w:val="20"/>
          <w:szCs w:val="20"/>
          <w:lang w:val="en-US"/>
        </w:rPr>
        <w:t xml:space="preserve">By virtue of the above considerations, the IACHR concludes that the State of Colombia is responsible for the violation of Articles 23(1) and 23(2) of the American Convention in conjunction with Articles 1(1) and 2 of the same to the detriment of Gustavo Francisco Petro </w:t>
      </w:r>
      <w:proofErr w:type="spellStart"/>
      <w:r>
        <w:rPr>
          <w:rFonts w:ascii="Cambria" w:hAnsi="Cambria"/>
          <w:sz w:val="20"/>
          <w:szCs w:val="20"/>
          <w:lang w:val="en-US"/>
        </w:rPr>
        <w:t>Urrego</w:t>
      </w:r>
      <w:proofErr w:type="spellEnd"/>
      <w:r>
        <w:rPr>
          <w:rFonts w:ascii="Cambria" w:hAnsi="Cambria"/>
          <w:sz w:val="20"/>
          <w:szCs w:val="20"/>
          <w:lang w:val="en-US"/>
        </w:rPr>
        <w:t xml:space="preserve">. Specifically, the violation of the obligation to adopt domestic legal measures is constituted by the entry into force and application to the case of the norms of the Single Disciplinary Code that vest the Office of the Inspector General of the Nation with the power to disqualify, as well as the recent </w:t>
      </w:r>
      <w:r w:rsidRPr="00E7389C">
        <w:rPr>
          <w:rFonts w:ascii="Cambria" w:hAnsi="Cambria"/>
          <w:sz w:val="20"/>
          <w:szCs w:val="20"/>
          <w:lang w:val="en-US"/>
        </w:rPr>
        <w:t>criminalization</w:t>
      </w:r>
      <w:r>
        <w:rPr>
          <w:rFonts w:ascii="Cambria" w:hAnsi="Cambria"/>
          <w:sz w:val="20"/>
          <w:szCs w:val="20"/>
          <w:lang w:val="en-US"/>
        </w:rPr>
        <w:t xml:space="preserve"> of being elected while disqualified by a disciplinary or fiscal decision. </w:t>
      </w:r>
    </w:p>
    <w:p w14:paraId="496B87CC" w14:textId="77777777" w:rsidR="00A84770" w:rsidRDefault="00A84770" w:rsidP="00A84770">
      <w:pPr>
        <w:pStyle w:val="Sangradetextonormal"/>
        <w:ind w:left="0" w:firstLine="0"/>
        <w:jc w:val="both"/>
        <w:rPr>
          <w:rFonts w:ascii="Cambria" w:hAnsi="Cambria"/>
          <w:sz w:val="20"/>
          <w:szCs w:val="20"/>
          <w:lang w:val="en-US"/>
        </w:rPr>
      </w:pPr>
    </w:p>
    <w:p w14:paraId="3D456F28" w14:textId="77777777" w:rsidR="00A84770" w:rsidRPr="009844BB" w:rsidRDefault="00A84770" w:rsidP="000829C4">
      <w:pPr>
        <w:pStyle w:val="Ttulo1"/>
        <w:numPr>
          <w:ilvl w:val="0"/>
          <w:numId w:val="64"/>
        </w:numPr>
        <w:ind w:left="1418" w:hanging="698"/>
        <w:jc w:val="both"/>
        <w:rPr>
          <w:lang w:val="en-US"/>
        </w:rPr>
      </w:pPr>
      <w:bookmarkStart w:id="28" w:name="_Toc496666312"/>
      <w:r>
        <w:rPr>
          <w:lang w:val="en-US"/>
        </w:rPr>
        <w:t>Right to a fair trial</w:t>
      </w:r>
      <w:r w:rsidRPr="009B3BD2">
        <w:rPr>
          <w:rStyle w:val="Refdenotaalpie"/>
          <w:rFonts w:ascii="Cambria" w:hAnsi="Cambria"/>
          <w:b w:val="0"/>
          <w:sz w:val="20"/>
          <w:lang w:val="es-CO"/>
        </w:rPr>
        <w:footnoteReference w:id="85"/>
      </w:r>
      <w:r>
        <w:rPr>
          <w:lang w:val="en-US"/>
        </w:rPr>
        <w:t xml:space="preserve"> and judicial protection</w:t>
      </w:r>
      <w:r w:rsidRPr="009B3BD2">
        <w:rPr>
          <w:rStyle w:val="Refdenotaalpie"/>
          <w:rFonts w:ascii="Cambria" w:hAnsi="Cambria"/>
          <w:b w:val="0"/>
          <w:sz w:val="20"/>
          <w:lang w:val="es-CO"/>
        </w:rPr>
        <w:footnoteReference w:id="86"/>
      </w:r>
      <w:bookmarkEnd w:id="28"/>
      <w:r w:rsidRPr="009844BB">
        <w:rPr>
          <w:lang w:val="en-US"/>
        </w:rPr>
        <w:t xml:space="preserve"> </w:t>
      </w:r>
    </w:p>
    <w:p w14:paraId="2BC62767" w14:textId="77777777" w:rsidR="00A84770" w:rsidRPr="009844BB" w:rsidRDefault="00A84770" w:rsidP="00A84770">
      <w:pPr>
        <w:tabs>
          <w:tab w:val="left" w:pos="1440"/>
        </w:tabs>
        <w:jc w:val="both"/>
      </w:pPr>
    </w:p>
    <w:p w14:paraId="6BE25409" w14:textId="77777777" w:rsidR="00A84770" w:rsidRPr="00C5352C" w:rsidRDefault="00A84770" w:rsidP="000829C4">
      <w:pPr>
        <w:pStyle w:val="Ttulo2"/>
        <w:numPr>
          <w:ilvl w:val="0"/>
          <w:numId w:val="65"/>
        </w:numPr>
        <w:tabs>
          <w:tab w:val="clear" w:pos="1800"/>
        </w:tabs>
        <w:ind w:left="1418" w:hanging="687"/>
      </w:pPr>
      <w:bookmarkStart w:id="29" w:name="_Toc496666313"/>
      <w:r>
        <w:t xml:space="preserve">General </w:t>
      </w:r>
      <w:r w:rsidRPr="00385B17">
        <w:rPr>
          <w:lang w:val="en-US"/>
        </w:rPr>
        <w:t>considerations</w:t>
      </w:r>
      <w:bookmarkEnd w:id="29"/>
    </w:p>
    <w:p w14:paraId="64BED142" w14:textId="77777777" w:rsidR="00A84770" w:rsidRDefault="00A84770" w:rsidP="00A84770">
      <w:pPr>
        <w:pStyle w:val="Sangradetextonormal"/>
        <w:ind w:left="0" w:firstLine="0"/>
        <w:jc w:val="both"/>
        <w:rPr>
          <w:rFonts w:ascii="Cambria" w:hAnsi="Cambria"/>
          <w:sz w:val="20"/>
          <w:szCs w:val="20"/>
          <w:lang w:val="en-US"/>
        </w:rPr>
      </w:pPr>
    </w:p>
    <w:p w14:paraId="076EB1B6" w14:textId="77777777" w:rsidR="00A84770" w:rsidRPr="0005554A" w:rsidRDefault="00A84770" w:rsidP="00A84770">
      <w:pPr>
        <w:pStyle w:val="Sangradetextonormal"/>
        <w:numPr>
          <w:ilvl w:val="0"/>
          <w:numId w:val="58"/>
        </w:numPr>
        <w:ind w:left="0" w:firstLine="709"/>
        <w:jc w:val="both"/>
        <w:rPr>
          <w:rFonts w:ascii="Cambria" w:hAnsi="Cambria"/>
          <w:sz w:val="20"/>
          <w:szCs w:val="20"/>
          <w:lang w:val="en-US"/>
        </w:rPr>
      </w:pPr>
      <w:r>
        <w:rPr>
          <w:rFonts w:ascii="Cambria" w:hAnsi="Cambria"/>
          <w:sz w:val="20"/>
          <w:szCs w:val="20"/>
          <w:lang w:val="en-US"/>
        </w:rPr>
        <w:t>The Commission recalls that both organs of the inter-American system have stated that the guarantees provided in Article 8 of the American Convention are not limited to criminal procedures, but also apply to other types of procedures.</w:t>
      </w:r>
      <w:r w:rsidRPr="009B3BD2">
        <w:rPr>
          <w:rFonts w:ascii="Cambria" w:hAnsi="Cambria"/>
          <w:sz w:val="20"/>
          <w:szCs w:val="20"/>
          <w:vertAlign w:val="superscript"/>
        </w:rPr>
        <w:footnoteReference w:id="87"/>
      </w:r>
      <w:r>
        <w:rPr>
          <w:rFonts w:ascii="Cambria" w:hAnsi="Cambria"/>
          <w:sz w:val="20"/>
          <w:szCs w:val="20"/>
          <w:lang w:val="en-US"/>
        </w:rPr>
        <w:t xml:space="preserve"> Specifically, in relation to </w:t>
      </w:r>
      <w:r w:rsidRPr="00D86E7B">
        <w:rPr>
          <w:rFonts w:ascii="Cambria" w:hAnsi="Cambria"/>
          <w:sz w:val="20"/>
          <w:szCs w:val="20"/>
          <w:lang w:val="en-US"/>
        </w:rPr>
        <w:t xml:space="preserve">proceedings to determine </w:t>
      </w:r>
      <w:r>
        <w:rPr>
          <w:rFonts w:ascii="Cambria" w:hAnsi="Cambria"/>
          <w:sz w:val="20"/>
          <w:szCs w:val="20"/>
          <w:lang w:val="en-US"/>
        </w:rPr>
        <w:t>sanctions, both organs of the system have stated that the guarantees provided in Article 8(2) of the American Convention apply.</w:t>
      </w:r>
      <w:r w:rsidRPr="009B3BD2">
        <w:rPr>
          <w:rFonts w:ascii="Cambria" w:hAnsi="Cambria"/>
          <w:sz w:val="20"/>
          <w:szCs w:val="20"/>
          <w:vertAlign w:val="superscript"/>
        </w:rPr>
        <w:footnoteReference w:id="88"/>
      </w:r>
      <w:r>
        <w:rPr>
          <w:rFonts w:ascii="Cambria" w:hAnsi="Cambria"/>
          <w:sz w:val="20"/>
          <w:szCs w:val="20"/>
          <w:lang w:val="en-US"/>
        </w:rPr>
        <w:t xml:space="preserve"> Taking into consideration that in this case two disciplinary actions to disqualify, a sanction of dismissal, and two fiscal sanctions were imposed, it is evident that these were proceedings to determine sanctions, and, thus, the guarantees of due process apply, as provided in Article 8(2) of the American Convention. For the present case, the following rights become very relevant: the right to a disciplinary authority that is competent, independent and impartial; the principle of presumption of innocence; as well as the right to appeal the sanctioning judgment to a higher and/or judicial instance, in relation to the judicial protection. Next, the Commission shall provide some general considerations related to said guarantees. </w:t>
      </w:r>
    </w:p>
    <w:p w14:paraId="3CA459B3" w14:textId="77777777" w:rsidR="00A84770" w:rsidRDefault="00A84770" w:rsidP="00A84770">
      <w:pPr>
        <w:pStyle w:val="Sangradetextonormal"/>
        <w:ind w:left="709" w:firstLine="0"/>
        <w:jc w:val="both"/>
        <w:rPr>
          <w:rFonts w:ascii="Cambria" w:hAnsi="Cambria"/>
          <w:sz w:val="20"/>
          <w:szCs w:val="20"/>
          <w:lang w:val="en-US"/>
        </w:rPr>
      </w:pPr>
    </w:p>
    <w:p w14:paraId="081205EB" w14:textId="77777777" w:rsidR="00A84770" w:rsidRPr="00407B84" w:rsidRDefault="00A84770" w:rsidP="00A84770">
      <w:pPr>
        <w:pStyle w:val="Sangradetextonormal"/>
        <w:numPr>
          <w:ilvl w:val="0"/>
          <w:numId w:val="58"/>
        </w:numPr>
        <w:ind w:left="0" w:firstLine="709"/>
        <w:jc w:val="both"/>
        <w:rPr>
          <w:rFonts w:ascii="Cambria" w:hAnsi="Cambria"/>
          <w:sz w:val="20"/>
          <w:szCs w:val="20"/>
          <w:lang w:val="en-US"/>
        </w:rPr>
      </w:pPr>
      <w:r>
        <w:rPr>
          <w:rFonts w:ascii="Cambria" w:hAnsi="Cambria"/>
          <w:sz w:val="20"/>
          <w:szCs w:val="20"/>
          <w:lang w:val="en-US"/>
        </w:rPr>
        <w:t xml:space="preserve"> The IACHR recalls that guarantees of independence, competence, and impartiality must be satisfied by authorities engaged in disciplinary proceedings, as it becomes a materially jurisdictional function and an essential assumption of due process, independent of whether the disciplinary authority is formally a tribunal.</w:t>
      </w:r>
      <w:r w:rsidRPr="009B3BD2">
        <w:rPr>
          <w:rStyle w:val="Refdenotaalpie"/>
          <w:rFonts w:ascii="Cambria" w:hAnsi="Cambria"/>
          <w:sz w:val="20"/>
          <w:szCs w:val="20"/>
          <w:lang w:val="es-VE"/>
        </w:rPr>
        <w:footnoteReference w:id="89"/>
      </w:r>
      <w:r>
        <w:rPr>
          <w:rFonts w:ascii="Cambria" w:hAnsi="Cambria"/>
          <w:sz w:val="20"/>
          <w:szCs w:val="20"/>
          <w:lang w:val="en-US"/>
        </w:rPr>
        <w:t xml:space="preserve"> In relation to the impartiality of a disciplinary authority, in accordance with the American </w:t>
      </w:r>
      <w:r>
        <w:rPr>
          <w:rFonts w:ascii="Cambria" w:hAnsi="Cambria"/>
          <w:sz w:val="20"/>
          <w:szCs w:val="20"/>
          <w:lang w:val="en-US"/>
        </w:rPr>
        <w:lastRenderedPageBreak/>
        <w:t xml:space="preserve">Convention, this demands that the authority that intervenes approaches the facts free, in a subjective way, of all prejudice and, offering sufficient guarantees of objectiveness that </w:t>
      </w:r>
      <w:r w:rsidRPr="00B82B23">
        <w:rPr>
          <w:rFonts w:ascii="Cambria" w:hAnsi="Cambria"/>
          <w:sz w:val="20"/>
          <w:szCs w:val="20"/>
          <w:lang w:val="en-US"/>
        </w:rPr>
        <w:t>permit the banishment</w:t>
      </w:r>
      <w:r>
        <w:rPr>
          <w:rFonts w:ascii="Cambria" w:hAnsi="Cambria"/>
          <w:sz w:val="20"/>
          <w:szCs w:val="20"/>
          <w:lang w:val="en-US"/>
        </w:rPr>
        <w:t xml:space="preserve"> of all doubts that justice or the community may have with regard to the absence of impartiality.</w:t>
      </w:r>
      <w:r w:rsidRPr="009B3BD2">
        <w:rPr>
          <w:rStyle w:val="Refdenotaalpie"/>
          <w:rFonts w:ascii="Cambria" w:hAnsi="Cambria"/>
          <w:sz w:val="20"/>
          <w:szCs w:val="20"/>
          <w:lang w:val="es-VE"/>
        </w:rPr>
        <w:footnoteReference w:id="90"/>
      </w:r>
      <w:r>
        <w:rPr>
          <w:rFonts w:ascii="Cambria" w:hAnsi="Cambria"/>
          <w:sz w:val="20"/>
          <w:szCs w:val="20"/>
          <w:lang w:val="en-US"/>
        </w:rPr>
        <w:t xml:space="preserve"> </w:t>
      </w:r>
      <w:r w:rsidRPr="00BE2881">
        <w:rPr>
          <w:rFonts w:ascii="Cambria" w:hAnsi="Cambria"/>
          <w:sz w:val="20"/>
          <w:szCs w:val="20"/>
          <w:lang w:val="en-US"/>
        </w:rPr>
        <w:t xml:space="preserve">The impartiality of the court implies that its members do not have a direct interest, a pre-determined position, </w:t>
      </w:r>
      <w:r>
        <w:rPr>
          <w:rFonts w:ascii="Cambria" w:hAnsi="Cambria"/>
          <w:sz w:val="20"/>
          <w:szCs w:val="20"/>
          <w:lang w:val="en-US"/>
        </w:rPr>
        <w:t>a preference for one of the parties, and they are not involved in the controversy.</w:t>
      </w:r>
      <w:r w:rsidRPr="009B3BD2">
        <w:rPr>
          <w:rStyle w:val="Refdenotaalpie"/>
          <w:rFonts w:ascii="Cambria" w:hAnsi="Cambria"/>
          <w:sz w:val="20"/>
          <w:szCs w:val="20"/>
          <w:lang w:val="es-VE"/>
        </w:rPr>
        <w:footnoteReference w:id="91"/>
      </w:r>
      <w:r>
        <w:rPr>
          <w:rFonts w:ascii="Cambria" w:hAnsi="Cambria"/>
          <w:sz w:val="20"/>
          <w:szCs w:val="20"/>
          <w:lang w:val="en-US"/>
        </w:rPr>
        <w:t xml:space="preserve"> The European Court has explained that personal or subjective impartiality is </w:t>
      </w:r>
      <w:r w:rsidRPr="00A771ED">
        <w:rPr>
          <w:rFonts w:ascii="Cambria" w:hAnsi="Cambria"/>
          <w:sz w:val="20"/>
          <w:szCs w:val="20"/>
          <w:lang w:val="en-US"/>
        </w:rPr>
        <w:t>presumed</w:t>
      </w:r>
      <w:r>
        <w:rPr>
          <w:rFonts w:ascii="Cambria" w:hAnsi="Cambria"/>
          <w:sz w:val="20"/>
          <w:szCs w:val="20"/>
          <w:lang w:val="en-US"/>
        </w:rPr>
        <w:t xml:space="preserve"> unless there evidence otherwise. For its part, the objective test consists in determining whether there are ascertainable facts which may raise doubts as to the judge’s impartiality.</w:t>
      </w:r>
      <w:r w:rsidRPr="009B3BD2">
        <w:rPr>
          <w:rStyle w:val="Refdenotaalpie"/>
          <w:rFonts w:ascii="Cambria" w:hAnsi="Cambria"/>
          <w:sz w:val="20"/>
          <w:szCs w:val="20"/>
          <w:lang w:val="es-VE"/>
        </w:rPr>
        <w:footnoteReference w:id="92"/>
      </w:r>
      <w:r>
        <w:rPr>
          <w:rFonts w:ascii="Cambria" w:hAnsi="Cambria"/>
          <w:sz w:val="20"/>
          <w:szCs w:val="20"/>
          <w:lang w:val="en-US"/>
        </w:rPr>
        <w:t xml:space="preserve"> </w:t>
      </w:r>
    </w:p>
    <w:p w14:paraId="3679AC56" w14:textId="77777777" w:rsidR="00A84770" w:rsidRPr="00D86E7B" w:rsidRDefault="00A84770" w:rsidP="00A84770">
      <w:pPr>
        <w:pStyle w:val="Sangradetextonormal"/>
        <w:ind w:left="0" w:firstLine="0"/>
        <w:jc w:val="both"/>
        <w:rPr>
          <w:rFonts w:ascii="Cambria" w:hAnsi="Cambria"/>
          <w:sz w:val="20"/>
          <w:szCs w:val="20"/>
          <w:lang w:val="en-US"/>
        </w:rPr>
      </w:pPr>
    </w:p>
    <w:p w14:paraId="74D54045" w14:textId="77777777" w:rsidR="00A84770" w:rsidRDefault="00A84770" w:rsidP="00A84770">
      <w:pPr>
        <w:pStyle w:val="Sangradetextonormal"/>
        <w:numPr>
          <w:ilvl w:val="0"/>
          <w:numId w:val="58"/>
        </w:numPr>
        <w:ind w:left="0" w:firstLine="709"/>
        <w:jc w:val="both"/>
        <w:rPr>
          <w:rFonts w:ascii="Cambria" w:hAnsi="Cambria"/>
          <w:sz w:val="20"/>
          <w:szCs w:val="20"/>
          <w:lang w:val="en-US"/>
        </w:rPr>
      </w:pPr>
      <w:r>
        <w:rPr>
          <w:rFonts w:ascii="Cambria" w:hAnsi="Cambria"/>
          <w:sz w:val="20"/>
          <w:szCs w:val="20"/>
          <w:lang w:val="en-US"/>
        </w:rPr>
        <w:t xml:space="preserve"> With regard to the right to appeal, the IACHR recalls that said right is part of due process of law in a disciplinary sanctions proceeding,</w:t>
      </w:r>
      <w:r w:rsidRPr="009B3BD2">
        <w:rPr>
          <w:rFonts w:ascii="Cambria" w:hAnsi="Cambria"/>
          <w:sz w:val="20"/>
          <w:szCs w:val="20"/>
          <w:vertAlign w:val="superscript"/>
        </w:rPr>
        <w:footnoteReference w:id="93"/>
      </w:r>
      <w:r w:rsidRPr="00692AD7">
        <w:rPr>
          <w:rFonts w:ascii="Cambria" w:hAnsi="Cambria"/>
          <w:sz w:val="20"/>
          <w:szCs w:val="20"/>
          <w:lang w:val="en-US"/>
        </w:rPr>
        <w:t xml:space="preserve"> and is a </w:t>
      </w:r>
      <w:r>
        <w:rPr>
          <w:rFonts w:ascii="Cambria" w:hAnsi="Cambria"/>
          <w:sz w:val="20"/>
          <w:szCs w:val="20"/>
          <w:lang w:val="en-US"/>
        </w:rPr>
        <w:t>guarantee whose purpose is to avoid miscarriage of justice</w:t>
      </w:r>
      <w:r w:rsidRPr="00657D12">
        <w:rPr>
          <w:rFonts w:ascii="Cambria" w:hAnsi="Cambria"/>
          <w:sz w:val="20"/>
          <w:szCs w:val="20"/>
          <w:lang w:val="en-US"/>
        </w:rPr>
        <w:t xml:space="preserve"> becoming </w:t>
      </w:r>
      <w:r w:rsidRPr="00657D12">
        <w:rPr>
          <w:rFonts w:ascii="Cambria" w:hAnsi="Cambria"/>
          <w:i/>
          <w:sz w:val="20"/>
          <w:szCs w:val="20"/>
          <w:lang w:val="en-US"/>
        </w:rPr>
        <w:t>res judicata</w:t>
      </w:r>
      <w:r w:rsidRPr="00657D12">
        <w:rPr>
          <w:rFonts w:ascii="Cambria" w:hAnsi="Cambria"/>
          <w:sz w:val="20"/>
          <w:szCs w:val="20"/>
          <w:lang w:val="en-US"/>
        </w:rPr>
        <w:t>.</w:t>
      </w:r>
      <w:r w:rsidRPr="009B3BD2">
        <w:rPr>
          <w:rStyle w:val="Refdenotaalpie"/>
          <w:rFonts w:ascii="Cambria" w:hAnsi="Cambria"/>
          <w:sz w:val="20"/>
          <w:szCs w:val="20"/>
          <w:lang w:val="es-CO"/>
        </w:rPr>
        <w:footnoteReference w:id="94"/>
      </w:r>
      <w:r w:rsidRPr="00657D12">
        <w:rPr>
          <w:rFonts w:ascii="Cambria" w:hAnsi="Cambria"/>
          <w:sz w:val="20"/>
          <w:szCs w:val="20"/>
          <w:lang w:val="en-US"/>
        </w:rPr>
        <w:t xml:space="preserve"> </w:t>
      </w:r>
      <w:r>
        <w:rPr>
          <w:rFonts w:ascii="Cambria" w:hAnsi="Cambria"/>
          <w:sz w:val="20"/>
          <w:szCs w:val="20"/>
          <w:lang w:val="en-US"/>
        </w:rPr>
        <w:t>In relation to the scope of the right to appeal, both the IACHR and the Court have stated that this requires a review by a different and higher judge or court and on both issues of fact and law of the appealed decision.</w:t>
      </w:r>
      <w:r w:rsidRPr="009B3BD2">
        <w:rPr>
          <w:rStyle w:val="Refdenotaalpie"/>
          <w:rFonts w:ascii="Cambria" w:hAnsi="Cambria"/>
          <w:sz w:val="20"/>
          <w:szCs w:val="20"/>
          <w:lang w:val="es-CO"/>
        </w:rPr>
        <w:footnoteReference w:id="95"/>
      </w:r>
      <w:r>
        <w:rPr>
          <w:rFonts w:ascii="Cambria" w:hAnsi="Cambria"/>
          <w:sz w:val="20"/>
          <w:szCs w:val="20"/>
          <w:lang w:val="en-US"/>
        </w:rPr>
        <w:t xml:space="preserve"> The appeal must proceed before the judgment becomes </w:t>
      </w:r>
      <w:r>
        <w:rPr>
          <w:rFonts w:ascii="Cambria" w:hAnsi="Cambria"/>
          <w:i/>
          <w:sz w:val="20"/>
          <w:szCs w:val="20"/>
          <w:lang w:val="en-US"/>
        </w:rPr>
        <w:t>res judicata</w:t>
      </w:r>
      <w:r>
        <w:rPr>
          <w:rFonts w:ascii="Cambria" w:hAnsi="Cambria"/>
          <w:sz w:val="20"/>
          <w:szCs w:val="20"/>
          <w:lang w:val="en-US"/>
        </w:rPr>
        <w:t xml:space="preserve">, it must be resolved within a reasonable timeframe, it must be timely and effective, i.e. </w:t>
      </w:r>
      <w:r w:rsidRPr="00F71246">
        <w:rPr>
          <w:rFonts w:ascii="Cambria" w:hAnsi="Cambria"/>
          <w:sz w:val="20"/>
          <w:szCs w:val="20"/>
          <w:lang w:val="en-US"/>
        </w:rPr>
        <w:t xml:space="preserve">it must provide a result </w:t>
      </w:r>
      <w:r>
        <w:rPr>
          <w:rFonts w:ascii="Cambria" w:hAnsi="Cambria"/>
          <w:sz w:val="20"/>
          <w:szCs w:val="20"/>
          <w:lang w:val="en-US"/>
        </w:rPr>
        <w:t>or answer as required</w:t>
      </w:r>
      <w:r w:rsidRPr="00F71246">
        <w:rPr>
          <w:rFonts w:ascii="Cambria" w:hAnsi="Cambria"/>
          <w:sz w:val="20"/>
          <w:szCs w:val="20"/>
          <w:lang w:val="en-US"/>
        </w:rPr>
        <w:t>.</w:t>
      </w:r>
      <w:r>
        <w:rPr>
          <w:rFonts w:ascii="Cambria" w:hAnsi="Cambria"/>
          <w:sz w:val="20"/>
          <w:szCs w:val="20"/>
          <w:lang w:val="en-US"/>
        </w:rPr>
        <w:t xml:space="preserve">  In addition, it must be accessible, without requiring major formalities, which could render the right illusory.</w:t>
      </w:r>
      <w:r w:rsidRPr="00391343">
        <w:rPr>
          <w:rStyle w:val="Refdenotaalpie"/>
          <w:rFonts w:ascii="Cambria" w:hAnsi="Cambria"/>
          <w:sz w:val="20"/>
          <w:szCs w:val="20"/>
          <w:lang w:val="en-US"/>
        </w:rPr>
        <w:t xml:space="preserve"> </w:t>
      </w:r>
      <w:r w:rsidRPr="009B3BD2">
        <w:rPr>
          <w:rStyle w:val="Refdenotaalpie"/>
          <w:rFonts w:ascii="Cambria" w:hAnsi="Cambria"/>
          <w:sz w:val="20"/>
          <w:szCs w:val="20"/>
          <w:lang w:val="es-CO"/>
        </w:rPr>
        <w:footnoteReference w:id="96"/>
      </w:r>
      <w:r>
        <w:rPr>
          <w:rFonts w:ascii="Cambria" w:hAnsi="Cambria"/>
          <w:sz w:val="20"/>
          <w:szCs w:val="20"/>
          <w:lang w:val="en-US"/>
        </w:rPr>
        <w:t xml:space="preserve"> </w:t>
      </w:r>
    </w:p>
    <w:p w14:paraId="340F9FE3" w14:textId="77777777" w:rsidR="00A84770" w:rsidRDefault="00A84770" w:rsidP="00A84770">
      <w:pPr>
        <w:pStyle w:val="Sangradetextonormal"/>
        <w:ind w:left="0" w:firstLine="0"/>
        <w:jc w:val="both"/>
        <w:rPr>
          <w:rFonts w:ascii="Cambria" w:hAnsi="Cambria"/>
          <w:sz w:val="20"/>
          <w:szCs w:val="20"/>
          <w:lang w:val="en-US"/>
        </w:rPr>
      </w:pPr>
    </w:p>
    <w:p w14:paraId="56759504" w14:textId="77777777" w:rsidR="00A84770" w:rsidRPr="00D82AC8" w:rsidRDefault="00A84770" w:rsidP="00A84770">
      <w:pPr>
        <w:pStyle w:val="Sangradetextonormal"/>
        <w:numPr>
          <w:ilvl w:val="0"/>
          <w:numId w:val="58"/>
        </w:numPr>
        <w:ind w:left="0" w:firstLine="709"/>
        <w:jc w:val="both"/>
        <w:rPr>
          <w:rFonts w:ascii="Cambria" w:hAnsi="Cambria"/>
          <w:sz w:val="20"/>
          <w:szCs w:val="20"/>
          <w:lang w:val="en-US"/>
        </w:rPr>
      </w:pPr>
      <w:r>
        <w:rPr>
          <w:rFonts w:ascii="Cambria" w:hAnsi="Cambria"/>
          <w:sz w:val="20"/>
          <w:szCs w:val="20"/>
          <w:lang w:val="en-US"/>
        </w:rPr>
        <w:t xml:space="preserve">Finally, the IACHR recalls that the State has the general obligation to provide effective judicial remedies to persons alleging human rights violations (Article 25), which must be </w:t>
      </w:r>
      <w:r w:rsidRPr="00EC2B5E">
        <w:rPr>
          <w:rFonts w:ascii="Cambria" w:hAnsi="Cambria"/>
          <w:sz w:val="20"/>
          <w:szCs w:val="20"/>
          <w:lang w:val="en-US"/>
        </w:rPr>
        <w:t>substantiated</w:t>
      </w:r>
      <w:r>
        <w:rPr>
          <w:rFonts w:ascii="Cambria" w:hAnsi="Cambria"/>
          <w:sz w:val="20"/>
          <w:szCs w:val="20"/>
          <w:lang w:val="en-US"/>
        </w:rPr>
        <w:t xml:space="preserve"> in accordance with the rules of due process of law (Article 8(1)). For the existence of an effective recourse it is not enough that it is established by law, it must be truly appropriate to determine whether there has been a violation of human rights and to provide everything necessary to remedy it.</w:t>
      </w:r>
      <w:r w:rsidRPr="009B3BD2">
        <w:rPr>
          <w:rFonts w:ascii="Cambria" w:hAnsi="Cambria"/>
          <w:sz w:val="20"/>
          <w:szCs w:val="20"/>
          <w:vertAlign w:val="superscript"/>
        </w:rPr>
        <w:footnoteReference w:id="97"/>
      </w:r>
      <w:r>
        <w:rPr>
          <w:rFonts w:ascii="Cambria" w:hAnsi="Cambria"/>
          <w:sz w:val="20"/>
          <w:szCs w:val="20"/>
          <w:lang w:val="en-US"/>
        </w:rPr>
        <w:t xml:space="preserve"> </w:t>
      </w:r>
    </w:p>
    <w:p w14:paraId="77E29437" w14:textId="77777777" w:rsidR="00A84770" w:rsidRDefault="00A84770" w:rsidP="00A8477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rPr>
          <w:rFonts w:ascii="Cambria" w:hAnsi="Cambria"/>
          <w:sz w:val="20"/>
          <w:szCs w:val="20"/>
          <w:lang w:val="en-US"/>
        </w:rPr>
      </w:pPr>
    </w:p>
    <w:p w14:paraId="4A5CF30C" w14:textId="77777777" w:rsidR="00A84770" w:rsidRPr="00065295" w:rsidRDefault="00A84770" w:rsidP="000829C4">
      <w:pPr>
        <w:pStyle w:val="Ttulo2"/>
        <w:numPr>
          <w:ilvl w:val="0"/>
          <w:numId w:val="65"/>
        </w:numPr>
        <w:tabs>
          <w:tab w:val="clear" w:pos="1800"/>
        </w:tabs>
        <w:ind w:left="1418" w:hanging="687"/>
        <w:rPr>
          <w:lang w:val="en-US"/>
        </w:rPr>
      </w:pPr>
      <w:bookmarkStart w:id="30" w:name="_Toc496666314"/>
      <w:r w:rsidRPr="00065295">
        <w:rPr>
          <w:lang w:val="en-US"/>
        </w:rPr>
        <w:t>Analysis of the present case</w:t>
      </w:r>
      <w:bookmarkEnd w:id="30"/>
    </w:p>
    <w:p w14:paraId="6AE4F0F1" w14:textId="77777777" w:rsidR="00A84770" w:rsidRDefault="00A84770" w:rsidP="00A84770">
      <w:pPr>
        <w:pStyle w:val="Sangradetextonormal"/>
        <w:ind w:left="0" w:firstLine="0"/>
        <w:jc w:val="both"/>
        <w:rPr>
          <w:rFonts w:ascii="Cambria" w:hAnsi="Cambria"/>
          <w:sz w:val="20"/>
          <w:szCs w:val="20"/>
          <w:lang w:val="en-US"/>
        </w:rPr>
      </w:pPr>
    </w:p>
    <w:p w14:paraId="6BFC48BB" w14:textId="77777777" w:rsidR="00A84770" w:rsidRDefault="00A84770" w:rsidP="00A84770">
      <w:pPr>
        <w:pStyle w:val="Sangradetextonormal"/>
        <w:numPr>
          <w:ilvl w:val="0"/>
          <w:numId w:val="58"/>
        </w:numPr>
        <w:ind w:left="0" w:firstLine="709"/>
        <w:jc w:val="both"/>
        <w:rPr>
          <w:rFonts w:ascii="Cambria" w:hAnsi="Cambria"/>
          <w:sz w:val="20"/>
          <w:szCs w:val="20"/>
          <w:lang w:val="en-US"/>
        </w:rPr>
      </w:pPr>
      <w:r>
        <w:rPr>
          <w:rFonts w:ascii="Cambria" w:hAnsi="Cambria"/>
          <w:sz w:val="20"/>
          <w:szCs w:val="20"/>
          <w:lang w:val="en-US"/>
        </w:rPr>
        <w:t xml:space="preserve">First, in relation to the guarantee of objective impartiality of the disciplinary authority, in the instant case there were two disciplinary proceedings that imposed the sanction of disqualification against the alleged victim, and in one his dismissal, and both the charges and sanctions were issued by the same organ. With regard to the first process, the charges were laid on June 20, 2013, by the Disciplinary Chamber of the Office of the Inspector General of the Nation and the decision to sanction was issued on December 9, 2013, by the same Disciplinary Chamber. With regard to the second process, the charges were made on August 10, 2015, by the Office of the Inspector General of the Nation and the decision to sanction was issued on June 27, 2016, by the Inspector General of the Nation. </w:t>
      </w:r>
    </w:p>
    <w:p w14:paraId="487F1F73" w14:textId="77777777" w:rsidR="00A84770" w:rsidRDefault="00A84770" w:rsidP="00A84770">
      <w:pPr>
        <w:pStyle w:val="Sangradetextonormal"/>
        <w:ind w:left="709" w:firstLine="0"/>
        <w:jc w:val="both"/>
        <w:rPr>
          <w:rFonts w:ascii="Cambria" w:hAnsi="Cambria"/>
          <w:sz w:val="20"/>
          <w:szCs w:val="20"/>
          <w:lang w:val="en-US"/>
        </w:rPr>
      </w:pPr>
    </w:p>
    <w:p w14:paraId="4FE65FCF" w14:textId="77777777" w:rsidR="00A84770" w:rsidRDefault="00A84770" w:rsidP="00A84770">
      <w:pPr>
        <w:pStyle w:val="Sangradetextonormal"/>
        <w:numPr>
          <w:ilvl w:val="0"/>
          <w:numId w:val="58"/>
        </w:numPr>
        <w:ind w:left="0" w:firstLine="709"/>
        <w:jc w:val="both"/>
        <w:rPr>
          <w:rFonts w:ascii="Cambria" w:hAnsi="Cambria"/>
          <w:sz w:val="20"/>
          <w:szCs w:val="20"/>
          <w:lang w:val="en-US"/>
        </w:rPr>
      </w:pPr>
      <w:r>
        <w:rPr>
          <w:rFonts w:ascii="Cambria" w:hAnsi="Cambria"/>
          <w:sz w:val="20"/>
          <w:szCs w:val="20"/>
          <w:lang w:val="en-US"/>
        </w:rPr>
        <w:t xml:space="preserve">The Commission observes that in the present case that the same body exercised in each proceeding the functions of both filing charges and later adopting a decision on the same. This is troublesome </w:t>
      </w:r>
      <w:r>
        <w:rPr>
          <w:rFonts w:ascii="Cambria" w:hAnsi="Cambria"/>
          <w:i/>
          <w:sz w:val="20"/>
          <w:szCs w:val="20"/>
          <w:lang w:val="en-US"/>
        </w:rPr>
        <w:t>vis-á-vis</w:t>
      </w:r>
      <w:r>
        <w:rPr>
          <w:rFonts w:ascii="Cambria" w:hAnsi="Cambria"/>
          <w:sz w:val="20"/>
          <w:szCs w:val="20"/>
          <w:lang w:val="en-US"/>
        </w:rPr>
        <w:t xml:space="preserve"> the guarantee of impartiality, particularly from the perspective of objectiveness, because it implies that the disciplinary authority would first have an idea of the facts and the way in which they fit the specific </w:t>
      </w:r>
      <w:r>
        <w:rPr>
          <w:rFonts w:ascii="Cambria" w:hAnsi="Cambria"/>
          <w:sz w:val="20"/>
          <w:szCs w:val="20"/>
          <w:lang w:val="en-US"/>
        </w:rPr>
        <w:lastRenderedPageBreak/>
        <w:t xml:space="preserve">disciplinary proceeding. The applicable legislation determines that the disciplinary authority issues the charges when “the offense is objectively determined” and “there is evidence that compromises the responsibility of the </w:t>
      </w:r>
      <w:r w:rsidRPr="00CC0743">
        <w:rPr>
          <w:rFonts w:ascii="Cambria" w:hAnsi="Cambria"/>
          <w:sz w:val="20"/>
          <w:szCs w:val="20"/>
          <w:lang w:val="en-US"/>
        </w:rPr>
        <w:t>defendant</w:t>
      </w:r>
      <w:r>
        <w:rPr>
          <w:rFonts w:ascii="Cambria" w:hAnsi="Cambria"/>
          <w:sz w:val="20"/>
          <w:szCs w:val="20"/>
          <w:lang w:val="en-US"/>
        </w:rPr>
        <w:t xml:space="preserve">.” This means, evidently, that from the time that the Disciplinary Chamber of the Inspector’s Office formulated a statement of charges, it had already determined a position about the disciplinary liability of Mr. Petro </w:t>
      </w:r>
      <w:proofErr w:type="spellStart"/>
      <w:r>
        <w:rPr>
          <w:rFonts w:ascii="Cambria" w:hAnsi="Cambria"/>
          <w:sz w:val="20"/>
          <w:szCs w:val="20"/>
          <w:lang w:val="en-US"/>
        </w:rPr>
        <w:t>Urrego</w:t>
      </w:r>
      <w:proofErr w:type="spellEnd"/>
      <w:r>
        <w:rPr>
          <w:rFonts w:ascii="Cambria" w:hAnsi="Cambria"/>
          <w:sz w:val="20"/>
          <w:szCs w:val="20"/>
          <w:lang w:val="en-US"/>
        </w:rPr>
        <w:t xml:space="preserve">. In light of said situation, the IACHR observes that these did not act in their </w:t>
      </w:r>
      <w:r w:rsidRPr="00E92485">
        <w:rPr>
          <w:rFonts w:ascii="Cambria" w:hAnsi="Cambria"/>
          <w:sz w:val="20"/>
          <w:szCs w:val="20"/>
          <w:lang w:val="en-US"/>
        </w:rPr>
        <w:t xml:space="preserve">materially jurisdictional function </w:t>
      </w:r>
      <w:r>
        <w:rPr>
          <w:rFonts w:ascii="Cambria" w:hAnsi="Cambria"/>
          <w:sz w:val="20"/>
          <w:szCs w:val="20"/>
          <w:lang w:val="en-US"/>
        </w:rPr>
        <w:t xml:space="preserve">free from </w:t>
      </w:r>
      <w:r w:rsidRPr="00E92485">
        <w:rPr>
          <w:rFonts w:ascii="Cambria" w:hAnsi="Cambria"/>
          <w:sz w:val="20"/>
          <w:szCs w:val="20"/>
          <w:lang w:val="en-US"/>
        </w:rPr>
        <w:t>all prejudice</w:t>
      </w:r>
      <w:r>
        <w:rPr>
          <w:rFonts w:ascii="Cambria" w:hAnsi="Cambria"/>
          <w:sz w:val="20"/>
          <w:szCs w:val="20"/>
          <w:lang w:val="en-US"/>
        </w:rPr>
        <w:t xml:space="preserve"> and, consequently, impartially. The Commission observes that the design through which the same authority that files charges is the one that decides culpability, and the manner in which it operated in the present case, with the imposition of severe sanctions i.e., disqualification for 15 years and the dismissal of a popularly-elected Mayor, imposed a disproportionate burden on the defendant to demonstrate, to the same authority that filed the charges, that he did not commit the associated offenses. This also runs contrary to the principle of presumption of innocence applicable to all sanctions proceedings. </w:t>
      </w:r>
    </w:p>
    <w:p w14:paraId="53F66AA7" w14:textId="77777777" w:rsidR="00A84770" w:rsidRDefault="00A84770" w:rsidP="00A84770">
      <w:pPr>
        <w:pStyle w:val="Sangradetextonormal"/>
        <w:ind w:left="709" w:firstLine="0"/>
        <w:jc w:val="both"/>
        <w:rPr>
          <w:rFonts w:ascii="Cambria" w:hAnsi="Cambria"/>
          <w:sz w:val="20"/>
          <w:szCs w:val="20"/>
          <w:lang w:val="en-US"/>
        </w:rPr>
      </w:pPr>
    </w:p>
    <w:p w14:paraId="2F667C6F" w14:textId="77777777" w:rsidR="00A84770" w:rsidRDefault="00A84770" w:rsidP="00A84770">
      <w:pPr>
        <w:pStyle w:val="Sangradetextonormal"/>
        <w:numPr>
          <w:ilvl w:val="0"/>
          <w:numId w:val="58"/>
        </w:numPr>
        <w:ind w:left="0" w:firstLine="709"/>
        <w:jc w:val="both"/>
        <w:rPr>
          <w:rFonts w:ascii="Cambria" w:hAnsi="Cambria"/>
          <w:sz w:val="20"/>
          <w:szCs w:val="20"/>
          <w:lang w:val="en-US"/>
        </w:rPr>
      </w:pPr>
      <w:r>
        <w:rPr>
          <w:rFonts w:ascii="Cambria" w:hAnsi="Cambria"/>
          <w:sz w:val="20"/>
          <w:szCs w:val="20"/>
          <w:lang w:val="en-US"/>
        </w:rPr>
        <w:t xml:space="preserve">By virtue of the above, the IACHR concludes that the State of Colombia violated the right that a sanctioning decision is made by an impartial authority as well as the principle of the presumption of innocence. </w:t>
      </w:r>
    </w:p>
    <w:p w14:paraId="09C07A28" w14:textId="77777777" w:rsidR="00A84770" w:rsidRDefault="00A84770" w:rsidP="00A84770">
      <w:pPr>
        <w:pStyle w:val="Sangradetextonormal"/>
        <w:ind w:left="0" w:firstLine="0"/>
        <w:jc w:val="both"/>
        <w:rPr>
          <w:rFonts w:ascii="Cambria" w:hAnsi="Cambria"/>
          <w:sz w:val="20"/>
          <w:szCs w:val="20"/>
          <w:lang w:val="en-US"/>
        </w:rPr>
      </w:pPr>
    </w:p>
    <w:p w14:paraId="381AFD1D" w14:textId="77777777" w:rsidR="00A84770" w:rsidRDefault="00A84770" w:rsidP="00A84770">
      <w:pPr>
        <w:pStyle w:val="Sangradetextonormal"/>
        <w:numPr>
          <w:ilvl w:val="0"/>
          <w:numId w:val="58"/>
        </w:numPr>
        <w:ind w:left="0" w:firstLine="709"/>
        <w:jc w:val="both"/>
        <w:rPr>
          <w:rFonts w:ascii="Cambria" w:hAnsi="Cambria"/>
          <w:sz w:val="20"/>
          <w:szCs w:val="20"/>
          <w:lang w:val="en-US"/>
        </w:rPr>
      </w:pPr>
      <w:r>
        <w:rPr>
          <w:rFonts w:ascii="Cambria" w:hAnsi="Cambria"/>
          <w:sz w:val="20"/>
          <w:szCs w:val="20"/>
          <w:lang w:val="en-US"/>
        </w:rPr>
        <w:t xml:space="preserve">Second, the Commission recalls that the alleged victim filed an appeal for reconsideration against the sanctions decision of December 9, 2013, the only recourse that proceeded against the judgement of sole instance issued by the Inspector General of the Nation as maximum disciplinary authority before the same became </w:t>
      </w:r>
      <w:r>
        <w:rPr>
          <w:rFonts w:ascii="Cambria" w:hAnsi="Cambria"/>
          <w:i/>
          <w:sz w:val="20"/>
          <w:szCs w:val="20"/>
          <w:lang w:val="en-US"/>
        </w:rPr>
        <w:t xml:space="preserve">res judicata. </w:t>
      </w:r>
      <w:r>
        <w:rPr>
          <w:rFonts w:ascii="Cambria" w:hAnsi="Cambria"/>
          <w:sz w:val="20"/>
          <w:szCs w:val="20"/>
          <w:lang w:val="en-US"/>
        </w:rPr>
        <w:t xml:space="preserve">Nonetheless, the Commission observes that said recourse, in accordance with the law, is solved by the same authority that imposed </w:t>
      </w:r>
      <w:r w:rsidRPr="00A80757">
        <w:rPr>
          <w:rFonts w:ascii="Cambria" w:hAnsi="Cambria"/>
          <w:sz w:val="20"/>
          <w:szCs w:val="20"/>
          <w:lang w:val="en-US"/>
        </w:rPr>
        <w:t>the sanction</w:t>
      </w:r>
      <w:r>
        <w:rPr>
          <w:rFonts w:ascii="Cambria" w:hAnsi="Cambria"/>
          <w:sz w:val="20"/>
          <w:szCs w:val="20"/>
          <w:lang w:val="en-US"/>
        </w:rPr>
        <w:t xml:space="preserve">, as occurred in the present case where the Inspector General of the Nation denied the appeal. The Commission recalls that the right to appeal implies an examination by a different and superior authority, and therefore, the appeal for reconsideration does not satisfy one of the basic, minimum requirements of Article 8(2)(h). </w:t>
      </w:r>
    </w:p>
    <w:p w14:paraId="7E6D1E4B" w14:textId="77777777" w:rsidR="00A84770" w:rsidRDefault="00A84770" w:rsidP="00A84770">
      <w:pPr>
        <w:pStyle w:val="Sangradetextonormal"/>
        <w:ind w:left="0" w:firstLine="0"/>
        <w:jc w:val="both"/>
        <w:rPr>
          <w:rFonts w:ascii="Cambria" w:hAnsi="Cambria"/>
          <w:sz w:val="20"/>
          <w:szCs w:val="20"/>
          <w:lang w:val="en-US"/>
        </w:rPr>
      </w:pPr>
    </w:p>
    <w:p w14:paraId="3B301E81" w14:textId="77777777" w:rsidR="00A84770" w:rsidRDefault="00A84770" w:rsidP="00A84770">
      <w:pPr>
        <w:pStyle w:val="Sangradetextonormal"/>
        <w:numPr>
          <w:ilvl w:val="0"/>
          <w:numId w:val="58"/>
        </w:numPr>
        <w:ind w:left="0" w:firstLine="709"/>
        <w:jc w:val="both"/>
        <w:rPr>
          <w:rFonts w:ascii="Cambria" w:hAnsi="Cambria"/>
          <w:sz w:val="20"/>
          <w:szCs w:val="20"/>
          <w:lang w:val="en-US"/>
        </w:rPr>
      </w:pPr>
      <w:r>
        <w:rPr>
          <w:rFonts w:ascii="Cambria" w:hAnsi="Cambria"/>
          <w:sz w:val="20"/>
          <w:szCs w:val="20"/>
          <w:lang w:val="en-US"/>
        </w:rPr>
        <w:t xml:space="preserve">On the other hand, the Commission observes that after the denial of the appeal for reconsideration, on March 31, 2014, the alleged victim filed a request for nullification and reversal of the administrative sanctioning act. Nonetheless, over three years and six months the action was filed, it has yet to be resolved. </w:t>
      </w:r>
    </w:p>
    <w:p w14:paraId="400F0D0F" w14:textId="77777777" w:rsidR="00A84770" w:rsidRDefault="00A84770" w:rsidP="00A84770">
      <w:pPr>
        <w:pStyle w:val="Sangradetextonormal"/>
        <w:ind w:left="0" w:firstLine="0"/>
        <w:jc w:val="both"/>
        <w:rPr>
          <w:rFonts w:ascii="Cambria" w:hAnsi="Cambria"/>
          <w:sz w:val="20"/>
          <w:szCs w:val="20"/>
          <w:lang w:val="en-US"/>
        </w:rPr>
      </w:pPr>
    </w:p>
    <w:p w14:paraId="1C74DC42" w14:textId="77777777" w:rsidR="00A84770" w:rsidRPr="00BB3C58" w:rsidRDefault="00A84770" w:rsidP="00A84770">
      <w:pPr>
        <w:pStyle w:val="Sangradetextonormal"/>
        <w:numPr>
          <w:ilvl w:val="0"/>
          <w:numId w:val="58"/>
        </w:numPr>
        <w:ind w:left="0" w:firstLine="709"/>
        <w:jc w:val="both"/>
        <w:rPr>
          <w:rFonts w:ascii="Cambria" w:hAnsi="Cambria"/>
          <w:sz w:val="20"/>
          <w:szCs w:val="20"/>
          <w:lang w:val="en-US"/>
        </w:rPr>
      </w:pPr>
      <w:r w:rsidRPr="004660BE">
        <w:rPr>
          <w:rFonts w:ascii="Cambria" w:hAnsi="Cambria"/>
          <w:sz w:val="20"/>
          <w:lang w:val="en-US"/>
        </w:rPr>
        <w:t xml:space="preserve">The Commission recalls that </w:t>
      </w:r>
      <w:r>
        <w:rPr>
          <w:rFonts w:ascii="Cambria" w:hAnsi="Cambria"/>
          <w:sz w:val="20"/>
          <w:lang w:val="en-US"/>
        </w:rPr>
        <w:t xml:space="preserve">to </w:t>
      </w:r>
      <w:r w:rsidRPr="004660BE">
        <w:rPr>
          <w:rFonts w:ascii="Cambria" w:hAnsi="Cambria"/>
          <w:sz w:val="20"/>
          <w:lang w:val="en-US"/>
        </w:rPr>
        <w:t xml:space="preserve">determine the fairness of a </w:t>
      </w:r>
      <w:r>
        <w:rPr>
          <w:rFonts w:ascii="Cambria" w:hAnsi="Cambria"/>
          <w:sz w:val="20"/>
          <w:lang w:val="en-US"/>
        </w:rPr>
        <w:t>timeframe, I</w:t>
      </w:r>
      <w:r w:rsidRPr="004660BE">
        <w:rPr>
          <w:rFonts w:ascii="Cambria" w:hAnsi="Cambria"/>
          <w:sz w:val="20"/>
          <w:lang w:val="en-US"/>
        </w:rPr>
        <w:t xml:space="preserve">nter-American jurisprudence has elaborated four elements: </w:t>
      </w:r>
      <w:r>
        <w:rPr>
          <w:rFonts w:ascii="Cambria" w:hAnsi="Cambria"/>
          <w:sz w:val="20"/>
          <w:lang w:val="en-US"/>
        </w:rPr>
        <w:t>a) the complexity of the matter;</w:t>
      </w:r>
      <w:r w:rsidRPr="004660BE">
        <w:rPr>
          <w:rFonts w:ascii="Cambria" w:hAnsi="Cambria"/>
          <w:sz w:val="20"/>
          <w:lang w:val="en-US"/>
        </w:rPr>
        <w:t xml:space="preserve"> b) the procedural a</w:t>
      </w:r>
      <w:r>
        <w:rPr>
          <w:rFonts w:ascii="Cambria" w:hAnsi="Cambria"/>
          <w:sz w:val="20"/>
          <w:lang w:val="en-US"/>
        </w:rPr>
        <w:t>ctivity of the interested party;</w:t>
      </w:r>
      <w:r w:rsidRPr="004660BE">
        <w:rPr>
          <w:rFonts w:ascii="Cambria" w:hAnsi="Cambria"/>
          <w:sz w:val="20"/>
          <w:lang w:val="en-US"/>
        </w:rPr>
        <w:t xml:space="preserve"> c) the conduct of</w:t>
      </w:r>
      <w:r>
        <w:rPr>
          <w:rFonts w:ascii="Cambria" w:hAnsi="Cambria"/>
          <w:sz w:val="20"/>
          <w:lang w:val="en-US"/>
        </w:rPr>
        <w:t xml:space="preserve"> the judicial authorities;</w:t>
      </w:r>
      <w:r w:rsidRPr="004660BE">
        <w:rPr>
          <w:rFonts w:ascii="Cambria" w:hAnsi="Cambria"/>
          <w:sz w:val="20"/>
          <w:lang w:val="en-US"/>
        </w:rPr>
        <w:t xml:space="preserve"> a</w:t>
      </w:r>
      <w:r>
        <w:rPr>
          <w:rFonts w:ascii="Cambria" w:hAnsi="Cambria"/>
          <w:sz w:val="20"/>
          <w:lang w:val="en-US"/>
        </w:rPr>
        <w:t>nd d) impairment of</w:t>
      </w:r>
      <w:r w:rsidRPr="004660BE">
        <w:rPr>
          <w:rFonts w:ascii="Cambria" w:hAnsi="Cambria"/>
          <w:sz w:val="20"/>
          <w:lang w:val="en-US"/>
        </w:rPr>
        <w:t xml:space="preserve"> the legal situation of the person involved in the proceedings.</w:t>
      </w:r>
      <w:r w:rsidRPr="009B3BD2">
        <w:rPr>
          <w:rStyle w:val="Refdenotaalpie"/>
          <w:rFonts w:ascii="Cambria" w:hAnsi="Cambria"/>
          <w:bCs/>
          <w:sz w:val="20"/>
          <w:szCs w:val="20"/>
          <w:lang w:val="es-EC"/>
        </w:rPr>
        <w:footnoteReference w:id="98"/>
      </w:r>
      <w:r>
        <w:rPr>
          <w:rFonts w:ascii="Cambria" w:hAnsi="Cambria"/>
          <w:sz w:val="20"/>
          <w:lang w:val="en-US"/>
        </w:rPr>
        <w:t xml:space="preserve"> In relation to the first element, the Commission observes that the State did not justify the delay, demonstrating that the request of nullification</w:t>
      </w:r>
      <w:r w:rsidRPr="00FD2827">
        <w:rPr>
          <w:rFonts w:ascii="Cambria" w:hAnsi="Cambria"/>
          <w:sz w:val="20"/>
          <w:lang w:val="en-US"/>
        </w:rPr>
        <w:t xml:space="preserve"> </w:t>
      </w:r>
      <w:r>
        <w:rPr>
          <w:rFonts w:ascii="Cambria" w:hAnsi="Cambria"/>
          <w:sz w:val="20"/>
          <w:lang w:val="en-US"/>
        </w:rPr>
        <w:t xml:space="preserve">and reversal was complex, and neither can that be determined from the case file. In relation to the second and third elements, the Commission highlights that since the </w:t>
      </w:r>
      <w:r w:rsidRPr="00D129AB">
        <w:rPr>
          <w:rFonts w:ascii="Cambria" w:hAnsi="Cambria"/>
          <w:sz w:val="20"/>
          <w:lang w:val="en-US"/>
        </w:rPr>
        <w:t>action was filed</w:t>
      </w:r>
      <w:r>
        <w:rPr>
          <w:rFonts w:ascii="Cambria" w:hAnsi="Cambria"/>
          <w:sz w:val="20"/>
          <w:lang w:val="en-US"/>
        </w:rPr>
        <w:t xml:space="preserve"> over 3 years and 6 months have passed, and to-date, the Chamber has only “provisionally” suspended the sanctions decision. The Commission does not have information to demonstrate that the State Council has acted </w:t>
      </w:r>
      <w:r w:rsidRPr="00DB0BE6">
        <w:rPr>
          <w:rFonts w:ascii="Cambria" w:hAnsi="Cambria"/>
          <w:sz w:val="20"/>
          <w:lang w:val="en-US"/>
        </w:rPr>
        <w:t>diligently</w:t>
      </w:r>
      <w:r>
        <w:rPr>
          <w:rFonts w:ascii="Cambria" w:hAnsi="Cambria"/>
          <w:sz w:val="20"/>
          <w:lang w:val="en-US"/>
        </w:rPr>
        <w:t xml:space="preserve"> to resolve the </w:t>
      </w:r>
      <w:r w:rsidRPr="008E5361">
        <w:rPr>
          <w:rFonts w:ascii="Cambria" w:hAnsi="Cambria"/>
          <w:sz w:val="20"/>
          <w:lang w:val="en-US"/>
        </w:rPr>
        <w:t>action</w:t>
      </w:r>
      <w:r>
        <w:rPr>
          <w:rFonts w:ascii="Cambria" w:hAnsi="Cambria"/>
          <w:sz w:val="20"/>
          <w:lang w:val="en-US"/>
        </w:rPr>
        <w:t xml:space="preserve">, because, as stated, the State did not attempt to justify the delay. On the other hand, from the case file, there are no elements to indicate that the delay is attributable to Mr. Petro </w:t>
      </w:r>
      <w:proofErr w:type="spellStart"/>
      <w:r>
        <w:rPr>
          <w:rFonts w:ascii="Cambria" w:hAnsi="Cambria"/>
          <w:sz w:val="20"/>
          <w:lang w:val="en-US"/>
        </w:rPr>
        <w:t>Urrego</w:t>
      </w:r>
      <w:proofErr w:type="spellEnd"/>
      <w:r>
        <w:rPr>
          <w:rFonts w:ascii="Cambria" w:hAnsi="Cambria"/>
          <w:sz w:val="20"/>
          <w:lang w:val="en-US"/>
        </w:rPr>
        <w:t xml:space="preserve">. </w:t>
      </w:r>
    </w:p>
    <w:p w14:paraId="4A32815B" w14:textId="77777777" w:rsidR="00A84770" w:rsidRPr="004660BE" w:rsidRDefault="00A84770" w:rsidP="00A84770">
      <w:pPr>
        <w:pStyle w:val="Sangradetextonormal"/>
        <w:ind w:left="709" w:firstLine="0"/>
        <w:jc w:val="both"/>
        <w:rPr>
          <w:rFonts w:ascii="Cambria" w:hAnsi="Cambria"/>
          <w:sz w:val="20"/>
          <w:szCs w:val="20"/>
          <w:lang w:val="en-US"/>
        </w:rPr>
      </w:pPr>
    </w:p>
    <w:p w14:paraId="0E994E70" w14:textId="77777777" w:rsidR="00A84770" w:rsidRDefault="00A84770" w:rsidP="00A84770">
      <w:pPr>
        <w:pStyle w:val="Sangradetextonormal"/>
        <w:numPr>
          <w:ilvl w:val="0"/>
          <w:numId w:val="58"/>
        </w:numPr>
        <w:ind w:left="0" w:firstLine="709"/>
        <w:jc w:val="both"/>
        <w:rPr>
          <w:rFonts w:ascii="Cambria" w:hAnsi="Cambria"/>
          <w:sz w:val="20"/>
          <w:szCs w:val="20"/>
          <w:lang w:val="en-US"/>
        </w:rPr>
      </w:pPr>
      <w:r>
        <w:rPr>
          <w:rFonts w:ascii="Cambria" w:hAnsi="Cambria"/>
          <w:sz w:val="20"/>
          <w:szCs w:val="20"/>
          <w:lang w:val="en-US"/>
        </w:rPr>
        <w:t xml:space="preserve">In relation to the fourth element, the Commission underscores that the delay had an impact on the juridical situation of the alleged victim, since the disqualifying sanction that was imposed would prevent him from exercising his right to passive suffrage as a presidential candidate in the elections of 2018 as, according to the petitioners, is his interest. This situation is not changed by the provisional suspension of the administrative sanction because Mr. Petro </w:t>
      </w:r>
      <w:proofErr w:type="spellStart"/>
      <w:r>
        <w:rPr>
          <w:rFonts w:ascii="Cambria" w:hAnsi="Cambria"/>
          <w:sz w:val="20"/>
          <w:szCs w:val="20"/>
          <w:lang w:val="en-US"/>
        </w:rPr>
        <w:t>Urrego</w:t>
      </w:r>
      <w:proofErr w:type="spellEnd"/>
      <w:r>
        <w:rPr>
          <w:rFonts w:ascii="Cambria" w:hAnsi="Cambria"/>
          <w:sz w:val="20"/>
          <w:szCs w:val="20"/>
          <w:lang w:val="en-US"/>
        </w:rPr>
        <w:t xml:space="preserve"> is still in a situation of uncertainty about the final result of his </w:t>
      </w:r>
      <w:r w:rsidRPr="00F55EC0">
        <w:rPr>
          <w:rFonts w:ascii="Cambria" w:hAnsi="Cambria"/>
          <w:sz w:val="20"/>
          <w:szCs w:val="20"/>
          <w:lang w:val="en-US"/>
        </w:rPr>
        <w:t>action</w:t>
      </w:r>
      <w:r>
        <w:rPr>
          <w:rFonts w:ascii="Cambria" w:hAnsi="Cambria"/>
          <w:sz w:val="20"/>
          <w:szCs w:val="20"/>
          <w:lang w:val="en-US"/>
        </w:rPr>
        <w:t xml:space="preserve">, which could be rejected. This uncertainty impacts the possibility of initiating a presidential campaign, while the validity of disqualification sanctions remains pending a judicial decision. On the other hand, even if his participation were allowed, due to the criminal law amendment recently adopted, he could </w:t>
      </w:r>
      <w:r>
        <w:rPr>
          <w:rFonts w:ascii="Cambria" w:hAnsi="Cambria"/>
          <w:sz w:val="20"/>
          <w:szCs w:val="20"/>
          <w:lang w:val="en-US"/>
        </w:rPr>
        <w:lastRenderedPageBreak/>
        <w:t xml:space="preserve">commit the crime of “illicit election of candidates,” which carries a sentence of 4 to 9 years in prison and a fine of 200 to 800 minimum salaries, if he was elected and if the disqualification is validated by the State Council. The Commission highlights that the actions of the state to dismiss and disqualify the alleged victim are particularly grave, which requires a prompt response in light of this situation. </w:t>
      </w:r>
    </w:p>
    <w:p w14:paraId="2A62D204" w14:textId="77777777" w:rsidR="00A84770" w:rsidRDefault="00A84770" w:rsidP="00A84770">
      <w:pPr>
        <w:pStyle w:val="Sangradetextonormal"/>
        <w:ind w:left="709" w:firstLine="0"/>
        <w:jc w:val="both"/>
        <w:rPr>
          <w:rFonts w:ascii="Cambria" w:hAnsi="Cambria"/>
          <w:sz w:val="20"/>
          <w:szCs w:val="20"/>
          <w:lang w:val="en-US"/>
        </w:rPr>
      </w:pPr>
    </w:p>
    <w:p w14:paraId="2C1FA731" w14:textId="77777777" w:rsidR="00A84770" w:rsidRDefault="00A84770" w:rsidP="00A84770">
      <w:pPr>
        <w:pStyle w:val="Sangradetextonormal"/>
        <w:numPr>
          <w:ilvl w:val="0"/>
          <w:numId w:val="58"/>
        </w:numPr>
        <w:ind w:left="0" w:firstLine="709"/>
        <w:jc w:val="both"/>
        <w:rPr>
          <w:rFonts w:ascii="Cambria" w:hAnsi="Cambria"/>
          <w:sz w:val="20"/>
          <w:szCs w:val="20"/>
          <w:lang w:val="en-US"/>
        </w:rPr>
      </w:pPr>
      <w:r>
        <w:rPr>
          <w:rFonts w:ascii="Cambria" w:hAnsi="Cambria"/>
          <w:sz w:val="20"/>
          <w:szCs w:val="20"/>
          <w:lang w:val="en-US"/>
        </w:rPr>
        <w:t xml:space="preserve">Even though the Commission has information indicating that some decisions of the State Council on </w:t>
      </w:r>
      <w:r w:rsidRPr="00404933">
        <w:rPr>
          <w:rFonts w:ascii="Cambria" w:hAnsi="Cambria"/>
          <w:sz w:val="20"/>
          <w:szCs w:val="20"/>
          <w:lang w:val="en-US"/>
        </w:rPr>
        <w:t>nulli</w:t>
      </w:r>
      <w:r>
        <w:rPr>
          <w:rFonts w:ascii="Cambria" w:hAnsi="Cambria"/>
          <w:sz w:val="20"/>
          <w:szCs w:val="20"/>
          <w:lang w:val="en-US"/>
        </w:rPr>
        <w:t xml:space="preserve">fication and reversal </w:t>
      </w:r>
      <w:r w:rsidRPr="00404933">
        <w:rPr>
          <w:rFonts w:ascii="Cambria" w:hAnsi="Cambria"/>
          <w:sz w:val="20"/>
          <w:szCs w:val="20"/>
          <w:lang w:val="en-US"/>
        </w:rPr>
        <w:t>actions</w:t>
      </w:r>
      <w:r>
        <w:rPr>
          <w:rFonts w:ascii="Cambria" w:hAnsi="Cambria"/>
          <w:sz w:val="20"/>
          <w:szCs w:val="20"/>
          <w:lang w:val="en-US"/>
        </w:rPr>
        <w:t xml:space="preserve"> would permit integral revisions of sanctions decisions</w:t>
      </w:r>
      <w:r w:rsidRPr="009B3BD2">
        <w:rPr>
          <w:rStyle w:val="Refdenotaalpie"/>
          <w:rFonts w:asciiTheme="majorHAnsi" w:hAnsiTheme="majorHAnsi"/>
          <w:sz w:val="20"/>
          <w:szCs w:val="20"/>
          <w:lang w:val="es-CO"/>
        </w:rPr>
        <w:footnoteReference w:id="99"/>
      </w:r>
      <w:r>
        <w:rPr>
          <w:rFonts w:ascii="Cambria" w:hAnsi="Cambria"/>
          <w:sz w:val="20"/>
          <w:szCs w:val="20"/>
          <w:lang w:val="en-US"/>
        </w:rPr>
        <w:t xml:space="preserve"> issued by the Inspector General of the Nation, despite the presumption of legality cloaking administrative acts, the Commission observes that in the present case the alleged victim has not been guaranteed the right to appeal the judgment, because the </w:t>
      </w:r>
      <w:r w:rsidRPr="00AA7455">
        <w:rPr>
          <w:rFonts w:ascii="Cambria" w:hAnsi="Cambria"/>
          <w:sz w:val="20"/>
          <w:szCs w:val="20"/>
          <w:lang w:val="en-US"/>
        </w:rPr>
        <w:t xml:space="preserve">appeal </w:t>
      </w:r>
      <w:r>
        <w:rPr>
          <w:rFonts w:ascii="Cambria" w:hAnsi="Cambria"/>
          <w:sz w:val="20"/>
          <w:szCs w:val="20"/>
          <w:lang w:val="en-US"/>
        </w:rPr>
        <w:t xml:space="preserve">for reconsideration does not comply with the standards of law to </w:t>
      </w:r>
      <w:r w:rsidRPr="00AA7455">
        <w:rPr>
          <w:rFonts w:ascii="Cambria" w:hAnsi="Cambria"/>
          <w:sz w:val="20"/>
          <w:szCs w:val="20"/>
          <w:lang w:val="en-US"/>
        </w:rPr>
        <w:t>appeal</w:t>
      </w:r>
      <w:r>
        <w:rPr>
          <w:rFonts w:ascii="Cambria" w:hAnsi="Cambria"/>
          <w:sz w:val="20"/>
          <w:szCs w:val="20"/>
          <w:lang w:val="en-US"/>
        </w:rPr>
        <w:t xml:space="preserve">, and the </w:t>
      </w:r>
      <w:r w:rsidRPr="00AA7455">
        <w:rPr>
          <w:rFonts w:ascii="Cambria" w:hAnsi="Cambria"/>
          <w:sz w:val="20"/>
          <w:szCs w:val="20"/>
          <w:lang w:val="en-US"/>
        </w:rPr>
        <w:t xml:space="preserve">request </w:t>
      </w:r>
      <w:r>
        <w:rPr>
          <w:rFonts w:ascii="Cambria" w:hAnsi="Cambria"/>
          <w:sz w:val="20"/>
          <w:szCs w:val="20"/>
          <w:lang w:val="en-US"/>
        </w:rPr>
        <w:t>for nullification</w:t>
      </w:r>
      <w:r w:rsidRPr="00AA7455">
        <w:rPr>
          <w:rFonts w:ascii="Cambria" w:hAnsi="Cambria"/>
          <w:sz w:val="20"/>
          <w:szCs w:val="20"/>
          <w:lang w:val="en-US"/>
        </w:rPr>
        <w:t xml:space="preserve"> and </w:t>
      </w:r>
      <w:r>
        <w:rPr>
          <w:rFonts w:ascii="Cambria" w:hAnsi="Cambria"/>
          <w:sz w:val="20"/>
          <w:szCs w:val="20"/>
          <w:lang w:val="en-US"/>
        </w:rPr>
        <w:t xml:space="preserve">reversal has not been resolved within a </w:t>
      </w:r>
      <w:r w:rsidRPr="00351461">
        <w:rPr>
          <w:rFonts w:ascii="Cambria" w:hAnsi="Cambria"/>
          <w:sz w:val="20"/>
          <w:szCs w:val="20"/>
          <w:lang w:val="en-US"/>
        </w:rPr>
        <w:t xml:space="preserve">reasonable </w:t>
      </w:r>
      <w:r>
        <w:rPr>
          <w:rFonts w:ascii="Cambria" w:hAnsi="Cambria"/>
          <w:sz w:val="20"/>
          <w:szCs w:val="20"/>
          <w:lang w:val="en-US"/>
        </w:rPr>
        <w:t>time so as to allow the IACHR to assess if it complies with the requirements of Article 8(2)(h) of the Convention. Additionally, as a consequence of the delay, in addition to rejection of the actions for</w:t>
      </w:r>
      <w:r w:rsidRPr="00FB125D">
        <w:rPr>
          <w:rFonts w:ascii="Cambria" w:hAnsi="Cambria"/>
          <w:sz w:val="20"/>
          <w:szCs w:val="20"/>
          <w:lang w:val="en-US"/>
        </w:rPr>
        <w:t xml:space="preserve"> </w:t>
      </w:r>
      <w:r>
        <w:rPr>
          <w:rFonts w:ascii="Cambria" w:hAnsi="Cambria"/>
          <w:sz w:val="20"/>
          <w:szCs w:val="20"/>
          <w:lang w:val="en-US"/>
        </w:rPr>
        <w:t xml:space="preserve">protection, Mr. Petro </w:t>
      </w:r>
      <w:proofErr w:type="spellStart"/>
      <w:r>
        <w:rPr>
          <w:rFonts w:ascii="Cambria" w:hAnsi="Cambria"/>
          <w:sz w:val="20"/>
          <w:szCs w:val="20"/>
          <w:lang w:val="en-US"/>
        </w:rPr>
        <w:t>Urrego</w:t>
      </w:r>
      <w:proofErr w:type="spellEnd"/>
      <w:r>
        <w:rPr>
          <w:rFonts w:ascii="Cambria" w:hAnsi="Cambria"/>
          <w:sz w:val="20"/>
          <w:szCs w:val="20"/>
          <w:lang w:val="en-US"/>
        </w:rPr>
        <w:t xml:space="preserve"> has not had a simple, prompt</w:t>
      </w:r>
      <w:r w:rsidRPr="00B84FE7">
        <w:rPr>
          <w:rFonts w:ascii="Cambria" w:hAnsi="Cambria"/>
          <w:sz w:val="20"/>
          <w:szCs w:val="20"/>
          <w:lang w:val="en-US"/>
        </w:rPr>
        <w:t xml:space="preserve">, and effective recourse to protect him </w:t>
      </w:r>
      <w:r>
        <w:rPr>
          <w:rFonts w:ascii="Cambria" w:hAnsi="Cambria"/>
          <w:sz w:val="20"/>
          <w:szCs w:val="20"/>
          <w:lang w:val="en-US"/>
        </w:rPr>
        <w:t xml:space="preserve">from the violations of </w:t>
      </w:r>
      <w:r w:rsidRPr="00B84FE7">
        <w:rPr>
          <w:rFonts w:ascii="Cambria" w:hAnsi="Cambria"/>
          <w:sz w:val="20"/>
          <w:szCs w:val="20"/>
          <w:lang w:val="en-US"/>
        </w:rPr>
        <w:t>due process a</w:t>
      </w:r>
      <w:r>
        <w:rPr>
          <w:rFonts w:ascii="Cambria" w:hAnsi="Cambria"/>
          <w:sz w:val="20"/>
          <w:szCs w:val="20"/>
          <w:lang w:val="en-US"/>
        </w:rPr>
        <w:t xml:space="preserve">sserted </w:t>
      </w:r>
      <w:r w:rsidRPr="00B84FE7">
        <w:rPr>
          <w:rFonts w:ascii="Cambria" w:hAnsi="Cambria"/>
          <w:sz w:val="20"/>
          <w:szCs w:val="20"/>
          <w:lang w:val="en-US"/>
        </w:rPr>
        <w:t>in his complaint.</w:t>
      </w:r>
    </w:p>
    <w:p w14:paraId="555DBE11" w14:textId="77777777" w:rsidR="00A84770" w:rsidRDefault="00A84770" w:rsidP="00A84770">
      <w:pPr>
        <w:pStyle w:val="Sangradetextonormal"/>
        <w:ind w:left="0" w:firstLine="0"/>
        <w:jc w:val="both"/>
        <w:rPr>
          <w:rFonts w:ascii="Cambria" w:hAnsi="Cambria"/>
          <w:sz w:val="20"/>
          <w:szCs w:val="20"/>
          <w:lang w:val="en-US"/>
        </w:rPr>
      </w:pPr>
    </w:p>
    <w:p w14:paraId="08518605" w14:textId="77777777" w:rsidR="00A84770" w:rsidRDefault="00A84770" w:rsidP="00A84770">
      <w:pPr>
        <w:pStyle w:val="Sangradetextonormal"/>
        <w:numPr>
          <w:ilvl w:val="0"/>
          <w:numId w:val="58"/>
        </w:numPr>
        <w:ind w:left="0" w:firstLine="709"/>
        <w:jc w:val="both"/>
        <w:rPr>
          <w:rFonts w:ascii="Cambria" w:hAnsi="Cambria"/>
          <w:sz w:val="20"/>
          <w:szCs w:val="20"/>
          <w:lang w:val="en-US"/>
        </w:rPr>
      </w:pPr>
      <w:r>
        <w:rPr>
          <w:rFonts w:ascii="Cambria" w:hAnsi="Cambria"/>
          <w:sz w:val="20"/>
          <w:szCs w:val="20"/>
          <w:lang w:val="en-US"/>
        </w:rPr>
        <w:t xml:space="preserve">By virtue of everything stated in this section, the Commission concludes that the State of Colombia is responsible for violation of the rights contained in Articles 8(1), 8(2)(h), and 25(1) of the American Convention in conjunction of Articles 1(1) and (2) of the same, to the detriment of Gustavo Francisco </w:t>
      </w:r>
      <w:proofErr w:type="spellStart"/>
      <w:r>
        <w:rPr>
          <w:rFonts w:ascii="Cambria" w:hAnsi="Cambria"/>
          <w:sz w:val="20"/>
          <w:szCs w:val="20"/>
          <w:lang w:val="en-US"/>
        </w:rPr>
        <w:t>Urrego</w:t>
      </w:r>
      <w:proofErr w:type="spellEnd"/>
      <w:r>
        <w:rPr>
          <w:rFonts w:ascii="Cambria" w:hAnsi="Cambria"/>
          <w:sz w:val="20"/>
          <w:szCs w:val="20"/>
          <w:lang w:val="en-US"/>
        </w:rPr>
        <w:t xml:space="preserve">. </w:t>
      </w:r>
    </w:p>
    <w:p w14:paraId="3A8F1A40" w14:textId="77777777" w:rsidR="00A84770" w:rsidRDefault="00A84770" w:rsidP="00A84770">
      <w:pPr>
        <w:pStyle w:val="Sangradetextonormal"/>
        <w:ind w:left="0" w:firstLine="0"/>
        <w:jc w:val="both"/>
        <w:rPr>
          <w:rFonts w:ascii="Cambria" w:hAnsi="Cambria"/>
          <w:sz w:val="20"/>
          <w:szCs w:val="20"/>
          <w:lang w:val="en-US"/>
        </w:rPr>
      </w:pPr>
    </w:p>
    <w:p w14:paraId="1EEED814" w14:textId="77777777" w:rsidR="00A84770" w:rsidRPr="002E1E6B" w:rsidRDefault="00A84770" w:rsidP="000829C4">
      <w:pPr>
        <w:pStyle w:val="Ttulo1"/>
        <w:numPr>
          <w:ilvl w:val="0"/>
          <w:numId w:val="64"/>
        </w:numPr>
        <w:tabs>
          <w:tab w:val="left" w:pos="1440"/>
        </w:tabs>
        <w:jc w:val="both"/>
        <w:rPr>
          <w:lang w:val="en-US"/>
        </w:rPr>
      </w:pPr>
      <w:bookmarkStart w:id="31" w:name="_Toc496666315"/>
      <w:r w:rsidRPr="00D761E5">
        <w:rPr>
          <w:lang w:val="en-US"/>
        </w:rPr>
        <w:t>Right to equal protection</w:t>
      </w:r>
      <w:r w:rsidRPr="009B3BD2">
        <w:rPr>
          <w:rStyle w:val="Refdenotaalpie"/>
          <w:rFonts w:ascii="Cambria" w:hAnsi="Cambria"/>
          <w:b w:val="0"/>
          <w:sz w:val="20"/>
          <w:lang w:val="es-CO"/>
        </w:rPr>
        <w:footnoteReference w:id="100"/>
      </w:r>
      <w:r w:rsidRPr="00D761E5">
        <w:rPr>
          <w:lang w:val="en-US"/>
        </w:rPr>
        <w:t xml:space="preserve"> and right to judicial protection</w:t>
      </w:r>
      <w:r w:rsidRPr="009B3BD2">
        <w:rPr>
          <w:rStyle w:val="Refdenotaalpie"/>
          <w:rFonts w:ascii="Cambria" w:hAnsi="Cambria"/>
          <w:b w:val="0"/>
          <w:sz w:val="20"/>
          <w:lang w:val="es-CO"/>
        </w:rPr>
        <w:footnoteReference w:id="101"/>
      </w:r>
      <w:bookmarkEnd w:id="31"/>
    </w:p>
    <w:p w14:paraId="4BE42E0A" w14:textId="77777777" w:rsidR="00A84770" w:rsidRDefault="00A84770" w:rsidP="00A84770">
      <w:pPr>
        <w:pStyle w:val="Sangradetextonormal"/>
        <w:ind w:left="709" w:firstLine="0"/>
        <w:jc w:val="both"/>
        <w:rPr>
          <w:rFonts w:ascii="Cambria" w:hAnsi="Cambria"/>
          <w:sz w:val="20"/>
          <w:szCs w:val="20"/>
          <w:lang w:val="en-US"/>
        </w:rPr>
      </w:pPr>
    </w:p>
    <w:p w14:paraId="0BC70702" w14:textId="77777777" w:rsidR="00A84770" w:rsidRDefault="00A84770" w:rsidP="00A84770">
      <w:pPr>
        <w:pStyle w:val="Sangradetextonormal"/>
        <w:numPr>
          <w:ilvl w:val="0"/>
          <w:numId w:val="58"/>
        </w:numPr>
        <w:ind w:left="0" w:firstLine="709"/>
        <w:jc w:val="both"/>
        <w:rPr>
          <w:rFonts w:ascii="Cambria" w:hAnsi="Cambria"/>
          <w:sz w:val="20"/>
          <w:szCs w:val="20"/>
          <w:lang w:val="en-US"/>
        </w:rPr>
      </w:pPr>
      <w:r w:rsidRPr="002E1E6B">
        <w:rPr>
          <w:rFonts w:ascii="Cambria" w:hAnsi="Cambria"/>
          <w:sz w:val="20"/>
          <w:szCs w:val="20"/>
          <w:lang w:val="en-US"/>
        </w:rPr>
        <w:t>The Commission and the Court have stated that the principle of equality and no</w:t>
      </w:r>
      <w:r>
        <w:rPr>
          <w:rFonts w:ascii="Cambria" w:hAnsi="Cambria"/>
          <w:sz w:val="20"/>
          <w:szCs w:val="20"/>
          <w:lang w:val="en-US"/>
        </w:rPr>
        <w:t>n-discrimination constitutes a</w:t>
      </w:r>
      <w:r w:rsidRPr="002E1E6B">
        <w:rPr>
          <w:rFonts w:ascii="Cambria" w:hAnsi="Cambria"/>
          <w:sz w:val="20"/>
          <w:szCs w:val="20"/>
          <w:lang w:val="en-US"/>
        </w:rPr>
        <w:t xml:space="preserve"> </w:t>
      </w:r>
      <w:r w:rsidRPr="003E25B3">
        <w:rPr>
          <w:rFonts w:ascii="Cambria" w:hAnsi="Cambria"/>
          <w:sz w:val="20"/>
          <w:szCs w:val="20"/>
          <w:lang w:val="en-US"/>
        </w:rPr>
        <w:t xml:space="preserve">central and fundamental </w:t>
      </w:r>
      <w:r>
        <w:rPr>
          <w:rFonts w:ascii="Cambria" w:hAnsi="Cambria"/>
          <w:sz w:val="20"/>
          <w:szCs w:val="20"/>
          <w:lang w:val="en-US"/>
        </w:rPr>
        <w:t>pillar of the I</w:t>
      </w:r>
      <w:r w:rsidRPr="002E1E6B">
        <w:rPr>
          <w:rFonts w:ascii="Cambria" w:hAnsi="Cambria"/>
          <w:sz w:val="20"/>
          <w:szCs w:val="20"/>
          <w:lang w:val="en-US"/>
        </w:rPr>
        <w:t>nter-American h</w:t>
      </w:r>
      <w:r>
        <w:rPr>
          <w:rFonts w:ascii="Cambria" w:hAnsi="Cambria"/>
          <w:sz w:val="20"/>
          <w:szCs w:val="20"/>
          <w:lang w:val="en-US"/>
        </w:rPr>
        <w:t xml:space="preserve">uman rights system. Likewise, they have </w:t>
      </w:r>
      <w:r w:rsidRPr="002E1E6B">
        <w:rPr>
          <w:rFonts w:ascii="Cambria" w:hAnsi="Cambria"/>
          <w:sz w:val="20"/>
          <w:szCs w:val="20"/>
          <w:lang w:val="en-US"/>
        </w:rPr>
        <w:t xml:space="preserve">stated that </w:t>
      </w:r>
      <w:r>
        <w:rPr>
          <w:rFonts w:ascii="Cambria" w:hAnsi="Cambria"/>
          <w:sz w:val="20"/>
          <w:szCs w:val="20"/>
          <w:lang w:val="en-US"/>
        </w:rPr>
        <w:t xml:space="preserve">this </w:t>
      </w:r>
      <w:r w:rsidRPr="002E1E6B">
        <w:rPr>
          <w:rFonts w:ascii="Cambria" w:hAnsi="Cambria"/>
          <w:sz w:val="20"/>
          <w:szCs w:val="20"/>
          <w:lang w:val="en-US"/>
        </w:rPr>
        <w:t xml:space="preserve">“entails obligations </w:t>
      </w:r>
      <w:proofErr w:type="spellStart"/>
      <w:r w:rsidRPr="002E1E6B">
        <w:rPr>
          <w:rFonts w:ascii="Cambria" w:hAnsi="Cambria"/>
          <w:i/>
          <w:sz w:val="20"/>
          <w:szCs w:val="20"/>
          <w:lang w:val="en-US"/>
        </w:rPr>
        <w:t>erga</w:t>
      </w:r>
      <w:proofErr w:type="spellEnd"/>
      <w:r w:rsidRPr="002E1E6B">
        <w:rPr>
          <w:rFonts w:ascii="Cambria" w:hAnsi="Cambria"/>
          <w:i/>
          <w:sz w:val="20"/>
          <w:szCs w:val="20"/>
          <w:lang w:val="en-US"/>
        </w:rPr>
        <w:t xml:space="preserve"> </w:t>
      </w:r>
      <w:proofErr w:type="spellStart"/>
      <w:r w:rsidRPr="002E1E6B">
        <w:rPr>
          <w:rFonts w:ascii="Cambria" w:hAnsi="Cambria"/>
          <w:i/>
          <w:sz w:val="20"/>
          <w:szCs w:val="20"/>
          <w:lang w:val="en-US"/>
        </w:rPr>
        <w:t>omnes</w:t>
      </w:r>
      <w:proofErr w:type="spellEnd"/>
      <w:r w:rsidRPr="002E1E6B">
        <w:rPr>
          <w:rFonts w:ascii="Cambria" w:hAnsi="Cambria"/>
          <w:sz w:val="20"/>
          <w:szCs w:val="20"/>
          <w:lang w:val="en-US"/>
        </w:rPr>
        <w:t xml:space="preserve"> of protection that bind all States and generate effects with regard to third parties, including individuals.”</w:t>
      </w:r>
      <w:r w:rsidRPr="009B3BD2">
        <w:rPr>
          <w:rStyle w:val="Refdenotaalpie"/>
          <w:rFonts w:asciiTheme="majorHAnsi" w:hAnsiTheme="majorHAnsi"/>
          <w:sz w:val="20"/>
          <w:szCs w:val="20"/>
        </w:rPr>
        <w:footnoteReference w:id="102"/>
      </w:r>
      <w:r w:rsidRPr="002E1E6B">
        <w:rPr>
          <w:rFonts w:ascii="Cambria" w:hAnsi="Cambria"/>
          <w:sz w:val="20"/>
          <w:szCs w:val="20"/>
          <w:lang w:val="en-US"/>
        </w:rPr>
        <w:t xml:space="preserve"> The Court has stated that at the current stage of the evolution of international law, the fundamental principle of equality and non-discrimination has entered the realm of </w:t>
      </w:r>
      <w:r w:rsidRPr="002E1E6B">
        <w:rPr>
          <w:rFonts w:ascii="Cambria" w:hAnsi="Cambria"/>
          <w:i/>
          <w:sz w:val="20"/>
          <w:szCs w:val="20"/>
          <w:lang w:val="en-US"/>
        </w:rPr>
        <w:t xml:space="preserve">jus </w:t>
      </w:r>
      <w:proofErr w:type="spellStart"/>
      <w:r w:rsidRPr="002E1E6B">
        <w:rPr>
          <w:rFonts w:ascii="Cambria" w:hAnsi="Cambria"/>
          <w:i/>
          <w:sz w:val="20"/>
          <w:szCs w:val="20"/>
          <w:lang w:val="en-US"/>
        </w:rPr>
        <w:t>cogens</w:t>
      </w:r>
      <w:proofErr w:type="spellEnd"/>
      <w:r w:rsidRPr="002E1E6B">
        <w:rPr>
          <w:rFonts w:ascii="Cambria" w:hAnsi="Cambria"/>
          <w:sz w:val="20"/>
          <w:szCs w:val="20"/>
          <w:lang w:val="en-US"/>
        </w:rPr>
        <w:t>. The whole juridical structure of national and international public order rests on it and it permeates the whole legal system.</w:t>
      </w:r>
      <w:r w:rsidRPr="009B3BD2">
        <w:rPr>
          <w:rFonts w:asciiTheme="majorHAnsi" w:hAnsiTheme="majorHAnsi" w:cs="Arial"/>
          <w:sz w:val="20"/>
          <w:szCs w:val="20"/>
          <w:vertAlign w:val="superscript"/>
        </w:rPr>
        <w:footnoteReference w:id="103"/>
      </w:r>
    </w:p>
    <w:p w14:paraId="6D64953E" w14:textId="77777777" w:rsidR="00A84770" w:rsidRDefault="00A84770" w:rsidP="00A84770">
      <w:pPr>
        <w:pStyle w:val="Sangradetextonormal"/>
        <w:ind w:left="709" w:firstLine="0"/>
        <w:jc w:val="both"/>
        <w:rPr>
          <w:rFonts w:ascii="Cambria" w:hAnsi="Cambria"/>
          <w:sz w:val="20"/>
          <w:szCs w:val="20"/>
          <w:lang w:val="en-US"/>
        </w:rPr>
      </w:pPr>
    </w:p>
    <w:p w14:paraId="46BE4A3C" w14:textId="77777777" w:rsidR="00A84770" w:rsidRDefault="00A84770" w:rsidP="00A84770">
      <w:pPr>
        <w:pStyle w:val="Sangradetextonormal"/>
        <w:numPr>
          <w:ilvl w:val="0"/>
          <w:numId w:val="58"/>
        </w:numPr>
        <w:ind w:left="0" w:firstLine="709"/>
        <w:jc w:val="both"/>
        <w:rPr>
          <w:rFonts w:ascii="Cambria" w:hAnsi="Cambria"/>
          <w:sz w:val="20"/>
          <w:szCs w:val="20"/>
          <w:lang w:val="en-US"/>
        </w:rPr>
      </w:pPr>
      <w:r>
        <w:rPr>
          <w:rFonts w:ascii="Cambria" w:hAnsi="Cambria"/>
          <w:sz w:val="20"/>
          <w:szCs w:val="20"/>
          <w:lang w:val="en-US"/>
        </w:rPr>
        <w:t xml:space="preserve">In their jurisprudence, both the IACHR and the Court have made reference “abuse </w:t>
      </w:r>
      <w:r w:rsidRPr="00093214">
        <w:rPr>
          <w:rFonts w:ascii="Cambria" w:hAnsi="Cambria"/>
          <w:sz w:val="20"/>
          <w:szCs w:val="20"/>
          <w:lang w:val="en-US"/>
        </w:rPr>
        <w:t>of power</w:t>
      </w:r>
      <w:r>
        <w:rPr>
          <w:rFonts w:ascii="Cambria" w:hAnsi="Cambria"/>
          <w:sz w:val="20"/>
          <w:szCs w:val="20"/>
          <w:lang w:val="en-US"/>
        </w:rPr>
        <w:t>” as the mechanism through which legitimate resources of the administration of justice are used with non-declared and non-evident objectives that, at first sight, establish an “implicit” sanction with an aim different to that provided by law.</w:t>
      </w:r>
      <w:r w:rsidRPr="009B3BD2">
        <w:rPr>
          <w:rStyle w:val="Refdenotaalpie"/>
          <w:rFonts w:asciiTheme="majorHAnsi" w:hAnsiTheme="majorHAnsi"/>
          <w:sz w:val="20"/>
          <w:szCs w:val="20"/>
          <w:lang w:val="es-MX"/>
        </w:rPr>
        <w:footnoteReference w:id="104"/>
      </w:r>
      <w:r>
        <w:rPr>
          <w:rFonts w:ascii="Cambria" w:hAnsi="Cambria"/>
          <w:sz w:val="20"/>
          <w:szCs w:val="20"/>
          <w:lang w:val="en-US"/>
        </w:rPr>
        <w:t xml:space="preserve"> </w:t>
      </w:r>
      <w:r w:rsidRPr="00524FF3">
        <w:rPr>
          <w:rFonts w:ascii="Cambria" w:hAnsi="Cambria"/>
          <w:sz w:val="20"/>
          <w:szCs w:val="20"/>
          <w:lang w:val="en-US"/>
        </w:rPr>
        <w:t xml:space="preserve">Under certain </w:t>
      </w:r>
      <w:r>
        <w:rPr>
          <w:rFonts w:ascii="Cambria" w:hAnsi="Cambria"/>
          <w:sz w:val="20"/>
          <w:szCs w:val="20"/>
          <w:lang w:val="en-US"/>
        </w:rPr>
        <w:t>circumstances</w:t>
      </w:r>
      <w:r w:rsidRPr="00524FF3">
        <w:rPr>
          <w:rFonts w:ascii="Cambria" w:hAnsi="Cambria"/>
          <w:sz w:val="20"/>
          <w:szCs w:val="20"/>
          <w:lang w:val="en-US"/>
        </w:rPr>
        <w:t>,</w:t>
      </w:r>
      <w:r>
        <w:rPr>
          <w:rFonts w:ascii="Cambria" w:hAnsi="Cambria"/>
          <w:sz w:val="20"/>
          <w:szCs w:val="20"/>
          <w:lang w:val="en-US"/>
        </w:rPr>
        <w:t xml:space="preserve"> </w:t>
      </w:r>
      <w:r w:rsidRPr="00093214">
        <w:rPr>
          <w:rFonts w:ascii="Cambria" w:hAnsi="Cambria"/>
          <w:sz w:val="20"/>
          <w:szCs w:val="20"/>
          <w:lang w:val="en-US"/>
        </w:rPr>
        <w:t>abuse of power</w:t>
      </w:r>
      <w:r>
        <w:rPr>
          <w:rFonts w:ascii="Cambria" w:hAnsi="Cambria"/>
          <w:sz w:val="20"/>
          <w:szCs w:val="20"/>
          <w:lang w:val="en-US"/>
        </w:rPr>
        <w:t xml:space="preserve"> may constitute a violation of the principle of equality in cases of </w:t>
      </w:r>
      <w:r w:rsidRPr="00524FF3">
        <w:rPr>
          <w:rFonts w:ascii="Cambria" w:hAnsi="Cambria"/>
          <w:sz w:val="20"/>
          <w:szCs w:val="20"/>
          <w:lang w:val="en-US"/>
        </w:rPr>
        <w:t>covert discrimination.</w:t>
      </w:r>
      <w:r w:rsidRPr="009B3BD2">
        <w:rPr>
          <w:rStyle w:val="Refdenotaalpie"/>
          <w:rFonts w:asciiTheme="majorHAnsi" w:hAnsiTheme="majorHAnsi"/>
          <w:sz w:val="20"/>
          <w:szCs w:val="20"/>
        </w:rPr>
        <w:footnoteReference w:id="105"/>
      </w:r>
      <w:r>
        <w:rPr>
          <w:rFonts w:ascii="Cambria" w:hAnsi="Cambria"/>
          <w:sz w:val="20"/>
          <w:szCs w:val="20"/>
          <w:lang w:val="en-US"/>
        </w:rPr>
        <w:t xml:space="preserve"> When alleging covert discrimination, some experts </w:t>
      </w:r>
      <w:r>
        <w:rPr>
          <w:rFonts w:ascii="Cambria" w:hAnsi="Cambria"/>
          <w:sz w:val="20"/>
          <w:szCs w:val="20"/>
          <w:lang w:val="en-US"/>
        </w:rPr>
        <w:lastRenderedPageBreak/>
        <w:t>propose inverting traditional rules of evidence in three ways: 1) applying a presumption that discrimination exists where alleged. In other words, in these cases, there should not be a presumption of the legality of an administrative act; 2) imposing the burden of proof on the defendant to demonstrate that there was no discrimination; and 3) expanding the means of proof, such as the indications of the alleged discrimination, taking into consideration that in such cases it is incredibly difficult to obtain direct evidence.</w:t>
      </w:r>
      <w:r w:rsidRPr="009D215C">
        <w:rPr>
          <w:rStyle w:val="Refdenotaalpie"/>
          <w:rFonts w:asciiTheme="majorHAnsi" w:hAnsiTheme="majorHAnsi"/>
          <w:sz w:val="20"/>
          <w:szCs w:val="20"/>
          <w:lang w:val="en-US"/>
        </w:rPr>
        <w:t xml:space="preserve"> </w:t>
      </w:r>
      <w:r w:rsidRPr="009B3BD2">
        <w:rPr>
          <w:rStyle w:val="Refdenotaalpie"/>
          <w:rFonts w:asciiTheme="majorHAnsi" w:hAnsiTheme="majorHAnsi"/>
          <w:sz w:val="20"/>
          <w:szCs w:val="20"/>
        </w:rPr>
        <w:footnoteReference w:id="106"/>
      </w:r>
      <w:r>
        <w:rPr>
          <w:rFonts w:ascii="Cambria" w:hAnsi="Cambria"/>
          <w:sz w:val="20"/>
          <w:szCs w:val="20"/>
          <w:lang w:val="en-US"/>
        </w:rPr>
        <w:t xml:space="preserve"> </w:t>
      </w:r>
    </w:p>
    <w:p w14:paraId="0D32AA0E" w14:textId="77777777" w:rsidR="00A84770" w:rsidRDefault="00A84770" w:rsidP="00A84770">
      <w:pPr>
        <w:pStyle w:val="Sangradetextonormal"/>
        <w:ind w:left="709" w:firstLine="0"/>
        <w:jc w:val="both"/>
        <w:rPr>
          <w:rFonts w:ascii="Cambria" w:hAnsi="Cambria"/>
          <w:sz w:val="20"/>
          <w:szCs w:val="20"/>
          <w:lang w:val="en-US"/>
        </w:rPr>
      </w:pPr>
    </w:p>
    <w:p w14:paraId="6BB28EC9" w14:textId="77777777" w:rsidR="00A84770" w:rsidRDefault="00A84770" w:rsidP="00A84770">
      <w:pPr>
        <w:pStyle w:val="Sangradetextonormal"/>
        <w:numPr>
          <w:ilvl w:val="0"/>
          <w:numId w:val="58"/>
        </w:numPr>
        <w:ind w:left="0" w:firstLine="709"/>
        <w:jc w:val="both"/>
        <w:rPr>
          <w:rFonts w:ascii="Cambria" w:hAnsi="Cambria"/>
          <w:sz w:val="20"/>
          <w:szCs w:val="20"/>
          <w:lang w:val="en-US"/>
        </w:rPr>
      </w:pPr>
      <w:r>
        <w:rPr>
          <w:rFonts w:ascii="Cambria" w:hAnsi="Cambria"/>
          <w:sz w:val="20"/>
          <w:szCs w:val="20"/>
          <w:lang w:val="en-US"/>
        </w:rPr>
        <w:t>The Commission recalls that the alleged victim argued during the domestic proceedings that the disciplinary actions against him by the Office of the Inspector General had a political and discriminatory motivation, and that the objective was to punish him for his political ideology; i.e., these proceedings had a covert purpose. The Commission additionally underscores that after the sanctioning decision of December 9, 2013, on December 31, 2013, the alleged victim requested evidence to demonstrate the selectiveness and covert purpose of the disciplinary proceedings, such as the number of disciplinary proceedings that were advanced by the issuance of decrees similar to those issued by the alleged victim and the type of sanctions imposed. Nonetheless, his requests for that evidence were rejected because of their “untimeliness.”</w:t>
      </w:r>
    </w:p>
    <w:p w14:paraId="3C1C9B99" w14:textId="77777777" w:rsidR="00A84770" w:rsidRDefault="00A84770" w:rsidP="00A84770">
      <w:pPr>
        <w:pStyle w:val="Sangradetextonormal"/>
        <w:ind w:left="0" w:firstLine="0"/>
        <w:jc w:val="both"/>
        <w:rPr>
          <w:rFonts w:ascii="Cambria" w:hAnsi="Cambria"/>
          <w:sz w:val="20"/>
          <w:szCs w:val="20"/>
          <w:lang w:val="en-US"/>
        </w:rPr>
      </w:pPr>
    </w:p>
    <w:p w14:paraId="308A09AF" w14:textId="77777777" w:rsidR="00A84770" w:rsidRDefault="00A84770" w:rsidP="00A84770">
      <w:pPr>
        <w:pStyle w:val="Sangradetextonormal"/>
        <w:numPr>
          <w:ilvl w:val="0"/>
          <w:numId w:val="58"/>
        </w:numPr>
        <w:ind w:left="0" w:firstLine="709"/>
        <w:jc w:val="both"/>
        <w:rPr>
          <w:rFonts w:ascii="Cambria" w:hAnsi="Cambria"/>
          <w:sz w:val="20"/>
          <w:szCs w:val="20"/>
          <w:lang w:val="en-US"/>
        </w:rPr>
      </w:pPr>
      <w:r>
        <w:rPr>
          <w:rFonts w:ascii="Cambria" w:hAnsi="Cambria"/>
          <w:sz w:val="20"/>
          <w:szCs w:val="20"/>
          <w:lang w:val="en-US"/>
        </w:rPr>
        <w:t xml:space="preserve">The Commission observes that the alleged selective and discriminatory application of the disciplinary powers based on the political affiliation of Mr. Petro </w:t>
      </w:r>
      <w:proofErr w:type="spellStart"/>
      <w:r>
        <w:rPr>
          <w:rFonts w:ascii="Cambria" w:hAnsi="Cambria"/>
          <w:sz w:val="20"/>
          <w:szCs w:val="20"/>
          <w:lang w:val="en-US"/>
        </w:rPr>
        <w:t>Urrego</w:t>
      </w:r>
      <w:proofErr w:type="spellEnd"/>
      <w:r>
        <w:rPr>
          <w:rFonts w:ascii="Cambria" w:hAnsi="Cambria"/>
          <w:sz w:val="20"/>
          <w:szCs w:val="20"/>
          <w:lang w:val="en-US"/>
        </w:rPr>
        <w:t xml:space="preserve"> would have materialized by imposing a disciplinary action on December 9, 2013, thus, the law should have allowed submitting new evidence about this matter after the sanction, either through the same administrative avenue or through a </w:t>
      </w:r>
      <w:r w:rsidRPr="00363306">
        <w:rPr>
          <w:rFonts w:ascii="Cambria" w:hAnsi="Cambria"/>
          <w:sz w:val="20"/>
          <w:szCs w:val="20"/>
          <w:lang w:val="en-US"/>
        </w:rPr>
        <w:t xml:space="preserve">judicial </w:t>
      </w:r>
      <w:r>
        <w:rPr>
          <w:rFonts w:ascii="Cambria" w:hAnsi="Cambria"/>
          <w:sz w:val="20"/>
          <w:szCs w:val="20"/>
          <w:lang w:val="en-US"/>
        </w:rPr>
        <w:t xml:space="preserve">recourse. The IACHR observes that the information that would have supported proof of said allegation is essentially in the power of the State. </w:t>
      </w:r>
    </w:p>
    <w:p w14:paraId="3AA254E4" w14:textId="77777777" w:rsidR="00A84770" w:rsidRDefault="00A84770" w:rsidP="00A84770">
      <w:pPr>
        <w:pStyle w:val="Sangradetextonormal"/>
        <w:ind w:left="0" w:firstLine="0"/>
        <w:jc w:val="both"/>
        <w:rPr>
          <w:rFonts w:ascii="Cambria" w:hAnsi="Cambria"/>
          <w:sz w:val="20"/>
          <w:szCs w:val="20"/>
          <w:lang w:val="en-US"/>
        </w:rPr>
      </w:pPr>
    </w:p>
    <w:p w14:paraId="009F9243" w14:textId="77777777" w:rsidR="00A84770" w:rsidRDefault="00A84770" w:rsidP="00A84770">
      <w:pPr>
        <w:pStyle w:val="Sangradetextonormal"/>
        <w:numPr>
          <w:ilvl w:val="0"/>
          <w:numId w:val="58"/>
        </w:numPr>
        <w:ind w:left="0" w:firstLine="709"/>
        <w:jc w:val="both"/>
        <w:rPr>
          <w:rFonts w:ascii="Cambria" w:hAnsi="Cambria"/>
          <w:sz w:val="20"/>
          <w:szCs w:val="20"/>
          <w:lang w:val="en-US"/>
        </w:rPr>
      </w:pPr>
      <w:r>
        <w:rPr>
          <w:rFonts w:ascii="Cambria" w:hAnsi="Cambria"/>
          <w:sz w:val="20"/>
          <w:szCs w:val="20"/>
          <w:lang w:val="en-US"/>
        </w:rPr>
        <w:t xml:space="preserve">Thus, in the present case, Mr. Petro </w:t>
      </w:r>
      <w:proofErr w:type="spellStart"/>
      <w:r>
        <w:rPr>
          <w:rFonts w:ascii="Cambria" w:hAnsi="Cambria"/>
          <w:sz w:val="20"/>
          <w:szCs w:val="20"/>
          <w:lang w:val="en-US"/>
        </w:rPr>
        <w:t>Urrego</w:t>
      </w:r>
      <w:proofErr w:type="spellEnd"/>
      <w:r>
        <w:rPr>
          <w:rFonts w:ascii="Cambria" w:hAnsi="Cambria"/>
          <w:sz w:val="20"/>
          <w:szCs w:val="20"/>
          <w:lang w:val="en-US"/>
        </w:rPr>
        <w:t xml:space="preserve"> did not have the evidence that would have allowed him to develop, at the administrative level, his allegation of discrimination; whilst through the judiciary, due to the delay already analyzed, he has not had a decision on this matter. </w:t>
      </w:r>
    </w:p>
    <w:p w14:paraId="04BAC93E" w14:textId="77777777" w:rsidR="00A84770" w:rsidRDefault="00A84770" w:rsidP="00A84770">
      <w:pPr>
        <w:pStyle w:val="Sangradetextonormal"/>
        <w:ind w:left="0" w:firstLine="0"/>
        <w:jc w:val="both"/>
        <w:rPr>
          <w:rFonts w:ascii="Cambria" w:hAnsi="Cambria"/>
          <w:sz w:val="20"/>
          <w:szCs w:val="20"/>
          <w:lang w:val="en-US"/>
        </w:rPr>
      </w:pPr>
    </w:p>
    <w:p w14:paraId="0CC70C25" w14:textId="77777777" w:rsidR="00A84770" w:rsidRDefault="00A84770" w:rsidP="00A84770">
      <w:pPr>
        <w:pStyle w:val="Sangradetextonormal"/>
        <w:numPr>
          <w:ilvl w:val="0"/>
          <w:numId w:val="58"/>
        </w:numPr>
        <w:ind w:left="0" w:firstLine="709"/>
        <w:jc w:val="both"/>
        <w:rPr>
          <w:rFonts w:ascii="Cambria" w:hAnsi="Cambria"/>
          <w:sz w:val="20"/>
          <w:szCs w:val="20"/>
          <w:lang w:val="en-US"/>
        </w:rPr>
      </w:pPr>
      <w:r>
        <w:rPr>
          <w:rFonts w:ascii="Cambria" w:hAnsi="Cambria"/>
          <w:sz w:val="20"/>
          <w:szCs w:val="20"/>
          <w:lang w:val="en-US"/>
        </w:rPr>
        <w:t xml:space="preserve">By virtue of the above, the Commission concludes that the State of Colombia violated the right enshrined in Article 25(1) of the American Convention in conjunction to Articles 24 and 1(1) of the same instrument to the detriment of Gustavo Francisco Petro </w:t>
      </w:r>
      <w:proofErr w:type="spellStart"/>
      <w:r>
        <w:rPr>
          <w:rFonts w:ascii="Cambria" w:hAnsi="Cambria"/>
          <w:sz w:val="20"/>
          <w:szCs w:val="20"/>
          <w:lang w:val="en-US"/>
        </w:rPr>
        <w:t>Urrego</w:t>
      </w:r>
      <w:proofErr w:type="spellEnd"/>
      <w:r>
        <w:rPr>
          <w:rFonts w:ascii="Cambria" w:hAnsi="Cambria"/>
          <w:sz w:val="20"/>
          <w:szCs w:val="20"/>
          <w:lang w:val="en-US"/>
        </w:rPr>
        <w:t xml:space="preserve">. </w:t>
      </w:r>
    </w:p>
    <w:p w14:paraId="4B29A464" w14:textId="77777777" w:rsidR="00A84770" w:rsidRDefault="00A84770" w:rsidP="00A84770">
      <w:pPr>
        <w:pStyle w:val="Sangradetextonormal"/>
        <w:ind w:left="0" w:firstLine="0"/>
        <w:jc w:val="both"/>
        <w:rPr>
          <w:rFonts w:ascii="Cambria" w:hAnsi="Cambria"/>
          <w:sz w:val="20"/>
          <w:szCs w:val="20"/>
          <w:lang w:val="en-US"/>
        </w:rPr>
      </w:pPr>
    </w:p>
    <w:p w14:paraId="17946CB3" w14:textId="77777777" w:rsidR="00A84770" w:rsidRPr="009B3BD2" w:rsidRDefault="00A84770" w:rsidP="00A84770">
      <w:pPr>
        <w:pStyle w:val="Ttulo1"/>
        <w:numPr>
          <w:ilvl w:val="0"/>
          <w:numId w:val="57"/>
        </w:numPr>
      </w:pPr>
      <w:bookmarkStart w:id="32" w:name="_Toc496666316"/>
      <w:r>
        <w:t>CONCLUSION</w:t>
      </w:r>
      <w:r w:rsidRPr="009B3BD2">
        <w:t>S</w:t>
      </w:r>
      <w:bookmarkEnd w:id="32"/>
    </w:p>
    <w:p w14:paraId="341AC8F3" w14:textId="77777777" w:rsidR="00A84770" w:rsidRDefault="00A84770" w:rsidP="00A84770">
      <w:pPr>
        <w:pStyle w:val="Sangradetextonormal"/>
        <w:ind w:left="0" w:firstLine="0"/>
        <w:jc w:val="both"/>
        <w:rPr>
          <w:rFonts w:ascii="Cambria" w:hAnsi="Cambria"/>
          <w:sz w:val="20"/>
          <w:szCs w:val="20"/>
          <w:lang w:val="en-US"/>
        </w:rPr>
      </w:pPr>
    </w:p>
    <w:p w14:paraId="029BD56B" w14:textId="77777777" w:rsidR="00A84770" w:rsidRDefault="00A84770" w:rsidP="00A84770">
      <w:pPr>
        <w:pStyle w:val="Sangradetextonormal"/>
        <w:numPr>
          <w:ilvl w:val="0"/>
          <w:numId w:val="58"/>
        </w:numPr>
        <w:ind w:left="0" w:firstLine="709"/>
        <w:jc w:val="both"/>
        <w:rPr>
          <w:rFonts w:ascii="Cambria" w:hAnsi="Cambria"/>
          <w:sz w:val="20"/>
          <w:szCs w:val="20"/>
          <w:lang w:val="en-US"/>
        </w:rPr>
      </w:pPr>
      <w:r>
        <w:rPr>
          <w:rFonts w:ascii="Cambria" w:hAnsi="Cambria"/>
          <w:sz w:val="20"/>
          <w:szCs w:val="20"/>
          <w:lang w:val="en-US"/>
        </w:rPr>
        <w:t xml:space="preserve">The Commission concludes that the State of Colombia is responsible for violation of the rights to fair trial, political rights, equal protection, and judicial protection as provided by Articles 8(1), 8(2), 8(2)(h), 23(1), 23(2), and 25(1) of the American Convention in conjunction with the obligations established in Articles 24, 1(1), and 2 of the same instrument, to the detriment of Gustavo Francisco Petro </w:t>
      </w:r>
      <w:proofErr w:type="spellStart"/>
      <w:r>
        <w:rPr>
          <w:rFonts w:ascii="Cambria" w:hAnsi="Cambria"/>
          <w:sz w:val="20"/>
          <w:szCs w:val="20"/>
          <w:lang w:val="en-US"/>
        </w:rPr>
        <w:t>Urrego</w:t>
      </w:r>
      <w:proofErr w:type="spellEnd"/>
      <w:r>
        <w:rPr>
          <w:rFonts w:ascii="Cambria" w:hAnsi="Cambria"/>
          <w:sz w:val="20"/>
          <w:szCs w:val="20"/>
          <w:lang w:val="en-US"/>
        </w:rPr>
        <w:t xml:space="preserve">. </w:t>
      </w:r>
    </w:p>
    <w:p w14:paraId="2F5713C2" w14:textId="77777777" w:rsidR="00A84770" w:rsidRDefault="00A84770" w:rsidP="00A84770">
      <w:pPr>
        <w:pStyle w:val="Sangradetextonormal"/>
        <w:ind w:left="709" w:firstLine="0"/>
        <w:jc w:val="both"/>
        <w:rPr>
          <w:rFonts w:ascii="Cambria" w:hAnsi="Cambria"/>
          <w:sz w:val="20"/>
          <w:szCs w:val="20"/>
          <w:lang w:val="en-US"/>
        </w:rPr>
      </w:pPr>
    </w:p>
    <w:p w14:paraId="3A9DC190" w14:textId="77777777" w:rsidR="00A84770" w:rsidRDefault="00A84770" w:rsidP="00A84770">
      <w:pPr>
        <w:pStyle w:val="Ttulo1"/>
        <w:numPr>
          <w:ilvl w:val="0"/>
          <w:numId w:val="57"/>
        </w:numPr>
      </w:pPr>
      <w:bookmarkStart w:id="33" w:name="_Toc496666317"/>
      <w:r>
        <w:t>RECOMMENDATIONS</w:t>
      </w:r>
      <w:bookmarkEnd w:id="33"/>
    </w:p>
    <w:p w14:paraId="511771C0" w14:textId="77777777" w:rsidR="00A84770" w:rsidRDefault="00A84770" w:rsidP="00A84770">
      <w:pPr>
        <w:rPr>
          <w:b/>
          <w:lang w:val="es-ES_tradnl"/>
        </w:rPr>
      </w:pPr>
    </w:p>
    <w:p w14:paraId="0B73B4AF" w14:textId="02155EF5" w:rsidR="00A84770" w:rsidRDefault="00A84770" w:rsidP="00A84770">
      <w:pPr>
        <w:ind w:firstLine="709"/>
        <w:rPr>
          <w:rFonts w:ascii="Cambria" w:hAnsi="Cambria"/>
          <w:sz w:val="20"/>
          <w:szCs w:val="20"/>
        </w:rPr>
      </w:pPr>
      <w:r w:rsidRPr="00985D36">
        <w:rPr>
          <w:rFonts w:ascii="Cambria" w:hAnsi="Cambria"/>
          <w:b/>
          <w:sz w:val="20"/>
          <w:szCs w:val="20"/>
        </w:rPr>
        <w:t>THE INTERAMERICAN COMMISSION ON HUMAN RIGHTS RECOMME</w:t>
      </w:r>
      <w:r w:rsidR="00ED596C">
        <w:rPr>
          <w:rFonts w:ascii="Cambria" w:hAnsi="Cambria"/>
          <w:b/>
          <w:sz w:val="20"/>
          <w:szCs w:val="20"/>
        </w:rPr>
        <w:t>N</w:t>
      </w:r>
      <w:r w:rsidRPr="00985D36">
        <w:rPr>
          <w:rFonts w:ascii="Cambria" w:hAnsi="Cambria"/>
          <w:b/>
          <w:sz w:val="20"/>
          <w:szCs w:val="20"/>
        </w:rPr>
        <w:t xml:space="preserve">DS </w:t>
      </w:r>
      <w:r>
        <w:rPr>
          <w:rFonts w:ascii="Cambria" w:hAnsi="Cambria"/>
          <w:b/>
          <w:sz w:val="20"/>
          <w:szCs w:val="20"/>
        </w:rPr>
        <w:t xml:space="preserve">THAT </w:t>
      </w:r>
      <w:r w:rsidRPr="00985D36">
        <w:rPr>
          <w:rFonts w:ascii="Cambria" w:hAnsi="Cambria"/>
          <w:b/>
          <w:sz w:val="20"/>
          <w:szCs w:val="20"/>
        </w:rPr>
        <w:t xml:space="preserve">THE STATE OF </w:t>
      </w:r>
      <w:r>
        <w:rPr>
          <w:rFonts w:ascii="Cambria" w:hAnsi="Cambria"/>
          <w:b/>
          <w:sz w:val="20"/>
          <w:szCs w:val="20"/>
        </w:rPr>
        <w:t>COLOMBIA,</w:t>
      </w:r>
    </w:p>
    <w:p w14:paraId="70E7608F" w14:textId="77777777" w:rsidR="00A84770" w:rsidRPr="00663FD9" w:rsidRDefault="00A84770" w:rsidP="00A84770">
      <w:pPr>
        <w:pStyle w:val="Textoindependiente3"/>
        <w:tabs>
          <w:tab w:val="left" w:pos="720"/>
          <w:tab w:val="left" w:pos="1440"/>
          <w:tab w:val="left" w:pos="9360"/>
        </w:tabs>
        <w:spacing w:after="0"/>
        <w:ind w:left="720"/>
        <w:jc w:val="both"/>
        <w:rPr>
          <w:rFonts w:ascii="Cambria" w:hAnsi="Cambria"/>
          <w:sz w:val="20"/>
          <w:szCs w:val="20"/>
        </w:rPr>
      </w:pPr>
    </w:p>
    <w:p w14:paraId="7770369F" w14:textId="77777777" w:rsidR="00A84770" w:rsidRDefault="00A84770" w:rsidP="000829C4">
      <w:pPr>
        <w:pStyle w:val="Textoindependiente3"/>
        <w:numPr>
          <w:ilvl w:val="0"/>
          <w:numId w:val="66"/>
        </w:numPr>
        <w:tabs>
          <w:tab w:val="clear" w:pos="1860"/>
        </w:tabs>
        <w:spacing w:after="0"/>
        <w:ind w:left="0" w:firstLine="709"/>
        <w:jc w:val="both"/>
        <w:rPr>
          <w:rFonts w:ascii="Cambria" w:hAnsi="Cambria"/>
          <w:sz w:val="20"/>
          <w:szCs w:val="20"/>
        </w:rPr>
      </w:pPr>
      <w:r w:rsidRPr="00985D36">
        <w:rPr>
          <w:rFonts w:ascii="Cambria" w:hAnsi="Cambria"/>
          <w:sz w:val="20"/>
          <w:szCs w:val="20"/>
        </w:rPr>
        <w:t xml:space="preserve">To </w:t>
      </w:r>
      <w:r>
        <w:rPr>
          <w:rFonts w:ascii="Cambria" w:hAnsi="Cambria"/>
          <w:sz w:val="20"/>
          <w:szCs w:val="20"/>
        </w:rPr>
        <w:t xml:space="preserve">annul the administrative sanctioning </w:t>
      </w:r>
      <w:r w:rsidRPr="00985D36">
        <w:rPr>
          <w:rFonts w:ascii="Cambria" w:hAnsi="Cambria"/>
          <w:sz w:val="20"/>
          <w:szCs w:val="20"/>
        </w:rPr>
        <w:t xml:space="preserve">acts that imposed </w:t>
      </w:r>
      <w:r>
        <w:rPr>
          <w:rFonts w:ascii="Cambria" w:hAnsi="Cambria"/>
          <w:sz w:val="20"/>
          <w:szCs w:val="20"/>
        </w:rPr>
        <w:t>sanctions of disqualification on</w:t>
      </w:r>
      <w:r w:rsidRPr="00985D36">
        <w:rPr>
          <w:rFonts w:ascii="Cambria" w:hAnsi="Cambria"/>
          <w:sz w:val="20"/>
          <w:szCs w:val="20"/>
        </w:rPr>
        <w:t xml:space="preserve"> Mr. Gustavo Francisco Petro </w:t>
      </w:r>
      <w:proofErr w:type="spellStart"/>
      <w:r w:rsidRPr="00985D36">
        <w:rPr>
          <w:rFonts w:ascii="Cambria" w:hAnsi="Cambria"/>
          <w:sz w:val="20"/>
          <w:szCs w:val="20"/>
        </w:rPr>
        <w:t>Urrego</w:t>
      </w:r>
      <w:proofErr w:type="spellEnd"/>
      <w:r w:rsidRPr="00985D36">
        <w:rPr>
          <w:rFonts w:ascii="Cambria" w:hAnsi="Cambria"/>
          <w:sz w:val="20"/>
          <w:szCs w:val="20"/>
        </w:rPr>
        <w:t>, so he may freely exercise his political rights, including the right to passive suffrage.</w:t>
      </w:r>
    </w:p>
    <w:p w14:paraId="26EC6886" w14:textId="77777777" w:rsidR="00A84770" w:rsidRDefault="00A84770" w:rsidP="00A84770">
      <w:pPr>
        <w:pStyle w:val="Textoindependiente3"/>
        <w:spacing w:after="0"/>
        <w:ind w:left="709"/>
        <w:jc w:val="both"/>
        <w:rPr>
          <w:rFonts w:ascii="Cambria" w:hAnsi="Cambria"/>
          <w:sz w:val="20"/>
          <w:szCs w:val="20"/>
        </w:rPr>
      </w:pPr>
    </w:p>
    <w:p w14:paraId="5672B2C5" w14:textId="77777777" w:rsidR="00A84770" w:rsidRDefault="00A84770" w:rsidP="000829C4">
      <w:pPr>
        <w:pStyle w:val="Textoindependiente3"/>
        <w:numPr>
          <w:ilvl w:val="0"/>
          <w:numId w:val="66"/>
        </w:numPr>
        <w:tabs>
          <w:tab w:val="clear" w:pos="1860"/>
        </w:tabs>
        <w:spacing w:after="0"/>
        <w:ind w:left="0" w:firstLine="709"/>
        <w:jc w:val="both"/>
        <w:rPr>
          <w:rFonts w:ascii="Cambria" w:hAnsi="Cambria"/>
          <w:sz w:val="20"/>
          <w:szCs w:val="20"/>
        </w:rPr>
      </w:pPr>
      <w:r>
        <w:rPr>
          <w:rFonts w:ascii="Cambria" w:hAnsi="Cambria"/>
          <w:sz w:val="20"/>
          <w:szCs w:val="20"/>
        </w:rPr>
        <w:t xml:space="preserve">To integrally repair the violations of rights declared in the present report, including their </w:t>
      </w:r>
      <w:r w:rsidRPr="008325E0">
        <w:rPr>
          <w:rFonts w:ascii="Cambria" w:hAnsi="Cambria"/>
          <w:sz w:val="20"/>
          <w:szCs w:val="20"/>
        </w:rPr>
        <w:t>material and immaterial aspects</w:t>
      </w:r>
      <w:r>
        <w:rPr>
          <w:rFonts w:ascii="Cambria" w:hAnsi="Cambria"/>
          <w:sz w:val="20"/>
          <w:szCs w:val="20"/>
        </w:rPr>
        <w:t>.</w:t>
      </w:r>
    </w:p>
    <w:p w14:paraId="09412475" w14:textId="77777777" w:rsidR="00A84770" w:rsidRDefault="00A84770" w:rsidP="00A84770">
      <w:pPr>
        <w:pStyle w:val="Textoindependiente3"/>
        <w:spacing w:after="0"/>
        <w:jc w:val="both"/>
        <w:rPr>
          <w:rFonts w:ascii="Cambria" w:hAnsi="Cambria"/>
          <w:sz w:val="20"/>
          <w:szCs w:val="20"/>
        </w:rPr>
      </w:pPr>
    </w:p>
    <w:p w14:paraId="56CD9B06" w14:textId="77777777" w:rsidR="00C23BC1" w:rsidRDefault="00C23BC1" w:rsidP="00C23BC1">
      <w:pPr>
        <w:pStyle w:val="Prrafodelista"/>
        <w:rPr>
          <w:sz w:val="20"/>
          <w:szCs w:val="20"/>
        </w:rPr>
      </w:pPr>
    </w:p>
    <w:p w14:paraId="4ABE0B89" w14:textId="77777777" w:rsidR="005B6761" w:rsidRDefault="00C23BC1" w:rsidP="00A84770">
      <w:pPr>
        <w:pStyle w:val="Textoindependiente3"/>
        <w:numPr>
          <w:ilvl w:val="0"/>
          <w:numId w:val="66"/>
        </w:numPr>
        <w:tabs>
          <w:tab w:val="clear" w:pos="1860"/>
        </w:tabs>
        <w:spacing w:after="0"/>
        <w:ind w:left="0" w:firstLine="709"/>
        <w:jc w:val="both"/>
        <w:rPr>
          <w:rFonts w:ascii="Cambria" w:hAnsi="Cambria"/>
          <w:sz w:val="20"/>
          <w:szCs w:val="20"/>
        </w:rPr>
      </w:pPr>
      <w:r w:rsidRPr="00C23BC1">
        <w:rPr>
          <w:rFonts w:ascii="Cambria" w:hAnsi="Cambria"/>
          <w:sz w:val="20"/>
          <w:szCs w:val="20"/>
        </w:rPr>
        <w:lastRenderedPageBreak/>
        <w:t xml:space="preserve">To adapt its domestic legislation, in particular, the provisions of the Constitution and the Single Disciplinary Code, which allow respectively the power to dismiss and disqualify elected officials from the </w:t>
      </w:r>
      <w:r>
        <w:rPr>
          <w:rFonts w:ascii="Cambria" w:hAnsi="Cambria"/>
          <w:sz w:val="20"/>
          <w:szCs w:val="20"/>
        </w:rPr>
        <w:t>Inspector</w:t>
      </w:r>
      <w:r w:rsidRPr="00C23BC1">
        <w:rPr>
          <w:rFonts w:ascii="Cambria" w:hAnsi="Cambria"/>
          <w:sz w:val="20"/>
          <w:szCs w:val="20"/>
        </w:rPr>
        <w:t xml:space="preserve"> General's Office in the exercise of their disciplinary authority.</w:t>
      </w:r>
    </w:p>
    <w:p w14:paraId="1C8D1785" w14:textId="77777777" w:rsidR="005B6761" w:rsidRDefault="005B6761" w:rsidP="005B6761">
      <w:pPr>
        <w:pStyle w:val="Textoindependiente3"/>
        <w:spacing w:after="0"/>
        <w:ind w:left="709"/>
        <w:jc w:val="both"/>
        <w:rPr>
          <w:rFonts w:ascii="Cambria" w:hAnsi="Cambria"/>
          <w:sz w:val="20"/>
          <w:szCs w:val="20"/>
        </w:rPr>
      </w:pPr>
    </w:p>
    <w:p w14:paraId="04936656" w14:textId="77CD5D9C" w:rsidR="00C23BC1" w:rsidRPr="005B6761" w:rsidRDefault="00C23BC1" w:rsidP="00A84770">
      <w:pPr>
        <w:pStyle w:val="Textoindependiente3"/>
        <w:numPr>
          <w:ilvl w:val="0"/>
          <w:numId w:val="66"/>
        </w:numPr>
        <w:tabs>
          <w:tab w:val="clear" w:pos="1860"/>
        </w:tabs>
        <w:spacing w:after="0"/>
        <w:ind w:left="0" w:firstLine="709"/>
        <w:jc w:val="both"/>
        <w:rPr>
          <w:rFonts w:ascii="Cambria" w:hAnsi="Cambria"/>
          <w:sz w:val="20"/>
          <w:szCs w:val="20"/>
        </w:rPr>
      </w:pPr>
      <w:r w:rsidRPr="005B6761">
        <w:rPr>
          <w:rFonts w:ascii="Cambria" w:hAnsi="Cambria"/>
          <w:sz w:val="20"/>
          <w:szCs w:val="20"/>
        </w:rPr>
        <w:t xml:space="preserve">To adapt its criminal regulations to ensure that references to disciplinary or fiscal procedures are not included in the criminal offences related to the election of disqualified persons. In any case, the State must abstain from applying the </w:t>
      </w:r>
      <w:r w:rsidR="005B6761" w:rsidRPr="005B6761">
        <w:rPr>
          <w:rFonts w:ascii="Cambria" w:hAnsi="Cambria"/>
          <w:sz w:val="20"/>
          <w:szCs w:val="20"/>
        </w:rPr>
        <w:t>criminal offense</w:t>
      </w:r>
      <w:r w:rsidRPr="005B6761">
        <w:rPr>
          <w:rFonts w:ascii="Cambria" w:hAnsi="Cambria"/>
          <w:sz w:val="20"/>
          <w:szCs w:val="20"/>
        </w:rPr>
        <w:t xml:space="preserve"> foreseen in article 5 of Law 1834 of 2017, taking into account the determinations on the unconventionality of the disciplinary or fiscal dismissal, without a final criminal conviction.</w:t>
      </w:r>
    </w:p>
    <w:p w14:paraId="43E376F7" w14:textId="77777777" w:rsidR="00C23BC1" w:rsidRDefault="00C23BC1" w:rsidP="00A84770">
      <w:pPr>
        <w:pStyle w:val="Textoindependiente3"/>
        <w:spacing w:after="0"/>
        <w:jc w:val="both"/>
        <w:rPr>
          <w:rFonts w:ascii="Cambria" w:hAnsi="Cambria"/>
          <w:sz w:val="20"/>
          <w:szCs w:val="20"/>
        </w:rPr>
      </w:pPr>
    </w:p>
    <w:p w14:paraId="1B20C3D5" w14:textId="77777777" w:rsidR="00A84770" w:rsidRDefault="00A84770" w:rsidP="000829C4">
      <w:pPr>
        <w:pStyle w:val="Textoindependiente3"/>
        <w:numPr>
          <w:ilvl w:val="0"/>
          <w:numId w:val="66"/>
        </w:numPr>
        <w:tabs>
          <w:tab w:val="clear" w:pos="1860"/>
        </w:tabs>
        <w:spacing w:after="0"/>
        <w:ind w:left="0" w:firstLine="709"/>
        <w:jc w:val="both"/>
        <w:rPr>
          <w:rFonts w:ascii="Cambria" w:hAnsi="Cambria"/>
          <w:sz w:val="20"/>
          <w:szCs w:val="20"/>
        </w:rPr>
      </w:pPr>
      <w:r>
        <w:rPr>
          <w:rFonts w:ascii="Cambria" w:hAnsi="Cambria"/>
          <w:sz w:val="20"/>
          <w:szCs w:val="20"/>
        </w:rPr>
        <w:t xml:space="preserve">To adopt legislative or other measures necessary to ensure the impartiality of the disciplinary authority, in such a way that the authority that </w:t>
      </w:r>
      <w:r w:rsidRPr="00123800">
        <w:rPr>
          <w:rFonts w:ascii="Cambria" w:hAnsi="Cambria"/>
          <w:sz w:val="20"/>
          <w:szCs w:val="20"/>
        </w:rPr>
        <w:t>files the charges</w:t>
      </w:r>
      <w:r>
        <w:rPr>
          <w:rFonts w:ascii="Cambria" w:hAnsi="Cambria"/>
          <w:sz w:val="20"/>
          <w:szCs w:val="20"/>
        </w:rPr>
        <w:t xml:space="preserve"> is not the same one called to decide disciplinary responsibility. </w:t>
      </w:r>
    </w:p>
    <w:p w14:paraId="530588D0" w14:textId="77777777" w:rsidR="00A84770" w:rsidRDefault="00A84770" w:rsidP="00A84770">
      <w:pPr>
        <w:pStyle w:val="Textoindependiente3"/>
        <w:spacing w:after="0"/>
        <w:jc w:val="both"/>
        <w:rPr>
          <w:rFonts w:ascii="Cambria" w:hAnsi="Cambria"/>
          <w:sz w:val="20"/>
          <w:szCs w:val="20"/>
        </w:rPr>
      </w:pPr>
    </w:p>
    <w:p w14:paraId="165E6384" w14:textId="77777777" w:rsidR="00A84770" w:rsidRDefault="00A84770" w:rsidP="000829C4">
      <w:pPr>
        <w:pStyle w:val="Textoindependiente3"/>
        <w:numPr>
          <w:ilvl w:val="0"/>
          <w:numId w:val="66"/>
        </w:numPr>
        <w:tabs>
          <w:tab w:val="clear" w:pos="1860"/>
        </w:tabs>
        <w:spacing w:after="0"/>
        <w:ind w:left="0" w:firstLine="709"/>
        <w:jc w:val="both"/>
        <w:rPr>
          <w:rFonts w:ascii="Cambria" w:hAnsi="Cambria"/>
          <w:sz w:val="20"/>
          <w:szCs w:val="20"/>
        </w:rPr>
      </w:pPr>
      <w:r>
        <w:rPr>
          <w:rFonts w:ascii="Cambria" w:hAnsi="Cambria"/>
          <w:sz w:val="20"/>
          <w:szCs w:val="20"/>
        </w:rPr>
        <w:t xml:space="preserve">To adopt legislative or other measures necessary to guarantee the effective possibility to </w:t>
      </w:r>
      <w:r w:rsidRPr="00B77126">
        <w:rPr>
          <w:rFonts w:ascii="Cambria" w:hAnsi="Cambria"/>
          <w:sz w:val="20"/>
          <w:szCs w:val="20"/>
        </w:rPr>
        <w:t>appeal</w:t>
      </w:r>
      <w:r>
        <w:rPr>
          <w:rFonts w:ascii="Cambria" w:hAnsi="Cambria"/>
          <w:sz w:val="20"/>
          <w:szCs w:val="20"/>
        </w:rPr>
        <w:t xml:space="preserve"> disciplinary decisions before a different authority than the one that determined the disciplinary responsibility, ensuring an integral revision of the sanctioning </w:t>
      </w:r>
      <w:r w:rsidRPr="00490AED">
        <w:rPr>
          <w:rFonts w:ascii="Cambria" w:hAnsi="Cambria"/>
          <w:sz w:val="20"/>
          <w:szCs w:val="20"/>
        </w:rPr>
        <w:t>decisions</w:t>
      </w:r>
      <w:r>
        <w:rPr>
          <w:rFonts w:ascii="Cambria" w:hAnsi="Cambria"/>
          <w:sz w:val="20"/>
          <w:szCs w:val="20"/>
        </w:rPr>
        <w:t>.</w:t>
      </w:r>
    </w:p>
    <w:p w14:paraId="3E1C6B29" w14:textId="77777777" w:rsidR="00A84770" w:rsidRDefault="00A84770" w:rsidP="00A84770">
      <w:pPr>
        <w:pStyle w:val="Textoindependiente3"/>
        <w:spacing w:after="0"/>
        <w:jc w:val="both"/>
        <w:rPr>
          <w:rFonts w:ascii="Cambria" w:hAnsi="Cambria"/>
          <w:sz w:val="20"/>
          <w:szCs w:val="20"/>
        </w:rPr>
      </w:pPr>
    </w:p>
    <w:p w14:paraId="6347E42D" w14:textId="77777777" w:rsidR="00A84770" w:rsidRPr="00985D36" w:rsidRDefault="00A84770" w:rsidP="000829C4">
      <w:pPr>
        <w:pStyle w:val="Textoindependiente3"/>
        <w:numPr>
          <w:ilvl w:val="0"/>
          <w:numId w:val="66"/>
        </w:numPr>
        <w:tabs>
          <w:tab w:val="clear" w:pos="1860"/>
        </w:tabs>
        <w:spacing w:after="0"/>
        <w:ind w:left="0" w:firstLine="709"/>
        <w:jc w:val="both"/>
        <w:rPr>
          <w:rFonts w:ascii="Cambria" w:hAnsi="Cambria"/>
          <w:sz w:val="20"/>
          <w:szCs w:val="20"/>
        </w:rPr>
      </w:pPr>
      <w:r>
        <w:rPr>
          <w:rFonts w:ascii="Cambria" w:hAnsi="Cambria"/>
          <w:sz w:val="20"/>
          <w:szCs w:val="20"/>
        </w:rPr>
        <w:t xml:space="preserve">To adopt the necessary measures to ensure that the judicial </w:t>
      </w:r>
      <w:r w:rsidRPr="00490AED">
        <w:rPr>
          <w:rFonts w:ascii="Cambria" w:hAnsi="Cambria"/>
          <w:sz w:val="20"/>
          <w:szCs w:val="20"/>
        </w:rPr>
        <w:t>requests of null</w:t>
      </w:r>
      <w:r>
        <w:rPr>
          <w:rFonts w:ascii="Cambria" w:hAnsi="Cambria"/>
          <w:sz w:val="20"/>
          <w:szCs w:val="20"/>
        </w:rPr>
        <w:t>ification</w:t>
      </w:r>
      <w:r w:rsidRPr="00490AED">
        <w:rPr>
          <w:rFonts w:ascii="Cambria" w:hAnsi="Cambria"/>
          <w:sz w:val="20"/>
          <w:szCs w:val="20"/>
        </w:rPr>
        <w:t xml:space="preserve"> and reversal</w:t>
      </w:r>
      <w:r>
        <w:rPr>
          <w:rFonts w:ascii="Cambria" w:hAnsi="Cambria"/>
          <w:sz w:val="20"/>
          <w:szCs w:val="20"/>
        </w:rPr>
        <w:t xml:space="preserve"> are resolved within a reasonable time, including those within the direct jurisdiction of the State Council. </w:t>
      </w:r>
    </w:p>
    <w:p w14:paraId="58097BD8" w14:textId="77777777" w:rsidR="00A84770" w:rsidRDefault="00A84770" w:rsidP="00A84770"/>
    <w:p w14:paraId="7EE10414" w14:textId="77777777" w:rsidR="00C23BC1" w:rsidRDefault="00C23BC1"/>
    <w:sectPr w:rsidR="00C23BC1" w:rsidSect="00C23BC1">
      <w:headerReference w:type="even" r:id="rId8"/>
      <w:headerReference w:type="default" r:id="rId9"/>
      <w:footerReference w:type="default" r:id="rId10"/>
      <w:footerReference w:type="first" r:id="rId11"/>
      <w:type w:val="oddPage"/>
      <w:pgSz w:w="12240" w:h="15840"/>
      <w:pgMar w:top="1440" w:right="135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31915B" w14:textId="77777777" w:rsidR="0028545D" w:rsidRDefault="0028545D" w:rsidP="00A84770">
      <w:r>
        <w:separator/>
      </w:r>
    </w:p>
  </w:endnote>
  <w:endnote w:type="continuationSeparator" w:id="0">
    <w:p w14:paraId="223FEFFC" w14:textId="77777777" w:rsidR="0028545D" w:rsidRDefault="0028545D" w:rsidP="00A84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Universal">
    <w:altName w:val="Courier New"/>
    <w:charset w:val="00"/>
    <w:family w:val="auto"/>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9EEDE7" w14:textId="77777777" w:rsidR="00C23BC1" w:rsidRPr="006311DA" w:rsidRDefault="00C23BC1">
    <w:pPr>
      <w:pStyle w:val="Piedepgina"/>
      <w:jc w:val="center"/>
      <w:rPr>
        <w:sz w:val="16"/>
      </w:rPr>
    </w:pPr>
    <w:r w:rsidRPr="006311DA">
      <w:rPr>
        <w:sz w:val="16"/>
      </w:rPr>
      <w:fldChar w:fldCharType="begin"/>
    </w:r>
    <w:r w:rsidRPr="006311DA">
      <w:rPr>
        <w:sz w:val="16"/>
      </w:rPr>
      <w:instrText xml:space="preserve"> PAGE   \* MERGEFORMAT </w:instrText>
    </w:r>
    <w:r w:rsidRPr="006311DA">
      <w:rPr>
        <w:sz w:val="16"/>
      </w:rPr>
      <w:fldChar w:fldCharType="separate"/>
    </w:r>
    <w:r w:rsidR="00E43704">
      <w:rPr>
        <w:noProof/>
        <w:sz w:val="16"/>
      </w:rPr>
      <w:t>9</w:t>
    </w:r>
    <w:r w:rsidRPr="006311DA">
      <w:rPr>
        <w:noProof/>
        <w:sz w:val="16"/>
      </w:rPr>
      <w:fldChar w:fldCharType="end"/>
    </w:r>
  </w:p>
  <w:p w14:paraId="7919BE16" w14:textId="77777777" w:rsidR="00C23BC1" w:rsidRDefault="00C23BC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ECAF1F" w14:textId="77777777" w:rsidR="00C23BC1" w:rsidRDefault="00C23BC1">
    <w:pPr>
      <w:pStyle w:val="Piedepgina"/>
      <w:jc w:val="center"/>
    </w:pPr>
  </w:p>
  <w:p w14:paraId="60070A02" w14:textId="77777777" w:rsidR="00C23BC1" w:rsidRDefault="00C23BC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426C1B" w14:textId="77777777" w:rsidR="0028545D" w:rsidRDefault="0028545D" w:rsidP="00A84770">
      <w:r>
        <w:separator/>
      </w:r>
    </w:p>
  </w:footnote>
  <w:footnote w:type="continuationSeparator" w:id="0">
    <w:p w14:paraId="035DEF2F" w14:textId="77777777" w:rsidR="0028545D" w:rsidRDefault="0028545D" w:rsidP="00A84770">
      <w:r>
        <w:continuationSeparator/>
      </w:r>
    </w:p>
  </w:footnote>
  <w:footnote w:id="1">
    <w:p w14:paraId="7DFCBBF8" w14:textId="77777777" w:rsidR="00C23BC1" w:rsidRPr="009D78B5" w:rsidRDefault="00C23BC1" w:rsidP="00A84770">
      <w:pPr>
        <w:pStyle w:val="Textonotapie"/>
        <w:ind w:firstLine="720"/>
        <w:rPr>
          <w:rFonts w:ascii="Cambria" w:hAnsi="Cambria"/>
          <w:sz w:val="16"/>
          <w:szCs w:val="16"/>
        </w:rPr>
      </w:pPr>
      <w:r w:rsidRPr="009D78B5">
        <w:rPr>
          <w:rStyle w:val="Refdenotaalpie"/>
          <w:rFonts w:ascii="Cambria" w:hAnsi="Cambria"/>
          <w:sz w:val="16"/>
          <w:szCs w:val="16"/>
        </w:rPr>
        <w:footnoteRef/>
      </w:r>
      <w:r w:rsidRPr="009D78B5">
        <w:rPr>
          <w:rFonts w:ascii="Cambria" w:hAnsi="Cambria"/>
          <w:sz w:val="16"/>
          <w:szCs w:val="16"/>
        </w:rPr>
        <w:t xml:space="preserve"> In accordance with the provisions of Article 17(2) of the Rules of Procedure of the Commission, Commissioner Luis Ernesto Vargas Silva, of Colombian nationality, did not participate in the debate or in the decision of this case.</w:t>
      </w:r>
    </w:p>
  </w:footnote>
  <w:footnote w:id="2">
    <w:p w14:paraId="63C425BB" w14:textId="77777777" w:rsidR="00C23BC1" w:rsidRPr="009D78B5" w:rsidRDefault="00C23BC1" w:rsidP="00A84770">
      <w:pPr>
        <w:pStyle w:val="Textonotapie"/>
        <w:spacing w:after="120"/>
        <w:ind w:left="270" w:firstLine="450"/>
        <w:jc w:val="both"/>
        <w:rPr>
          <w:rFonts w:ascii="Cambria" w:hAnsi="Cambria"/>
          <w:sz w:val="16"/>
          <w:szCs w:val="16"/>
        </w:rPr>
      </w:pPr>
      <w:r w:rsidRPr="009D78B5">
        <w:rPr>
          <w:rStyle w:val="Refdenotaalpie"/>
          <w:rFonts w:ascii="Cambria" w:hAnsi="Cambria"/>
          <w:sz w:val="16"/>
          <w:szCs w:val="16"/>
        </w:rPr>
        <w:footnoteRef/>
      </w:r>
      <w:r w:rsidRPr="009D78B5">
        <w:rPr>
          <w:rFonts w:ascii="Cambria" w:hAnsi="Cambria"/>
          <w:i/>
          <w:sz w:val="16"/>
          <w:szCs w:val="16"/>
        </w:rPr>
        <w:t>Plaza Capital</w:t>
      </w:r>
      <w:r w:rsidRPr="009D78B5">
        <w:rPr>
          <w:rFonts w:ascii="Cambria" w:hAnsi="Cambria"/>
          <w:sz w:val="16"/>
          <w:szCs w:val="16"/>
        </w:rPr>
        <w:t>, Journalism and Public Opinion Program Informative Portal, del Rosario University,</w:t>
      </w:r>
      <w:hyperlink r:id="rId1" w:history="1">
        <w:r w:rsidRPr="009D78B5">
          <w:rPr>
            <w:rStyle w:val="Hipervnculo"/>
            <w:rFonts w:ascii="Cambria" w:hAnsi="Cambria"/>
            <w:sz w:val="16"/>
            <w:szCs w:val="16"/>
          </w:rPr>
          <w:t xml:space="preserve"> Profile of the new major of Bogotá.</w:t>
        </w:r>
      </w:hyperlink>
      <w:r w:rsidRPr="009D78B5">
        <w:rPr>
          <w:rFonts w:ascii="Cambria" w:hAnsi="Cambria"/>
          <w:sz w:val="16"/>
          <w:szCs w:val="16"/>
        </w:rPr>
        <w:t xml:space="preserve"> </w:t>
      </w:r>
    </w:p>
  </w:footnote>
  <w:footnote w:id="3">
    <w:p w14:paraId="76E874E3" w14:textId="77777777" w:rsidR="00C23BC1" w:rsidRPr="009D78B5" w:rsidRDefault="00C23BC1" w:rsidP="00A84770">
      <w:pPr>
        <w:pStyle w:val="Textonotapie"/>
        <w:spacing w:after="120"/>
        <w:ind w:left="270" w:firstLine="450"/>
        <w:jc w:val="both"/>
        <w:rPr>
          <w:rFonts w:ascii="Cambria" w:hAnsi="Cambria"/>
          <w:sz w:val="16"/>
          <w:szCs w:val="16"/>
        </w:rPr>
      </w:pPr>
      <w:r w:rsidRPr="009D78B5">
        <w:rPr>
          <w:rStyle w:val="Refdenotaalpie"/>
          <w:rFonts w:ascii="Cambria" w:hAnsi="Cambria"/>
          <w:sz w:val="16"/>
          <w:szCs w:val="16"/>
        </w:rPr>
        <w:footnoteRef/>
      </w:r>
      <w:r w:rsidRPr="009D78B5">
        <w:rPr>
          <w:rFonts w:ascii="Cambria" w:hAnsi="Cambria"/>
          <w:sz w:val="16"/>
          <w:szCs w:val="16"/>
        </w:rPr>
        <w:t xml:space="preserve"> IACHR, Report No. 60/16. Petition 1742-13. Admissibility. </w:t>
      </w:r>
      <w:r w:rsidRPr="00ED596C">
        <w:rPr>
          <w:rFonts w:ascii="Cambria" w:hAnsi="Cambria"/>
          <w:sz w:val="16"/>
          <w:szCs w:val="16"/>
        </w:rPr>
        <w:t xml:space="preserve">Gustavo Francisco Petro </w:t>
      </w:r>
      <w:proofErr w:type="spellStart"/>
      <w:r w:rsidRPr="00ED596C">
        <w:rPr>
          <w:rFonts w:ascii="Cambria" w:hAnsi="Cambria"/>
          <w:sz w:val="16"/>
          <w:szCs w:val="16"/>
        </w:rPr>
        <w:t>Urrego</w:t>
      </w:r>
      <w:proofErr w:type="spellEnd"/>
      <w:r w:rsidRPr="00ED596C">
        <w:rPr>
          <w:rFonts w:ascii="Cambria" w:hAnsi="Cambria"/>
          <w:sz w:val="16"/>
          <w:szCs w:val="16"/>
        </w:rPr>
        <w:t xml:space="preserve">. Colombia. </w:t>
      </w:r>
      <w:r w:rsidRPr="009D78B5">
        <w:rPr>
          <w:rFonts w:ascii="Cambria" w:hAnsi="Cambria"/>
          <w:sz w:val="16"/>
          <w:szCs w:val="16"/>
        </w:rPr>
        <w:t>December 6, 2016, para.8.</w:t>
      </w:r>
    </w:p>
  </w:footnote>
  <w:footnote w:id="4">
    <w:p w14:paraId="4ED90F44" w14:textId="77777777"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Fonts w:ascii="Cambria" w:hAnsi="Cambria"/>
          <w:sz w:val="16"/>
          <w:szCs w:val="16"/>
        </w:rPr>
        <w:t xml:space="preserve"> </w:t>
      </w:r>
      <w:hyperlink r:id="rId2" w:history="1">
        <w:r w:rsidRPr="009D78B5">
          <w:rPr>
            <w:rStyle w:val="Hipervnculo"/>
            <w:rFonts w:ascii="Cambria" w:hAnsi="Cambria"/>
            <w:sz w:val="16"/>
            <w:szCs w:val="16"/>
          </w:rPr>
          <w:t>Colombia’s Political Constitution</w:t>
        </w:r>
      </w:hyperlink>
      <w:r w:rsidRPr="009D78B5">
        <w:rPr>
          <w:rStyle w:val="Hipervnculo"/>
          <w:rFonts w:ascii="Cambria" w:hAnsi="Cambria"/>
          <w:sz w:val="16"/>
          <w:szCs w:val="16"/>
        </w:rPr>
        <w:t>.</w:t>
      </w:r>
      <w:r w:rsidRPr="009D78B5">
        <w:rPr>
          <w:rFonts w:ascii="Cambria" w:hAnsi="Cambria"/>
          <w:sz w:val="16"/>
          <w:szCs w:val="16"/>
        </w:rPr>
        <w:t xml:space="preserve"> </w:t>
      </w:r>
    </w:p>
  </w:footnote>
  <w:footnote w:id="5">
    <w:p w14:paraId="782B85A2" w14:textId="77777777"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Fonts w:ascii="Cambria" w:hAnsi="Cambria"/>
          <w:sz w:val="16"/>
          <w:szCs w:val="16"/>
        </w:rPr>
        <w:t xml:space="preserve"> </w:t>
      </w:r>
      <w:hyperlink r:id="rId3" w:history="1">
        <w:r w:rsidRPr="009D78B5">
          <w:rPr>
            <w:rStyle w:val="Hipervnculo"/>
            <w:rFonts w:ascii="Cambria" w:hAnsi="Cambria"/>
            <w:sz w:val="16"/>
            <w:szCs w:val="16"/>
          </w:rPr>
          <w:t>Colombia’s Political Constitution</w:t>
        </w:r>
      </w:hyperlink>
      <w:r w:rsidRPr="009D78B5">
        <w:rPr>
          <w:rStyle w:val="Hipervnculo"/>
          <w:rFonts w:ascii="Cambria" w:hAnsi="Cambria"/>
          <w:sz w:val="16"/>
          <w:szCs w:val="16"/>
        </w:rPr>
        <w:t>.</w:t>
      </w:r>
      <w:r w:rsidRPr="009D78B5">
        <w:rPr>
          <w:rFonts w:ascii="Cambria" w:hAnsi="Cambria"/>
          <w:sz w:val="16"/>
          <w:szCs w:val="16"/>
        </w:rPr>
        <w:t xml:space="preserve"> </w:t>
      </w:r>
    </w:p>
  </w:footnote>
  <w:footnote w:id="6">
    <w:p w14:paraId="38B28134" w14:textId="77777777"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Fonts w:ascii="Cambria" w:hAnsi="Cambria"/>
          <w:sz w:val="16"/>
          <w:szCs w:val="16"/>
        </w:rPr>
        <w:t xml:space="preserve"> Constitutional Court of Colombia, </w:t>
      </w:r>
      <w:hyperlink r:id="rId4" w:history="1">
        <w:r w:rsidRPr="009D78B5">
          <w:rPr>
            <w:rStyle w:val="Hipervnculo"/>
            <w:rFonts w:ascii="Cambria" w:hAnsi="Cambria"/>
            <w:sz w:val="16"/>
            <w:szCs w:val="16"/>
          </w:rPr>
          <w:t>Judgment T-724/03, August 20, 2003</w:t>
        </w:r>
      </w:hyperlink>
      <w:r w:rsidRPr="009D78B5">
        <w:rPr>
          <w:rFonts w:ascii="Cambria" w:hAnsi="Cambria"/>
          <w:sz w:val="16"/>
          <w:szCs w:val="16"/>
        </w:rPr>
        <w:t xml:space="preserve">. </w:t>
      </w:r>
    </w:p>
  </w:footnote>
  <w:footnote w:id="7">
    <w:p w14:paraId="33136A5A" w14:textId="77777777"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Fonts w:ascii="Cambria" w:hAnsi="Cambria"/>
          <w:sz w:val="16"/>
          <w:szCs w:val="16"/>
        </w:rPr>
        <w:t xml:space="preserve"> See Constitutional Court of Colombia, </w:t>
      </w:r>
      <w:hyperlink r:id="rId5" w:history="1">
        <w:r w:rsidRPr="009D78B5">
          <w:rPr>
            <w:rStyle w:val="Hipervnculo"/>
            <w:rFonts w:ascii="Cambria" w:hAnsi="Cambria"/>
            <w:sz w:val="16"/>
            <w:szCs w:val="16"/>
          </w:rPr>
          <w:t>Order 268, July 30, 2010</w:t>
        </w:r>
      </w:hyperlink>
      <w:r w:rsidRPr="009D78B5">
        <w:rPr>
          <w:rFonts w:ascii="Cambria" w:hAnsi="Cambria"/>
          <w:sz w:val="16"/>
          <w:szCs w:val="16"/>
        </w:rPr>
        <w:t>.</w:t>
      </w:r>
    </w:p>
  </w:footnote>
  <w:footnote w:id="8">
    <w:p w14:paraId="0AE3DCF5" w14:textId="77777777"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Fonts w:ascii="Cambria" w:hAnsi="Cambria"/>
          <w:sz w:val="16"/>
          <w:szCs w:val="16"/>
        </w:rPr>
        <w:t xml:space="preserve"> Constitutional Court of Colombia, </w:t>
      </w:r>
      <w:hyperlink r:id="rId6" w:history="1">
        <w:r w:rsidRPr="009D78B5">
          <w:rPr>
            <w:rStyle w:val="Hipervnculo"/>
            <w:rFonts w:ascii="Cambria" w:hAnsi="Cambria"/>
            <w:sz w:val="16"/>
            <w:szCs w:val="16"/>
          </w:rPr>
          <w:t>Order 275/11, October 11, 2012.</w:t>
        </w:r>
      </w:hyperlink>
    </w:p>
  </w:footnote>
  <w:footnote w:id="9">
    <w:p w14:paraId="62A069CF" w14:textId="3780069E"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Fonts w:ascii="Cambria" w:hAnsi="Cambria"/>
          <w:sz w:val="16"/>
          <w:szCs w:val="16"/>
        </w:rPr>
        <w:t xml:space="preserve"> </w:t>
      </w:r>
      <w:hyperlink r:id="rId7" w:history="1">
        <w:r w:rsidRPr="009D78B5">
          <w:rPr>
            <w:rStyle w:val="Hipervnculo"/>
            <w:rFonts w:ascii="Cambria" w:hAnsi="Cambria"/>
            <w:sz w:val="16"/>
            <w:szCs w:val="16"/>
          </w:rPr>
          <w:t>Inter-administrative Contract Number 017 of 2012 signed between UAESP and the Bogota Water and Sewers Company (</w:t>
        </w:r>
        <w:proofErr w:type="spellStart"/>
        <w:r w:rsidRPr="009D78B5">
          <w:rPr>
            <w:rStyle w:val="Hipervnculo"/>
            <w:rFonts w:ascii="Cambria" w:hAnsi="Cambria"/>
            <w:i/>
            <w:sz w:val="16"/>
            <w:szCs w:val="16"/>
          </w:rPr>
          <w:t>Empresa</w:t>
        </w:r>
        <w:proofErr w:type="spellEnd"/>
        <w:r w:rsidRPr="009D78B5">
          <w:rPr>
            <w:rStyle w:val="Hipervnculo"/>
            <w:rFonts w:ascii="Cambria" w:hAnsi="Cambria"/>
            <w:i/>
            <w:sz w:val="16"/>
            <w:szCs w:val="16"/>
          </w:rPr>
          <w:t xml:space="preserve"> de </w:t>
        </w:r>
        <w:proofErr w:type="spellStart"/>
        <w:r w:rsidRPr="009D78B5">
          <w:rPr>
            <w:rStyle w:val="Hipervnculo"/>
            <w:rFonts w:ascii="Cambria" w:hAnsi="Cambria"/>
            <w:i/>
            <w:sz w:val="16"/>
            <w:szCs w:val="16"/>
          </w:rPr>
          <w:t>Acueducto</w:t>
        </w:r>
        <w:proofErr w:type="spellEnd"/>
        <w:r w:rsidRPr="009D78B5">
          <w:rPr>
            <w:rStyle w:val="Hipervnculo"/>
            <w:rFonts w:ascii="Cambria" w:hAnsi="Cambria"/>
            <w:i/>
            <w:sz w:val="16"/>
            <w:szCs w:val="16"/>
          </w:rPr>
          <w:t xml:space="preserve"> y </w:t>
        </w:r>
        <w:proofErr w:type="spellStart"/>
        <w:r w:rsidRPr="009D78B5">
          <w:rPr>
            <w:rStyle w:val="Hipervnculo"/>
            <w:rFonts w:ascii="Cambria" w:hAnsi="Cambria"/>
            <w:i/>
            <w:sz w:val="16"/>
            <w:szCs w:val="16"/>
          </w:rPr>
          <w:t>Alcantarillado</w:t>
        </w:r>
        <w:proofErr w:type="spellEnd"/>
        <w:r w:rsidRPr="009D78B5">
          <w:rPr>
            <w:rStyle w:val="Hipervnculo"/>
            <w:rFonts w:ascii="Cambria" w:hAnsi="Cambria"/>
            <w:i/>
            <w:sz w:val="16"/>
            <w:szCs w:val="16"/>
          </w:rPr>
          <w:t xml:space="preserve"> de Bogotá E.S.P</w:t>
        </w:r>
        <w:r w:rsidRPr="009D78B5">
          <w:rPr>
            <w:rStyle w:val="Hipervnculo"/>
            <w:rFonts w:ascii="Cambria" w:hAnsi="Cambria"/>
            <w:sz w:val="16"/>
            <w:szCs w:val="16"/>
          </w:rPr>
          <w:t xml:space="preserve">,) </w:t>
        </w:r>
        <w:proofErr w:type="gramStart"/>
        <w:r w:rsidRPr="009D78B5">
          <w:rPr>
            <w:rStyle w:val="Hipervnculo"/>
            <w:rFonts w:ascii="Cambria" w:hAnsi="Cambria"/>
            <w:sz w:val="16"/>
            <w:szCs w:val="16"/>
          </w:rPr>
          <w:t>October  11</w:t>
        </w:r>
        <w:proofErr w:type="gramEnd"/>
        <w:r w:rsidRPr="009D78B5">
          <w:rPr>
            <w:rStyle w:val="Hipervnculo"/>
            <w:rFonts w:ascii="Cambria" w:hAnsi="Cambria"/>
            <w:sz w:val="16"/>
            <w:szCs w:val="16"/>
          </w:rPr>
          <w:t>, 2012.</w:t>
        </w:r>
      </w:hyperlink>
      <w:r w:rsidRPr="009D78B5">
        <w:rPr>
          <w:rFonts w:ascii="Cambria" w:hAnsi="Cambria"/>
          <w:sz w:val="16"/>
          <w:szCs w:val="16"/>
        </w:rPr>
        <w:t xml:space="preserve"> </w:t>
      </w:r>
    </w:p>
  </w:footnote>
  <w:footnote w:id="10">
    <w:p w14:paraId="3F081CFD" w14:textId="365B2FC8"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Pr>
          <w:rFonts w:ascii="Cambria" w:hAnsi="Cambria"/>
          <w:sz w:val="16"/>
          <w:szCs w:val="16"/>
        </w:rPr>
        <w:t xml:space="preserve"> Annex 1</w:t>
      </w:r>
      <w:r w:rsidRPr="009D78B5">
        <w:rPr>
          <w:rFonts w:ascii="Cambria" w:hAnsi="Cambria"/>
          <w:sz w:val="16"/>
          <w:szCs w:val="16"/>
        </w:rPr>
        <w:t>. Final Judgement of the Sole-Instance Disciplinary Chamber of the Office of the Inspector General of the Nation, December 9, 2013, p. 453. Annex 1 to the additional observations from the petitioners on the merits of March 9, 2017.</w:t>
      </w:r>
    </w:p>
  </w:footnote>
  <w:footnote w:id="11">
    <w:p w14:paraId="354CFA3D" w14:textId="5A514F64"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Fonts w:ascii="Cambria" w:hAnsi="Cambria"/>
          <w:sz w:val="16"/>
          <w:szCs w:val="16"/>
        </w:rPr>
        <w:t xml:space="preserve"> Decree Law 564 of December 10, 2012, issued by the Mayor of Bogota, District Capital.</w:t>
      </w:r>
    </w:p>
  </w:footnote>
  <w:footnote w:id="12">
    <w:p w14:paraId="6528D850" w14:textId="7B48A3D2" w:rsidR="00C23BC1" w:rsidRPr="009D78B5" w:rsidRDefault="00C23BC1" w:rsidP="00A84770">
      <w:pPr>
        <w:pStyle w:val="Textonotapie"/>
        <w:spacing w:after="120"/>
        <w:ind w:left="720"/>
        <w:jc w:val="both"/>
        <w:rPr>
          <w:rFonts w:ascii="Cambria" w:hAnsi="Cambria"/>
          <w:sz w:val="16"/>
          <w:szCs w:val="16"/>
        </w:rPr>
      </w:pPr>
      <w:r w:rsidRPr="009D78B5">
        <w:rPr>
          <w:rStyle w:val="Refdenotaalpie"/>
          <w:rFonts w:ascii="Cambria" w:hAnsi="Cambria"/>
          <w:sz w:val="16"/>
          <w:szCs w:val="16"/>
        </w:rPr>
        <w:footnoteRef/>
      </w:r>
      <w:r w:rsidRPr="009D78B5">
        <w:rPr>
          <w:rFonts w:ascii="Cambria" w:hAnsi="Cambria"/>
          <w:sz w:val="16"/>
          <w:szCs w:val="16"/>
        </w:rPr>
        <w:t xml:space="preserve"> </w:t>
      </w:r>
      <w:hyperlink r:id="rId8" w:history="1">
        <w:r w:rsidRPr="009D78B5">
          <w:rPr>
            <w:rStyle w:val="Hipervnculo"/>
            <w:rFonts w:ascii="Cambria" w:hAnsi="Cambria"/>
            <w:sz w:val="16"/>
            <w:szCs w:val="16"/>
          </w:rPr>
          <w:t xml:space="preserve">Decree Law 570 of December 14, 2012, </w:t>
        </w:r>
        <w:r w:rsidRPr="009D78B5">
          <w:rPr>
            <w:rFonts w:ascii="Cambria" w:hAnsi="Cambria"/>
            <w:sz w:val="16"/>
            <w:szCs w:val="16"/>
          </w:rPr>
          <w:t>issued by the Mayor of Bogota, District Capital.</w:t>
        </w:r>
      </w:hyperlink>
    </w:p>
  </w:footnote>
  <w:footnote w:id="13">
    <w:p w14:paraId="6AFF7350" w14:textId="77777777"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Fonts w:ascii="Cambria" w:hAnsi="Cambria"/>
          <w:sz w:val="16"/>
          <w:szCs w:val="16"/>
        </w:rPr>
        <w:t xml:space="preserve"> Petition of October 23, 2013. </w:t>
      </w:r>
    </w:p>
  </w:footnote>
  <w:footnote w:id="14">
    <w:p w14:paraId="64F7C6BC" w14:textId="4D74EDFE"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Pr>
          <w:rFonts w:ascii="Cambria" w:hAnsi="Cambria"/>
          <w:sz w:val="16"/>
          <w:szCs w:val="16"/>
        </w:rPr>
        <w:t xml:space="preserve"> Annex 1</w:t>
      </w:r>
      <w:r w:rsidRPr="009D78B5">
        <w:rPr>
          <w:rFonts w:ascii="Cambria" w:hAnsi="Cambria"/>
          <w:sz w:val="16"/>
          <w:szCs w:val="16"/>
        </w:rPr>
        <w:t>. Final Judgement of the Sole-Instance Disciplinary Chamber of the Office of the Nation’s Inspector General, December 9, 2013. Annex 1 to the additional observations from the petitioners on the merits of March 9, 2017.</w:t>
      </w:r>
    </w:p>
  </w:footnote>
  <w:footnote w:id="15">
    <w:p w14:paraId="1090121C" w14:textId="45A535A0"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Pr>
          <w:rFonts w:ascii="Cambria" w:hAnsi="Cambria"/>
          <w:sz w:val="16"/>
          <w:szCs w:val="16"/>
        </w:rPr>
        <w:t xml:space="preserve"> Annex 2</w:t>
      </w:r>
      <w:r w:rsidRPr="009D78B5">
        <w:rPr>
          <w:rFonts w:ascii="Cambria" w:hAnsi="Cambria"/>
          <w:sz w:val="16"/>
          <w:szCs w:val="16"/>
        </w:rPr>
        <w:t>. Decision on the petition seeking reversal of the Disciplinary Chamber of the Office of the Nation’s Inspector General, of January 13, 2014, p.158.  Annex 2 to the additional observations from the petitioners on the merits of March 9, 2017.</w:t>
      </w:r>
    </w:p>
  </w:footnote>
  <w:footnote w:id="16">
    <w:p w14:paraId="021380A9" w14:textId="7699D977"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Pr>
          <w:rFonts w:ascii="Cambria" w:hAnsi="Cambria"/>
          <w:sz w:val="16"/>
          <w:szCs w:val="16"/>
        </w:rPr>
        <w:t xml:space="preserve"> Annex 2</w:t>
      </w:r>
      <w:r w:rsidRPr="009D78B5">
        <w:rPr>
          <w:rFonts w:ascii="Cambria" w:hAnsi="Cambria"/>
          <w:sz w:val="16"/>
          <w:szCs w:val="16"/>
        </w:rPr>
        <w:t>. Decision on the petition seeking reversal of the Disciplinary Chamber of the Office of the Nation’s Inspector General, of January 13, 2014, p.161.  Annex 2 to the additional observations from the petitioners on the merits of March 9, 2017.  He also stated that “1. Vectors were not developed: vectors, such as flies, were not detected as having developed.  In a city with the conditions of Bogotá, with temperatures usually below 18C, it is required between 23 to 41 days of waste processes and decomposition to have elapsed so that an egg is produced, gone into larval stages and became a fly.  There was no trash on the streets for so long, as the timeframes were less than that and the climate conditions were not present for them to develop in 3 days.  There was no evidence detected with regards to the development of other vectors that could generate diseases, nor was there concrete evidence of illnesses that took place during that period of time due to the trash in the streets. 2. There was no poor air quality. The quality of the air was permanently monitored and there was control of the drag material and dust, especially, of that generated by the sweep of public roads.  They even found that the quality of the air during that time frame in 2012, compared to the same days in 2011, was much better. 3. There was no pollution due to leachate: they are a product of putrefaction and decomposition of waste and require certain conditions to be produced.  This because the leachate results of the percolation of water and the pressure on the organic mass followed by decomposition processes that, when being dragged, produce these leachates</w:t>
      </w:r>
      <w:r>
        <w:rPr>
          <w:rFonts w:ascii="Cambria" w:hAnsi="Cambria"/>
          <w:sz w:val="16"/>
          <w:szCs w:val="16"/>
        </w:rPr>
        <w:t>. See: Annex 2</w:t>
      </w:r>
      <w:r w:rsidRPr="009D78B5">
        <w:rPr>
          <w:rFonts w:ascii="Cambria" w:hAnsi="Cambria"/>
          <w:sz w:val="16"/>
          <w:szCs w:val="16"/>
        </w:rPr>
        <w:t xml:space="preserve">. Decision on the petition seeking reversal of the Disciplinary Chamber of the Office of the Nation’s Inspector General, of January 13, 2014, p.300.  Annex 2 to the additional observations from the petitioners on the merits of March 9, 2017.  </w:t>
      </w:r>
    </w:p>
  </w:footnote>
  <w:footnote w:id="17">
    <w:p w14:paraId="413B879F" w14:textId="0F60CF27"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Pr>
          <w:rFonts w:ascii="Cambria" w:hAnsi="Cambria"/>
          <w:sz w:val="16"/>
          <w:szCs w:val="16"/>
        </w:rPr>
        <w:t xml:space="preserve"> Annex 1</w:t>
      </w:r>
      <w:r w:rsidRPr="009D78B5">
        <w:rPr>
          <w:rFonts w:ascii="Cambria" w:hAnsi="Cambria"/>
          <w:sz w:val="16"/>
          <w:szCs w:val="16"/>
        </w:rPr>
        <w:t>. Final Judgement of the Sole-Instance Disciplinary Chamber of the Office of the Nation’s Inspector General, December 9, 2013, pp. 27, 30 and 70. Annex 1 to the additional observations from the petitioners on the merits of March 9, 2017.</w:t>
      </w:r>
    </w:p>
  </w:footnote>
  <w:footnote w:id="18">
    <w:p w14:paraId="23CEA965" w14:textId="77777777"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Fonts w:ascii="Cambria" w:hAnsi="Cambria"/>
          <w:sz w:val="16"/>
          <w:szCs w:val="16"/>
        </w:rPr>
        <w:t xml:space="preserve"> According to record, the decision was rendered by the Prosecutor Adjunct First, Juan Carlos </w:t>
      </w:r>
      <w:proofErr w:type="spellStart"/>
      <w:r w:rsidRPr="009D78B5">
        <w:rPr>
          <w:rFonts w:ascii="Cambria" w:hAnsi="Cambria"/>
          <w:sz w:val="16"/>
          <w:szCs w:val="16"/>
        </w:rPr>
        <w:t>Novoa</w:t>
      </w:r>
      <w:proofErr w:type="spellEnd"/>
      <w:r w:rsidRPr="009D78B5">
        <w:rPr>
          <w:rFonts w:ascii="Cambria" w:hAnsi="Cambria"/>
          <w:sz w:val="16"/>
          <w:szCs w:val="16"/>
        </w:rPr>
        <w:t xml:space="preserve"> </w:t>
      </w:r>
      <w:proofErr w:type="spellStart"/>
      <w:r w:rsidRPr="009D78B5">
        <w:rPr>
          <w:rFonts w:ascii="Cambria" w:hAnsi="Cambria"/>
          <w:sz w:val="16"/>
          <w:szCs w:val="16"/>
        </w:rPr>
        <w:t>Buendía</w:t>
      </w:r>
      <w:proofErr w:type="spellEnd"/>
      <w:r w:rsidRPr="009D78B5">
        <w:rPr>
          <w:rFonts w:ascii="Cambria" w:hAnsi="Cambria"/>
          <w:sz w:val="16"/>
          <w:szCs w:val="16"/>
        </w:rPr>
        <w:t xml:space="preserve"> and the Prosecutor Adjunct Second </w:t>
      </w:r>
      <w:r w:rsidRPr="009D78B5">
        <w:rPr>
          <w:rFonts w:ascii="Cambria" w:hAnsi="Cambria"/>
          <w:i/>
          <w:sz w:val="16"/>
          <w:szCs w:val="16"/>
        </w:rPr>
        <w:t>ad hoc</w:t>
      </w:r>
      <w:r w:rsidRPr="009D78B5">
        <w:rPr>
          <w:rFonts w:ascii="Cambria" w:hAnsi="Cambria"/>
          <w:sz w:val="16"/>
          <w:szCs w:val="16"/>
        </w:rPr>
        <w:t xml:space="preserve">, Carlos Arturo </w:t>
      </w:r>
      <w:proofErr w:type="spellStart"/>
      <w:r w:rsidRPr="009D78B5">
        <w:rPr>
          <w:rFonts w:ascii="Cambria" w:hAnsi="Cambria"/>
          <w:sz w:val="16"/>
          <w:szCs w:val="16"/>
        </w:rPr>
        <w:t>Ramírez</w:t>
      </w:r>
      <w:proofErr w:type="spellEnd"/>
      <w:r w:rsidRPr="009D78B5">
        <w:rPr>
          <w:rFonts w:ascii="Cambria" w:hAnsi="Cambria"/>
          <w:sz w:val="16"/>
          <w:szCs w:val="16"/>
        </w:rPr>
        <w:t xml:space="preserve"> </w:t>
      </w:r>
      <w:proofErr w:type="spellStart"/>
      <w:r w:rsidRPr="009D78B5">
        <w:rPr>
          <w:rFonts w:ascii="Cambria" w:hAnsi="Cambria"/>
          <w:sz w:val="16"/>
          <w:szCs w:val="16"/>
        </w:rPr>
        <w:t>Vásquez</w:t>
      </w:r>
      <w:proofErr w:type="spellEnd"/>
      <w:r w:rsidRPr="009D78B5">
        <w:rPr>
          <w:rFonts w:ascii="Cambria" w:hAnsi="Cambria"/>
          <w:sz w:val="16"/>
          <w:szCs w:val="16"/>
        </w:rPr>
        <w:t xml:space="preserve">. </w:t>
      </w:r>
    </w:p>
  </w:footnote>
  <w:footnote w:id="19">
    <w:p w14:paraId="4A454EDF" w14:textId="3D7247A4"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Pr>
          <w:rFonts w:ascii="Cambria" w:hAnsi="Cambria"/>
          <w:sz w:val="16"/>
          <w:szCs w:val="16"/>
        </w:rPr>
        <w:t xml:space="preserve"> Annex 1</w:t>
      </w:r>
      <w:r w:rsidRPr="009D78B5">
        <w:rPr>
          <w:rFonts w:ascii="Cambria" w:hAnsi="Cambria"/>
          <w:sz w:val="16"/>
          <w:szCs w:val="16"/>
        </w:rPr>
        <w:t>. Final Judgement of the Sole-Instance Disciplinary Chamber of the Office of the Nation’s Inspector General, December 9, 2013, p. 484. Annex 1 to the additional observations from the petitioners on the merits of March 9, 2017.</w:t>
      </w:r>
    </w:p>
  </w:footnote>
  <w:footnote w:id="20">
    <w:p w14:paraId="5FEFB047" w14:textId="4AF0A5EC"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Pr>
          <w:rFonts w:ascii="Cambria" w:hAnsi="Cambria"/>
          <w:sz w:val="16"/>
          <w:szCs w:val="16"/>
        </w:rPr>
        <w:t xml:space="preserve"> Annex 1</w:t>
      </w:r>
      <w:r w:rsidRPr="009D78B5">
        <w:rPr>
          <w:rFonts w:ascii="Cambria" w:hAnsi="Cambria"/>
          <w:sz w:val="16"/>
          <w:szCs w:val="16"/>
        </w:rPr>
        <w:t>. Final Judgement of the Sole-Instance Disciplinary Chamber of the Office of the Nation’s Inspector General, December 9, 2013, p. 480. Annex 1 to the additional observations from the petitioners on the merits of March 9, 2017.</w:t>
      </w:r>
    </w:p>
  </w:footnote>
  <w:footnote w:id="21">
    <w:p w14:paraId="094A89E2" w14:textId="64E53079"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Pr>
          <w:rFonts w:ascii="Cambria" w:hAnsi="Cambria"/>
          <w:sz w:val="16"/>
          <w:szCs w:val="16"/>
        </w:rPr>
        <w:t xml:space="preserve"> Annex 1</w:t>
      </w:r>
      <w:r w:rsidRPr="009D78B5">
        <w:rPr>
          <w:rFonts w:ascii="Cambria" w:hAnsi="Cambria"/>
          <w:sz w:val="16"/>
          <w:szCs w:val="16"/>
        </w:rPr>
        <w:t>. Final Judgement of the Sole-Instance Disciplinary Chamber of the Office of the Nation’s Inspector General, December 9, 2013, p. 447. Annex 1 to the additional observations from the petitioners on the merits of March 9, 2017.</w:t>
      </w:r>
    </w:p>
  </w:footnote>
  <w:footnote w:id="22">
    <w:p w14:paraId="0B9860C5" w14:textId="59BB84F4"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Pr>
          <w:rFonts w:ascii="Cambria" w:hAnsi="Cambria"/>
          <w:sz w:val="16"/>
          <w:szCs w:val="16"/>
        </w:rPr>
        <w:t xml:space="preserve"> Annex 1</w:t>
      </w:r>
      <w:r w:rsidRPr="009D78B5">
        <w:rPr>
          <w:rFonts w:ascii="Cambria" w:hAnsi="Cambria"/>
          <w:sz w:val="16"/>
          <w:szCs w:val="16"/>
        </w:rPr>
        <w:t>. Final Judgement of the Sole-Instance Disciplinary Chamber of the Office of the Nation’s Inspector General, December 9, 2013, p. 447. Annex 1 to the additional observations from the petitioners on the merits of March 9, 2017.</w:t>
      </w:r>
    </w:p>
  </w:footnote>
  <w:footnote w:id="23">
    <w:p w14:paraId="6FC52BD9" w14:textId="2759E9DC"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Pr>
          <w:rFonts w:ascii="Cambria" w:hAnsi="Cambria"/>
          <w:sz w:val="16"/>
          <w:szCs w:val="16"/>
        </w:rPr>
        <w:t xml:space="preserve"> Annex 1</w:t>
      </w:r>
      <w:r w:rsidRPr="009D78B5">
        <w:rPr>
          <w:rFonts w:ascii="Cambria" w:hAnsi="Cambria"/>
          <w:sz w:val="16"/>
          <w:szCs w:val="16"/>
        </w:rPr>
        <w:t>. Final Judgement of the Sole-Instance Disciplinary Chamber of the Office of the Nation’s Inspector General, December 9, 2013, p. 454. Annex 1 to the additional observations from the petitioners on the merits of March 9, 2017.</w:t>
      </w:r>
    </w:p>
  </w:footnote>
  <w:footnote w:id="24">
    <w:p w14:paraId="7A300C34" w14:textId="023EBAF3"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Pr>
          <w:rFonts w:ascii="Cambria" w:hAnsi="Cambria"/>
          <w:sz w:val="16"/>
          <w:szCs w:val="16"/>
        </w:rPr>
        <w:t xml:space="preserve"> Annex 1</w:t>
      </w:r>
      <w:r w:rsidRPr="009D78B5">
        <w:rPr>
          <w:rFonts w:ascii="Cambria" w:hAnsi="Cambria"/>
          <w:sz w:val="16"/>
          <w:szCs w:val="16"/>
        </w:rPr>
        <w:t>. Final Judgement of the Sole-Instance Disciplinary Chamber of the Office of the Nation’s Inspector General, December 9, 2013, p. 459. Annex 1 to the additional observations from the petitioners on the merits of March 9, 2017.</w:t>
      </w:r>
    </w:p>
  </w:footnote>
  <w:footnote w:id="25">
    <w:p w14:paraId="20512825" w14:textId="75E6C24A"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Pr>
          <w:rFonts w:ascii="Cambria" w:hAnsi="Cambria"/>
          <w:sz w:val="16"/>
          <w:szCs w:val="16"/>
        </w:rPr>
        <w:t xml:space="preserve"> Annex 1</w:t>
      </w:r>
      <w:r w:rsidRPr="009D78B5">
        <w:rPr>
          <w:rFonts w:ascii="Cambria" w:hAnsi="Cambria"/>
          <w:sz w:val="16"/>
          <w:szCs w:val="16"/>
        </w:rPr>
        <w:t>. Final Judgement of the Sole-Instance Disciplinary Chamber of the Office of the Nation’s Inspector General, December 9, 2013, p. 459. Annex 1 to the additional observations from the petitioners on the merits of March 9, 2017.</w:t>
      </w:r>
    </w:p>
  </w:footnote>
  <w:footnote w:id="26">
    <w:p w14:paraId="647DD3A7" w14:textId="0B92D194"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Pr>
          <w:rFonts w:ascii="Cambria" w:hAnsi="Cambria"/>
          <w:sz w:val="16"/>
          <w:szCs w:val="16"/>
        </w:rPr>
        <w:t xml:space="preserve"> Annex 1</w:t>
      </w:r>
      <w:r w:rsidRPr="009D78B5">
        <w:rPr>
          <w:rFonts w:ascii="Cambria" w:hAnsi="Cambria"/>
          <w:sz w:val="16"/>
          <w:szCs w:val="16"/>
        </w:rPr>
        <w:t>. Final Judgement of the Sole-Instance Disciplinary Chamber of the Office of the Nation’s Inspector General, December 9, 2013, p. 463. Annex 1 to the additional observations from the petitioners on the merits of March 9, 2017.</w:t>
      </w:r>
    </w:p>
  </w:footnote>
  <w:footnote w:id="27">
    <w:p w14:paraId="4A2DA10F" w14:textId="11422355"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Pr>
          <w:rFonts w:ascii="Cambria" w:hAnsi="Cambria"/>
          <w:sz w:val="16"/>
          <w:szCs w:val="16"/>
        </w:rPr>
        <w:t xml:space="preserve"> Annex 1</w:t>
      </w:r>
      <w:r w:rsidRPr="009D78B5">
        <w:rPr>
          <w:rFonts w:ascii="Cambria" w:hAnsi="Cambria"/>
          <w:sz w:val="16"/>
          <w:szCs w:val="16"/>
        </w:rPr>
        <w:t>. Final Judgement of the Sole-Instance Disciplinary Chamber of the Office of the Nation’s Inspector General, December 9, 2013, p. 466. Annex 1 to the additional observations from the petitioners on the merits of March 9, 2017.</w:t>
      </w:r>
    </w:p>
  </w:footnote>
  <w:footnote w:id="28">
    <w:p w14:paraId="53888BCC" w14:textId="4E057E31"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Pr>
          <w:rFonts w:ascii="Cambria" w:hAnsi="Cambria"/>
          <w:sz w:val="16"/>
          <w:szCs w:val="16"/>
        </w:rPr>
        <w:t xml:space="preserve"> Annex 1</w:t>
      </w:r>
      <w:r w:rsidRPr="009D78B5">
        <w:rPr>
          <w:rFonts w:ascii="Cambria" w:hAnsi="Cambria"/>
          <w:sz w:val="16"/>
          <w:szCs w:val="16"/>
        </w:rPr>
        <w:t>. Final Judgement of the Sole-Instance Disciplinary Chamber of the Office of the Nation’s Inspector General, December 9, 2013, p. 469. Annex 1 to the additional observations from the petitioners on the merits of March 9, 2017.</w:t>
      </w:r>
    </w:p>
  </w:footnote>
  <w:footnote w:id="29">
    <w:p w14:paraId="3867F8A9" w14:textId="4DA3AEE4"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Pr>
          <w:rFonts w:ascii="Cambria" w:hAnsi="Cambria"/>
          <w:sz w:val="16"/>
          <w:szCs w:val="16"/>
        </w:rPr>
        <w:t xml:space="preserve"> Annex 1</w:t>
      </w:r>
      <w:r w:rsidRPr="009D78B5">
        <w:rPr>
          <w:rFonts w:ascii="Cambria" w:hAnsi="Cambria"/>
          <w:sz w:val="16"/>
          <w:szCs w:val="16"/>
        </w:rPr>
        <w:t>. Final Judgement of the Sole-Instance Disciplinary Chamber of the Office of the Nation’s Inspector General, December 9, 2013, p. 471. Annex 1 to the additional observations from the petitioners on the merits of March 9, 2017.</w:t>
      </w:r>
    </w:p>
  </w:footnote>
  <w:footnote w:id="30">
    <w:p w14:paraId="07BB4649" w14:textId="3647D656"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Pr>
          <w:rFonts w:ascii="Cambria" w:hAnsi="Cambria"/>
          <w:sz w:val="16"/>
          <w:szCs w:val="16"/>
        </w:rPr>
        <w:t xml:space="preserve"> Annex 1</w:t>
      </w:r>
      <w:r w:rsidRPr="009D78B5">
        <w:rPr>
          <w:rFonts w:ascii="Cambria" w:hAnsi="Cambria"/>
          <w:sz w:val="16"/>
          <w:szCs w:val="16"/>
        </w:rPr>
        <w:t>. Final Judgement of the Sole-Instance Disciplinary Chamber of the Office of the Nation’s Inspector General, December 9, 2013, p. 475. Annex 1 to the additional observations from the petitioners on the merits of March 9, 2017.</w:t>
      </w:r>
    </w:p>
  </w:footnote>
  <w:footnote w:id="31">
    <w:p w14:paraId="36841EA9" w14:textId="68F13F54"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Pr>
          <w:rFonts w:ascii="Cambria" w:hAnsi="Cambria"/>
          <w:sz w:val="16"/>
          <w:szCs w:val="16"/>
        </w:rPr>
        <w:t xml:space="preserve"> Annex 1</w:t>
      </w:r>
      <w:r w:rsidRPr="009D78B5">
        <w:rPr>
          <w:rFonts w:ascii="Cambria" w:hAnsi="Cambria"/>
          <w:sz w:val="16"/>
          <w:szCs w:val="16"/>
        </w:rPr>
        <w:t>. Final Judgement of the Sole-Instance Disciplinary Chamber of the Office of the Nation’s Inspector General, December 9, 2013, p475. Annex 1 to the additional observations from the petitioners on the merits of March 9, 2017.</w:t>
      </w:r>
    </w:p>
  </w:footnote>
  <w:footnote w:id="32">
    <w:p w14:paraId="0598FF75" w14:textId="76049F21"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Pr>
          <w:rFonts w:ascii="Cambria" w:hAnsi="Cambria"/>
          <w:sz w:val="16"/>
          <w:szCs w:val="16"/>
        </w:rPr>
        <w:t xml:space="preserve"> Annex 1</w:t>
      </w:r>
      <w:r w:rsidRPr="009D78B5">
        <w:rPr>
          <w:rFonts w:ascii="Cambria" w:hAnsi="Cambria"/>
          <w:sz w:val="16"/>
          <w:szCs w:val="16"/>
        </w:rPr>
        <w:t>. Final Judgement of the Sole-Instance Disciplinary Chamber of the Office of the Nation’s Inspector General, December 9, 2013, p. 479. Annex 1 to the additional observations from the petitioners on the merits of March 9, 2017.</w:t>
      </w:r>
    </w:p>
  </w:footnote>
  <w:footnote w:id="33">
    <w:p w14:paraId="598CD89C" w14:textId="1BAF9C25"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Pr>
          <w:rFonts w:ascii="Cambria" w:hAnsi="Cambria"/>
          <w:sz w:val="16"/>
          <w:szCs w:val="16"/>
        </w:rPr>
        <w:t xml:space="preserve"> Annex 1</w:t>
      </w:r>
      <w:r w:rsidRPr="009D78B5">
        <w:rPr>
          <w:rFonts w:ascii="Cambria" w:hAnsi="Cambria"/>
          <w:sz w:val="16"/>
          <w:szCs w:val="16"/>
        </w:rPr>
        <w:t>. Final Judgement of the Sole-Instance Disciplinary Chamber of the Office of the Nation’s Inspector General, December 9, 2013, p. 481. Annex 1 to the additional observations from the petitioners on the merits of March 9, 2017.</w:t>
      </w:r>
    </w:p>
  </w:footnote>
  <w:footnote w:id="34">
    <w:p w14:paraId="0B5EBFDA" w14:textId="0D0150D4"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Pr>
          <w:rFonts w:ascii="Cambria" w:hAnsi="Cambria"/>
          <w:sz w:val="16"/>
          <w:szCs w:val="16"/>
        </w:rPr>
        <w:t xml:space="preserve"> Annex 2</w:t>
      </w:r>
      <w:r w:rsidRPr="009D78B5">
        <w:rPr>
          <w:rFonts w:ascii="Cambria" w:hAnsi="Cambria"/>
          <w:sz w:val="16"/>
          <w:szCs w:val="16"/>
        </w:rPr>
        <w:t>. Decision on the petition seeking reversal of the Disciplinary Chamber of the Office of the Nation’s Inspector General, of January 13, 2014, p. 71.  Annex 2 to the additional observations from the petitioners on the merits of March 9, 2017.</w:t>
      </w:r>
    </w:p>
  </w:footnote>
  <w:footnote w:id="35">
    <w:p w14:paraId="4CF2C63E" w14:textId="39BA8506"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Fonts w:ascii="Cambria" w:hAnsi="Cambria"/>
          <w:sz w:val="16"/>
          <w:szCs w:val="16"/>
        </w:rPr>
        <w:t xml:space="preserve"> Ann</w:t>
      </w:r>
      <w:r>
        <w:rPr>
          <w:rFonts w:ascii="Cambria" w:hAnsi="Cambria"/>
          <w:sz w:val="16"/>
          <w:szCs w:val="16"/>
        </w:rPr>
        <w:t>ex 2</w:t>
      </w:r>
      <w:r w:rsidRPr="009D78B5">
        <w:rPr>
          <w:rFonts w:ascii="Cambria" w:hAnsi="Cambria"/>
          <w:sz w:val="16"/>
          <w:szCs w:val="16"/>
        </w:rPr>
        <w:t>. Decision on the petition seeking reversal of the Disciplinary Chamber of the Office of the Nation’s Inspector General, of January 13, 2014, p. 50.  Annex 2 to the additional observations from the petitioners on the merits of March 9, 2017.</w:t>
      </w:r>
    </w:p>
  </w:footnote>
  <w:footnote w:id="36">
    <w:p w14:paraId="18AC0D45" w14:textId="006B535B"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Pr>
          <w:rFonts w:ascii="Cambria" w:hAnsi="Cambria"/>
          <w:sz w:val="16"/>
          <w:szCs w:val="16"/>
        </w:rPr>
        <w:t xml:space="preserve"> Annex 2</w:t>
      </w:r>
      <w:r w:rsidRPr="009D78B5">
        <w:rPr>
          <w:rFonts w:ascii="Cambria" w:hAnsi="Cambria"/>
          <w:sz w:val="16"/>
          <w:szCs w:val="16"/>
        </w:rPr>
        <w:t>. Decision on the petition seeking reversal of the Disciplinary Chamber of the Office of the Nation’s Inspector General, of January 13, 2014, p. 50.  Annex 2 to the additional observations from the petitioners on the merits of March 9, 2017.</w:t>
      </w:r>
    </w:p>
  </w:footnote>
  <w:footnote w:id="37">
    <w:p w14:paraId="1B85D441" w14:textId="619B9FDD"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Pr>
          <w:rFonts w:ascii="Cambria" w:hAnsi="Cambria"/>
          <w:sz w:val="16"/>
          <w:szCs w:val="16"/>
        </w:rPr>
        <w:t xml:space="preserve"> Annex 2</w:t>
      </w:r>
      <w:r w:rsidRPr="009D78B5">
        <w:rPr>
          <w:rFonts w:ascii="Cambria" w:hAnsi="Cambria"/>
          <w:sz w:val="16"/>
          <w:szCs w:val="16"/>
        </w:rPr>
        <w:t>. Decision on the petition seeking reversal of the Disciplinary Chamber of the Office of the Nation’s Inspector General, of January 13, 2014, p. 50.  Annex 2 to the additional observations from the petitioners on the merits of March 9, 2017.</w:t>
      </w:r>
    </w:p>
  </w:footnote>
  <w:footnote w:id="38">
    <w:p w14:paraId="782C8053" w14:textId="77777777" w:rsidR="00C23BC1" w:rsidRPr="009D78B5" w:rsidRDefault="00C23BC1" w:rsidP="00A84770">
      <w:pPr>
        <w:pStyle w:val="Textonotapie"/>
        <w:spacing w:after="120"/>
        <w:ind w:firstLine="720"/>
        <w:jc w:val="both"/>
        <w:rPr>
          <w:rFonts w:ascii="Cambria" w:hAnsi="Cambria"/>
          <w:sz w:val="16"/>
          <w:szCs w:val="16"/>
          <w:lang w:val="es-VE"/>
        </w:rPr>
      </w:pPr>
      <w:r w:rsidRPr="009D78B5">
        <w:rPr>
          <w:rStyle w:val="Refdenotaalpie"/>
          <w:rFonts w:ascii="Cambria" w:hAnsi="Cambria"/>
          <w:sz w:val="16"/>
          <w:szCs w:val="16"/>
        </w:rPr>
        <w:footnoteRef/>
      </w:r>
      <w:r w:rsidRPr="009D78B5">
        <w:rPr>
          <w:rFonts w:ascii="Cambria" w:hAnsi="Cambria"/>
          <w:sz w:val="16"/>
          <w:szCs w:val="16"/>
          <w:lang w:val="es-VE"/>
        </w:rPr>
        <w:t xml:space="preserve"> Según consta la decisión fue emitida por el Procurador Primero Delegado Juan Carlos Novoa Buendía y el Procurador Segundo Delegado ad hoc Carlos Arturo Ramírez Vásquez. </w:t>
      </w:r>
    </w:p>
  </w:footnote>
  <w:footnote w:id="39">
    <w:p w14:paraId="5E43F1A0" w14:textId="7642B6FF"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Pr>
          <w:rFonts w:ascii="Cambria" w:hAnsi="Cambria"/>
          <w:sz w:val="16"/>
          <w:szCs w:val="16"/>
        </w:rPr>
        <w:t xml:space="preserve"> Annex 2</w:t>
      </w:r>
      <w:r w:rsidRPr="009D78B5">
        <w:rPr>
          <w:rFonts w:ascii="Cambria" w:hAnsi="Cambria"/>
          <w:sz w:val="16"/>
          <w:szCs w:val="16"/>
        </w:rPr>
        <w:t>. Decision on the petition seeking reversal of the Disciplinary Chamber of the Office of the Nation’s Inspector General, of January 13, 2014.  Annex 2 to the additional observations from the petitioners on the merits of March 9, 2017.</w:t>
      </w:r>
    </w:p>
  </w:footnote>
  <w:footnote w:id="40">
    <w:p w14:paraId="6F998288" w14:textId="59EFA8F4"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Pr>
          <w:rFonts w:ascii="Cambria" w:hAnsi="Cambria"/>
          <w:sz w:val="16"/>
          <w:szCs w:val="16"/>
        </w:rPr>
        <w:t xml:space="preserve"> Annex 2</w:t>
      </w:r>
      <w:r w:rsidRPr="009D78B5">
        <w:rPr>
          <w:rFonts w:ascii="Cambria" w:hAnsi="Cambria"/>
          <w:sz w:val="16"/>
          <w:szCs w:val="16"/>
        </w:rPr>
        <w:t>. Decision on the petition seeking reversal of the Disciplinary Chamber of the Office of the Nation’s Inspector General, of January 13, 2014, p. 145.  Annex 2 to the additional observations from the petitioners on the merits of March 9, 2017.</w:t>
      </w:r>
    </w:p>
  </w:footnote>
  <w:footnote w:id="41">
    <w:p w14:paraId="6F317B76" w14:textId="5305979D"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Pr>
          <w:rFonts w:ascii="Cambria" w:hAnsi="Cambria"/>
          <w:sz w:val="16"/>
          <w:szCs w:val="16"/>
        </w:rPr>
        <w:t xml:space="preserve"> Annex 2</w:t>
      </w:r>
      <w:r w:rsidRPr="009D78B5">
        <w:rPr>
          <w:rFonts w:ascii="Cambria" w:hAnsi="Cambria"/>
          <w:sz w:val="16"/>
          <w:szCs w:val="16"/>
        </w:rPr>
        <w:t>. Decision on the petition seeking reversal of the Disciplinary Chamber of the Office of the Nation’s Inspector General, of January 13, 2014, p. 64.  Annex 2 to the additional observations from the petitioners on the merits of March 9, 2017.</w:t>
      </w:r>
    </w:p>
  </w:footnote>
  <w:footnote w:id="42">
    <w:p w14:paraId="585A58F9" w14:textId="20D4CEB4"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Pr>
          <w:rFonts w:ascii="Cambria" w:hAnsi="Cambria"/>
          <w:sz w:val="16"/>
          <w:szCs w:val="16"/>
        </w:rPr>
        <w:t xml:space="preserve"> Annex 2</w:t>
      </w:r>
      <w:r w:rsidRPr="009D78B5">
        <w:rPr>
          <w:rFonts w:ascii="Cambria" w:hAnsi="Cambria"/>
          <w:sz w:val="16"/>
          <w:szCs w:val="16"/>
        </w:rPr>
        <w:t>. Decision on the petition seeking reversal of the Disciplinary Chamber of the Office of the Nation’s Inspector General, of January 13, 2014, p. 203.  to the additional observations from the petitioners on the merits of March 9, 2017.</w:t>
      </w:r>
    </w:p>
  </w:footnote>
  <w:footnote w:id="43">
    <w:p w14:paraId="1D143315" w14:textId="7BDD3069"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Pr>
          <w:rFonts w:ascii="Cambria" w:hAnsi="Cambria"/>
          <w:sz w:val="16"/>
          <w:szCs w:val="16"/>
        </w:rPr>
        <w:t xml:space="preserve"> Annex 2</w:t>
      </w:r>
      <w:r w:rsidRPr="009D78B5">
        <w:rPr>
          <w:rFonts w:ascii="Cambria" w:hAnsi="Cambria"/>
          <w:sz w:val="16"/>
          <w:szCs w:val="16"/>
        </w:rPr>
        <w:t>. Decision on the petition seeking reversal of the Disciplinary Chamber of the Office of the Nation’s Inspector General, of January 13, 2014, p. 373.  to the additional observations from the petitioners on the merits of March 9, 2017.</w:t>
      </w:r>
    </w:p>
  </w:footnote>
  <w:footnote w:id="44">
    <w:p w14:paraId="2AF87250" w14:textId="77F5EB8C"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Pr>
          <w:rFonts w:ascii="Cambria" w:hAnsi="Cambria"/>
          <w:sz w:val="16"/>
          <w:szCs w:val="16"/>
        </w:rPr>
        <w:t xml:space="preserve"> Annex 2</w:t>
      </w:r>
      <w:r w:rsidRPr="009D78B5">
        <w:rPr>
          <w:rFonts w:ascii="Cambria" w:hAnsi="Cambria"/>
          <w:sz w:val="16"/>
          <w:szCs w:val="16"/>
        </w:rPr>
        <w:t xml:space="preserve">. Decision on the petition seeking reversal of the Disciplinary Chamber of the Office of the Nation’s Inspector General, of January 13, 2014, p. 363.  Annex 2 to the additional observations from the petitioners on the merits of March 9, 2017.  </w:t>
      </w:r>
    </w:p>
  </w:footnote>
  <w:footnote w:id="45">
    <w:p w14:paraId="18463E0F" w14:textId="5454AEF5"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Pr>
          <w:rFonts w:ascii="Cambria" w:hAnsi="Cambria"/>
          <w:sz w:val="16"/>
          <w:szCs w:val="16"/>
        </w:rPr>
        <w:t xml:space="preserve"> Annex 2</w:t>
      </w:r>
      <w:r w:rsidRPr="009D78B5">
        <w:rPr>
          <w:rFonts w:ascii="Cambria" w:hAnsi="Cambria"/>
          <w:sz w:val="16"/>
          <w:szCs w:val="16"/>
        </w:rPr>
        <w:t xml:space="preserve">. Decision on the petition seeking reversal of the Disciplinary Chamber of the Office of the Nation’s Inspector General, of January 13, 2014, p. 15.  Annex 2 to the additional observations from the petitioners on the merits of March 9, 2017.  </w:t>
      </w:r>
    </w:p>
  </w:footnote>
  <w:footnote w:id="46">
    <w:p w14:paraId="59C77481" w14:textId="77777777"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Fonts w:ascii="Cambria" w:hAnsi="Cambria"/>
          <w:sz w:val="16"/>
          <w:szCs w:val="16"/>
        </w:rPr>
        <w:t xml:space="preserve"> Press article published at: eltiempo.com on January 15, 2014, </w:t>
      </w:r>
      <w:hyperlink r:id="rId9" w:history="1">
        <w:r w:rsidRPr="009D78B5">
          <w:rPr>
            <w:rStyle w:val="Hipervnculo"/>
            <w:rFonts w:ascii="Cambria" w:hAnsi="Cambria"/>
            <w:i/>
            <w:sz w:val="16"/>
            <w:szCs w:val="16"/>
          </w:rPr>
          <w:t xml:space="preserve">Petro se </w:t>
        </w:r>
        <w:proofErr w:type="spellStart"/>
        <w:r w:rsidRPr="009D78B5">
          <w:rPr>
            <w:rStyle w:val="Hipervnculo"/>
            <w:rFonts w:ascii="Cambria" w:hAnsi="Cambria"/>
            <w:i/>
            <w:sz w:val="16"/>
            <w:szCs w:val="16"/>
          </w:rPr>
          <w:t>va</w:t>
        </w:r>
        <w:proofErr w:type="spellEnd"/>
        <w:r w:rsidRPr="009D78B5">
          <w:rPr>
            <w:rStyle w:val="Hipervnculo"/>
            <w:rFonts w:ascii="Cambria" w:hAnsi="Cambria"/>
            <w:i/>
            <w:sz w:val="16"/>
            <w:szCs w:val="16"/>
          </w:rPr>
          <w:t xml:space="preserve"> </w:t>
        </w:r>
        <w:proofErr w:type="spellStart"/>
        <w:r w:rsidRPr="009D78B5">
          <w:rPr>
            <w:rStyle w:val="Hipervnculo"/>
            <w:rFonts w:ascii="Cambria" w:hAnsi="Cambria"/>
            <w:i/>
            <w:sz w:val="16"/>
            <w:szCs w:val="16"/>
          </w:rPr>
          <w:t>por</w:t>
        </w:r>
        <w:proofErr w:type="spellEnd"/>
        <w:r w:rsidRPr="009D78B5">
          <w:rPr>
            <w:rStyle w:val="Hipervnculo"/>
            <w:rFonts w:ascii="Cambria" w:hAnsi="Cambria"/>
            <w:i/>
            <w:sz w:val="16"/>
            <w:szCs w:val="16"/>
          </w:rPr>
          <w:t xml:space="preserve"> mal </w:t>
        </w:r>
        <w:proofErr w:type="spellStart"/>
        <w:r w:rsidRPr="009D78B5">
          <w:rPr>
            <w:rStyle w:val="Hipervnculo"/>
            <w:rFonts w:ascii="Cambria" w:hAnsi="Cambria"/>
            <w:i/>
            <w:sz w:val="16"/>
            <w:szCs w:val="16"/>
          </w:rPr>
          <w:t>alcalde</w:t>
        </w:r>
        <w:proofErr w:type="spellEnd"/>
        <w:r w:rsidRPr="009D78B5">
          <w:rPr>
            <w:rStyle w:val="Hipervnculo"/>
            <w:rFonts w:ascii="Cambria" w:hAnsi="Cambria"/>
            <w:i/>
            <w:sz w:val="16"/>
            <w:szCs w:val="16"/>
          </w:rPr>
          <w:t xml:space="preserve">: </w:t>
        </w:r>
        <w:proofErr w:type="spellStart"/>
        <w:r w:rsidRPr="009D78B5">
          <w:rPr>
            <w:rStyle w:val="Hipervnculo"/>
            <w:rFonts w:ascii="Cambria" w:hAnsi="Cambria"/>
            <w:i/>
            <w:sz w:val="16"/>
            <w:szCs w:val="16"/>
          </w:rPr>
          <w:t>Ordóñez</w:t>
        </w:r>
        <w:proofErr w:type="spellEnd"/>
        <w:r w:rsidRPr="009D78B5">
          <w:rPr>
            <w:rStyle w:val="Hipervnculo"/>
            <w:rFonts w:ascii="Cambria" w:hAnsi="Cambria"/>
            <w:sz w:val="16"/>
            <w:szCs w:val="16"/>
          </w:rPr>
          <w:t xml:space="preserve"> (Petro is out for being a bad Mayor: </w:t>
        </w:r>
        <w:proofErr w:type="spellStart"/>
        <w:r w:rsidRPr="009D78B5">
          <w:rPr>
            <w:rStyle w:val="Hipervnculo"/>
            <w:rFonts w:ascii="Cambria" w:hAnsi="Cambria"/>
            <w:sz w:val="16"/>
            <w:szCs w:val="16"/>
          </w:rPr>
          <w:t>Ordóñez</w:t>
        </w:r>
        <w:proofErr w:type="spellEnd"/>
        <w:r w:rsidRPr="009D78B5">
          <w:rPr>
            <w:rStyle w:val="Hipervnculo"/>
            <w:rFonts w:ascii="Cambria" w:hAnsi="Cambria"/>
            <w:sz w:val="16"/>
            <w:szCs w:val="16"/>
          </w:rPr>
          <w:t>.</w:t>
        </w:r>
      </w:hyperlink>
      <w:r w:rsidRPr="009D78B5">
        <w:rPr>
          <w:rStyle w:val="Hipervnculo"/>
          <w:rFonts w:ascii="Cambria" w:hAnsi="Cambria"/>
          <w:sz w:val="16"/>
          <w:szCs w:val="16"/>
        </w:rPr>
        <w:t>)</w:t>
      </w:r>
      <w:r w:rsidRPr="009D78B5">
        <w:rPr>
          <w:rFonts w:ascii="Cambria" w:hAnsi="Cambria"/>
          <w:sz w:val="16"/>
          <w:szCs w:val="16"/>
        </w:rPr>
        <w:t xml:space="preserve"> </w:t>
      </w:r>
    </w:p>
  </w:footnote>
  <w:footnote w:id="47">
    <w:p w14:paraId="53CD5566" w14:textId="24D712BD"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Fonts w:ascii="Cambria" w:hAnsi="Cambria"/>
          <w:sz w:val="16"/>
          <w:szCs w:val="16"/>
        </w:rPr>
        <w:t xml:space="preserve"> Inter-American Commission on Human Rights, Order 5/2014, Gustavo Francisco Petro </w:t>
      </w:r>
      <w:proofErr w:type="spellStart"/>
      <w:r w:rsidRPr="009D78B5">
        <w:rPr>
          <w:rFonts w:ascii="Cambria" w:hAnsi="Cambria"/>
          <w:sz w:val="16"/>
          <w:szCs w:val="16"/>
        </w:rPr>
        <w:t>Urrego</w:t>
      </w:r>
      <w:proofErr w:type="spellEnd"/>
      <w:r w:rsidRPr="009D78B5">
        <w:rPr>
          <w:rFonts w:ascii="Cambria" w:hAnsi="Cambria"/>
          <w:sz w:val="16"/>
          <w:szCs w:val="16"/>
        </w:rPr>
        <w:t xml:space="preserve"> (Colombia), Precautionary Measure No. 374-13, March 18, 2014.</w:t>
      </w:r>
    </w:p>
  </w:footnote>
  <w:footnote w:id="48">
    <w:p w14:paraId="07521069" w14:textId="77777777"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Fonts w:ascii="Cambria" w:hAnsi="Cambria"/>
          <w:sz w:val="16"/>
          <w:szCs w:val="16"/>
        </w:rPr>
        <w:t xml:space="preserve"> Decree Law 570 of March 20, 2014, issued by the President of the Republic Colombia. </w:t>
      </w:r>
    </w:p>
  </w:footnote>
  <w:footnote w:id="49">
    <w:p w14:paraId="724C4443" w14:textId="77777777"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Fonts w:ascii="Cambria" w:hAnsi="Cambria"/>
          <w:sz w:val="16"/>
          <w:szCs w:val="16"/>
        </w:rPr>
        <w:t xml:space="preserve"> State Council, Contentious Administrative Chamber, Sub-section B, Decision of May 13, 2014.</w:t>
      </w:r>
    </w:p>
  </w:footnote>
  <w:footnote w:id="50">
    <w:p w14:paraId="72E3C06A" w14:textId="77777777"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Fonts w:ascii="Cambria" w:hAnsi="Cambria"/>
          <w:sz w:val="16"/>
          <w:szCs w:val="16"/>
        </w:rPr>
        <w:t xml:space="preserve"> </w:t>
      </w:r>
      <w:hyperlink r:id="rId10" w:history="1">
        <w:r w:rsidRPr="009D78B5">
          <w:rPr>
            <w:rStyle w:val="Hipervnculo"/>
            <w:rFonts w:ascii="Cambria" w:hAnsi="Cambria"/>
            <w:sz w:val="16"/>
            <w:szCs w:val="16"/>
          </w:rPr>
          <w:t>Decree Law 797 of April 23, 2014 issued by the President of the Republic of Colombia</w:t>
        </w:r>
      </w:hyperlink>
      <w:r w:rsidRPr="009D78B5">
        <w:rPr>
          <w:rFonts w:ascii="Cambria" w:hAnsi="Cambria"/>
          <w:sz w:val="16"/>
          <w:szCs w:val="16"/>
        </w:rPr>
        <w:t xml:space="preserve">. </w:t>
      </w:r>
    </w:p>
  </w:footnote>
  <w:footnote w:id="51">
    <w:p w14:paraId="265988F0" w14:textId="77777777"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Fonts w:ascii="Cambria" w:hAnsi="Cambria"/>
          <w:sz w:val="16"/>
          <w:szCs w:val="16"/>
        </w:rPr>
        <w:t xml:space="preserve"> State Council, Contentious Administrative Chamber, Sub-section B, Decision of May 13, 2014.</w:t>
      </w:r>
    </w:p>
  </w:footnote>
  <w:footnote w:id="52">
    <w:p w14:paraId="53E71E5A" w14:textId="77777777"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Fonts w:ascii="Cambria" w:hAnsi="Cambria"/>
          <w:sz w:val="16"/>
          <w:szCs w:val="16"/>
        </w:rPr>
        <w:t xml:space="preserve"> State Council, Contentious Administrative Chamber, Sub-section B, Decision of May 13, 2014.</w:t>
      </w:r>
    </w:p>
  </w:footnote>
  <w:footnote w:id="53">
    <w:p w14:paraId="64844141" w14:textId="77777777"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Fonts w:ascii="Cambria" w:hAnsi="Cambria"/>
          <w:sz w:val="16"/>
          <w:szCs w:val="16"/>
        </w:rPr>
        <w:t xml:space="preserve"> State Council, Plenary of Contentious Administrative Chamber, Decision of March 17, 2015. </w:t>
      </w:r>
    </w:p>
  </w:footnote>
  <w:footnote w:id="54">
    <w:p w14:paraId="40C83D4B" w14:textId="77777777"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Fonts w:ascii="Cambria" w:hAnsi="Cambria"/>
          <w:sz w:val="16"/>
          <w:szCs w:val="16"/>
        </w:rPr>
        <w:t xml:space="preserve"> </w:t>
      </w:r>
      <w:hyperlink r:id="rId11" w:history="1">
        <w:r w:rsidRPr="009D78B5">
          <w:rPr>
            <w:rStyle w:val="Hipervnculo"/>
            <w:rFonts w:ascii="Cambria" w:hAnsi="Cambria"/>
            <w:sz w:val="16"/>
            <w:szCs w:val="16"/>
          </w:rPr>
          <w:t>Decree Law 364 of August 26, 2013, issued by the Mayor of Bogotá.</w:t>
        </w:r>
      </w:hyperlink>
      <w:r w:rsidRPr="009D78B5">
        <w:rPr>
          <w:rFonts w:ascii="Cambria" w:hAnsi="Cambria"/>
          <w:sz w:val="16"/>
          <w:szCs w:val="16"/>
        </w:rPr>
        <w:t xml:space="preserve"> </w:t>
      </w:r>
    </w:p>
  </w:footnote>
  <w:footnote w:id="55">
    <w:p w14:paraId="5CE4488D" w14:textId="77777777"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Fonts w:ascii="Cambria" w:hAnsi="Cambria"/>
          <w:sz w:val="16"/>
          <w:szCs w:val="16"/>
        </w:rPr>
        <w:t xml:space="preserve"> </w:t>
      </w:r>
      <w:hyperlink r:id="rId12" w:history="1">
        <w:r w:rsidRPr="009D78B5">
          <w:rPr>
            <w:rStyle w:val="Hipervnculo"/>
            <w:rFonts w:ascii="Cambria" w:hAnsi="Cambria"/>
            <w:sz w:val="16"/>
            <w:szCs w:val="16"/>
          </w:rPr>
          <w:t>Decree Law 364 of August 26, 2013, issued by the Mayor of Bogotá.</w:t>
        </w:r>
      </w:hyperlink>
      <w:r w:rsidRPr="009D78B5">
        <w:rPr>
          <w:rFonts w:ascii="Cambria" w:hAnsi="Cambria"/>
          <w:sz w:val="16"/>
          <w:szCs w:val="16"/>
        </w:rPr>
        <w:t xml:space="preserve">  </w:t>
      </w:r>
    </w:p>
  </w:footnote>
  <w:footnote w:id="56">
    <w:p w14:paraId="3CC02F0D" w14:textId="3FF8C877"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Pr>
          <w:rFonts w:ascii="Cambria" w:hAnsi="Cambria"/>
          <w:sz w:val="16"/>
          <w:szCs w:val="16"/>
        </w:rPr>
        <w:t xml:space="preserve"> Annex 3</w:t>
      </w:r>
      <w:r w:rsidRPr="009D78B5">
        <w:rPr>
          <w:rFonts w:ascii="Cambria" w:hAnsi="Cambria"/>
          <w:sz w:val="16"/>
          <w:szCs w:val="16"/>
        </w:rPr>
        <w:t>. Final Judgement of the Sole-Instance Disciplinary Chamber of the Office of the Nation’s Inspector General, June 27, 2016. Annex 3 to the additional observations from the petitioners on the merits of March 9, 2017.</w:t>
      </w:r>
    </w:p>
  </w:footnote>
  <w:footnote w:id="57">
    <w:p w14:paraId="33D9D9CB" w14:textId="1F4DF2E1"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Pr>
          <w:rFonts w:ascii="Cambria" w:hAnsi="Cambria"/>
          <w:sz w:val="16"/>
          <w:szCs w:val="16"/>
        </w:rPr>
        <w:t xml:space="preserve"> Annex 3</w:t>
      </w:r>
      <w:r w:rsidRPr="009D78B5">
        <w:rPr>
          <w:rFonts w:ascii="Cambria" w:hAnsi="Cambria"/>
          <w:sz w:val="16"/>
          <w:szCs w:val="16"/>
        </w:rPr>
        <w:t>. Final Judgement of the Sole-Instance Disciplinary Chamber of the Office of the Nation’s Inspector General, June 27, 2016. Annex 3 to the additional observations from the petitioners on the merits of March 9, 2017.</w:t>
      </w:r>
    </w:p>
  </w:footnote>
  <w:footnote w:id="58">
    <w:p w14:paraId="478512F1" w14:textId="65093D64"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Pr>
          <w:rFonts w:ascii="Cambria" w:hAnsi="Cambria"/>
          <w:sz w:val="16"/>
          <w:szCs w:val="16"/>
        </w:rPr>
        <w:t xml:space="preserve"> Annex 3</w:t>
      </w:r>
      <w:r w:rsidRPr="009D78B5">
        <w:rPr>
          <w:rFonts w:ascii="Cambria" w:hAnsi="Cambria"/>
          <w:sz w:val="16"/>
          <w:szCs w:val="16"/>
        </w:rPr>
        <w:t>. Final Judgement of the Sole-Instance Disciplinary Chamber of the Office of the Nation’s Inspector General, June 27, 2016. Annex 3 to the additional observations from the petitioners on the merits of March 9, 2017. He particularly mentioned five laws that had been violated: Article 313 of the Colombian Constitution, Article 12(5) of Decree Law 1421-1993, Article 26 of Law 388-1997, Article 12 of Law 810-2003 and Article 1 of Decree Law 2079-2003.</w:t>
      </w:r>
    </w:p>
  </w:footnote>
  <w:footnote w:id="59">
    <w:p w14:paraId="57348B5B" w14:textId="052FA23E"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Pr>
          <w:rFonts w:ascii="Cambria" w:hAnsi="Cambria"/>
          <w:sz w:val="16"/>
          <w:szCs w:val="16"/>
        </w:rPr>
        <w:t xml:space="preserve"> Annex 3</w:t>
      </w:r>
      <w:r w:rsidRPr="009D78B5">
        <w:rPr>
          <w:rFonts w:ascii="Cambria" w:hAnsi="Cambria"/>
          <w:sz w:val="16"/>
          <w:szCs w:val="16"/>
        </w:rPr>
        <w:t>. Final Judgement of the Sole-Instance Disciplinary Chamber of the Office of the Nation’s Inspector General, June 27, 2016. Annex 3 to the additional observations from the petitioners on the merits of March 9, 2017.</w:t>
      </w:r>
    </w:p>
  </w:footnote>
  <w:footnote w:id="60">
    <w:p w14:paraId="15D2F9CD" w14:textId="13266BCF"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Pr>
          <w:rFonts w:ascii="Cambria" w:hAnsi="Cambria"/>
          <w:sz w:val="16"/>
          <w:szCs w:val="16"/>
        </w:rPr>
        <w:t xml:space="preserve"> Annex 3</w:t>
      </w:r>
      <w:r w:rsidRPr="009D78B5">
        <w:rPr>
          <w:rFonts w:ascii="Cambria" w:hAnsi="Cambria"/>
          <w:sz w:val="16"/>
          <w:szCs w:val="16"/>
        </w:rPr>
        <w:t>. Final Judgement of the Sole-Instance Disciplinary Chamber of the Office of the Nation’s Inspector General, June 27, 2016. Annex 3 to the additional observations from the petitioners on the merits of March 9, 2017.</w:t>
      </w:r>
    </w:p>
  </w:footnote>
  <w:footnote w:id="61">
    <w:p w14:paraId="59C5FBD9" w14:textId="46D01243"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Pr>
          <w:rFonts w:ascii="Cambria" w:hAnsi="Cambria"/>
          <w:sz w:val="16"/>
          <w:szCs w:val="16"/>
        </w:rPr>
        <w:t xml:space="preserve"> Annex 3</w:t>
      </w:r>
      <w:r w:rsidRPr="009D78B5">
        <w:rPr>
          <w:rFonts w:ascii="Cambria" w:hAnsi="Cambria"/>
          <w:sz w:val="16"/>
          <w:szCs w:val="16"/>
        </w:rPr>
        <w:t>. Final Judgement of the Sole-Instance Disciplinary Chamber of the Office of the Nation’s Inspector General, June 27, 2016. Annex 3 to the additional observations from the petitioners on the merits of March 9, 2017.</w:t>
      </w:r>
    </w:p>
  </w:footnote>
  <w:footnote w:id="62">
    <w:p w14:paraId="1B5B8D86" w14:textId="2E3303C4"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Pr>
          <w:rFonts w:ascii="Cambria" w:hAnsi="Cambria"/>
          <w:sz w:val="16"/>
          <w:szCs w:val="16"/>
        </w:rPr>
        <w:t xml:space="preserve"> Annex 3</w:t>
      </w:r>
      <w:r w:rsidRPr="009D78B5">
        <w:rPr>
          <w:rFonts w:ascii="Cambria" w:hAnsi="Cambria"/>
          <w:sz w:val="16"/>
          <w:szCs w:val="16"/>
        </w:rPr>
        <w:t>. Final Judgement of the Sole-Instance Disciplinary Chamber of the Office of the Nation’s Inspector General, June 27, 2016. Annex 3 to the additional observations from the petitioners on the merits of March 9, 2017.</w:t>
      </w:r>
    </w:p>
  </w:footnote>
  <w:footnote w:id="63">
    <w:p w14:paraId="2251116B" w14:textId="77777777"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Fonts w:ascii="Cambria" w:hAnsi="Cambria"/>
          <w:sz w:val="16"/>
          <w:szCs w:val="16"/>
        </w:rPr>
        <w:t xml:space="preserve">  </w:t>
      </w:r>
      <w:hyperlink r:id="rId13" w:history="1">
        <w:r w:rsidRPr="009D78B5">
          <w:rPr>
            <w:rFonts w:ascii="Cambria" w:hAnsi="Cambria"/>
            <w:sz w:val="16"/>
            <w:szCs w:val="16"/>
          </w:rPr>
          <w:t xml:space="preserve"> </w:t>
        </w:r>
        <w:r w:rsidRPr="009D78B5">
          <w:rPr>
            <w:rStyle w:val="Hipervnculo"/>
            <w:rFonts w:ascii="Cambria" w:hAnsi="Cambria"/>
            <w:sz w:val="16"/>
            <w:szCs w:val="16"/>
          </w:rPr>
          <w:t>State Council, Administrative Chamber, Decision of March 27, 2014.</w:t>
        </w:r>
      </w:hyperlink>
      <w:r w:rsidRPr="009D78B5">
        <w:rPr>
          <w:rFonts w:ascii="Cambria" w:hAnsi="Cambria"/>
          <w:sz w:val="16"/>
          <w:szCs w:val="16"/>
        </w:rPr>
        <w:t xml:space="preserve"> </w:t>
      </w:r>
    </w:p>
  </w:footnote>
  <w:footnote w:id="64">
    <w:p w14:paraId="1B15F124" w14:textId="44CBD14B"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Pr>
          <w:rFonts w:ascii="Cambria" w:hAnsi="Cambria"/>
          <w:sz w:val="16"/>
          <w:szCs w:val="16"/>
        </w:rPr>
        <w:t xml:space="preserve"> Annex 3</w:t>
      </w:r>
      <w:r w:rsidRPr="009D78B5">
        <w:rPr>
          <w:rFonts w:ascii="Cambria" w:hAnsi="Cambria"/>
          <w:sz w:val="16"/>
          <w:szCs w:val="16"/>
        </w:rPr>
        <w:t>. Final Judgement of the Sole-Instance Disciplinary Chamber of the Office of the Nation’s Inspector General, June 27, 2016. Annex 3 to the additional observations from the petitioners on the merits of March 9, 2017.</w:t>
      </w:r>
    </w:p>
  </w:footnote>
  <w:footnote w:id="65">
    <w:p w14:paraId="33D0BF8E" w14:textId="32DFCCE8"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Pr>
          <w:rFonts w:ascii="Cambria" w:hAnsi="Cambria"/>
          <w:sz w:val="16"/>
          <w:szCs w:val="16"/>
        </w:rPr>
        <w:t xml:space="preserve"> Annex 3</w:t>
      </w:r>
      <w:r w:rsidRPr="009D78B5">
        <w:rPr>
          <w:rFonts w:ascii="Cambria" w:hAnsi="Cambria"/>
          <w:sz w:val="16"/>
          <w:szCs w:val="16"/>
        </w:rPr>
        <w:t>. Final Judgement of the Sole-Instance Disciplinary Chamber of the Office of the Nation’s Inspector General, June 27, 2016. Annex 3 to the additional observations from the petitioners on the merits of March 9, 2017, p.78.</w:t>
      </w:r>
    </w:p>
  </w:footnote>
  <w:footnote w:id="66">
    <w:p w14:paraId="6A517D61" w14:textId="05DD4ECD"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Pr>
          <w:rFonts w:ascii="Cambria" w:hAnsi="Cambria"/>
          <w:sz w:val="16"/>
          <w:szCs w:val="16"/>
        </w:rPr>
        <w:t xml:space="preserve"> Annex 3</w:t>
      </w:r>
      <w:r w:rsidRPr="009D78B5">
        <w:rPr>
          <w:rFonts w:ascii="Cambria" w:hAnsi="Cambria"/>
          <w:sz w:val="16"/>
          <w:szCs w:val="16"/>
        </w:rPr>
        <w:t>. Final Judgement of the Sole-Instance Disciplinary Chamber of the Office of the Nation’s Inspector General, June 27, 2016. Annex 3 to the additional observations from the petitioners on the merits of March 9, 2017, p.78.</w:t>
      </w:r>
    </w:p>
  </w:footnote>
  <w:footnote w:id="67">
    <w:p w14:paraId="5343E76D" w14:textId="77777777"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Fonts w:ascii="Cambria" w:hAnsi="Cambria"/>
          <w:sz w:val="16"/>
          <w:szCs w:val="16"/>
        </w:rPr>
        <w:t xml:space="preserve"> </w:t>
      </w:r>
      <w:hyperlink r:id="rId14" w:history="1">
        <w:r w:rsidRPr="009D78B5">
          <w:rPr>
            <w:rStyle w:val="Hipervnculo"/>
            <w:rFonts w:ascii="Cambria" w:hAnsi="Cambria"/>
            <w:sz w:val="16"/>
            <w:szCs w:val="16"/>
          </w:rPr>
          <w:t>Congress of the Republic of Colombia, Law 1864 of August 17, 2017</w:t>
        </w:r>
      </w:hyperlink>
      <w:r w:rsidRPr="009D78B5">
        <w:rPr>
          <w:rFonts w:ascii="Cambria" w:hAnsi="Cambria"/>
          <w:sz w:val="16"/>
          <w:szCs w:val="16"/>
        </w:rPr>
        <w:t xml:space="preserve">. </w:t>
      </w:r>
    </w:p>
  </w:footnote>
  <w:footnote w:id="68">
    <w:p w14:paraId="6F121DBB" w14:textId="77777777"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Fonts w:ascii="Cambria" w:hAnsi="Cambria"/>
          <w:sz w:val="16"/>
          <w:szCs w:val="16"/>
        </w:rPr>
        <w:t xml:space="preserve"> </w:t>
      </w:r>
      <w:hyperlink r:id="rId15" w:history="1">
        <w:r w:rsidRPr="009D78B5">
          <w:rPr>
            <w:rStyle w:val="Hipervnculo"/>
            <w:rFonts w:ascii="Cambria" w:hAnsi="Cambria"/>
            <w:sz w:val="16"/>
            <w:szCs w:val="16"/>
          </w:rPr>
          <w:t>Decree Law 356- 2012 issued by the Mayor of Bogotá, D.C.</w:t>
        </w:r>
      </w:hyperlink>
    </w:p>
  </w:footnote>
  <w:footnote w:id="69">
    <w:p w14:paraId="250B86AC" w14:textId="77777777"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Fonts w:ascii="Cambria" w:hAnsi="Cambria"/>
          <w:sz w:val="16"/>
          <w:szCs w:val="16"/>
        </w:rPr>
        <w:t xml:space="preserve"> </w:t>
      </w:r>
      <w:hyperlink r:id="rId16" w:history="1">
        <w:r w:rsidRPr="009D78B5">
          <w:rPr>
            <w:rStyle w:val="Hipervnculo"/>
            <w:rFonts w:ascii="Cambria" w:hAnsi="Cambria"/>
            <w:sz w:val="16"/>
            <w:szCs w:val="16"/>
          </w:rPr>
          <w:t>Decree Law 356- 2012 issued by the Mayor of Bogotá, D.C.</w:t>
        </w:r>
      </w:hyperlink>
    </w:p>
  </w:footnote>
  <w:footnote w:id="70">
    <w:p w14:paraId="463A3226" w14:textId="2BC3B7DE"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Pr>
          <w:rFonts w:ascii="Cambria" w:hAnsi="Cambria"/>
          <w:sz w:val="16"/>
          <w:szCs w:val="16"/>
        </w:rPr>
        <w:t xml:space="preserve"> Annex 4</w:t>
      </w:r>
      <w:r w:rsidRPr="009D78B5">
        <w:rPr>
          <w:rFonts w:ascii="Cambria" w:hAnsi="Cambria"/>
          <w:sz w:val="16"/>
          <w:szCs w:val="16"/>
        </w:rPr>
        <w:t>. Comptroller of Bogotá D.C, Order No. 4501 of November 29, 2016, p.1.</w:t>
      </w:r>
    </w:p>
  </w:footnote>
  <w:footnote w:id="71">
    <w:p w14:paraId="41A2C873" w14:textId="73544081"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Pr>
          <w:rFonts w:ascii="Cambria" w:hAnsi="Cambria"/>
          <w:sz w:val="16"/>
          <w:szCs w:val="16"/>
        </w:rPr>
        <w:t xml:space="preserve"> Annex 4</w:t>
      </w:r>
      <w:r w:rsidRPr="009D78B5">
        <w:rPr>
          <w:rFonts w:ascii="Cambria" w:hAnsi="Cambria"/>
          <w:sz w:val="16"/>
          <w:szCs w:val="16"/>
        </w:rPr>
        <w:t>. Order No. 4501 of November 29, 2016. Annex to the communication from the petitioners of March 13, 2017.</w:t>
      </w:r>
    </w:p>
  </w:footnote>
  <w:footnote w:id="72">
    <w:p w14:paraId="1CF0CC28" w14:textId="3066184A"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Pr>
          <w:rFonts w:ascii="Cambria" w:hAnsi="Cambria"/>
          <w:sz w:val="16"/>
          <w:szCs w:val="16"/>
        </w:rPr>
        <w:t xml:space="preserve"> Annex 4</w:t>
      </w:r>
      <w:r w:rsidRPr="009D78B5">
        <w:rPr>
          <w:rFonts w:ascii="Cambria" w:hAnsi="Cambria"/>
          <w:sz w:val="16"/>
          <w:szCs w:val="16"/>
        </w:rPr>
        <w:t>. Order No. 4501 of November 29, 2016. Annex to the communication from the petitioners of March 13, 2017.</w:t>
      </w:r>
    </w:p>
  </w:footnote>
  <w:footnote w:id="73">
    <w:p w14:paraId="5CD4CEFB" w14:textId="77777777"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Fonts w:ascii="Cambria" w:hAnsi="Cambria"/>
          <w:sz w:val="16"/>
          <w:szCs w:val="16"/>
        </w:rPr>
        <w:t xml:space="preserve"> Observations from the petitioners of April 12, 2017.</w:t>
      </w:r>
    </w:p>
  </w:footnote>
  <w:footnote w:id="74">
    <w:p w14:paraId="6B1552B7" w14:textId="77777777"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Fonts w:ascii="Cambria" w:hAnsi="Cambria"/>
          <w:sz w:val="16"/>
          <w:szCs w:val="16"/>
        </w:rPr>
        <w:t xml:space="preserve"> </w:t>
      </w:r>
      <w:hyperlink r:id="rId17" w:history="1">
        <w:r w:rsidRPr="009D78B5">
          <w:rPr>
            <w:rStyle w:val="Hipervnculo"/>
            <w:rFonts w:ascii="Cambria" w:hAnsi="Cambria"/>
            <w:sz w:val="16"/>
            <w:szCs w:val="16"/>
          </w:rPr>
          <w:t>Congress of the Republic of Colombia, Law 610 of August 18, 2000</w:t>
        </w:r>
      </w:hyperlink>
      <w:r w:rsidRPr="009D78B5">
        <w:rPr>
          <w:rFonts w:ascii="Cambria" w:hAnsi="Cambria"/>
          <w:sz w:val="16"/>
          <w:szCs w:val="16"/>
        </w:rPr>
        <w:t>.</w:t>
      </w:r>
    </w:p>
  </w:footnote>
  <w:footnote w:id="75">
    <w:p w14:paraId="2C132706" w14:textId="06322601"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Pr>
          <w:rFonts w:ascii="Cambria" w:hAnsi="Cambria"/>
          <w:sz w:val="16"/>
          <w:szCs w:val="16"/>
        </w:rPr>
        <w:t xml:space="preserve"> Annex 5</w:t>
      </w:r>
      <w:r w:rsidRPr="009D78B5">
        <w:rPr>
          <w:rFonts w:ascii="Cambria" w:hAnsi="Cambria"/>
          <w:sz w:val="16"/>
          <w:szCs w:val="16"/>
        </w:rPr>
        <w:t>. Order 53.788 from the Industry and Commerce Superintendence of September 3, 2014. Annex 2 to the communication from the petitioners of March 13, 2017.</w:t>
      </w:r>
    </w:p>
  </w:footnote>
  <w:footnote w:id="76">
    <w:p w14:paraId="75CCE46C" w14:textId="77777777"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Fonts w:ascii="Cambria" w:hAnsi="Cambria"/>
          <w:sz w:val="16"/>
          <w:szCs w:val="16"/>
        </w:rPr>
        <w:t xml:space="preserve"> Article </w:t>
      </w:r>
      <w:r w:rsidRPr="009D78B5">
        <w:rPr>
          <w:rFonts w:ascii="Cambria" w:hAnsi="Cambria" w:cs="Tahoma"/>
          <w:sz w:val="16"/>
          <w:szCs w:val="16"/>
        </w:rPr>
        <w:t xml:space="preserve">23 of the American Convention states that: 1. Every citizen shall enjoy the following rights and opportunities: a) to take part in the conduct of public affairs, directly or through freely chosen representatives; b) to vote and to be elected in genuine periodic elections, which shall be by universal and equal suffrage and by secret ballot that guarantees the free expression of the will of the voters; and c) to have access, under general conditions of equality, to the public service of his country. 2. The law may regulate the exercise of the rights and opportunities referred to in the preceding paragraph only on the basis of age, nationality, residence, language, education, civil and mental capacity, or sentencing by a competent court in criminal proceedings. </w:t>
      </w:r>
    </w:p>
  </w:footnote>
  <w:footnote w:id="77">
    <w:p w14:paraId="5063FBDE" w14:textId="77777777"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Fonts w:ascii="Cambria" w:hAnsi="Cambria"/>
          <w:sz w:val="16"/>
          <w:szCs w:val="16"/>
        </w:rPr>
        <w:t xml:space="preserve"> Article 1(1) of the </w:t>
      </w:r>
      <w:r w:rsidRPr="009D78B5">
        <w:rPr>
          <w:rFonts w:ascii="Cambria" w:hAnsi="Cambria" w:cs="Tahoma"/>
          <w:sz w:val="16"/>
          <w:szCs w:val="16"/>
        </w:rPr>
        <w:t>American Convention states that: The States Parties to this Convention undertake to respect the rights and freedoms recognized herein and to ensure to all persons subject to their jurisdiction the free and full exercise of those rights and freedoms, without any discrimination for reasons of race, color, sex, language, religion, political or other opinion, national or social origin, economic status, birth, or any other social condition.</w:t>
      </w:r>
    </w:p>
  </w:footnote>
  <w:footnote w:id="78">
    <w:p w14:paraId="26C25E93" w14:textId="77777777"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Fonts w:ascii="Cambria" w:hAnsi="Cambria"/>
          <w:sz w:val="16"/>
          <w:szCs w:val="16"/>
        </w:rPr>
        <w:t xml:space="preserve"> Article 2 of the American Convention states: </w:t>
      </w:r>
      <w:r w:rsidRPr="009D78B5">
        <w:rPr>
          <w:rFonts w:ascii="Cambria" w:hAnsi="Cambria" w:cs="Tahoma"/>
          <w:sz w:val="16"/>
          <w:szCs w:val="16"/>
        </w:rPr>
        <w:t>Where the exercise of any of the rights or freedoms referred to in Article 1 is not already ensured by legislative or other provisions, the States Parties undertake to adopt, in accordance with their constitutional processes and the provisions of this Convention, such legislative or other measures as may be necessary to give effect to those rights or freedoms.</w:t>
      </w:r>
    </w:p>
  </w:footnote>
  <w:footnote w:id="79">
    <w:p w14:paraId="09B2E899" w14:textId="77777777"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Fonts w:ascii="Cambria" w:hAnsi="Cambria"/>
          <w:sz w:val="16"/>
          <w:szCs w:val="16"/>
        </w:rPr>
        <w:t xml:space="preserve"> IACHR, Report No. 92/09, Case 12.668, Merits, Leopoldo </w:t>
      </w:r>
      <w:proofErr w:type="spellStart"/>
      <w:r w:rsidRPr="009D78B5">
        <w:rPr>
          <w:rFonts w:ascii="Cambria" w:hAnsi="Cambria"/>
          <w:sz w:val="16"/>
          <w:szCs w:val="16"/>
        </w:rPr>
        <w:t>López</w:t>
      </w:r>
      <w:proofErr w:type="spellEnd"/>
      <w:r w:rsidRPr="009D78B5">
        <w:rPr>
          <w:rFonts w:ascii="Cambria" w:hAnsi="Cambria"/>
          <w:sz w:val="16"/>
          <w:szCs w:val="16"/>
        </w:rPr>
        <w:t xml:space="preserve"> Mendoza, Venezuela, August 8, 2009, para.64.</w:t>
      </w:r>
    </w:p>
  </w:footnote>
  <w:footnote w:id="80">
    <w:p w14:paraId="2F91FC17" w14:textId="77777777"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Fonts w:ascii="Cambria" w:hAnsi="Cambria"/>
          <w:sz w:val="16"/>
          <w:szCs w:val="16"/>
        </w:rPr>
        <w:t xml:space="preserve"> ECHR, Case of </w:t>
      </w:r>
      <w:proofErr w:type="spellStart"/>
      <w:r w:rsidRPr="009D78B5">
        <w:rPr>
          <w:rFonts w:ascii="Cambria" w:hAnsi="Cambria"/>
          <w:sz w:val="16"/>
          <w:szCs w:val="16"/>
        </w:rPr>
        <w:t>Hirst</w:t>
      </w:r>
      <w:proofErr w:type="spellEnd"/>
      <w:r w:rsidRPr="009D78B5">
        <w:rPr>
          <w:rFonts w:ascii="Cambria" w:hAnsi="Cambria"/>
          <w:sz w:val="16"/>
          <w:szCs w:val="16"/>
        </w:rPr>
        <w:t xml:space="preserve"> v. The United Kingdom, Grand Chamber, October 6, 2005, para.62; See also Article 3 of the Inter-American Democratic Charter.</w:t>
      </w:r>
    </w:p>
  </w:footnote>
  <w:footnote w:id="81">
    <w:p w14:paraId="0E80D547" w14:textId="77777777"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Fonts w:ascii="Cambria" w:hAnsi="Cambria"/>
          <w:sz w:val="16"/>
          <w:szCs w:val="16"/>
        </w:rPr>
        <w:t xml:space="preserve"> ECHR, Case of </w:t>
      </w:r>
      <w:proofErr w:type="spellStart"/>
      <w:r w:rsidRPr="009D78B5">
        <w:rPr>
          <w:rFonts w:ascii="Cambria" w:hAnsi="Cambria"/>
          <w:sz w:val="16"/>
          <w:szCs w:val="16"/>
        </w:rPr>
        <w:t>Paksas</w:t>
      </w:r>
      <w:proofErr w:type="spellEnd"/>
      <w:r w:rsidRPr="009D78B5">
        <w:rPr>
          <w:rFonts w:ascii="Cambria" w:hAnsi="Cambria"/>
          <w:sz w:val="16"/>
          <w:szCs w:val="16"/>
        </w:rPr>
        <w:t xml:space="preserve"> v. Lithuania, Grand Chamber, Judgment of January 6, 2011, paras. 104-105.</w:t>
      </w:r>
    </w:p>
  </w:footnote>
  <w:footnote w:id="82">
    <w:p w14:paraId="7F82ACE0" w14:textId="77777777" w:rsidR="00C23BC1" w:rsidRPr="009D78B5" w:rsidRDefault="00C23BC1" w:rsidP="00A84770">
      <w:pPr>
        <w:spacing w:after="120"/>
        <w:ind w:firstLine="720"/>
        <w:jc w:val="both"/>
        <w:rPr>
          <w:rFonts w:ascii="Cambria" w:eastAsia="Times New Roman" w:hAnsi="Cambria"/>
          <w:sz w:val="16"/>
          <w:szCs w:val="16"/>
        </w:rPr>
      </w:pPr>
      <w:r w:rsidRPr="009D78B5">
        <w:rPr>
          <w:rStyle w:val="Refdenotaalpie"/>
          <w:rFonts w:ascii="Cambria" w:hAnsi="Cambria"/>
          <w:sz w:val="16"/>
          <w:szCs w:val="16"/>
        </w:rPr>
        <w:footnoteRef/>
      </w:r>
      <w:r w:rsidRPr="009D78B5">
        <w:rPr>
          <w:rFonts w:ascii="Cambria" w:hAnsi="Cambria"/>
          <w:sz w:val="16"/>
          <w:szCs w:val="16"/>
        </w:rPr>
        <w:t xml:space="preserve"> I/A Court of H.R., </w:t>
      </w:r>
      <w:r w:rsidRPr="009D78B5">
        <w:rPr>
          <w:rFonts w:ascii="Cambria" w:eastAsia="Times New Roman" w:hAnsi="Cambria"/>
          <w:bCs/>
          <w:i/>
          <w:color w:val="000000"/>
          <w:sz w:val="16"/>
          <w:szCs w:val="16"/>
        </w:rPr>
        <w:t xml:space="preserve">Case of </w:t>
      </w:r>
      <w:proofErr w:type="spellStart"/>
      <w:r w:rsidRPr="009D78B5">
        <w:rPr>
          <w:rFonts w:ascii="Cambria" w:eastAsia="Times New Roman" w:hAnsi="Cambria"/>
          <w:bCs/>
          <w:i/>
          <w:color w:val="000000"/>
          <w:sz w:val="16"/>
          <w:szCs w:val="16"/>
        </w:rPr>
        <w:t>López</w:t>
      </w:r>
      <w:proofErr w:type="spellEnd"/>
      <w:r w:rsidRPr="009D78B5">
        <w:rPr>
          <w:rFonts w:ascii="Cambria" w:eastAsia="Times New Roman" w:hAnsi="Cambria"/>
          <w:bCs/>
          <w:i/>
          <w:color w:val="000000"/>
          <w:sz w:val="16"/>
          <w:szCs w:val="16"/>
        </w:rPr>
        <w:t xml:space="preserve"> Mendoza v. Venezuela</w:t>
      </w:r>
      <w:r w:rsidRPr="009D78B5">
        <w:rPr>
          <w:rFonts w:ascii="Cambria" w:eastAsia="Times New Roman" w:hAnsi="Cambria"/>
          <w:bCs/>
          <w:color w:val="000000"/>
          <w:sz w:val="16"/>
          <w:szCs w:val="16"/>
        </w:rPr>
        <w:t xml:space="preserve">. Merits, Reparations and Costs.  Judgment of September 1, 2011. Series C No. 233, paras. 105 and following. </w:t>
      </w:r>
    </w:p>
  </w:footnote>
  <w:footnote w:id="83">
    <w:p w14:paraId="532F1465" w14:textId="77777777"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Fonts w:ascii="Cambria" w:hAnsi="Cambria"/>
          <w:sz w:val="16"/>
          <w:szCs w:val="16"/>
        </w:rPr>
        <w:t xml:space="preserve"> IACHR, Report No. 92/09, Case 12.668, Merits, Leopoldo </w:t>
      </w:r>
      <w:proofErr w:type="spellStart"/>
      <w:r w:rsidRPr="009D78B5">
        <w:rPr>
          <w:rFonts w:ascii="Cambria" w:hAnsi="Cambria"/>
          <w:sz w:val="16"/>
          <w:szCs w:val="16"/>
        </w:rPr>
        <w:t>López</w:t>
      </w:r>
      <w:proofErr w:type="spellEnd"/>
      <w:r w:rsidRPr="009D78B5">
        <w:rPr>
          <w:rFonts w:ascii="Cambria" w:hAnsi="Cambria"/>
          <w:sz w:val="16"/>
          <w:szCs w:val="16"/>
        </w:rPr>
        <w:t xml:space="preserve"> Mendoza, Venezuela, August 8, 2009, para. 91.</w:t>
      </w:r>
    </w:p>
  </w:footnote>
  <w:footnote w:id="84">
    <w:p w14:paraId="502E4CD1" w14:textId="77777777"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Fonts w:ascii="Cambria" w:hAnsi="Cambria"/>
          <w:sz w:val="16"/>
          <w:szCs w:val="16"/>
        </w:rPr>
        <w:t xml:space="preserve"> In similar sense, see also expert witness report from Humberto </w:t>
      </w:r>
      <w:proofErr w:type="spellStart"/>
      <w:r w:rsidRPr="009D78B5">
        <w:rPr>
          <w:rFonts w:ascii="Cambria" w:hAnsi="Cambria"/>
          <w:sz w:val="16"/>
          <w:szCs w:val="16"/>
        </w:rPr>
        <w:t>Nogueira</w:t>
      </w:r>
      <w:proofErr w:type="spellEnd"/>
      <w:r w:rsidRPr="009D78B5">
        <w:rPr>
          <w:rFonts w:ascii="Cambria" w:hAnsi="Cambria"/>
          <w:sz w:val="16"/>
          <w:szCs w:val="16"/>
        </w:rPr>
        <w:t xml:space="preserve"> </w:t>
      </w:r>
      <w:proofErr w:type="spellStart"/>
      <w:r w:rsidRPr="009D78B5">
        <w:rPr>
          <w:rFonts w:ascii="Cambria" w:hAnsi="Cambria"/>
          <w:sz w:val="16"/>
          <w:szCs w:val="16"/>
        </w:rPr>
        <w:t>Alcalá</w:t>
      </w:r>
      <w:proofErr w:type="spellEnd"/>
      <w:r w:rsidRPr="009D78B5">
        <w:rPr>
          <w:rFonts w:ascii="Cambria" w:hAnsi="Cambria"/>
          <w:sz w:val="16"/>
          <w:szCs w:val="16"/>
        </w:rPr>
        <w:t xml:space="preserve"> in the </w:t>
      </w:r>
      <w:proofErr w:type="spellStart"/>
      <w:r w:rsidRPr="009D78B5">
        <w:rPr>
          <w:rFonts w:ascii="Cambria" w:hAnsi="Cambria"/>
          <w:sz w:val="16"/>
          <w:szCs w:val="16"/>
        </w:rPr>
        <w:t>López</w:t>
      </w:r>
      <w:proofErr w:type="spellEnd"/>
      <w:r w:rsidRPr="009D78B5">
        <w:rPr>
          <w:rFonts w:ascii="Cambria" w:hAnsi="Cambria"/>
          <w:sz w:val="16"/>
          <w:szCs w:val="16"/>
        </w:rPr>
        <w:t xml:space="preserve"> Mendoza v. Venezuela Case, p. 21. </w:t>
      </w:r>
    </w:p>
  </w:footnote>
  <w:footnote w:id="85">
    <w:p w14:paraId="1B45DDDF" w14:textId="77777777"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Fonts w:ascii="Cambria" w:hAnsi="Cambria"/>
          <w:sz w:val="16"/>
          <w:szCs w:val="16"/>
        </w:rPr>
        <w:t xml:space="preserve"> Article 8 states in the relevant that: </w:t>
      </w:r>
      <w:r w:rsidRPr="009D78B5">
        <w:rPr>
          <w:rFonts w:ascii="Cambria" w:hAnsi="Cambria" w:cs="Tahoma"/>
          <w:sz w:val="16"/>
          <w:szCs w:val="16"/>
        </w:rPr>
        <w:t>“1. Every person has the right to a hearing, with due guarantees and within a reasonable time, by a competent, independent, and impartial tribunal, previously established by law, in the substantiation of any accusation of a criminal nature made against him or for the determination of his rights and obligations of a civil, labor, fiscal, or any other nature.2. Every person accused of a criminal offense has the right to be presumed innocent so long as his guilt has not been proven according to law. During the proceedings, every person is entitled, with full equality, to the following minimum guarantees: h. the right to appeal the judgment to a higher court.</w:t>
      </w:r>
    </w:p>
  </w:footnote>
  <w:footnote w:id="86">
    <w:p w14:paraId="625D75B9" w14:textId="77777777"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Fonts w:ascii="Cambria" w:hAnsi="Cambria"/>
          <w:sz w:val="16"/>
          <w:szCs w:val="16"/>
        </w:rPr>
        <w:t xml:space="preserve"> Article 25 of the American Convention establishes in the relevant that: 1. Everyone has the right to simple and prompt recourse, or any other effective recourse, to a competent court or tribunal for protection against acts that violate his fundamental rights recognized by the constitution or laws of the state concerned or by this Convention, even though such violation may have been committed by persons acting in the course of their official duties.</w:t>
      </w:r>
    </w:p>
  </w:footnote>
  <w:footnote w:id="87">
    <w:p w14:paraId="367A1F83" w14:textId="77777777"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Fonts w:ascii="Cambria" w:hAnsi="Cambria"/>
          <w:sz w:val="16"/>
          <w:szCs w:val="16"/>
        </w:rPr>
        <w:t xml:space="preserve"> IACHR, Report No. 65/11, Case 12.600, Merits, Hugo Quintana </w:t>
      </w:r>
      <w:proofErr w:type="spellStart"/>
      <w:r w:rsidRPr="009D78B5">
        <w:rPr>
          <w:rFonts w:ascii="Cambria" w:hAnsi="Cambria"/>
          <w:sz w:val="16"/>
          <w:szCs w:val="16"/>
        </w:rPr>
        <w:t>Coello</w:t>
      </w:r>
      <w:proofErr w:type="spellEnd"/>
      <w:r w:rsidRPr="009D78B5">
        <w:rPr>
          <w:rFonts w:ascii="Cambria" w:hAnsi="Cambria"/>
          <w:sz w:val="16"/>
          <w:szCs w:val="16"/>
        </w:rPr>
        <w:t xml:space="preserve"> </w:t>
      </w:r>
      <w:r w:rsidRPr="009D78B5">
        <w:rPr>
          <w:rFonts w:ascii="Cambria" w:hAnsi="Cambria"/>
          <w:i/>
          <w:sz w:val="16"/>
          <w:szCs w:val="16"/>
        </w:rPr>
        <w:t>et. al</w:t>
      </w:r>
      <w:r w:rsidRPr="009D78B5">
        <w:rPr>
          <w:rFonts w:ascii="Cambria" w:hAnsi="Cambria"/>
          <w:sz w:val="16"/>
          <w:szCs w:val="16"/>
        </w:rPr>
        <w:t xml:space="preserve">., “Supreme Court of Justice,” Ecuador, March 31, 2011, para. 102; I/A Court H.R., </w:t>
      </w:r>
      <w:r w:rsidRPr="009D78B5">
        <w:rPr>
          <w:rFonts w:ascii="Cambria" w:hAnsi="Cambria"/>
          <w:i/>
          <w:sz w:val="16"/>
          <w:szCs w:val="16"/>
        </w:rPr>
        <w:t>Case</w:t>
      </w:r>
      <w:r w:rsidRPr="009D78B5">
        <w:rPr>
          <w:rFonts w:ascii="Cambria" w:hAnsi="Cambria"/>
          <w:sz w:val="16"/>
          <w:szCs w:val="16"/>
        </w:rPr>
        <w:t xml:space="preserve"> </w:t>
      </w:r>
      <w:r w:rsidRPr="009D78B5">
        <w:rPr>
          <w:rFonts w:ascii="Cambria" w:hAnsi="Cambria"/>
          <w:i/>
          <w:sz w:val="16"/>
          <w:szCs w:val="16"/>
        </w:rPr>
        <w:t>of</w:t>
      </w:r>
      <w:hyperlink r:id="rId18" w:history="1">
        <w:r w:rsidRPr="009D78B5">
          <w:rPr>
            <w:rFonts w:ascii="Cambria" w:hAnsi="Cambria"/>
            <w:sz w:val="16"/>
            <w:szCs w:val="16"/>
          </w:rPr>
          <w:t xml:space="preserve"> </w:t>
        </w:r>
        <w:proofErr w:type="spellStart"/>
        <w:r w:rsidRPr="009D78B5">
          <w:rPr>
            <w:rFonts w:ascii="Cambria" w:hAnsi="Cambria"/>
            <w:i/>
            <w:sz w:val="16"/>
            <w:szCs w:val="16"/>
          </w:rPr>
          <w:t>Baena</w:t>
        </w:r>
        <w:proofErr w:type="spellEnd"/>
        <w:r w:rsidRPr="009D78B5">
          <w:rPr>
            <w:rFonts w:ascii="Cambria" w:hAnsi="Cambria"/>
            <w:sz w:val="16"/>
            <w:szCs w:val="16"/>
          </w:rPr>
          <w:t xml:space="preserve"> </w:t>
        </w:r>
        <w:r w:rsidRPr="009D78B5">
          <w:rPr>
            <w:rFonts w:ascii="Cambria" w:hAnsi="Cambria"/>
            <w:i/>
            <w:sz w:val="16"/>
            <w:szCs w:val="16"/>
          </w:rPr>
          <w:t>Ricardo</w:t>
        </w:r>
        <w:r w:rsidRPr="009D78B5">
          <w:rPr>
            <w:rFonts w:ascii="Cambria" w:hAnsi="Cambria"/>
            <w:sz w:val="16"/>
            <w:szCs w:val="16"/>
          </w:rPr>
          <w:t xml:space="preserve"> </w:t>
        </w:r>
        <w:r w:rsidRPr="009D78B5">
          <w:rPr>
            <w:rFonts w:ascii="Cambria" w:hAnsi="Cambria"/>
            <w:i/>
            <w:sz w:val="16"/>
            <w:szCs w:val="16"/>
          </w:rPr>
          <w:t>et al</w:t>
        </w:r>
        <w:r w:rsidRPr="009D78B5">
          <w:rPr>
            <w:rFonts w:ascii="Cambria" w:hAnsi="Cambria"/>
            <w:sz w:val="16"/>
            <w:szCs w:val="16"/>
          </w:rPr>
          <w:t xml:space="preserve">. </w:t>
        </w:r>
        <w:r w:rsidRPr="009D78B5">
          <w:rPr>
            <w:rFonts w:ascii="Cambria" w:hAnsi="Cambria"/>
            <w:i/>
            <w:sz w:val="16"/>
            <w:szCs w:val="16"/>
          </w:rPr>
          <w:t>v.</w:t>
        </w:r>
        <w:r w:rsidRPr="009D78B5">
          <w:rPr>
            <w:rFonts w:ascii="Cambria" w:hAnsi="Cambria"/>
            <w:sz w:val="16"/>
            <w:szCs w:val="16"/>
          </w:rPr>
          <w:t xml:space="preserve"> </w:t>
        </w:r>
        <w:r w:rsidRPr="009D78B5">
          <w:rPr>
            <w:rFonts w:ascii="Cambria" w:hAnsi="Cambria"/>
            <w:i/>
            <w:sz w:val="16"/>
            <w:szCs w:val="16"/>
          </w:rPr>
          <w:t>Panama</w:t>
        </w:r>
        <w:r w:rsidRPr="009D78B5">
          <w:rPr>
            <w:rFonts w:ascii="Cambria" w:hAnsi="Cambria"/>
            <w:sz w:val="16"/>
            <w:szCs w:val="16"/>
          </w:rPr>
          <w:t>. Merits, Reparations and Costs.  Judgment of February 2, 2001. Series C No. 72</w:t>
        </w:r>
      </w:hyperlink>
      <w:r w:rsidRPr="009D78B5">
        <w:rPr>
          <w:rFonts w:ascii="Cambria" w:hAnsi="Cambria"/>
          <w:sz w:val="16"/>
          <w:szCs w:val="16"/>
        </w:rPr>
        <w:t xml:space="preserve">, paras. 126-127; </w:t>
      </w:r>
      <w:r w:rsidRPr="009D78B5">
        <w:rPr>
          <w:rFonts w:ascii="Cambria" w:hAnsi="Cambria"/>
          <w:i/>
          <w:sz w:val="16"/>
          <w:szCs w:val="16"/>
        </w:rPr>
        <w:t xml:space="preserve">Case of the </w:t>
      </w:r>
      <w:hyperlink r:id="rId19" w:history="1">
        <w:r w:rsidRPr="009D78B5">
          <w:rPr>
            <w:rFonts w:ascii="Cambria" w:hAnsi="Cambria"/>
            <w:i/>
            <w:sz w:val="16"/>
            <w:szCs w:val="16"/>
          </w:rPr>
          <w:t>Constitutional</w:t>
        </w:r>
        <w:r w:rsidRPr="009D78B5">
          <w:rPr>
            <w:rFonts w:ascii="Cambria" w:hAnsi="Cambria"/>
            <w:sz w:val="16"/>
            <w:szCs w:val="16"/>
          </w:rPr>
          <w:t xml:space="preserve"> </w:t>
        </w:r>
        <w:r w:rsidRPr="009D78B5">
          <w:rPr>
            <w:rFonts w:ascii="Cambria" w:hAnsi="Cambria"/>
            <w:i/>
            <w:sz w:val="16"/>
            <w:szCs w:val="16"/>
          </w:rPr>
          <w:t>Tribunal</w:t>
        </w:r>
        <w:r w:rsidRPr="009D78B5">
          <w:rPr>
            <w:rFonts w:ascii="Cambria" w:hAnsi="Cambria"/>
            <w:sz w:val="16"/>
            <w:szCs w:val="16"/>
          </w:rPr>
          <w:t xml:space="preserve"> </w:t>
        </w:r>
        <w:r w:rsidRPr="009D78B5">
          <w:rPr>
            <w:rFonts w:ascii="Cambria" w:hAnsi="Cambria"/>
            <w:i/>
            <w:sz w:val="16"/>
            <w:szCs w:val="16"/>
          </w:rPr>
          <w:t>v</w:t>
        </w:r>
        <w:r w:rsidRPr="009D78B5">
          <w:rPr>
            <w:rFonts w:ascii="Cambria" w:hAnsi="Cambria"/>
            <w:sz w:val="16"/>
            <w:szCs w:val="16"/>
          </w:rPr>
          <w:t xml:space="preserve">. </w:t>
        </w:r>
        <w:r w:rsidRPr="009D78B5">
          <w:rPr>
            <w:rFonts w:ascii="Cambria" w:hAnsi="Cambria"/>
            <w:i/>
            <w:sz w:val="16"/>
            <w:szCs w:val="16"/>
          </w:rPr>
          <w:t>Peru</w:t>
        </w:r>
        <w:r w:rsidRPr="009D78B5">
          <w:rPr>
            <w:rFonts w:ascii="Cambria" w:hAnsi="Cambria"/>
            <w:sz w:val="16"/>
            <w:szCs w:val="16"/>
          </w:rPr>
          <w:t>. Merits, Reparations and Costs.  Judgment of January 31, 2001. Series C No. 71</w:t>
        </w:r>
      </w:hyperlink>
      <w:r w:rsidRPr="009D78B5">
        <w:rPr>
          <w:rFonts w:ascii="Cambria" w:hAnsi="Cambria"/>
          <w:sz w:val="16"/>
          <w:szCs w:val="16"/>
        </w:rPr>
        <w:t xml:space="preserve">, paras. 69-70; and </w:t>
      </w:r>
      <w:r w:rsidRPr="009D78B5">
        <w:rPr>
          <w:rFonts w:ascii="Cambria" w:hAnsi="Cambria"/>
          <w:i/>
          <w:sz w:val="16"/>
          <w:szCs w:val="16"/>
        </w:rPr>
        <w:t>Case of</w:t>
      </w:r>
      <w:r w:rsidRPr="009D78B5">
        <w:rPr>
          <w:rFonts w:ascii="Cambria" w:hAnsi="Cambria"/>
          <w:sz w:val="16"/>
          <w:szCs w:val="16"/>
        </w:rPr>
        <w:t xml:space="preserve"> </w:t>
      </w:r>
      <w:hyperlink r:id="rId20" w:history="1">
        <w:proofErr w:type="spellStart"/>
        <w:r w:rsidRPr="009D78B5">
          <w:rPr>
            <w:rFonts w:ascii="Cambria" w:hAnsi="Cambria"/>
            <w:i/>
            <w:sz w:val="16"/>
            <w:szCs w:val="16"/>
          </w:rPr>
          <w:t>López</w:t>
        </w:r>
        <w:proofErr w:type="spellEnd"/>
        <w:r w:rsidRPr="009D78B5">
          <w:rPr>
            <w:rFonts w:ascii="Cambria" w:hAnsi="Cambria"/>
            <w:i/>
            <w:sz w:val="16"/>
            <w:szCs w:val="16"/>
          </w:rPr>
          <w:t xml:space="preserve"> Mendoza v. Venezuela</w:t>
        </w:r>
        <w:r w:rsidRPr="009D78B5">
          <w:rPr>
            <w:rFonts w:ascii="Cambria" w:hAnsi="Cambria"/>
            <w:sz w:val="16"/>
            <w:szCs w:val="16"/>
          </w:rPr>
          <w:t>. Merits, Reparations and Costs.  Judgment of September 1, 2011. Series C No. 233</w:t>
        </w:r>
      </w:hyperlink>
      <w:r w:rsidRPr="009D78B5">
        <w:rPr>
          <w:rFonts w:ascii="Cambria" w:hAnsi="Cambria"/>
          <w:sz w:val="16"/>
          <w:szCs w:val="16"/>
        </w:rPr>
        <w:t xml:space="preserve">, para. 111. </w:t>
      </w:r>
    </w:p>
  </w:footnote>
  <w:footnote w:id="88">
    <w:p w14:paraId="0617AE40" w14:textId="77777777"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Fonts w:ascii="Cambria" w:hAnsi="Cambria"/>
          <w:sz w:val="16"/>
          <w:szCs w:val="16"/>
        </w:rPr>
        <w:t xml:space="preserve"> IACHR.  Access to Justice as a Guarantee of Economic, Social and Cultural Rights.  A Review of the Standards adopted by the Inter-American System of Human Rights. OEA/</w:t>
      </w:r>
      <w:proofErr w:type="spellStart"/>
      <w:r w:rsidRPr="009D78B5">
        <w:rPr>
          <w:rFonts w:ascii="Cambria" w:hAnsi="Cambria"/>
          <w:sz w:val="16"/>
          <w:szCs w:val="16"/>
        </w:rPr>
        <w:t>Ser.L</w:t>
      </w:r>
      <w:proofErr w:type="spellEnd"/>
      <w:r w:rsidRPr="009D78B5">
        <w:rPr>
          <w:rFonts w:ascii="Cambria" w:hAnsi="Cambria"/>
          <w:sz w:val="16"/>
          <w:szCs w:val="16"/>
        </w:rPr>
        <w:t xml:space="preserve">/V/II.129. September 7, 2007, paras. 98-123; and Case No. 12.828, Report 112/12, Marcel </w:t>
      </w:r>
      <w:proofErr w:type="spellStart"/>
      <w:r w:rsidRPr="009D78B5">
        <w:rPr>
          <w:rFonts w:ascii="Cambria" w:hAnsi="Cambria"/>
          <w:sz w:val="16"/>
          <w:szCs w:val="16"/>
        </w:rPr>
        <w:t>Granier</w:t>
      </w:r>
      <w:proofErr w:type="spellEnd"/>
      <w:r w:rsidRPr="009D78B5">
        <w:rPr>
          <w:rFonts w:ascii="Cambria" w:hAnsi="Cambria"/>
          <w:sz w:val="16"/>
          <w:szCs w:val="16"/>
        </w:rPr>
        <w:t xml:space="preserve"> </w:t>
      </w:r>
      <w:r w:rsidRPr="009D78B5">
        <w:rPr>
          <w:rFonts w:ascii="Cambria" w:hAnsi="Cambria"/>
          <w:i/>
          <w:sz w:val="16"/>
          <w:szCs w:val="16"/>
        </w:rPr>
        <w:t>et. al</w:t>
      </w:r>
      <w:r w:rsidRPr="009D78B5">
        <w:rPr>
          <w:rFonts w:ascii="Cambria" w:hAnsi="Cambria"/>
          <w:sz w:val="16"/>
          <w:szCs w:val="16"/>
        </w:rPr>
        <w:t xml:space="preserve">., Venezuela, Merits, November 9, 2012, para. 188; I/A Court of H.R., </w:t>
      </w:r>
      <w:r w:rsidRPr="009D78B5">
        <w:rPr>
          <w:rFonts w:ascii="Cambria" w:hAnsi="Cambria"/>
          <w:i/>
          <w:sz w:val="16"/>
          <w:szCs w:val="16"/>
        </w:rPr>
        <w:t>Case of</w:t>
      </w:r>
      <w:r w:rsidRPr="009D78B5">
        <w:rPr>
          <w:rFonts w:ascii="Cambria" w:hAnsi="Cambria"/>
          <w:sz w:val="16"/>
          <w:szCs w:val="16"/>
        </w:rPr>
        <w:t xml:space="preserve"> </w:t>
      </w:r>
      <w:hyperlink r:id="rId21" w:history="1">
        <w:proofErr w:type="spellStart"/>
        <w:r w:rsidRPr="009D78B5">
          <w:rPr>
            <w:rStyle w:val="Hipervnculo"/>
            <w:rFonts w:ascii="Cambria" w:hAnsi="Cambria" w:cs="Arial"/>
            <w:i/>
            <w:color w:val="auto"/>
            <w:sz w:val="16"/>
            <w:szCs w:val="16"/>
            <w:u w:val="none"/>
            <w:shd w:val="clear" w:color="auto" w:fill="FFFFFF"/>
          </w:rPr>
          <w:t>Baena</w:t>
        </w:r>
        <w:proofErr w:type="spellEnd"/>
        <w:r w:rsidRPr="009D78B5">
          <w:rPr>
            <w:rStyle w:val="Hipervnculo"/>
            <w:rFonts w:ascii="Cambria" w:hAnsi="Cambria" w:cs="Arial"/>
            <w:i/>
            <w:color w:val="auto"/>
            <w:sz w:val="16"/>
            <w:szCs w:val="16"/>
            <w:u w:val="none"/>
            <w:shd w:val="clear" w:color="auto" w:fill="FFFFFF"/>
          </w:rPr>
          <w:t xml:space="preserve"> Ricardo et al. v. Panama.</w:t>
        </w:r>
        <w:r w:rsidRPr="009D78B5">
          <w:rPr>
            <w:rStyle w:val="Hipervnculo"/>
            <w:rFonts w:ascii="Cambria" w:hAnsi="Cambria" w:cs="Arial"/>
            <w:color w:val="auto"/>
            <w:sz w:val="16"/>
            <w:szCs w:val="16"/>
            <w:u w:val="none"/>
            <w:shd w:val="clear" w:color="auto" w:fill="FFFFFF"/>
          </w:rPr>
          <w:t xml:space="preserve"> Merits, Reparations and Costs.  Judgment of February 2, 2001. Series C No. 72</w:t>
        </w:r>
      </w:hyperlink>
      <w:r w:rsidRPr="009D78B5">
        <w:rPr>
          <w:rFonts w:ascii="Cambria" w:hAnsi="Cambria"/>
          <w:sz w:val="16"/>
          <w:szCs w:val="16"/>
        </w:rPr>
        <w:t>, paras. 126-127.</w:t>
      </w:r>
    </w:p>
  </w:footnote>
  <w:footnote w:id="89">
    <w:p w14:paraId="55846F91" w14:textId="77777777"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Style w:val="Refdenotaalpie"/>
          <w:rFonts w:ascii="Cambria" w:hAnsi="Cambria"/>
          <w:sz w:val="16"/>
          <w:szCs w:val="16"/>
        </w:rPr>
        <w:t xml:space="preserve"> </w:t>
      </w:r>
      <w:r w:rsidRPr="009D78B5">
        <w:rPr>
          <w:rFonts w:ascii="Cambria" w:hAnsi="Cambria"/>
          <w:sz w:val="16"/>
          <w:szCs w:val="16"/>
        </w:rPr>
        <w:t xml:space="preserve">IACHR, Guarantees for the Independence of Judicial Operators.  Towards strengthening access to justice and the rule of law in the Americas. </w:t>
      </w:r>
      <w:proofErr w:type="gramStart"/>
      <w:r w:rsidRPr="009D78B5">
        <w:rPr>
          <w:rFonts w:ascii="Cambria" w:hAnsi="Cambria"/>
          <w:sz w:val="16"/>
          <w:szCs w:val="16"/>
        </w:rPr>
        <w:t>OEA/</w:t>
      </w:r>
      <w:proofErr w:type="spellStart"/>
      <w:r w:rsidRPr="009D78B5">
        <w:rPr>
          <w:rFonts w:ascii="Cambria" w:hAnsi="Cambria"/>
          <w:sz w:val="16"/>
          <w:szCs w:val="16"/>
        </w:rPr>
        <w:t>ser.L</w:t>
      </w:r>
      <w:proofErr w:type="spellEnd"/>
      <w:r w:rsidRPr="009D78B5">
        <w:rPr>
          <w:rFonts w:ascii="Cambria" w:hAnsi="Cambria"/>
          <w:sz w:val="16"/>
          <w:szCs w:val="16"/>
        </w:rPr>
        <w:t>/V/II.Doc.44, December 5, 2013, para.</w:t>
      </w:r>
      <w:proofErr w:type="gramEnd"/>
      <w:r w:rsidRPr="009D78B5">
        <w:rPr>
          <w:rFonts w:ascii="Cambria" w:hAnsi="Cambria"/>
          <w:sz w:val="16"/>
          <w:szCs w:val="16"/>
        </w:rPr>
        <w:t xml:space="preserve"> 188.</w:t>
      </w:r>
    </w:p>
  </w:footnote>
  <w:footnote w:id="90">
    <w:p w14:paraId="54B8EEDB" w14:textId="77777777"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Style w:val="Refdenotaalpie"/>
          <w:rFonts w:ascii="Cambria" w:hAnsi="Cambria"/>
          <w:sz w:val="16"/>
          <w:szCs w:val="16"/>
        </w:rPr>
        <w:t xml:space="preserve"> </w:t>
      </w:r>
      <w:r w:rsidRPr="009D78B5">
        <w:rPr>
          <w:rFonts w:ascii="Cambria" w:hAnsi="Cambria"/>
          <w:sz w:val="16"/>
          <w:szCs w:val="16"/>
        </w:rPr>
        <w:t xml:space="preserve">IACHR, Guarantees for the Independence of Judicial Operators.  Towards strengthening access to justice and the rule of law in the Americas. </w:t>
      </w:r>
      <w:proofErr w:type="gramStart"/>
      <w:r w:rsidRPr="009D78B5">
        <w:rPr>
          <w:rFonts w:ascii="Cambria" w:hAnsi="Cambria"/>
          <w:sz w:val="16"/>
          <w:szCs w:val="16"/>
        </w:rPr>
        <w:t>OEA/</w:t>
      </w:r>
      <w:proofErr w:type="spellStart"/>
      <w:r w:rsidRPr="009D78B5">
        <w:rPr>
          <w:rFonts w:ascii="Cambria" w:hAnsi="Cambria"/>
          <w:sz w:val="16"/>
          <w:szCs w:val="16"/>
        </w:rPr>
        <w:t>ser.L</w:t>
      </w:r>
      <w:proofErr w:type="spellEnd"/>
      <w:r w:rsidRPr="009D78B5">
        <w:rPr>
          <w:rFonts w:ascii="Cambria" w:hAnsi="Cambria"/>
          <w:sz w:val="16"/>
          <w:szCs w:val="16"/>
        </w:rPr>
        <w:t>/V/II.Doc.44, December 5, 2013, para.</w:t>
      </w:r>
      <w:proofErr w:type="gramEnd"/>
      <w:r w:rsidRPr="009D78B5">
        <w:rPr>
          <w:rFonts w:ascii="Cambria" w:hAnsi="Cambria"/>
          <w:sz w:val="16"/>
          <w:szCs w:val="16"/>
        </w:rPr>
        <w:t xml:space="preserve"> 200.</w:t>
      </w:r>
    </w:p>
  </w:footnote>
  <w:footnote w:id="91">
    <w:p w14:paraId="55B037F3" w14:textId="77777777"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Fonts w:ascii="Cambria" w:hAnsi="Cambria"/>
          <w:sz w:val="16"/>
          <w:szCs w:val="16"/>
        </w:rPr>
        <w:t xml:space="preserve"> IACHR, Report No. 103/13, Case 12.816, Merits, </w:t>
      </w:r>
      <w:proofErr w:type="spellStart"/>
      <w:r w:rsidRPr="009D78B5">
        <w:rPr>
          <w:rFonts w:ascii="Cambria" w:hAnsi="Cambria"/>
          <w:sz w:val="16"/>
          <w:szCs w:val="16"/>
        </w:rPr>
        <w:t>Adán</w:t>
      </w:r>
      <w:proofErr w:type="spellEnd"/>
      <w:r w:rsidRPr="009D78B5">
        <w:rPr>
          <w:rFonts w:ascii="Cambria" w:hAnsi="Cambria"/>
          <w:sz w:val="16"/>
          <w:szCs w:val="16"/>
        </w:rPr>
        <w:t xml:space="preserve"> Guillermo Lopez Lone </w:t>
      </w:r>
      <w:r w:rsidRPr="009D78B5">
        <w:rPr>
          <w:rFonts w:ascii="Cambria" w:hAnsi="Cambria"/>
          <w:i/>
          <w:sz w:val="16"/>
          <w:szCs w:val="16"/>
        </w:rPr>
        <w:t>et. al</w:t>
      </w:r>
      <w:r w:rsidRPr="009D78B5">
        <w:rPr>
          <w:rFonts w:ascii="Cambria" w:hAnsi="Cambria"/>
          <w:sz w:val="16"/>
          <w:szCs w:val="16"/>
        </w:rPr>
        <w:t>., Honduras, November 5, 2013, para.136.</w:t>
      </w:r>
    </w:p>
  </w:footnote>
  <w:footnote w:id="92">
    <w:p w14:paraId="645F50CC" w14:textId="77777777"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Style w:val="Refdenotaalpie"/>
          <w:rFonts w:ascii="Cambria" w:hAnsi="Cambria"/>
          <w:sz w:val="16"/>
          <w:szCs w:val="16"/>
        </w:rPr>
        <w:t xml:space="preserve"> </w:t>
      </w:r>
      <w:r w:rsidRPr="009D78B5">
        <w:rPr>
          <w:rFonts w:ascii="Cambria" w:hAnsi="Cambria"/>
          <w:sz w:val="16"/>
          <w:szCs w:val="16"/>
        </w:rPr>
        <w:t xml:space="preserve">IACHR, Guarantees for the Independence of Judicial Operators.  Towards strengthening access to justice and the rule of law in the Americas. </w:t>
      </w:r>
      <w:proofErr w:type="gramStart"/>
      <w:r w:rsidRPr="009D78B5">
        <w:rPr>
          <w:rFonts w:ascii="Cambria" w:hAnsi="Cambria"/>
          <w:sz w:val="16"/>
          <w:szCs w:val="16"/>
        </w:rPr>
        <w:t>OEA/</w:t>
      </w:r>
      <w:proofErr w:type="spellStart"/>
      <w:r w:rsidRPr="009D78B5">
        <w:rPr>
          <w:rFonts w:ascii="Cambria" w:hAnsi="Cambria"/>
          <w:sz w:val="16"/>
          <w:szCs w:val="16"/>
        </w:rPr>
        <w:t>ser.L</w:t>
      </w:r>
      <w:proofErr w:type="spellEnd"/>
      <w:r w:rsidRPr="009D78B5">
        <w:rPr>
          <w:rFonts w:ascii="Cambria" w:hAnsi="Cambria"/>
          <w:sz w:val="16"/>
          <w:szCs w:val="16"/>
        </w:rPr>
        <w:t>/V/II.Doc.44, December 5, 2013, para.</w:t>
      </w:r>
      <w:proofErr w:type="gramEnd"/>
      <w:r w:rsidRPr="009D78B5">
        <w:rPr>
          <w:rFonts w:ascii="Cambria" w:hAnsi="Cambria"/>
          <w:sz w:val="16"/>
          <w:szCs w:val="16"/>
        </w:rPr>
        <w:t xml:space="preserve"> 200.</w:t>
      </w:r>
    </w:p>
  </w:footnote>
  <w:footnote w:id="93">
    <w:p w14:paraId="37AB950D" w14:textId="77777777"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Style w:val="Refdenotaalpie"/>
          <w:rFonts w:ascii="Cambria" w:hAnsi="Cambria"/>
          <w:sz w:val="16"/>
          <w:szCs w:val="16"/>
        </w:rPr>
        <w:t xml:space="preserve"> </w:t>
      </w:r>
      <w:r w:rsidRPr="009D78B5">
        <w:rPr>
          <w:rFonts w:ascii="Cambria" w:hAnsi="Cambria"/>
          <w:sz w:val="16"/>
          <w:szCs w:val="16"/>
        </w:rPr>
        <w:t xml:space="preserve">IACHR, Guarantees for the Independence of Judicial Operators.  Towards strengthening access to justice and the rule of law in the Americas. </w:t>
      </w:r>
      <w:proofErr w:type="gramStart"/>
      <w:r w:rsidRPr="009D78B5">
        <w:rPr>
          <w:rFonts w:ascii="Cambria" w:hAnsi="Cambria"/>
          <w:sz w:val="16"/>
          <w:szCs w:val="16"/>
        </w:rPr>
        <w:t>OEA/</w:t>
      </w:r>
      <w:proofErr w:type="spellStart"/>
      <w:r w:rsidRPr="009D78B5">
        <w:rPr>
          <w:rFonts w:ascii="Cambria" w:hAnsi="Cambria"/>
          <w:sz w:val="16"/>
          <w:szCs w:val="16"/>
        </w:rPr>
        <w:t>ser.L</w:t>
      </w:r>
      <w:proofErr w:type="spellEnd"/>
      <w:r w:rsidRPr="009D78B5">
        <w:rPr>
          <w:rFonts w:ascii="Cambria" w:hAnsi="Cambria"/>
          <w:sz w:val="16"/>
          <w:szCs w:val="16"/>
        </w:rPr>
        <w:t>/V/II.Doc.44, December 5, 2013, para.</w:t>
      </w:r>
      <w:proofErr w:type="gramEnd"/>
      <w:r w:rsidRPr="009D78B5">
        <w:rPr>
          <w:rFonts w:ascii="Cambria" w:hAnsi="Cambria"/>
          <w:sz w:val="16"/>
          <w:szCs w:val="16"/>
        </w:rPr>
        <w:t xml:space="preserve"> 235.; I/A Court of H.R., </w:t>
      </w:r>
      <w:r w:rsidRPr="009D78B5">
        <w:rPr>
          <w:rFonts w:ascii="Cambria" w:hAnsi="Cambria"/>
          <w:i/>
          <w:sz w:val="16"/>
          <w:szCs w:val="16"/>
        </w:rPr>
        <w:t xml:space="preserve">Case of </w:t>
      </w:r>
      <w:proofErr w:type="spellStart"/>
      <w:r w:rsidRPr="009D78B5">
        <w:rPr>
          <w:rFonts w:ascii="Cambria" w:hAnsi="Cambria"/>
          <w:bCs/>
          <w:i/>
          <w:sz w:val="16"/>
          <w:szCs w:val="16"/>
        </w:rPr>
        <w:t>Vélez</w:t>
      </w:r>
      <w:proofErr w:type="spellEnd"/>
      <w:r w:rsidRPr="009D78B5">
        <w:rPr>
          <w:rFonts w:ascii="Cambria" w:hAnsi="Cambria"/>
          <w:bCs/>
          <w:i/>
          <w:sz w:val="16"/>
          <w:szCs w:val="16"/>
        </w:rPr>
        <w:t xml:space="preserve"> </w:t>
      </w:r>
      <w:proofErr w:type="spellStart"/>
      <w:r w:rsidRPr="009D78B5">
        <w:rPr>
          <w:rFonts w:ascii="Cambria" w:hAnsi="Cambria"/>
          <w:bCs/>
          <w:i/>
          <w:sz w:val="16"/>
          <w:szCs w:val="16"/>
        </w:rPr>
        <w:t>Loor</w:t>
      </w:r>
      <w:proofErr w:type="spellEnd"/>
      <w:r w:rsidRPr="009D78B5">
        <w:rPr>
          <w:rFonts w:ascii="Cambria" w:hAnsi="Cambria"/>
          <w:bCs/>
          <w:i/>
          <w:sz w:val="16"/>
          <w:szCs w:val="16"/>
        </w:rPr>
        <w:t xml:space="preserve"> v. Panama. </w:t>
      </w:r>
      <w:r w:rsidRPr="009D78B5">
        <w:rPr>
          <w:rFonts w:ascii="Cambria" w:hAnsi="Cambria"/>
          <w:sz w:val="16"/>
          <w:szCs w:val="16"/>
        </w:rPr>
        <w:t>Preliminary Objections, Merits, Reparations and Costs.</w:t>
      </w:r>
      <w:r w:rsidRPr="009D78B5">
        <w:rPr>
          <w:rFonts w:ascii="Cambria" w:hAnsi="Cambria"/>
          <w:bCs/>
          <w:i/>
          <w:sz w:val="16"/>
          <w:szCs w:val="16"/>
        </w:rPr>
        <w:t xml:space="preserve">  </w:t>
      </w:r>
      <w:r w:rsidRPr="009D78B5">
        <w:rPr>
          <w:rFonts w:ascii="Cambria" w:hAnsi="Cambria"/>
          <w:sz w:val="16"/>
          <w:szCs w:val="16"/>
        </w:rPr>
        <w:t>Judgment of November 23, 2010. Series C No. 218, para. 179.</w:t>
      </w:r>
    </w:p>
  </w:footnote>
  <w:footnote w:id="94">
    <w:p w14:paraId="4C81DFA0" w14:textId="77777777"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Fonts w:ascii="Cambria" w:hAnsi="Cambria"/>
          <w:sz w:val="16"/>
          <w:szCs w:val="16"/>
        </w:rPr>
        <w:t xml:space="preserve">IACHR, Report No. 33/14, Case 12.820, Manfred </w:t>
      </w:r>
      <w:proofErr w:type="spellStart"/>
      <w:r w:rsidRPr="009D78B5">
        <w:rPr>
          <w:rFonts w:ascii="Cambria" w:hAnsi="Cambria"/>
          <w:sz w:val="16"/>
          <w:szCs w:val="16"/>
        </w:rPr>
        <w:t>Amrhein</w:t>
      </w:r>
      <w:proofErr w:type="spellEnd"/>
      <w:r w:rsidRPr="009D78B5">
        <w:rPr>
          <w:rFonts w:ascii="Cambria" w:hAnsi="Cambria"/>
          <w:sz w:val="16"/>
          <w:szCs w:val="16"/>
        </w:rPr>
        <w:t xml:space="preserve"> et al., Costa Rica. April 4, 2014, para.186.</w:t>
      </w:r>
    </w:p>
  </w:footnote>
  <w:footnote w:id="95">
    <w:p w14:paraId="2D6CD70A" w14:textId="77777777"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Fonts w:ascii="Cambria" w:hAnsi="Cambria"/>
          <w:sz w:val="16"/>
          <w:szCs w:val="16"/>
        </w:rPr>
        <w:t xml:space="preserve">IACHR, Report No. 33/14, Case 12.820, Manfred </w:t>
      </w:r>
      <w:proofErr w:type="spellStart"/>
      <w:r w:rsidRPr="009D78B5">
        <w:rPr>
          <w:rFonts w:ascii="Cambria" w:hAnsi="Cambria"/>
          <w:sz w:val="16"/>
          <w:szCs w:val="16"/>
        </w:rPr>
        <w:t>Amrhein</w:t>
      </w:r>
      <w:proofErr w:type="spellEnd"/>
      <w:r w:rsidRPr="009D78B5">
        <w:rPr>
          <w:rFonts w:ascii="Cambria" w:hAnsi="Cambria"/>
          <w:sz w:val="16"/>
          <w:szCs w:val="16"/>
        </w:rPr>
        <w:t xml:space="preserve"> et al., Costa Rica. April 4, 2014, para.186.</w:t>
      </w:r>
    </w:p>
  </w:footnote>
  <w:footnote w:id="96">
    <w:p w14:paraId="43827346" w14:textId="77777777"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Fonts w:ascii="Cambria" w:hAnsi="Cambria"/>
          <w:sz w:val="16"/>
          <w:szCs w:val="16"/>
        </w:rPr>
        <w:t xml:space="preserve">IACHR, Report No. 33/14, Case 12.820, Manfred </w:t>
      </w:r>
      <w:proofErr w:type="spellStart"/>
      <w:r w:rsidRPr="009D78B5">
        <w:rPr>
          <w:rFonts w:ascii="Cambria" w:hAnsi="Cambria"/>
          <w:sz w:val="16"/>
          <w:szCs w:val="16"/>
        </w:rPr>
        <w:t>Amrhein</w:t>
      </w:r>
      <w:proofErr w:type="spellEnd"/>
      <w:r w:rsidRPr="009D78B5">
        <w:rPr>
          <w:rFonts w:ascii="Cambria" w:hAnsi="Cambria"/>
          <w:sz w:val="16"/>
          <w:szCs w:val="16"/>
        </w:rPr>
        <w:t xml:space="preserve"> et al., Costa Rica. April 4, 2014, para.186 and following.</w:t>
      </w:r>
    </w:p>
  </w:footnote>
  <w:footnote w:id="97">
    <w:p w14:paraId="7E8D19B2" w14:textId="77777777" w:rsidR="00C23BC1" w:rsidRPr="009D78B5" w:rsidRDefault="00C23BC1" w:rsidP="00A84770">
      <w:pPr>
        <w:tabs>
          <w:tab w:val="left" w:pos="180"/>
          <w:tab w:val="left" w:pos="900"/>
          <w:tab w:val="left" w:pos="1080"/>
        </w:tabs>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Fonts w:ascii="Cambria" w:hAnsi="Cambria"/>
          <w:color w:val="000000"/>
          <w:sz w:val="16"/>
          <w:szCs w:val="16"/>
        </w:rPr>
        <w:t xml:space="preserve">I/A Court, </w:t>
      </w:r>
      <w:r w:rsidRPr="009D78B5">
        <w:rPr>
          <w:rFonts w:ascii="Cambria" w:hAnsi="Cambria"/>
          <w:bCs/>
          <w:i/>
          <w:color w:val="000000"/>
          <w:sz w:val="16"/>
          <w:szCs w:val="16"/>
        </w:rPr>
        <w:t>Case of the Dismissed Congressional Employees (</w:t>
      </w:r>
      <w:proofErr w:type="spellStart"/>
      <w:r w:rsidRPr="009D78B5">
        <w:rPr>
          <w:rFonts w:ascii="Cambria" w:hAnsi="Cambria"/>
          <w:bCs/>
          <w:i/>
          <w:color w:val="000000"/>
          <w:sz w:val="16"/>
          <w:szCs w:val="16"/>
        </w:rPr>
        <w:t>Aguado</w:t>
      </w:r>
      <w:proofErr w:type="spellEnd"/>
      <w:r w:rsidRPr="009D78B5">
        <w:rPr>
          <w:rFonts w:ascii="Cambria" w:hAnsi="Cambria"/>
          <w:bCs/>
          <w:i/>
          <w:color w:val="000000"/>
          <w:sz w:val="16"/>
          <w:szCs w:val="16"/>
        </w:rPr>
        <w:t xml:space="preserve"> Alfaro et al.) v. Peru</w:t>
      </w:r>
      <w:r w:rsidRPr="009D78B5">
        <w:rPr>
          <w:rFonts w:ascii="Cambria" w:hAnsi="Cambria"/>
          <w:bCs/>
          <w:color w:val="000000"/>
          <w:sz w:val="16"/>
          <w:szCs w:val="16"/>
        </w:rPr>
        <w:t xml:space="preserve">. Preliminary Objections, Merits, Reparations and Costs.  Judgment of November </w:t>
      </w:r>
      <w:r w:rsidRPr="009D78B5">
        <w:rPr>
          <w:rFonts w:ascii="Cambria" w:hAnsi="Cambria"/>
          <w:color w:val="000000"/>
          <w:sz w:val="16"/>
          <w:szCs w:val="16"/>
        </w:rPr>
        <w:t xml:space="preserve">24, 2006. Series C No. 158, paras. 125; I/A Court, </w:t>
      </w:r>
      <w:r w:rsidRPr="009D78B5">
        <w:rPr>
          <w:rFonts w:ascii="Cambria" w:hAnsi="Cambria"/>
          <w:i/>
          <w:color w:val="000000"/>
          <w:sz w:val="16"/>
          <w:szCs w:val="16"/>
        </w:rPr>
        <w:t xml:space="preserve">Case of Indigenous Community of </w:t>
      </w:r>
      <w:proofErr w:type="spellStart"/>
      <w:r w:rsidRPr="009D78B5">
        <w:rPr>
          <w:rFonts w:ascii="Cambria" w:hAnsi="Cambria"/>
          <w:bCs/>
          <w:i/>
          <w:color w:val="000000"/>
          <w:sz w:val="16"/>
          <w:szCs w:val="16"/>
        </w:rPr>
        <w:t>Yakye</w:t>
      </w:r>
      <w:proofErr w:type="spellEnd"/>
      <w:r w:rsidRPr="009D78B5">
        <w:rPr>
          <w:rFonts w:ascii="Cambria" w:hAnsi="Cambria"/>
          <w:bCs/>
          <w:i/>
          <w:color w:val="000000"/>
          <w:sz w:val="16"/>
          <w:szCs w:val="16"/>
        </w:rPr>
        <w:t xml:space="preserve"> </w:t>
      </w:r>
      <w:proofErr w:type="spellStart"/>
      <w:r w:rsidRPr="009D78B5">
        <w:rPr>
          <w:rFonts w:ascii="Cambria" w:hAnsi="Cambria"/>
          <w:bCs/>
          <w:i/>
          <w:color w:val="000000"/>
          <w:sz w:val="16"/>
          <w:szCs w:val="16"/>
        </w:rPr>
        <w:t>Axa</w:t>
      </w:r>
      <w:proofErr w:type="spellEnd"/>
      <w:r w:rsidRPr="009D78B5">
        <w:rPr>
          <w:rFonts w:ascii="Cambria" w:hAnsi="Cambria"/>
          <w:bCs/>
          <w:color w:val="000000"/>
          <w:sz w:val="16"/>
          <w:szCs w:val="16"/>
        </w:rPr>
        <w:t xml:space="preserve">. Judgment of June </w:t>
      </w:r>
      <w:r w:rsidRPr="009D78B5">
        <w:rPr>
          <w:rFonts w:ascii="Cambria" w:hAnsi="Cambria"/>
          <w:color w:val="000000"/>
          <w:sz w:val="16"/>
          <w:szCs w:val="16"/>
        </w:rPr>
        <w:t>17, 2005. Series C No. 125, para</w:t>
      </w:r>
      <w:r w:rsidRPr="009D78B5">
        <w:rPr>
          <w:rFonts w:ascii="Cambria" w:hAnsi="Cambria"/>
          <w:sz w:val="16"/>
          <w:szCs w:val="16"/>
        </w:rPr>
        <w:t xml:space="preserve">.  61; I/A Court, </w:t>
      </w:r>
      <w:r w:rsidRPr="009D78B5">
        <w:rPr>
          <w:rFonts w:ascii="Cambria" w:hAnsi="Cambria"/>
          <w:bCs/>
          <w:i/>
          <w:color w:val="000000"/>
          <w:sz w:val="16"/>
          <w:szCs w:val="16"/>
        </w:rPr>
        <w:t>Case of the "Five Pensioners."</w:t>
      </w:r>
      <w:r w:rsidRPr="009D78B5">
        <w:rPr>
          <w:rFonts w:ascii="Cambria" w:hAnsi="Cambria"/>
          <w:bCs/>
          <w:color w:val="000000"/>
          <w:sz w:val="16"/>
          <w:szCs w:val="16"/>
        </w:rPr>
        <w:t xml:space="preserve">  Judgment of February </w:t>
      </w:r>
      <w:r w:rsidRPr="009D78B5">
        <w:rPr>
          <w:rFonts w:ascii="Cambria" w:hAnsi="Cambria"/>
          <w:color w:val="000000"/>
          <w:sz w:val="16"/>
          <w:szCs w:val="16"/>
        </w:rPr>
        <w:t>28, 2003. Series C No. 98</w:t>
      </w:r>
      <w:r w:rsidRPr="009D78B5">
        <w:rPr>
          <w:rFonts w:ascii="Cambria" w:hAnsi="Cambria"/>
          <w:sz w:val="16"/>
          <w:szCs w:val="16"/>
        </w:rPr>
        <w:t>, para. 136.</w:t>
      </w:r>
    </w:p>
  </w:footnote>
  <w:footnote w:id="98">
    <w:p w14:paraId="061FB6A2" w14:textId="77777777"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Fonts w:ascii="Cambria" w:hAnsi="Cambria"/>
          <w:sz w:val="16"/>
          <w:szCs w:val="16"/>
        </w:rPr>
        <w:t xml:space="preserve"> IACHR, Report No. 75/15, Case 12.923. </w:t>
      </w:r>
      <w:proofErr w:type="spellStart"/>
      <w:r w:rsidRPr="009D78B5">
        <w:rPr>
          <w:rFonts w:ascii="Cambria" w:hAnsi="Cambria"/>
          <w:sz w:val="16"/>
          <w:szCs w:val="16"/>
          <w:lang w:val="es-ES"/>
        </w:rPr>
        <w:t>Merits</w:t>
      </w:r>
      <w:proofErr w:type="spellEnd"/>
      <w:r w:rsidRPr="009D78B5">
        <w:rPr>
          <w:rFonts w:ascii="Cambria" w:hAnsi="Cambria"/>
          <w:sz w:val="16"/>
          <w:szCs w:val="16"/>
          <w:lang w:val="es-ES"/>
        </w:rPr>
        <w:t xml:space="preserve">. Rocío San Miguel Sosa </w:t>
      </w:r>
      <w:r w:rsidRPr="009D78B5">
        <w:rPr>
          <w:rFonts w:ascii="Cambria" w:hAnsi="Cambria"/>
          <w:i/>
          <w:sz w:val="16"/>
          <w:szCs w:val="16"/>
          <w:lang w:val="es-ES"/>
        </w:rPr>
        <w:t>et al</w:t>
      </w:r>
      <w:r w:rsidRPr="009D78B5">
        <w:rPr>
          <w:rFonts w:ascii="Cambria" w:hAnsi="Cambria"/>
          <w:sz w:val="16"/>
          <w:szCs w:val="16"/>
          <w:lang w:val="es-ES"/>
        </w:rPr>
        <w:t xml:space="preserve">. </w:t>
      </w:r>
      <w:r w:rsidRPr="009D78B5">
        <w:rPr>
          <w:rFonts w:ascii="Cambria" w:hAnsi="Cambria"/>
          <w:sz w:val="16"/>
          <w:szCs w:val="16"/>
        </w:rPr>
        <w:t xml:space="preserve">Venezuela. October 28, 2015, para.200; I/A Court of H.R., </w:t>
      </w:r>
      <w:r w:rsidRPr="009D78B5">
        <w:rPr>
          <w:rFonts w:ascii="Cambria" w:hAnsi="Cambria"/>
          <w:i/>
          <w:sz w:val="16"/>
          <w:szCs w:val="16"/>
        </w:rPr>
        <w:t xml:space="preserve">Case of </w:t>
      </w:r>
      <w:proofErr w:type="spellStart"/>
      <w:r w:rsidRPr="009D78B5">
        <w:rPr>
          <w:rFonts w:ascii="Cambria" w:hAnsi="Cambria"/>
          <w:i/>
          <w:sz w:val="16"/>
          <w:szCs w:val="16"/>
        </w:rPr>
        <w:t>Kawas</w:t>
      </w:r>
      <w:proofErr w:type="spellEnd"/>
      <w:r w:rsidRPr="009D78B5">
        <w:rPr>
          <w:rFonts w:ascii="Cambria" w:hAnsi="Cambria"/>
          <w:i/>
          <w:sz w:val="16"/>
          <w:szCs w:val="16"/>
        </w:rPr>
        <w:t xml:space="preserve"> </w:t>
      </w:r>
      <w:proofErr w:type="spellStart"/>
      <w:r w:rsidRPr="009D78B5">
        <w:rPr>
          <w:rFonts w:ascii="Cambria" w:hAnsi="Cambria"/>
          <w:i/>
          <w:sz w:val="16"/>
          <w:szCs w:val="16"/>
        </w:rPr>
        <w:t>Fernández</w:t>
      </w:r>
      <w:proofErr w:type="spellEnd"/>
      <w:r w:rsidRPr="009D78B5">
        <w:rPr>
          <w:rFonts w:ascii="Cambria" w:hAnsi="Cambria"/>
          <w:i/>
          <w:sz w:val="16"/>
          <w:szCs w:val="16"/>
        </w:rPr>
        <w:t xml:space="preserve"> v. Honduras</w:t>
      </w:r>
      <w:r w:rsidRPr="009D78B5">
        <w:rPr>
          <w:rFonts w:ascii="Cambria" w:hAnsi="Cambria"/>
          <w:sz w:val="16"/>
          <w:szCs w:val="16"/>
        </w:rPr>
        <w:t>, Merits, Reparations and Costs.  Judgment of April 3, 2009, Series C No. 196, para. 112.</w:t>
      </w:r>
    </w:p>
  </w:footnote>
  <w:footnote w:id="99">
    <w:p w14:paraId="09AE06CC" w14:textId="77777777"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Fonts w:ascii="Cambria" w:hAnsi="Cambria"/>
          <w:sz w:val="16"/>
          <w:szCs w:val="16"/>
        </w:rPr>
        <w:t xml:space="preserve"> See, for example, State Council, Contentious Administrative Chamber, Decision on the annulment request in the case of Piedad </w:t>
      </w:r>
      <w:proofErr w:type="spellStart"/>
      <w:r w:rsidRPr="009D78B5">
        <w:rPr>
          <w:rFonts w:ascii="Cambria" w:hAnsi="Cambria"/>
          <w:sz w:val="16"/>
          <w:szCs w:val="16"/>
        </w:rPr>
        <w:t>Esneda</w:t>
      </w:r>
      <w:proofErr w:type="spellEnd"/>
      <w:r w:rsidRPr="009D78B5">
        <w:rPr>
          <w:rFonts w:ascii="Cambria" w:hAnsi="Cambria"/>
          <w:sz w:val="16"/>
          <w:szCs w:val="16"/>
        </w:rPr>
        <w:t xml:space="preserve"> Córdoba Ruiz, August 9, 2016, p.19; State Council, Contentious Administrative Chamber, Sub-section A, Decision on the annulment request in the case of Fabio Alonso Salazar Jaramillo, March 26, 2014.  </w:t>
      </w:r>
    </w:p>
  </w:footnote>
  <w:footnote w:id="100">
    <w:p w14:paraId="74477E72" w14:textId="77777777"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Fonts w:ascii="Cambria" w:hAnsi="Cambria"/>
          <w:sz w:val="16"/>
          <w:szCs w:val="16"/>
        </w:rPr>
        <w:t xml:space="preserve"> Article 24 of the American Convention states: All persons are equal before the law. Consequently, they are entitled, without discrimination, to equal protection of the law.</w:t>
      </w:r>
    </w:p>
  </w:footnote>
  <w:footnote w:id="101">
    <w:p w14:paraId="75CAE069" w14:textId="77777777"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Fonts w:ascii="Cambria" w:hAnsi="Cambria"/>
          <w:sz w:val="16"/>
          <w:szCs w:val="16"/>
        </w:rPr>
        <w:t xml:space="preserve"> Article 25 of the American Convention reads in the relevant part: 1. Everyone has the right to simple and prompt recourse, or any other effective recourse, to a competent court or tribunal for protection against acts that violate his fundamental rights recognized by the constitution or laws of the state concerned or by this Convention, even though such violation may have been committed by persons acting in the course of their official duties.</w:t>
      </w:r>
    </w:p>
  </w:footnote>
  <w:footnote w:id="102">
    <w:p w14:paraId="031005DF" w14:textId="77777777"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Fonts w:ascii="Cambria" w:hAnsi="Cambria"/>
          <w:sz w:val="16"/>
          <w:szCs w:val="16"/>
        </w:rPr>
        <w:t xml:space="preserve"> </w:t>
      </w:r>
      <w:r w:rsidRPr="009D78B5">
        <w:rPr>
          <w:rFonts w:ascii="Cambria" w:hAnsi="Cambria"/>
          <w:bCs/>
          <w:sz w:val="16"/>
          <w:szCs w:val="16"/>
        </w:rPr>
        <w:t>I/A Court H.R., Juridical Condition and Rights of the Undocumented Migrants. Advisory Opinion OC-18/03 of September 17, 2003. Series A No.18</w:t>
      </w:r>
      <w:r w:rsidRPr="009D78B5">
        <w:rPr>
          <w:rFonts w:ascii="Cambria" w:hAnsi="Cambria"/>
          <w:sz w:val="16"/>
          <w:szCs w:val="16"/>
        </w:rPr>
        <w:t>, para. 173 (5).</w:t>
      </w:r>
    </w:p>
  </w:footnote>
  <w:footnote w:id="103">
    <w:p w14:paraId="18BDFAE1" w14:textId="77777777" w:rsidR="00C23BC1" w:rsidRPr="009D78B5" w:rsidRDefault="00C23BC1" w:rsidP="00A84770">
      <w:pPr>
        <w:pStyle w:val="Textonotapie"/>
        <w:tabs>
          <w:tab w:val="left" w:pos="567"/>
        </w:tabs>
        <w:spacing w:after="120"/>
        <w:ind w:firstLine="720"/>
        <w:jc w:val="both"/>
        <w:rPr>
          <w:rFonts w:ascii="Cambria" w:hAnsi="Cambria" w:cs="Arial"/>
          <w:iCs/>
          <w:sz w:val="16"/>
          <w:szCs w:val="16"/>
        </w:rPr>
      </w:pPr>
      <w:r w:rsidRPr="009D78B5">
        <w:rPr>
          <w:rStyle w:val="Refdenotaalpie"/>
          <w:rFonts w:ascii="Cambria" w:hAnsi="Cambria"/>
          <w:sz w:val="16"/>
          <w:szCs w:val="16"/>
        </w:rPr>
        <w:footnoteRef/>
      </w:r>
      <w:r w:rsidRPr="009D78B5">
        <w:rPr>
          <w:rFonts w:ascii="Cambria" w:hAnsi="Cambria"/>
          <w:sz w:val="16"/>
          <w:szCs w:val="16"/>
        </w:rPr>
        <w:t xml:space="preserve"> </w:t>
      </w:r>
      <w:proofErr w:type="spellStart"/>
      <w:r w:rsidRPr="009D78B5">
        <w:rPr>
          <w:rFonts w:ascii="Cambria" w:hAnsi="Cambria"/>
          <w:sz w:val="16"/>
          <w:szCs w:val="16"/>
        </w:rPr>
        <w:t>Cfr</w:t>
      </w:r>
      <w:proofErr w:type="spellEnd"/>
      <w:r w:rsidRPr="009D78B5">
        <w:rPr>
          <w:rFonts w:ascii="Cambria" w:hAnsi="Cambria"/>
          <w:sz w:val="16"/>
          <w:szCs w:val="16"/>
        </w:rPr>
        <w:t xml:space="preserve">. </w:t>
      </w:r>
      <w:r w:rsidRPr="009D78B5">
        <w:rPr>
          <w:rFonts w:ascii="Cambria" w:hAnsi="Cambria"/>
          <w:bCs/>
          <w:sz w:val="16"/>
          <w:szCs w:val="16"/>
        </w:rPr>
        <w:t>I/A Court H.R., Juridical Condition and Rights of the Undocumented Migrants. Advisory Opinion OC-18/03 of September 17, 2003. Series A No.18</w:t>
      </w:r>
      <w:r w:rsidRPr="009D78B5">
        <w:rPr>
          <w:rFonts w:ascii="Cambria" w:hAnsi="Cambria"/>
          <w:sz w:val="16"/>
          <w:szCs w:val="16"/>
        </w:rPr>
        <w:t xml:space="preserve">, para. 101 and </w:t>
      </w:r>
      <w:r w:rsidRPr="009D78B5">
        <w:rPr>
          <w:rFonts w:ascii="Cambria" w:hAnsi="Cambria"/>
          <w:i/>
          <w:sz w:val="16"/>
          <w:szCs w:val="16"/>
        </w:rPr>
        <w:t xml:space="preserve">Case of </w:t>
      </w:r>
      <w:r w:rsidRPr="009D78B5">
        <w:rPr>
          <w:rStyle w:val="Textoennegrita"/>
          <w:rFonts w:ascii="Cambria" w:hAnsi="Cambria"/>
          <w:b w:val="0"/>
          <w:i/>
          <w:sz w:val="16"/>
          <w:szCs w:val="16"/>
          <w:shd w:val="clear" w:color="auto" w:fill="FFFFFF"/>
        </w:rPr>
        <w:t xml:space="preserve">Espinoza </w:t>
      </w:r>
      <w:proofErr w:type="spellStart"/>
      <w:r w:rsidRPr="009D78B5">
        <w:rPr>
          <w:rStyle w:val="Textoennegrita"/>
          <w:rFonts w:ascii="Cambria" w:hAnsi="Cambria"/>
          <w:b w:val="0"/>
          <w:i/>
          <w:sz w:val="16"/>
          <w:szCs w:val="16"/>
          <w:shd w:val="clear" w:color="auto" w:fill="FFFFFF"/>
        </w:rPr>
        <w:t>Gonzáles</w:t>
      </w:r>
      <w:proofErr w:type="spellEnd"/>
      <w:r w:rsidRPr="009D78B5">
        <w:rPr>
          <w:rStyle w:val="Textoennegrita"/>
          <w:rFonts w:ascii="Cambria" w:hAnsi="Cambria"/>
          <w:b w:val="0"/>
          <w:i/>
          <w:sz w:val="16"/>
          <w:szCs w:val="16"/>
          <w:shd w:val="clear" w:color="auto" w:fill="FFFFFF"/>
        </w:rPr>
        <w:t xml:space="preserve"> v. Peru</w:t>
      </w:r>
      <w:r w:rsidRPr="009D78B5">
        <w:rPr>
          <w:rStyle w:val="Textoennegrita"/>
          <w:rFonts w:ascii="Cambria" w:hAnsi="Cambria"/>
          <w:b w:val="0"/>
          <w:sz w:val="16"/>
          <w:szCs w:val="16"/>
          <w:shd w:val="clear" w:color="auto" w:fill="FFFFFF"/>
        </w:rPr>
        <w:t>. Preliminary Objections, para. 216.</w:t>
      </w:r>
    </w:p>
  </w:footnote>
  <w:footnote w:id="104">
    <w:p w14:paraId="4B4E4C6D" w14:textId="77777777" w:rsidR="00C23BC1" w:rsidRPr="009D78B5" w:rsidRDefault="00C23BC1" w:rsidP="00A84770">
      <w:pPr>
        <w:pStyle w:val="Textonotapie"/>
        <w:tabs>
          <w:tab w:val="left" w:pos="360"/>
        </w:tabs>
        <w:spacing w:after="120"/>
        <w:ind w:firstLine="720"/>
        <w:jc w:val="both"/>
        <w:rPr>
          <w:rFonts w:ascii="Cambria" w:hAnsi="Cambria"/>
          <w:sz w:val="16"/>
          <w:szCs w:val="16"/>
        </w:rPr>
      </w:pPr>
      <w:r w:rsidRPr="009D78B5">
        <w:rPr>
          <w:rFonts w:ascii="Cambria" w:hAnsi="Cambria"/>
          <w:sz w:val="16"/>
          <w:szCs w:val="16"/>
        </w:rPr>
        <w:t xml:space="preserve"> </w:t>
      </w:r>
      <w:r w:rsidRPr="009D78B5">
        <w:rPr>
          <w:rStyle w:val="Refdenotaalpie"/>
          <w:rFonts w:ascii="Cambria" w:hAnsi="Cambria"/>
          <w:sz w:val="16"/>
          <w:szCs w:val="16"/>
        </w:rPr>
        <w:footnoteRef/>
      </w:r>
      <w:r w:rsidRPr="009D78B5">
        <w:rPr>
          <w:rFonts w:ascii="Cambria" w:hAnsi="Cambria"/>
          <w:sz w:val="16"/>
          <w:szCs w:val="16"/>
        </w:rPr>
        <w:t xml:space="preserve"> IACHR, Claim before the Inter-American Court of Human Rights in the Case of Ana </w:t>
      </w:r>
      <w:proofErr w:type="spellStart"/>
      <w:r w:rsidRPr="009D78B5">
        <w:rPr>
          <w:rFonts w:ascii="Cambria" w:hAnsi="Cambria"/>
          <w:sz w:val="16"/>
          <w:szCs w:val="16"/>
        </w:rPr>
        <w:t>María</w:t>
      </w:r>
      <w:proofErr w:type="spellEnd"/>
      <w:r w:rsidRPr="009D78B5">
        <w:rPr>
          <w:rFonts w:ascii="Cambria" w:hAnsi="Cambria"/>
          <w:sz w:val="16"/>
          <w:szCs w:val="16"/>
        </w:rPr>
        <w:t xml:space="preserve"> Ruggeri Cova, </w:t>
      </w:r>
      <w:proofErr w:type="spellStart"/>
      <w:r w:rsidRPr="009D78B5">
        <w:rPr>
          <w:rFonts w:ascii="Cambria" w:hAnsi="Cambria"/>
          <w:sz w:val="16"/>
          <w:szCs w:val="16"/>
        </w:rPr>
        <w:t>Perkings</w:t>
      </w:r>
      <w:proofErr w:type="spellEnd"/>
      <w:r w:rsidRPr="009D78B5">
        <w:rPr>
          <w:rFonts w:ascii="Cambria" w:hAnsi="Cambria"/>
          <w:sz w:val="16"/>
          <w:szCs w:val="16"/>
        </w:rPr>
        <w:t xml:space="preserve"> Rocha Contreras and Juan Carlos </w:t>
      </w:r>
      <w:proofErr w:type="spellStart"/>
      <w:r w:rsidRPr="009D78B5">
        <w:rPr>
          <w:rFonts w:ascii="Cambria" w:hAnsi="Cambria"/>
          <w:sz w:val="16"/>
          <w:szCs w:val="16"/>
        </w:rPr>
        <w:t>Apitz</w:t>
      </w:r>
      <w:proofErr w:type="spellEnd"/>
      <w:r w:rsidRPr="009D78B5">
        <w:rPr>
          <w:rFonts w:ascii="Cambria" w:hAnsi="Cambria"/>
          <w:sz w:val="16"/>
          <w:szCs w:val="16"/>
        </w:rPr>
        <w:t xml:space="preserve"> (“First Court of Administrative Disputes”) (Case12.489) v. Venezuela, November 29, 2006, para. 124.  </w:t>
      </w:r>
    </w:p>
  </w:footnote>
  <w:footnote w:id="105">
    <w:p w14:paraId="15D6D568" w14:textId="77777777"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Fonts w:ascii="Cambria" w:hAnsi="Cambria"/>
          <w:sz w:val="16"/>
          <w:szCs w:val="16"/>
        </w:rPr>
        <w:t xml:space="preserve"> See, for example, IACHR, Report No. 75/15, Case 12.923. Merits. </w:t>
      </w:r>
      <w:proofErr w:type="spellStart"/>
      <w:r w:rsidRPr="009D78B5">
        <w:rPr>
          <w:rFonts w:ascii="Cambria" w:hAnsi="Cambria"/>
          <w:sz w:val="16"/>
          <w:szCs w:val="16"/>
        </w:rPr>
        <w:t>Rocío</w:t>
      </w:r>
      <w:proofErr w:type="spellEnd"/>
      <w:r w:rsidRPr="009D78B5">
        <w:rPr>
          <w:rFonts w:ascii="Cambria" w:hAnsi="Cambria"/>
          <w:sz w:val="16"/>
          <w:szCs w:val="16"/>
        </w:rPr>
        <w:t xml:space="preserve"> San Miguel Sosa </w:t>
      </w:r>
      <w:r w:rsidRPr="009D78B5">
        <w:rPr>
          <w:rFonts w:ascii="Cambria" w:hAnsi="Cambria"/>
          <w:i/>
          <w:sz w:val="16"/>
          <w:szCs w:val="16"/>
        </w:rPr>
        <w:t>et. al</w:t>
      </w:r>
      <w:r w:rsidRPr="009D78B5">
        <w:rPr>
          <w:rFonts w:ascii="Cambria" w:hAnsi="Cambria"/>
          <w:sz w:val="16"/>
          <w:szCs w:val="16"/>
        </w:rPr>
        <w:t xml:space="preserve">. Venezuela. October 28, 2015, paras. 148 and following; I/A Court H.R., </w:t>
      </w:r>
      <w:r w:rsidRPr="009D78B5">
        <w:rPr>
          <w:rFonts w:ascii="Cambria" w:hAnsi="Cambria"/>
          <w:i/>
          <w:sz w:val="16"/>
          <w:szCs w:val="16"/>
        </w:rPr>
        <w:t xml:space="preserve">Case of </w:t>
      </w:r>
      <w:proofErr w:type="spellStart"/>
      <w:r w:rsidRPr="009D78B5">
        <w:rPr>
          <w:rFonts w:ascii="Cambria" w:hAnsi="Cambria"/>
          <w:i/>
          <w:sz w:val="16"/>
          <w:szCs w:val="16"/>
        </w:rPr>
        <w:t>Granier</w:t>
      </w:r>
      <w:proofErr w:type="spellEnd"/>
      <w:r w:rsidRPr="009D78B5">
        <w:rPr>
          <w:rFonts w:ascii="Cambria" w:hAnsi="Cambria"/>
          <w:i/>
          <w:sz w:val="16"/>
          <w:szCs w:val="16"/>
        </w:rPr>
        <w:t xml:space="preserve"> et al. (Radio Caracas </w:t>
      </w:r>
      <w:proofErr w:type="spellStart"/>
      <w:r w:rsidRPr="009D78B5">
        <w:rPr>
          <w:rFonts w:ascii="Cambria" w:hAnsi="Cambria"/>
          <w:i/>
          <w:sz w:val="16"/>
          <w:szCs w:val="16"/>
        </w:rPr>
        <w:t>Televisión</w:t>
      </w:r>
      <w:proofErr w:type="spellEnd"/>
      <w:r w:rsidRPr="009D78B5">
        <w:rPr>
          <w:rFonts w:ascii="Cambria" w:hAnsi="Cambria"/>
          <w:i/>
          <w:sz w:val="16"/>
          <w:szCs w:val="16"/>
        </w:rPr>
        <w:t>) v. Venezuela</w:t>
      </w:r>
      <w:r w:rsidRPr="009D78B5">
        <w:rPr>
          <w:rFonts w:ascii="Cambria" w:hAnsi="Cambria"/>
          <w:sz w:val="16"/>
          <w:szCs w:val="16"/>
        </w:rPr>
        <w:t>. Preliminary Objections, Merits, Reparations and Costs.  Judgment of June 22, 2015. Series C No. 293.</w:t>
      </w:r>
    </w:p>
  </w:footnote>
  <w:footnote w:id="106">
    <w:p w14:paraId="6DC5A828" w14:textId="77777777" w:rsidR="00C23BC1" w:rsidRPr="009D78B5" w:rsidRDefault="00C23BC1" w:rsidP="00A84770">
      <w:pPr>
        <w:pStyle w:val="Textonotapie"/>
        <w:spacing w:after="120"/>
        <w:ind w:firstLine="720"/>
        <w:jc w:val="both"/>
        <w:rPr>
          <w:rFonts w:ascii="Cambria" w:hAnsi="Cambria"/>
          <w:sz w:val="16"/>
          <w:szCs w:val="16"/>
        </w:rPr>
      </w:pPr>
      <w:r w:rsidRPr="009D78B5">
        <w:rPr>
          <w:rStyle w:val="Refdenotaalpie"/>
          <w:rFonts w:ascii="Cambria" w:hAnsi="Cambria"/>
          <w:sz w:val="16"/>
          <w:szCs w:val="16"/>
        </w:rPr>
        <w:footnoteRef/>
      </w:r>
      <w:r w:rsidRPr="009D78B5">
        <w:rPr>
          <w:rFonts w:ascii="Cambria" w:hAnsi="Cambria"/>
          <w:sz w:val="16"/>
          <w:szCs w:val="16"/>
        </w:rPr>
        <w:t xml:space="preserve"> See </w:t>
      </w:r>
      <w:hyperlink r:id="rId22" w:history="1">
        <w:r w:rsidRPr="009D78B5">
          <w:rPr>
            <w:rStyle w:val="Hipervnculo"/>
            <w:rFonts w:ascii="Cambria" w:hAnsi="Cambria"/>
            <w:sz w:val="16"/>
            <w:szCs w:val="16"/>
          </w:rPr>
          <w:t xml:space="preserve">expert witness statement by Roberto Saba at the public hearing in the </w:t>
        </w:r>
        <w:r w:rsidRPr="009D78B5">
          <w:rPr>
            <w:rStyle w:val="Hipervnculo"/>
            <w:rFonts w:ascii="Cambria" w:hAnsi="Cambria"/>
            <w:i/>
            <w:sz w:val="16"/>
            <w:szCs w:val="16"/>
          </w:rPr>
          <w:t xml:space="preserve">Case of </w:t>
        </w:r>
        <w:proofErr w:type="spellStart"/>
        <w:r w:rsidRPr="009D78B5">
          <w:rPr>
            <w:rStyle w:val="Hipervnculo"/>
            <w:rFonts w:ascii="Cambria" w:hAnsi="Cambria"/>
            <w:i/>
            <w:sz w:val="16"/>
            <w:szCs w:val="16"/>
          </w:rPr>
          <w:t>Rocío</w:t>
        </w:r>
        <w:proofErr w:type="spellEnd"/>
        <w:r w:rsidRPr="009D78B5">
          <w:rPr>
            <w:rStyle w:val="Hipervnculo"/>
            <w:rFonts w:ascii="Cambria" w:hAnsi="Cambria"/>
            <w:i/>
            <w:sz w:val="16"/>
            <w:szCs w:val="16"/>
          </w:rPr>
          <w:t xml:space="preserve"> San Miguel et al. v. Venezuela</w:t>
        </w:r>
        <w:r w:rsidRPr="009D78B5">
          <w:rPr>
            <w:rStyle w:val="Hipervnculo"/>
            <w:rFonts w:ascii="Cambria" w:hAnsi="Cambria"/>
            <w:sz w:val="16"/>
            <w:szCs w:val="16"/>
          </w:rPr>
          <w:t xml:space="preserve"> before the Inter-American Court of Human Rights.</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D268F7" w14:textId="77777777" w:rsidR="00C23BC1" w:rsidRDefault="00C23BC1" w:rsidP="00C23BC1">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14:paraId="38117C23" w14:textId="77777777" w:rsidR="00C23BC1" w:rsidRDefault="00C23BC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BF98F9" w14:textId="11A584E4" w:rsidR="00C23BC1" w:rsidRDefault="00C23BC1" w:rsidP="00C23BC1">
    <w:pPr>
      <w:pStyle w:val="Encabezado"/>
      <w:tabs>
        <w:tab w:val="clear" w:pos="4320"/>
        <w:tab w:val="clear" w:pos="8640"/>
      </w:tabs>
      <w:jc w:val="center"/>
      <w:rPr>
        <w:sz w:val="22"/>
        <w:szCs w:val="22"/>
      </w:rPr>
    </w:pPr>
  </w:p>
  <w:p w14:paraId="675C4752" w14:textId="15E7E6D6" w:rsidR="00C23BC1" w:rsidRPr="00EC7D62" w:rsidRDefault="00C23BC1" w:rsidP="00C23BC1">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090328C"/>
    <w:lvl w:ilvl="0">
      <w:start w:val="1"/>
      <w:numFmt w:val="bullet"/>
      <w:pStyle w:val="Sinespaciado"/>
      <w:lvlText w:val=""/>
      <w:lvlJc w:val="left"/>
      <w:pPr>
        <w:tabs>
          <w:tab w:val="num" w:pos="0"/>
        </w:tabs>
      </w:pPr>
      <w:rPr>
        <w:rFonts w:ascii="Symbol" w:hAnsi="Symbol" w:hint="default"/>
      </w:rPr>
    </w:lvl>
    <w:lvl w:ilvl="1">
      <w:start w:val="1"/>
      <w:numFmt w:val="bullet"/>
      <w:pStyle w:val="LightShading1"/>
      <w:lvlText w:val=""/>
      <w:lvlJc w:val="left"/>
      <w:pPr>
        <w:tabs>
          <w:tab w:val="num" w:pos="720"/>
        </w:tabs>
        <w:ind w:left="1080" w:hanging="360"/>
      </w:pPr>
      <w:rPr>
        <w:rFonts w:ascii="Symbol" w:hAnsi="Symbol" w:hint="default"/>
      </w:rPr>
    </w:lvl>
    <w:lvl w:ilvl="2">
      <w:start w:val="1"/>
      <w:numFmt w:val="bullet"/>
      <w:pStyle w:val="LightList1"/>
      <w:lvlText w:val="o"/>
      <w:lvlJc w:val="left"/>
      <w:pPr>
        <w:tabs>
          <w:tab w:val="num" w:pos="1440"/>
        </w:tabs>
        <w:ind w:left="1800" w:hanging="360"/>
      </w:pPr>
      <w:rPr>
        <w:rFonts w:ascii="Courier New" w:hAnsi="Courier New" w:hint="default"/>
      </w:rPr>
    </w:lvl>
    <w:lvl w:ilvl="3">
      <w:start w:val="1"/>
      <w:numFmt w:val="bullet"/>
      <w:pStyle w:val="LightGrid1"/>
      <w:lvlText w:val=""/>
      <w:lvlJc w:val="left"/>
      <w:pPr>
        <w:tabs>
          <w:tab w:val="num" w:pos="2160"/>
        </w:tabs>
        <w:ind w:left="2520" w:hanging="360"/>
      </w:pPr>
      <w:rPr>
        <w:rFonts w:ascii="Wingdings" w:hAnsi="Wingdings" w:hint="default"/>
      </w:rPr>
    </w:lvl>
    <w:lvl w:ilvl="4">
      <w:start w:val="1"/>
      <w:numFmt w:val="bullet"/>
      <w:pStyle w:val="MediumShading11"/>
      <w:lvlText w:val=""/>
      <w:lvlJc w:val="left"/>
      <w:pPr>
        <w:tabs>
          <w:tab w:val="num" w:pos="2880"/>
        </w:tabs>
        <w:ind w:left="3240" w:hanging="360"/>
      </w:pPr>
      <w:rPr>
        <w:rFonts w:ascii="Wingdings" w:hAnsi="Wingdings" w:hint="default"/>
      </w:rPr>
    </w:lvl>
    <w:lvl w:ilvl="5">
      <w:start w:val="1"/>
      <w:numFmt w:val="bullet"/>
      <w:pStyle w:val="MediumShading21"/>
      <w:lvlText w:val=""/>
      <w:lvlJc w:val="left"/>
      <w:pPr>
        <w:tabs>
          <w:tab w:val="num" w:pos="3600"/>
        </w:tabs>
        <w:ind w:left="3960" w:hanging="360"/>
      </w:pPr>
      <w:rPr>
        <w:rFonts w:ascii="Symbol" w:hAnsi="Symbol" w:hint="default"/>
      </w:rPr>
    </w:lvl>
    <w:lvl w:ilvl="6">
      <w:start w:val="1"/>
      <w:numFmt w:val="bullet"/>
      <w:pStyle w:val="MediumList11"/>
      <w:lvlText w:val="o"/>
      <w:lvlJc w:val="left"/>
      <w:pPr>
        <w:tabs>
          <w:tab w:val="num" w:pos="4320"/>
        </w:tabs>
        <w:ind w:left="4680" w:hanging="360"/>
      </w:pPr>
      <w:rPr>
        <w:rFonts w:ascii="Courier New" w:hAnsi="Courier New" w:hint="default"/>
      </w:rPr>
    </w:lvl>
    <w:lvl w:ilvl="7">
      <w:start w:val="1"/>
      <w:numFmt w:val="bullet"/>
      <w:pStyle w:val="MediumList21"/>
      <w:lvlText w:val=""/>
      <w:lvlJc w:val="left"/>
      <w:pPr>
        <w:tabs>
          <w:tab w:val="num" w:pos="5040"/>
        </w:tabs>
        <w:ind w:left="5400" w:hanging="360"/>
      </w:pPr>
      <w:rPr>
        <w:rFonts w:ascii="Wingdings" w:hAnsi="Wingdings" w:hint="default"/>
      </w:rPr>
    </w:lvl>
    <w:lvl w:ilvl="8">
      <w:start w:val="1"/>
      <w:numFmt w:val="bullet"/>
      <w:pStyle w:val="Estilo5"/>
      <w:lvlText w:val=""/>
      <w:lvlJc w:val="left"/>
      <w:pPr>
        <w:tabs>
          <w:tab w:val="num" w:pos="5760"/>
        </w:tabs>
        <w:ind w:left="6120" w:hanging="360"/>
      </w:pPr>
      <w:rPr>
        <w:rFonts w:ascii="Wingdings" w:hAnsi="Wingdings" w:hint="default"/>
      </w:rPr>
    </w:lvl>
  </w:abstractNum>
  <w:abstractNum w:abstractNumId="1">
    <w:nsid w:val="000614A8"/>
    <w:multiLevelType w:val="hybridMultilevel"/>
    <w:tmpl w:val="0B60E4F2"/>
    <w:lvl w:ilvl="0" w:tplc="CB3E82CC">
      <w:start w:val="1"/>
      <w:numFmt w:val="upperRoman"/>
      <w:lvlText w:val="%1."/>
      <w:lvlJc w:val="left"/>
      <w:pPr>
        <w:tabs>
          <w:tab w:val="num" w:pos="1440"/>
        </w:tabs>
        <w:ind w:left="1440" w:hanging="720"/>
      </w:pPr>
      <w:rPr>
        <w:rFonts w:cs="Times New Roman" w:hint="default"/>
        <w:b/>
      </w:rPr>
    </w:lvl>
    <w:lvl w:ilvl="1" w:tplc="CC381F78">
      <w:start w:val="1"/>
      <w:numFmt w:val="decimal"/>
      <w:lvlText w:val="%2."/>
      <w:lvlJc w:val="left"/>
      <w:pPr>
        <w:tabs>
          <w:tab w:val="num" w:pos="1800"/>
        </w:tabs>
        <w:ind w:left="1800" w:hanging="360"/>
      </w:pPr>
      <w:rPr>
        <w:rFonts w:cs="Times New Roman" w:hint="default"/>
        <w:b/>
        <w:color w:val="auto"/>
      </w:rPr>
    </w:lvl>
    <w:lvl w:ilvl="2" w:tplc="881EAA16">
      <w:start w:val="1"/>
      <w:numFmt w:val="lowerLetter"/>
      <w:lvlText w:val="%3)"/>
      <w:lvlJc w:val="left"/>
      <w:pPr>
        <w:tabs>
          <w:tab w:val="num" w:pos="2700"/>
        </w:tabs>
        <w:ind w:left="2700" w:hanging="360"/>
      </w:pPr>
      <w:rPr>
        <w:rFonts w:cs="Times New Roman" w:hint="default"/>
      </w:rPr>
    </w:lvl>
    <w:lvl w:ilvl="3" w:tplc="B87E3F4A">
      <w:start w:val="2"/>
      <w:numFmt w:val="upperLetter"/>
      <w:lvlText w:val="%4."/>
      <w:lvlJc w:val="left"/>
      <w:pPr>
        <w:tabs>
          <w:tab w:val="num" w:pos="3240"/>
        </w:tabs>
        <w:ind w:left="3240" w:hanging="360"/>
      </w:pPr>
      <w:rPr>
        <w:rFonts w:cs="Times New Roman" w:hint="default"/>
      </w:rPr>
    </w:lvl>
    <w:lvl w:ilvl="4" w:tplc="817A8DEA">
      <w:start w:val="5"/>
      <w:numFmt w:val="bullet"/>
      <w:lvlText w:val="-"/>
      <w:lvlJc w:val="left"/>
      <w:pPr>
        <w:ind w:left="3960" w:hanging="360"/>
      </w:pPr>
      <w:rPr>
        <w:rFonts w:ascii="Cambria" w:eastAsia="Arial Unicode MS" w:hAnsi="Cambria" w:cs="Times New Roman" w:hint="default"/>
      </w:rPr>
    </w:lvl>
    <w:lvl w:ilvl="5" w:tplc="4E58E810">
      <w:start w:val="2"/>
      <w:numFmt w:val="lowerLetter"/>
      <w:lvlText w:val="%6."/>
      <w:lvlJc w:val="left"/>
      <w:pPr>
        <w:ind w:left="4860" w:hanging="360"/>
      </w:pPr>
      <w:rPr>
        <w:rFonts w:hint="default"/>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nsid w:val="01B11CBB"/>
    <w:multiLevelType w:val="hybridMultilevel"/>
    <w:tmpl w:val="3670BC26"/>
    <w:lvl w:ilvl="0" w:tplc="CC381F78">
      <w:start w:val="1"/>
      <w:numFmt w:val="decimal"/>
      <w:lvlText w:val="%1."/>
      <w:lvlJc w:val="left"/>
      <w:pPr>
        <w:tabs>
          <w:tab w:val="num" w:pos="1800"/>
        </w:tabs>
        <w:ind w:left="1800" w:hanging="360"/>
      </w:pPr>
      <w:rPr>
        <w:rFonts w:cs="Times New Roman"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85776A"/>
    <w:multiLevelType w:val="hybridMultilevel"/>
    <w:tmpl w:val="079078F8"/>
    <w:lvl w:ilvl="0" w:tplc="4C5CDA4A">
      <w:start w:val="1"/>
      <w:numFmt w:val="decimal"/>
      <w:lvlText w:val="%1."/>
      <w:lvlJc w:val="left"/>
      <w:pPr>
        <w:tabs>
          <w:tab w:val="num" w:pos="1800"/>
        </w:tabs>
        <w:ind w:left="1800" w:hanging="360"/>
      </w:pPr>
      <w:rPr>
        <w:rFonts w:cs="Times New Roman" w:hint="default"/>
        <w:b/>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7">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8">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9">
    <w:nsid w:val="19255AE0"/>
    <w:multiLevelType w:val="hybridMultilevel"/>
    <w:tmpl w:val="3670BC26"/>
    <w:lvl w:ilvl="0" w:tplc="CC381F78">
      <w:start w:val="1"/>
      <w:numFmt w:val="decimal"/>
      <w:lvlText w:val="%1."/>
      <w:lvlJc w:val="left"/>
      <w:pPr>
        <w:tabs>
          <w:tab w:val="num" w:pos="1800"/>
        </w:tabs>
        <w:ind w:left="1800" w:hanging="360"/>
      </w:pPr>
      <w:rPr>
        <w:rFonts w:cs="Times New Roman"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1">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12">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3">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4">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5">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8">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2">
    <w:nsid w:val="2D430FE0"/>
    <w:multiLevelType w:val="hybridMultilevel"/>
    <w:tmpl w:val="B2307936"/>
    <w:lvl w:ilvl="0" w:tplc="6B228D06">
      <w:start w:val="1"/>
      <w:numFmt w:val="decimal"/>
      <w:lvlText w:val="%1."/>
      <w:lvlJc w:val="left"/>
      <w:pPr>
        <w:ind w:left="1260" w:hanging="360"/>
      </w:pPr>
      <w:rPr>
        <w:rFonts w:ascii="Cambria" w:hAnsi="Cambria" w:hint="default"/>
        <w:b w:val="0"/>
        <w:sz w:val="20"/>
        <w:szCs w:val="20"/>
        <w:lang w:val="es-C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nsid w:val="3009166F"/>
    <w:multiLevelType w:val="hybridMultilevel"/>
    <w:tmpl w:val="65969D4A"/>
    <w:lvl w:ilvl="0" w:tplc="DA0A750E">
      <w:start w:val="1"/>
      <w:numFmt w:val="upperLetter"/>
      <w:lvlText w:val="%1."/>
      <w:lvlJc w:val="left"/>
      <w:pPr>
        <w:ind w:left="1350" w:hanging="360"/>
      </w:pPr>
      <w:rPr>
        <w:rFonts w:hint="default"/>
        <w:b/>
      </w:r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5">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6">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7">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8">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9">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1">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32">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3">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nsid w:val="42DF19D7"/>
    <w:multiLevelType w:val="multilevel"/>
    <w:tmpl w:val="E7265BB0"/>
    <w:styleLink w:val="List51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nsid w:val="492723E7"/>
    <w:multiLevelType w:val="multilevel"/>
    <w:tmpl w:val="0CF8CC36"/>
    <w:styleLink w:val="List21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nsid w:val="4B5708FC"/>
    <w:multiLevelType w:val="hybridMultilevel"/>
    <w:tmpl w:val="CFB8827E"/>
    <w:lvl w:ilvl="0" w:tplc="EF4E0B9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42">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3">
    <w:nsid w:val="4D1A11BF"/>
    <w:multiLevelType w:val="hybridMultilevel"/>
    <w:tmpl w:val="DEC84D58"/>
    <w:lvl w:ilvl="0" w:tplc="16B68ACC">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5">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6">
    <w:nsid w:val="5087187A"/>
    <w:multiLevelType w:val="multilevel"/>
    <w:tmpl w:val="D5303458"/>
    <w:styleLink w:val="List21"/>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7">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8">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9">
    <w:nsid w:val="5BF62682"/>
    <w:multiLevelType w:val="multilevel"/>
    <w:tmpl w:val="44B09150"/>
    <w:styleLink w:val="List5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1">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2">
    <w:nsid w:val="66A101BB"/>
    <w:multiLevelType w:val="hybridMultilevel"/>
    <w:tmpl w:val="295C3AF2"/>
    <w:lvl w:ilvl="0" w:tplc="CB3E82CC">
      <w:start w:val="1"/>
      <w:numFmt w:val="upperRoman"/>
      <w:lvlText w:val="%1."/>
      <w:lvlJc w:val="left"/>
      <w:pPr>
        <w:tabs>
          <w:tab w:val="num" w:pos="1440"/>
        </w:tabs>
        <w:ind w:left="1440" w:hanging="720"/>
      </w:pPr>
      <w:rPr>
        <w:rFonts w:cs="Times New Roman" w:hint="default"/>
        <w:b/>
      </w:rPr>
    </w:lvl>
    <w:lvl w:ilvl="1" w:tplc="CC381F78">
      <w:start w:val="1"/>
      <w:numFmt w:val="decimal"/>
      <w:lvlText w:val="%2."/>
      <w:lvlJc w:val="left"/>
      <w:pPr>
        <w:tabs>
          <w:tab w:val="num" w:pos="1800"/>
        </w:tabs>
        <w:ind w:left="1800" w:hanging="360"/>
      </w:pPr>
      <w:rPr>
        <w:rFonts w:cs="Times New Roman" w:hint="default"/>
        <w:b/>
        <w:color w:val="auto"/>
      </w:rPr>
    </w:lvl>
    <w:lvl w:ilvl="2" w:tplc="881EAA16">
      <w:start w:val="1"/>
      <w:numFmt w:val="lowerLetter"/>
      <w:lvlText w:val="%3)"/>
      <w:lvlJc w:val="left"/>
      <w:pPr>
        <w:tabs>
          <w:tab w:val="num" w:pos="2700"/>
        </w:tabs>
        <w:ind w:left="2700" w:hanging="360"/>
      </w:pPr>
      <w:rPr>
        <w:rFonts w:cs="Times New Roman" w:hint="default"/>
      </w:rPr>
    </w:lvl>
    <w:lvl w:ilvl="3" w:tplc="B87E3F4A">
      <w:start w:val="2"/>
      <w:numFmt w:val="upperLetter"/>
      <w:lvlText w:val="%4."/>
      <w:lvlJc w:val="left"/>
      <w:pPr>
        <w:tabs>
          <w:tab w:val="num" w:pos="3240"/>
        </w:tabs>
        <w:ind w:left="3240" w:hanging="360"/>
      </w:pPr>
      <w:rPr>
        <w:rFonts w:cs="Times New Roman" w:hint="default"/>
      </w:rPr>
    </w:lvl>
    <w:lvl w:ilvl="4" w:tplc="817A8DEA">
      <w:start w:val="5"/>
      <w:numFmt w:val="bullet"/>
      <w:lvlText w:val="-"/>
      <w:lvlJc w:val="left"/>
      <w:pPr>
        <w:ind w:left="3960" w:hanging="360"/>
      </w:pPr>
      <w:rPr>
        <w:rFonts w:ascii="Cambria" w:eastAsia="Arial Unicode MS" w:hAnsi="Cambria" w:cs="Times New Roman" w:hint="default"/>
      </w:rPr>
    </w:lvl>
    <w:lvl w:ilvl="5" w:tplc="4E58E810">
      <w:start w:val="2"/>
      <w:numFmt w:val="lowerLetter"/>
      <w:lvlText w:val="%6."/>
      <w:lvlJc w:val="left"/>
      <w:pPr>
        <w:ind w:left="4860" w:hanging="360"/>
      </w:pPr>
      <w:rPr>
        <w:rFonts w:hint="default"/>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3">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4">
    <w:nsid w:val="6B296103"/>
    <w:multiLevelType w:val="hybridMultilevel"/>
    <w:tmpl w:val="079078F8"/>
    <w:lvl w:ilvl="0" w:tplc="4C5CDA4A">
      <w:start w:val="1"/>
      <w:numFmt w:val="decimal"/>
      <w:lvlText w:val="%1."/>
      <w:lvlJc w:val="left"/>
      <w:pPr>
        <w:tabs>
          <w:tab w:val="num" w:pos="1800"/>
        </w:tabs>
        <w:ind w:left="1800" w:hanging="360"/>
      </w:pPr>
      <w:rPr>
        <w:rFonts w:cs="Times New Roman" w:hint="default"/>
        <w:b/>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DA34E07"/>
    <w:multiLevelType w:val="hybridMultilevel"/>
    <w:tmpl w:val="079078F8"/>
    <w:lvl w:ilvl="0" w:tplc="4C5CDA4A">
      <w:start w:val="1"/>
      <w:numFmt w:val="decimal"/>
      <w:lvlText w:val="%1."/>
      <w:lvlJc w:val="left"/>
      <w:pPr>
        <w:tabs>
          <w:tab w:val="num" w:pos="1800"/>
        </w:tabs>
        <w:ind w:left="1800" w:hanging="360"/>
      </w:pPr>
      <w:rPr>
        <w:rFonts w:cs="Times New Roman" w:hint="default"/>
        <w:b/>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7">
    <w:nsid w:val="745A711E"/>
    <w:multiLevelType w:val="multilevel"/>
    <w:tmpl w:val="ED88159C"/>
    <w:styleLink w:val="List41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nsid w:val="771B1881"/>
    <w:multiLevelType w:val="hybridMultilevel"/>
    <w:tmpl w:val="052CDC5E"/>
    <w:lvl w:ilvl="0" w:tplc="D92C12E8">
      <w:start w:val="1"/>
      <w:numFmt w:val="decimal"/>
      <w:lvlText w:val="%1."/>
      <w:lvlJc w:val="left"/>
      <w:pPr>
        <w:tabs>
          <w:tab w:val="num" w:pos="1860"/>
        </w:tabs>
        <w:ind w:left="186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8C26FCF"/>
    <w:multiLevelType w:val="multilevel"/>
    <w:tmpl w:val="2FCAD168"/>
    <w:styleLink w:val="List31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61">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2">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3">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4">
    <w:nsid w:val="7CE64D32"/>
    <w:multiLevelType w:val="hybridMultilevel"/>
    <w:tmpl w:val="9F8AF72C"/>
    <w:lvl w:ilvl="0" w:tplc="B09255D8">
      <w:start w:val="1"/>
      <w:numFmt w:val="decimal"/>
      <w:lvlText w:val="%1."/>
      <w:lvlJc w:val="left"/>
      <w:pPr>
        <w:tabs>
          <w:tab w:val="num" w:pos="0"/>
        </w:tabs>
      </w:pPr>
      <w:rPr>
        <w:rFonts w:ascii="Verdana" w:eastAsia="Times New Roman" w:hAnsi="Verdana" w:cs="Times New Roman" w:hint="default"/>
        <w:b w:val="0"/>
        <w:i w:val="0"/>
        <w:strike w:val="0"/>
        <w:color w:val="auto"/>
        <w:sz w:val="20"/>
      </w:rPr>
    </w:lvl>
    <w:lvl w:ilvl="1" w:tplc="3AAA13E2">
      <w:start w:val="1"/>
      <w:numFmt w:val="decimal"/>
      <w:lvlText w:val="%2."/>
      <w:lvlJc w:val="left"/>
      <w:pPr>
        <w:tabs>
          <w:tab w:val="num" w:pos="0"/>
        </w:tabs>
      </w:pPr>
      <w:rPr>
        <w:rFonts w:ascii="Verdana" w:eastAsia="Times New Roman" w:hAnsi="Verdana" w:cs="Times New Roman" w:hint="default"/>
        <w:b/>
        <w:i w:val="0"/>
        <w:strike w:val="0"/>
        <w:color w:val="auto"/>
        <w:sz w:val="20"/>
      </w:rPr>
    </w:lvl>
    <w:lvl w:ilvl="2" w:tplc="0409001B">
      <w:start w:val="1"/>
      <w:numFmt w:val="lowerRoman"/>
      <w:pStyle w:val="Estilo7"/>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5">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6">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7"/>
  </w:num>
  <w:num w:numId="2">
    <w:abstractNumId w:val="8"/>
  </w:num>
  <w:num w:numId="3">
    <w:abstractNumId w:val="60"/>
  </w:num>
  <w:num w:numId="4">
    <w:abstractNumId w:val="26"/>
  </w:num>
  <w:num w:numId="5">
    <w:abstractNumId w:val="51"/>
  </w:num>
  <w:num w:numId="6">
    <w:abstractNumId w:val="31"/>
  </w:num>
  <w:num w:numId="7">
    <w:abstractNumId w:val="10"/>
  </w:num>
  <w:num w:numId="8">
    <w:abstractNumId w:val="20"/>
  </w:num>
  <w:num w:numId="9">
    <w:abstractNumId w:val="47"/>
  </w:num>
  <w:num w:numId="10">
    <w:abstractNumId w:val="4"/>
  </w:num>
  <w:num w:numId="11">
    <w:abstractNumId w:val="41"/>
  </w:num>
  <w:num w:numId="12">
    <w:abstractNumId w:val="42"/>
  </w:num>
  <w:num w:numId="13">
    <w:abstractNumId w:val="48"/>
  </w:num>
  <w:num w:numId="14">
    <w:abstractNumId w:val="5"/>
  </w:num>
  <w:num w:numId="15">
    <w:abstractNumId w:val="6"/>
  </w:num>
  <w:num w:numId="16">
    <w:abstractNumId w:val="11"/>
  </w:num>
  <w:num w:numId="17">
    <w:abstractNumId w:val="12"/>
  </w:num>
  <w:num w:numId="18">
    <w:abstractNumId w:val="13"/>
  </w:num>
  <w:num w:numId="19">
    <w:abstractNumId w:val="14"/>
  </w:num>
  <w:num w:numId="20">
    <w:abstractNumId w:val="15"/>
  </w:num>
  <w:num w:numId="21">
    <w:abstractNumId w:val="16"/>
  </w:num>
  <w:num w:numId="22">
    <w:abstractNumId w:val="17"/>
  </w:num>
  <w:num w:numId="23">
    <w:abstractNumId w:val="18"/>
  </w:num>
  <w:num w:numId="24">
    <w:abstractNumId w:val="19"/>
  </w:num>
  <w:num w:numId="25">
    <w:abstractNumId w:val="21"/>
  </w:num>
  <w:num w:numId="26">
    <w:abstractNumId w:val="23"/>
  </w:num>
  <w:num w:numId="27">
    <w:abstractNumId w:val="27"/>
  </w:num>
  <w:num w:numId="28">
    <w:abstractNumId w:val="28"/>
  </w:num>
  <w:num w:numId="29">
    <w:abstractNumId w:val="29"/>
  </w:num>
  <w:num w:numId="30">
    <w:abstractNumId w:val="30"/>
  </w:num>
  <w:num w:numId="31">
    <w:abstractNumId w:val="32"/>
  </w:num>
  <w:num w:numId="32">
    <w:abstractNumId w:val="33"/>
  </w:num>
  <w:num w:numId="33">
    <w:abstractNumId w:val="34"/>
  </w:num>
  <w:num w:numId="34">
    <w:abstractNumId w:val="35"/>
  </w:num>
  <w:num w:numId="35">
    <w:abstractNumId w:val="36"/>
  </w:num>
  <w:num w:numId="36">
    <w:abstractNumId w:val="37"/>
  </w:num>
  <w:num w:numId="37">
    <w:abstractNumId w:val="38"/>
  </w:num>
  <w:num w:numId="38">
    <w:abstractNumId w:val="39"/>
  </w:num>
  <w:num w:numId="39">
    <w:abstractNumId w:val="44"/>
  </w:num>
  <w:num w:numId="40">
    <w:abstractNumId w:val="45"/>
  </w:num>
  <w:num w:numId="41">
    <w:abstractNumId w:val="50"/>
  </w:num>
  <w:num w:numId="42">
    <w:abstractNumId w:val="53"/>
  </w:num>
  <w:num w:numId="43">
    <w:abstractNumId w:val="56"/>
  </w:num>
  <w:num w:numId="44">
    <w:abstractNumId w:val="57"/>
  </w:num>
  <w:num w:numId="45">
    <w:abstractNumId w:val="59"/>
  </w:num>
  <w:num w:numId="46">
    <w:abstractNumId w:val="61"/>
  </w:num>
  <w:num w:numId="47">
    <w:abstractNumId w:val="62"/>
  </w:num>
  <w:num w:numId="48">
    <w:abstractNumId w:val="63"/>
  </w:num>
  <w:num w:numId="49">
    <w:abstractNumId w:val="65"/>
  </w:num>
  <w:num w:numId="50">
    <w:abstractNumId w:val="66"/>
  </w:num>
  <w:num w:numId="51">
    <w:abstractNumId w:val="25"/>
  </w:num>
  <w:num w:numId="52">
    <w:abstractNumId w:val="46"/>
  </w:num>
  <w:num w:numId="53">
    <w:abstractNumId w:val="49"/>
  </w:num>
  <w:num w:numId="54">
    <w:abstractNumId w:val="52"/>
  </w:num>
  <w:num w:numId="55">
    <w:abstractNumId w:val="0"/>
  </w:num>
  <w:num w:numId="56">
    <w:abstractNumId w:val="64"/>
  </w:num>
  <w:num w:numId="57">
    <w:abstractNumId w:val="1"/>
  </w:num>
  <w:num w:numId="58">
    <w:abstractNumId w:val="22"/>
  </w:num>
  <w:num w:numId="59">
    <w:abstractNumId w:val="43"/>
  </w:num>
  <w:num w:numId="60">
    <w:abstractNumId w:val="24"/>
  </w:num>
  <w:num w:numId="61">
    <w:abstractNumId w:val="54"/>
  </w:num>
  <w:num w:numId="62">
    <w:abstractNumId w:val="3"/>
  </w:num>
  <w:num w:numId="63">
    <w:abstractNumId w:val="9"/>
  </w:num>
  <w:num w:numId="64">
    <w:abstractNumId w:val="40"/>
  </w:num>
  <w:num w:numId="65">
    <w:abstractNumId w:val="2"/>
  </w:num>
  <w:num w:numId="66">
    <w:abstractNumId w:val="58"/>
  </w:num>
  <w:num w:numId="67">
    <w:abstractNumId w:val="55"/>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770"/>
    <w:rsid w:val="00023874"/>
    <w:rsid w:val="000829C4"/>
    <w:rsid w:val="0028545D"/>
    <w:rsid w:val="003E0BA5"/>
    <w:rsid w:val="005B6761"/>
    <w:rsid w:val="006F378E"/>
    <w:rsid w:val="00727274"/>
    <w:rsid w:val="0078711D"/>
    <w:rsid w:val="00834E40"/>
    <w:rsid w:val="008421A1"/>
    <w:rsid w:val="00876EB7"/>
    <w:rsid w:val="008B0175"/>
    <w:rsid w:val="009342BA"/>
    <w:rsid w:val="0096678D"/>
    <w:rsid w:val="009B088B"/>
    <w:rsid w:val="009D78B5"/>
    <w:rsid w:val="00A33870"/>
    <w:rsid w:val="00A84770"/>
    <w:rsid w:val="00B94F53"/>
    <w:rsid w:val="00C23BC1"/>
    <w:rsid w:val="00CF0140"/>
    <w:rsid w:val="00D91618"/>
    <w:rsid w:val="00DF6E12"/>
    <w:rsid w:val="00E43704"/>
    <w:rsid w:val="00E7438B"/>
    <w:rsid w:val="00E80100"/>
    <w:rsid w:val="00ED596C"/>
    <w:rsid w:val="00ED64E9"/>
    <w:rsid w:val="00F55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3581CF"/>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header" w:uiPriority="0"/>
    <w:lsdException w:name="caption" w:uiPriority="35" w:qFormat="1"/>
    <w:lsdException w:name="footnote reference" w:uiPriority="0" w:qFormat="1"/>
    <w:lsdException w:name="annotation reference" w:uiPriority="0"/>
    <w:lsdException w:name="page number" w:uiPriority="0"/>
    <w:lsdException w:name="List 2" w:uiPriority="0"/>
    <w:lsdException w:name="Lis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770"/>
    <w:rPr>
      <w:rFonts w:ascii="Times New Roman" w:eastAsia="Arial Unicode MS" w:hAnsi="Times New Roman" w:cs="Times New Roman"/>
    </w:rPr>
  </w:style>
  <w:style w:type="paragraph" w:styleId="Ttulo1">
    <w:name w:val="heading 1"/>
    <w:basedOn w:val="Normal"/>
    <w:next w:val="Normal"/>
    <w:link w:val="Ttulo1Car"/>
    <w:qFormat/>
    <w:rsid w:val="00A84770"/>
    <w:pPr>
      <w:keepNext/>
      <w:outlineLvl w:val="0"/>
    </w:pPr>
    <w:rPr>
      <w:rFonts w:ascii="Cambria" w:eastAsia="Times New Roman" w:hAnsi="Cambria"/>
      <w:b/>
      <w:sz w:val="20"/>
      <w:szCs w:val="20"/>
      <w:lang w:val="es-ES_tradnl"/>
    </w:rPr>
  </w:style>
  <w:style w:type="paragraph" w:styleId="Ttulo2">
    <w:name w:val="heading 2"/>
    <w:basedOn w:val="Normal"/>
    <w:next w:val="Normal"/>
    <w:link w:val="Ttulo2Car"/>
    <w:qFormat/>
    <w:rsid w:val="00A84770"/>
    <w:pPr>
      <w:keepNext/>
      <w:numPr>
        <w:ilvl w:val="2"/>
      </w:numPr>
      <w:ind w:firstLine="720"/>
      <w:jc w:val="both"/>
      <w:outlineLvl w:val="1"/>
    </w:pPr>
    <w:rPr>
      <w:rFonts w:ascii="Cambria" w:eastAsia="Times New Roman" w:hAnsi="Cambria"/>
      <w:b/>
      <w:sz w:val="20"/>
      <w:szCs w:val="20"/>
      <w:lang w:val="es-ES_tradnl"/>
    </w:rPr>
  </w:style>
  <w:style w:type="paragraph" w:styleId="Ttulo3">
    <w:name w:val="heading 3"/>
    <w:basedOn w:val="Normal"/>
    <w:next w:val="Normal"/>
    <w:link w:val="Ttulo3Car"/>
    <w:unhideWhenUsed/>
    <w:qFormat/>
    <w:rsid w:val="00A84770"/>
    <w:pPr>
      <w:keepNext/>
      <w:keepLines/>
      <w:spacing w:before="200"/>
      <w:outlineLvl w:val="2"/>
    </w:pPr>
    <w:rPr>
      <w:rFonts w:ascii="Cambria" w:eastAsia="MS Gothic" w:hAnsi="Cambria"/>
      <w:b/>
      <w:bCs/>
      <w:color w:val="4F81BD"/>
    </w:rPr>
  </w:style>
  <w:style w:type="paragraph" w:styleId="Ttulo4">
    <w:name w:val="heading 4"/>
    <w:basedOn w:val="Normal"/>
    <w:next w:val="Normal"/>
    <w:link w:val="Ttulo4Car"/>
    <w:qFormat/>
    <w:rsid w:val="00A84770"/>
    <w:pPr>
      <w:keepNext/>
      <w:spacing w:before="240" w:after="60"/>
      <w:outlineLvl w:val="3"/>
    </w:pPr>
    <w:rPr>
      <w:rFonts w:ascii="Arial" w:eastAsia="Times New Roman" w:hAnsi="Arial"/>
      <w:b/>
      <w:szCs w:val="20"/>
    </w:rPr>
  </w:style>
  <w:style w:type="paragraph" w:styleId="Ttulo5">
    <w:name w:val="heading 5"/>
    <w:basedOn w:val="Normal"/>
    <w:next w:val="Normal"/>
    <w:link w:val="Ttulo5Car"/>
    <w:qFormat/>
    <w:rsid w:val="00A84770"/>
    <w:pPr>
      <w:spacing w:before="240" w:after="60"/>
      <w:outlineLvl w:val="4"/>
    </w:pPr>
    <w:rPr>
      <w:rFonts w:eastAsia="Times New Roman"/>
      <w:sz w:val="22"/>
      <w:szCs w:val="20"/>
    </w:rPr>
  </w:style>
  <w:style w:type="paragraph" w:styleId="Ttulo6">
    <w:name w:val="heading 6"/>
    <w:basedOn w:val="Normal"/>
    <w:next w:val="Normal"/>
    <w:link w:val="Ttulo6Car"/>
    <w:uiPriority w:val="9"/>
    <w:qFormat/>
    <w:rsid w:val="00A84770"/>
    <w:pPr>
      <w:spacing w:before="240" w:after="60"/>
      <w:outlineLvl w:val="5"/>
    </w:pPr>
    <w:rPr>
      <w:rFonts w:eastAsia="Times New Roman"/>
      <w:i/>
      <w:sz w:val="22"/>
      <w:szCs w:val="20"/>
    </w:rPr>
  </w:style>
  <w:style w:type="paragraph" w:styleId="Ttulo7">
    <w:name w:val="heading 7"/>
    <w:basedOn w:val="Normal"/>
    <w:next w:val="Normal"/>
    <w:link w:val="Ttulo7Car"/>
    <w:qFormat/>
    <w:rsid w:val="00A84770"/>
    <w:pPr>
      <w:spacing w:before="240" w:after="60"/>
      <w:outlineLvl w:val="6"/>
    </w:pPr>
    <w:rPr>
      <w:rFonts w:ascii="Arial" w:eastAsia="Times New Roman" w:hAnsi="Arial"/>
      <w:sz w:val="20"/>
      <w:szCs w:val="20"/>
    </w:rPr>
  </w:style>
  <w:style w:type="paragraph" w:styleId="Ttulo8">
    <w:name w:val="heading 8"/>
    <w:basedOn w:val="Normal"/>
    <w:next w:val="Normal"/>
    <w:link w:val="Ttulo8Car"/>
    <w:qFormat/>
    <w:rsid w:val="00A84770"/>
    <w:pPr>
      <w:spacing w:before="240" w:after="60"/>
      <w:outlineLvl w:val="7"/>
    </w:pPr>
    <w:rPr>
      <w:rFonts w:ascii="Arial" w:eastAsia="Times New Roman" w:hAnsi="Arial"/>
      <w:i/>
      <w:sz w:val="20"/>
      <w:szCs w:val="20"/>
    </w:rPr>
  </w:style>
  <w:style w:type="paragraph" w:styleId="Ttulo9">
    <w:name w:val="heading 9"/>
    <w:basedOn w:val="Normal"/>
    <w:next w:val="Normal"/>
    <w:link w:val="Ttulo9Car"/>
    <w:qFormat/>
    <w:rsid w:val="00A84770"/>
    <w:pPr>
      <w:spacing w:before="240" w:after="60"/>
      <w:outlineLvl w:val="8"/>
    </w:pPr>
    <w:rPr>
      <w:rFonts w:ascii="Arial" w:eastAsia="Times New Roman" w:hAnsi="Arial"/>
      <w:b/>
      <w:i/>
      <w:sz w:val="18"/>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84770"/>
    <w:rPr>
      <w:rFonts w:ascii="Cambria" w:eastAsia="Times New Roman" w:hAnsi="Cambria" w:cs="Times New Roman"/>
      <w:b/>
      <w:sz w:val="20"/>
      <w:szCs w:val="20"/>
      <w:lang w:val="es-ES_tradnl"/>
    </w:rPr>
  </w:style>
  <w:style w:type="character" w:customStyle="1" w:styleId="Ttulo2Car">
    <w:name w:val="Título 2 Car"/>
    <w:basedOn w:val="Fuentedeprrafopredeter"/>
    <w:link w:val="Ttulo2"/>
    <w:rsid w:val="00A84770"/>
    <w:rPr>
      <w:rFonts w:ascii="Cambria" w:eastAsia="Times New Roman" w:hAnsi="Cambria" w:cs="Times New Roman"/>
      <w:b/>
      <w:sz w:val="20"/>
      <w:szCs w:val="20"/>
      <w:lang w:val="es-ES_tradnl"/>
    </w:rPr>
  </w:style>
  <w:style w:type="character" w:customStyle="1" w:styleId="Ttulo3Car">
    <w:name w:val="Título 3 Car"/>
    <w:basedOn w:val="Fuentedeprrafopredeter"/>
    <w:link w:val="Ttulo3"/>
    <w:rsid w:val="00A84770"/>
    <w:rPr>
      <w:rFonts w:ascii="Cambria" w:eastAsia="MS Gothic" w:hAnsi="Cambria" w:cs="Times New Roman"/>
      <w:b/>
      <w:bCs/>
      <w:color w:val="4F81BD"/>
    </w:rPr>
  </w:style>
  <w:style w:type="character" w:customStyle="1" w:styleId="Ttulo4Car">
    <w:name w:val="Título 4 Car"/>
    <w:basedOn w:val="Fuentedeprrafopredeter"/>
    <w:link w:val="Ttulo4"/>
    <w:rsid w:val="00A84770"/>
    <w:rPr>
      <w:rFonts w:ascii="Arial" w:eastAsia="Times New Roman" w:hAnsi="Arial" w:cs="Times New Roman"/>
      <w:b/>
      <w:szCs w:val="20"/>
    </w:rPr>
  </w:style>
  <w:style w:type="character" w:customStyle="1" w:styleId="Ttulo5Car">
    <w:name w:val="Título 5 Car"/>
    <w:basedOn w:val="Fuentedeprrafopredeter"/>
    <w:link w:val="Ttulo5"/>
    <w:rsid w:val="00A84770"/>
    <w:rPr>
      <w:rFonts w:ascii="Times New Roman" w:eastAsia="Times New Roman" w:hAnsi="Times New Roman" w:cs="Times New Roman"/>
      <w:sz w:val="22"/>
      <w:szCs w:val="20"/>
    </w:rPr>
  </w:style>
  <w:style w:type="character" w:customStyle="1" w:styleId="Ttulo6Car">
    <w:name w:val="Título 6 Car"/>
    <w:basedOn w:val="Fuentedeprrafopredeter"/>
    <w:link w:val="Ttulo6"/>
    <w:uiPriority w:val="9"/>
    <w:rsid w:val="00A84770"/>
    <w:rPr>
      <w:rFonts w:ascii="Times New Roman" w:eastAsia="Times New Roman" w:hAnsi="Times New Roman" w:cs="Times New Roman"/>
      <w:i/>
      <w:sz w:val="22"/>
      <w:szCs w:val="20"/>
    </w:rPr>
  </w:style>
  <w:style w:type="character" w:customStyle="1" w:styleId="Ttulo7Car">
    <w:name w:val="Título 7 Car"/>
    <w:basedOn w:val="Fuentedeprrafopredeter"/>
    <w:link w:val="Ttulo7"/>
    <w:rsid w:val="00A84770"/>
    <w:rPr>
      <w:rFonts w:ascii="Arial" w:eastAsia="Times New Roman" w:hAnsi="Arial" w:cs="Times New Roman"/>
      <w:sz w:val="20"/>
      <w:szCs w:val="20"/>
    </w:rPr>
  </w:style>
  <w:style w:type="character" w:customStyle="1" w:styleId="Ttulo8Car">
    <w:name w:val="Título 8 Car"/>
    <w:basedOn w:val="Fuentedeprrafopredeter"/>
    <w:link w:val="Ttulo8"/>
    <w:rsid w:val="00A84770"/>
    <w:rPr>
      <w:rFonts w:ascii="Arial" w:eastAsia="Times New Roman" w:hAnsi="Arial" w:cs="Times New Roman"/>
      <w:i/>
      <w:sz w:val="20"/>
      <w:szCs w:val="20"/>
    </w:rPr>
  </w:style>
  <w:style w:type="character" w:customStyle="1" w:styleId="Ttulo9Car">
    <w:name w:val="Título 9 Car"/>
    <w:basedOn w:val="Fuentedeprrafopredeter"/>
    <w:link w:val="Ttulo9"/>
    <w:rsid w:val="00A84770"/>
    <w:rPr>
      <w:rFonts w:ascii="Arial" w:eastAsia="Times New Roman" w:hAnsi="Arial" w:cs="Times New Roman"/>
      <w:b/>
      <w:i/>
      <w:sz w:val="18"/>
      <w:szCs w:val="20"/>
    </w:rPr>
  </w:style>
  <w:style w:type="character" w:styleId="Hipervnculo">
    <w:name w:val="Hyperlink"/>
    <w:uiPriority w:val="99"/>
    <w:rsid w:val="00A84770"/>
    <w:rPr>
      <w:u w:val="single"/>
    </w:rPr>
  </w:style>
  <w:style w:type="paragraph" w:customStyle="1" w:styleId="Cabeceraypie">
    <w:name w:val="Cabecera y pie"/>
    <w:rsid w:val="00A84770"/>
    <w:pPr>
      <w:pBdr>
        <w:top w:val="nil"/>
        <w:left w:val="nil"/>
        <w:bottom w:val="nil"/>
        <w:right w:val="nil"/>
        <w:between w:val="nil"/>
        <w:bar w:val="nil"/>
      </w:pBdr>
      <w:tabs>
        <w:tab w:val="right" w:pos="9020"/>
      </w:tabs>
    </w:pPr>
    <w:rPr>
      <w:rFonts w:ascii="Helvetica" w:eastAsia="Arial Unicode MS" w:hAnsi="Arial Unicode MS" w:cs="Arial Unicode MS"/>
      <w:color w:val="000000"/>
      <w:bdr w:val="nil"/>
      <w:lang w:val="es-ES" w:eastAsia="es-ES"/>
    </w:rPr>
  </w:style>
  <w:style w:type="paragraph" w:styleId="Piedepgina">
    <w:name w:val="footer"/>
    <w:link w:val="PiedepginaCar"/>
    <w:uiPriority w:val="99"/>
    <w:rsid w:val="00A84770"/>
    <w:pPr>
      <w:pBdr>
        <w:top w:val="nil"/>
        <w:left w:val="nil"/>
        <w:bottom w:val="nil"/>
        <w:right w:val="nil"/>
        <w:between w:val="nil"/>
        <w:bar w:val="nil"/>
      </w:pBdr>
      <w:tabs>
        <w:tab w:val="center" w:pos="4513"/>
        <w:tab w:val="right" w:pos="9026"/>
      </w:tabs>
    </w:pPr>
    <w:rPr>
      <w:rFonts w:ascii="Cambria" w:eastAsia="Cambria" w:hAnsi="Cambria" w:cs="Cambria"/>
      <w:color w:val="000000"/>
      <w:u w:color="000000"/>
      <w:bdr w:val="nil"/>
      <w:lang w:eastAsia="es-ES"/>
    </w:rPr>
  </w:style>
  <w:style w:type="character" w:customStyle="1" w:styleId="PiedepginaCar">
    <w:name w:val="Pie de página Car"/>
    <w:basedOn w:val="Fuentedeprrafopredeter"/>
    <w:link w:val="Piedepgina"/>
    <w:uiPriority w:val="99"/>
    <w:rsid w:val="00A84770"/>
    <w:rPr>
      <w:rFonts w:ascii="Cambria" w:eastAsia="Cambria" w:hAnsi="Cambria" w:cs="Cambria"/>
      <w:color w:val="000000"/>
      <w:u w:color="000000"/>
      <w:bdr w:val="nil"/>
      <w:lang w:eastAsia="es-ES"/>
    </w:rPr>
  </w:style>
  <w:style w:type="paragraph" w:customStyle="1" w:styleId="Cuerpo">
    <w:name w:val="Cuerpo"/>
    <w:rsid w:val="00A84770"/>
    <w:pPr>
      <w:pBdr>
        <w:top w:val="nil"/>
        <w:left w:val="nil"/>
        <w:bottom w:val="nil"/>
        <w:right w:val="nil"/>
        <w:between w:val="nil"/>
        <w:bar w:val="nil"/>
      </w:pBdr>
    </w:pPr>
    <w:rPr>
      <w:rFonts w:ascii="Cambria" w:eastAsia="Cambria" w:hAnsi="Cambria" w:cs="Cambria"/>
      <w:color w:val="000000"/>
      <w:u w:color="000000"/>
      <w:bdr w:val="nil"/>
      <w:lang w:val="es-ES" w:eastAsia="es-ES"/>
    </w:rPr>
  </w:style>
  <w:style w:type="paragraph" w:styleId="Sangradetextonormal">
    <w:name w:val="Body Text Indent"/>
    <w:link w:val="SangradetextonormalCar"/>
    <w:rsid w:val="00A84770"/>
    <w:pPr>
      <w:pBdr>
        <w:top w:val="nil"/>
        <w:left w:val="nil"/>
        <w:bottom w:val="nil"/>
        <w:right w:val="nil"/>
        <w:between w:val="nil"/>
        <w:bar w:val="nil"/>
      </w:pBdr>
      <w:ind w:left="2160" w:hanging="720"/>
    </w:pPr>
    <w:rPr>
      <w:rFonts w:ascii="Times New Roman" w:eastAsia="Times New Roman" w:hAnsi="Times New Roman" w:cs="Times New Roman"/>
      <w:color w:val="000000"/>
      <w:u w:color="000000"/>
      <w:bdr w:val="nil"/>
      <w:lang w:val="es-ES_tradnl" w:eastAsia="es-ES"/>
    </w:rPr>
  </w:style>
  <w:style w:type="character" w:customStyle="1" w:styleId="SangradetextonormalCar">
    <w:name w:val="Sangría de texto normal Car"/>
    <w:basedOn w:val="Fuentedeprrafopredeter"/>
    <w:link w:val="Sangradetextonormal"/>
    <w:rsid w:val="00A84770"/>
    <w:rPr>
      <w:rFonts w:ascii="Times New Roman" w:eastAsia="Times New Roman" w:hAnsi="Times New Roman" w:cs="Times New Roman"/>
      <w:color w:val="000000"/>
      <w:u w:color="000000"/>
      <w:bdr w:val="nil"/>
      <w:lang w:val="es-ES_tradnl" w:eastAsia="es-ES"/>
    </w:rPr>
  </w:style>
  <w:style w:type="paragraph" w:styleId="Prrafodelista">
    <w:name w:val="List Paragraph"/>
    <w:aliases w:val="Párrafo de lista1,List Paragraph1,List Paragraph11"/>
    <w:link w:val="PrrafodelistaCar"/>
    <w:uiPriority w:val="34"/>
    <w:qFormat/>
    <w:rsid w:val="00A84770"/>
    <w:pPr>
      <w:pBdr>
        <w:top w:val="nil"/>
        <w:left w:val="nil"/>
        <w:bottom w:val="nil"/>
        <w:right w:val="nil"/>
        <w:between w:val="nil"/>
        <w:bar w:val="nil"/>
      </w:pBdr>
      <w:ind w:left="720"/>
    </w:pPr>
    <w:rPr>
      <w:rFonts w:ascii="Cambria" w:eastAsia="Cambria" w:hAnsi="Cambria" w:cs="Cambria"/>
      <w:color w:val="000000"/>
      <w:u w:color="000000"/>
      <w:bdr w:val="nil"/>
      <w:lang w:eastAsia="es-ES"/>
    </w:rPr>
  </w:style>
  <w:style w:type="numbering" w:customStyle="1" w:styleId="List0">
    <w:name w:val="List 0"/>
    <w:basedOn w:val="Estiloimportado1"/>
    <w:rsid w:val="00A84770"/>
    <w:pPr>
      <w:numPr>
        <w:numId w:val="31"/>
      </w:numPr>
    </w:pPr>
  </w:style>
  <w:style w:type="numbering" w:customStyle="1" w:styleId="Estiloimportado1">
    <w:name w:val="Estilo importado 1"/>
    <w:rsid w:val="00A84770"/>
  </w:style>
  <w:style w:type="numbering" w:customStyle="1" w:styleId="List1">
    <w:name w:val="List 1"/>
    <w:basedOn w:val="Estiloimportado2"/>
    <w:rsid w:val="00A84770"/>
    <w:pPr>
      <w:numPr>
        <w:numId w:val="1"/>
      </w:numPr>
    </w:pPr>
  </w:style>
  <w:style w:type="numbering" w:customStyle="1" w:styleId="Estiloimportado2">
    <w:name w:val="Estilo importado 2"/>
    <w:rsid w:val="00A84770"/>
  </w:style>
  <w:style w:type="numbering" w:customStyle="1" w:styleId="List21">
    <w:name w:val="List 21"/>
    <w:basedOn w:val="Estiloimportado3"/>
    <w:rsid w:val="00A84770"/>
    <w:pPr>
      <w:numPr>
        <w:numId w:val="52"/>
      </w:numPr>
    </w:pPr>
  </w:style>
  <w:style w:type="numbering" w:customStyle="1" w:styleId="Estiloimportado3">
    <w:name w:val="Estilo importado 3"/>
    <w:rsid w:val="00A84770"/>
  </w:style>
  <w:style w:type="numbering" w:customStyle="1" w:styleId="List31">
    <w:name w:val="List 31"/>
    <w:basedOn w:val="Estiloimportado4"/>
    <w:rsid w:val="00A84770"/>
    <w:pPr>
      <w:numPr>
        <w:numId w:val="51"/>
      </w:numPr>
    </w:pPr>
  </w:style>
  <w:style w:type="numbering" w:customStyle="1" w:styleId="Estiloimportado4">
    <w:name w:val="Estilo importado 4"/>
    <w:rsid w:val="00A84770"/>
  </w:style>
  <w:style w:type="numbering" w:customStyle="1" w:styleId="List41">
    <w:name w:val="List 41"/>
    <w:basedOn w:val="Estiloimportado5"/>
    <w:rsid w:val="00A84770"/>
    <w:pPr>
      <w:numPr>
        <w:numId w:val="2"/>
      </w:numPr>
    </w:pPr>
  </w:style>
  <w:style w:type="numbering" w:customStyle="1" w:styleId="Estiloimportado5">
    <w:name w:val="Estilo importado 5"/>
    <w:rsid w:val="00A84770"/>
  </w:style>
  <w:style w:type="numbering" w:customStyle="1" w:styleId="List51">
    <w:name w:val="List 51"/>
    <w:basedOn w:val="Estiloimportado6"/>
    <w:rsid w:val="00A84770"/>
    <w:pPr>
      <w:numPr>
        <w:numId w:val="53"/>
      </w:numPr>
    </w:pPr>
  </w:style>
  <w:style w:type="numbering" w:customStyle="1" w:styleId="Estiloimportado6">
    <w:name w:val="Estilo importado 6"/>
    <w:rsid w:val="00A84770"/>
  </w:style>
  <w:style w:type="numbering" w:customStyle="1" w:styleId="List6">
    <w:name w:val="List 6"/>
    <w:basedOn w:val="Estiloimportado7"/>
    <w:rsid w:val="00A84770"/>
    <w:pPr>
      <w:numPr>
        <w:numId w:val="3"/>
      </w:numPr>
    </w:pPr>
  </w:style>
  <w:style w:type="numbering" w:customStyle="1" w:styleId="Estiloimportado7">
    <w:name w:val="Estilo importado 7"/>
    <w:rsid w:val="00A84770"/>
  </w:style>
  <w:style w:type="numbering" w:customStyle="1" w:styleId="List7">
    <w:name w:val="List 7"/>
    <w:basedOn w:val="Estiloimportado8"/>
    <w:rsid w:val="00A84770"/>
    <w:pPr>
      <w:numPr>
        <w:numId w:val="4"/>
      </w:numPr>
    </w:pPr>
  </w:style>
  <w:style w:type="numbering" w:customStyle="1" w:styleId="Estiloimportado8">
    <w:name w:val="Estilo importado 8"/>
    <w:rsid w:val="00A84770"/>
  </w:style>
  <w:style w:type="numbering" w:customStyle="1" w:styleId="List8">
    <w:name w:val="List 8"/>
    <w:basedOn w:val="Estiloimportado9"/>
    <w:rsid w:val="00A84770"/>
    <w:pPr>
      <w:numPr>
        <w:numId w:val="5"/>
      </w:numPr>
    </w:pPr>
  </w:style>
  <w:style w:type="numbering" w:customStyle="1" w:styleId="Estiloimportado9">
    <w:name w:val="Estilo importado 9"/>
    <w:rsid w:val="00A84770"/>
  </w:style>
  <w:style w:type="numbering" w:customStyle="1" w:styleId="List9">
    <w:name w:val="List 9"/>
    <w:basedOn w:val="Estiloimportado10"/>
    <w:rsid w:val="00A84770"/>
    <w:pPr>
      <w:numPr>
        <w:numId w:val="22"/>
      </w:numPr>
    </w:pPr>
  </w:style>
  <w:style w:type="numbering" w:customStyle="1" w:styleId="Estiloimportado10">
    <w:name w:val="Estilo importado 10"/>
    <w:rsid w:val="00A84770"/>
  </w:style>
  <w:style w:type="numbering" w:customStyle="1" w:styleId="List10">
    <w:name w:val="List 10"/>
    <w:basedOn w:val="Estiloimportado11"/>
    <w:rsid w:val="00A84770"/>
    <w:pPr>
      <w:numPr>
        <w:numId w:val="6"/>
      </w:numPr>
    </w:pPr>
  </w:style>
  <w:style w:type="numbering" w:customStyle="1" w:styleId="Estiloimportado11">
    <w:name w:val="Estilo importado 11"/>
    <w:rsid w:val="00A84770"/>
  </w:style>
  <w:style w:type="numbering" w:customStyle="1" w:styleId="List11">
    <w:name w:val="List 11"/>
    <w:basedOn w:val="Estiloimportado12"/>
    <w:rsid w:val="00A84770"/>
    <w:pPr>
      <w:numPr>
        <w:numId w:val="7"/>
      </w:numPr>
    </w:pPr>
  </w:style>
  <w:style w:type="numbering" w:customStyle="1" w:styleId="Estiloimportado12">
    <w:name w:val="Estilo importado 12"/>
    <w:rsid w:val="00A84770"/>
  </w:style>
  <w:style w:type="numbering" w:customStyle="1" w:styleId="List12">
    <w:name w:val="List 12"/>
    <w:basedOn w:val="Estiloimportado13"/>
    <w:rsid w:val="00A84770"/>
    <w:pPr>
      <w:numPr>
        <w:numId w:val="36"/>
      </w:numPr>
    </w:pPr>
  </w:style>
  <w:style w:type="numbering" w:customStyle="1" w:styleId="Estiloimportado13">
    <w:name w:val="Estilo importado 13"/>
    <w:rsid w:val="00A84770"/>
  </w:style>
  <w:style w:type="numbering" w:customStyle="1" w:styleId="List13">
    <w:name w:val="List 13"/>
    <w:basedOn w:val="Estiloimportado14"/>
    <w:rsid w:val="00A84770"/>
    <w:pPr>
      <w:numPr>
        <w:numId w:val="42"/>
      </w:numPr>
    </w:pPr>
  </w:style>
  <w:style w:type="numbering" w:customStyle="1" w:styleId="Estiloimportado14">
    <w:name w:val="Estilo importado 14"/>
    <w:rsid w:val="00A84770"/>
  </w:style>
  <w:style w:type="numbering" w:customStyle="1" w:styleId="List14">
    <w:name w:val="List 14"/>
    <w:basedOn w:val="Estiloimportado15"/>
    <w:rsid w:val="00A84770"/>
    <w:pPr>
      <w:numPr>
        <w:numId w:val="17"/>
      </w:numPr>
    </w:pPr>
  </w:style>
  <w:style w:type="numbering" w:customStyle="1" w:styleId="Estiloimportado15">
    <w:name w:val="Estilo importado 15"/>
    <w:rsid w:val="00A84770"/>
  </w:style>
  <w:style w:type="numbering" w:customStyle="1" w:styleId="List15">
    <w:name w:val="List 15"/>
    <w:basedOn w:val="Estiloimportado16"/>
    <w:rsid w:val="00A84770"/>
    <w:pPr>
      <w:numPr>
        <w:numId w:val="16"/>
      </w:numPr>
    </w:pPr>
  </w:style>
  <w:style w:type="numbering" w:customStyle="1" w:styleId="Estiloimportado16">
    <w:name w:val="Estilo importado 16"/>
    <w:rsid w:val="00A84770"/>
  </w:style>
  <w:style w:type="numbering" w:customStyle="1" w:styleId="List16">
    <w:name w:val="List 16"/>
    <w:basedOn w:val="Estiloimportado16"/>
    <w:rsid w:val="00A84770"/>
    <w:pPr>
      <w:numPr>
        <w:numId w:val="10"/>
      </w:numPr>
    </w:pPr>
  </w:style>
  <w:style w:type="numbering" w:customStyle="1" w:styleId="List17">
    <w:name w:val="List 17"/>
    <w:basedOn w:val="Estiloimportado17"/>
    <w:rsid w:val="00A84770"/>
    <w:pPr>
      <w:numPr>
        <w:numId w:val="25"/>
      </w:numPr>
    </w:pPr>
  </w:style>
  <w:style w:type="numbering" w:customStyle="1" w:styleId="Estiloimportado17">
    <w:name w:val="Estilo importado 17"/>
    <w:rsid w:val="00A84770"/>
  </w:style>
  <w:style w:type="numbering" w:customStyle="1" w:styleId="List18">
    <w:name w:val="List 18"/>
    <w:basedOn w:val="Estiloimportado18"/>
    <w:rsid w:val="00A84770"/>
    <w:pPr>
      <w:numPr>
        <w:numId w:val="27"/>
      </w:numPr>
    </w:pPr>
  </w:style>
  <w:style w:type="numbering" w:customStyle="1" w:styleId="Estiloimportado18">
    <w:name w:val="Estilo importado 18"/>
    <w:rsid w:val="00A84770"/>
  </w:style>
  <w:style w:type="numbering" w:customStyle="1" w:styleId="List19">
    <w:name w:val="List 19"/>
    <w:basedOn w:val="Estiloimportado10"/>
    <w:rsid w:val="00A84770"/>
    <w:pPr>
      <w:numPr>
        <w:numId w:val="19"/>
      </w:numPr>
    </w:pPr>
  </w:style>
  <w:style w:type="numbering" w:customStyle="1" w:styleId="List20">
    <w:name w:val="List 20"/>
    <w:basedOn w:val="Estiloimportado12"/>
    <w:rsid w:val="00A84770"/>
    <w:pPr>
      <w:numPr>
        <w:numId w:val="43"/>
      </w:numPr>
    </w:pPr>
  </w:style>
  <w:style w:type="numbering" w:customStyle="1" w:styleId="List211">
    <w:name w:val="List 211"/>
    <w:basedOn w:val="Estiloimportado19"/>
    <w:rsid w:val="00A84770"/>
    <w:pPr>
      <w:numPr>
        <w:numId w:val="38"/>
      </w:numPr>
    </w:pPr>
  </w:style>
  <w:style w:type="numbering" w:customStyle="1" w:styleId="Estiloimportado19">
    <w:name w:val="Estilo importado 19"/>
    <w:rsid w:val="00A84770"/>
  </w:style>
  <w:style w:type="numbering" w:customStyle="1" w:styleId="List22">
    <w:name w:val="List 22"/>
    <w:basedOn w:val="Estiloimportado19"/>
    <w:rsid w:val="00A84770"/>
    <w:pPr>
      <w:numPr>
        <w:numId w:val="28"/>
      </w:numPr>
    </w:pPr>
  </w:style>
  <w:style w:type="numbering" w:customStyle="1" w:styleId="List23">
    <w:name w:val="List 23"/>
    <w:basedOn w:val="Estiloimportado19"/>
    <w:rsid w:val="00A84770"/>
    <w:pPr>
      <w:numPr>
        <w:numId w:val="18"/>
      </w:numPr>
    </w:pPr>
  </w:style>
  <w:style w:type="numbering" w:customStyle="1" w:styleId="List24">
    <w:name w:val="List 24"/>
    <w:basedOn w:val="Estiloimportado20"/>
    <w:rsid w:val="00A84770"/>
    <w:pPr>
      <w:numPr>
        <w:numId w:val="13"/>
      </w:numPr>
    </w:pPr>
  </w:style>
  <w:style w:type="numbering" w:customStyle="1" w:styleId="Estiloimportado20">
    <w:name w:val="Estilo importado 20"/>
    <w:rsid w:val="00A84770"/>
  </w:style>
  <w:style w:type="numbering" w:customStyle="1" w:styleId="List25">
    <w:name w:val="List 25"/>
    <w:basedOn w:val="Estiloimportado21"/>
    <w:rsid w:val="00A84770"/>
    <w:pPr>
      <w:numPr>
        <w:numId w:val="15"/>
      </w:numPr>
    </w:pPr>
  </w:style>
  <w:style w:type="numbering" w:customStyle="1" w:styleId="Estiloimportado21">
    <w:name w:val="Estilo importado 21"/>
    <w:rsid w:val="00A84770"/>
  </w:style>
  <w:style w:type="numbering" w:customStyle="1" w:styleId="List26">
    <w:name w:val="List 26"/>
    <w:basedOn w:val="Estiloimportado22"/>
    <w:rsid w:val="00A84770"/>
    <w:pPr>
      <w:numPr>
        <w:numId w:val="49"/>
      </w:numPr>
    </w:pPr>
  </w:style>
  <w:style w:type="numbering" w:customStyle="1" w:styleId="Estiloimportado22">
    <w:name w:val="Estilo importado 22"/>
    <w:rsid w:val="00A84770"/>
  </w:style>
  <w:style w:type="numbering" w:customStyle="1" w:styleId="List27">
    <w:name w:val="List 27"/>
    <w:basedOn w:val="Estiloimportado23"/>
    <w:rsid w:val="00A84770"/>
    <w:pPr>
      <w:numPr>
        <w:numId w:val="41"/>
      </w:numPr>
    </w:pPr>
  </w:style>
  <w:style w:type="numbering" w:customStyle="1" w:styleId="Estiloimportado23">
    <w:name w:val="Estilo importado 23"/>
    <w:rsid w:val="00A84770"/>
  </w:style>
  <w:style w:type="numbering" w:customStyle="1" w:styleId="List28">
    <w:name w:val="List 28"/>
    <w:basedOn w:val="Estiloimportado24"/>
    <w:rsid w:val="00A84770"/>
    <w:pPr>
      <w:numPr>
        <w:numId w:val="30"/>
      </w:numPr>
    </w:pPr>
  </w:style>
  <w:style w:type="numbering" w:customStyle="1" w:styleId="Estiloimportado24">
    <w:name w:val="Estilo importado 24"/>
    <w:rsid w:val="00A84770"/>
  </w:style>
  <w:style w:type="numbering" w:customStyle="1" w:styleId="List29">
    <w:name w:val="List 29"/>
    <w:basedOn w:val="Estiloimportado25"/>
    <w:rsid w:val="00A84770"/>
    <w:pPr>
      <w:numPr>
        <w:numId w:val="34"/>
      </w:numPr>
    </w:pPr>
  </w:style>
  <w:style w:type="numbering" w:customStyle="1" w:styleId="Estiloimportado25">
    <w:name w:val="Estilo importado 25"/>
    <w:rsid w:val="00A84770"/>
  </w:style>
  <w:style w:type="numbering" w:customStyle="1" w:styleId="List30">
    <w:name w:val="List 30"/>
    <w:basedOn w:val="Estiloimportado26"/>
    <w:rsid w:val="00A84770"/>
    <w:pPr>
      <w:numPr>
        <w:numId w:val="32"/>
      </w:numPr>
    </w:pPr>
  </w:style>
  <w:style w:type="numbering" w:customStyle="1" w:styleId="Estiloimportado26">
    <w:name w:val="Estilo importado 26"/>
    <w:rsid w:val="00A84770"/>
  </w:style>
  <w:style w:type="numbering" w:customStyle="1" w:styleId="List311">
    <w:name w:val="List 311"/>
    <w:basedOn w:val="Estiloimportado27"/>
    <w:rsid w:val="00A84770"/>
    <w:pPr>
      <w:numPr>
        <w:numId w:val="45"/>
      </w:numPr>
    </w:pPr>
  </w:style>
  <w:style w:type="numbering" w:customStyle="1" w:styleId="Estiloimportado27">
    <w:name w:val="Estilo importado 27"/>
    <w:rsid w:val="00A84770"/>
  </w:style>
  <w:style w:type="numbering" w:customStyle="1" w:styleId="List32">
    <w:name w:val="List 32"/>
    <w:basedOn w:val="Estiloimportado28"/>
    <w:rsid w:val="00A84770"/>
    <w:pPr>
      <w:numPr>
        <w:numId w:val="48"/>
      </w:numPr>
    </w:pPr>
  </w:style>
  <w:style w:type="numbering" w:customStyle="1" w:styleId="Estiloimportado28">
    <w:name w:val="Estilo importado 28"/>
    <w:rsid w:val="00A84770"/>
  </w:style>
  <w:style w:type="paragraph" w:styleId="Textonotapie">
    <w:name w:val="footnote text"/>
    <w:aliases w:val="Footnote Text Char Char Char Char Char,Footnote Text Char Char Char Char,FA Fu,Footnote reference,Footnote Text Char Char Char,FA Fußnotentext,FA Fuﬂnotentext,Texto nota pie Car,Footnote Text Cha,Footnote Text Char Char,footnote text,Ca"/>
    <w:link w:val="TextonotapieCar2"/>
    <w:qFormat/>
    <w:rsid w:val="00A84770"/>
    <w:pPr>
      <w:pBdr>
        <w:top w:val="nil"/>
        <w:left w:val="nil"/>
        <w:bottom w:val="nil"/>
        <w:right w:val="nil"/>
        <w:between w:val="nil"/>
        <w:bar w:val="nil"/>
      </w:pBdr>
    </w:pPr>
    <w:rPr>
      <w:rFonts w:ascii="Calibri" w:eastAsia="Calibri" w:hAnsi="Calibri" w:cs="Calibri"/>
      <w:color w:val="000000"/>
      <w:u w:color="000000"/>
      <w:bdr w:val="nil"/>
      <w:lang w:eastAsia="es-ES"/>
    </w:rPr>
  </w:style>
  <w:style w:type="character" w:customStyle="1" w:styleId="TextonotapieCar2">
    <w:name w:val="Texto nota pie Car2"/>
    <w:aliases w:val="Footnote Text Char Char Char Char Char Car1,Footnote Text Char Char Char Char Car1,FA Fu Car1,Footnote reference Car1,Footnote Text Char Char Char Car1,FA Fußnotentext Car1,FA Fuﬂnotentext Car,Texto nota pie Car Car1,Ca Car"/>
    <w:basedOn w:val="Fuentedeprrafopredeter"/>
    <w:link w:val="Textonotapie"/>
    <w:qFormat/>
    <w:rsid w:val="00A84770"/>
    <w:rPr>
      <w:rFonts w:ascii="Calibri" w:eastAsia="Calibri" w:hAnsi="Calibri" w:cs="Calibri"/>
      <w:color w:val="000000"/>
      <w:u w:color="000000"/>
      <w:bdr w:val="nil"/>
      <w:lang w:eastAsia="es-ES"/>
    </w:rPr>
  </w:style>
  <w:style w:type="numbering" w:customStyle="1" w:styleId="List33">
    <w:name w:val="List 33"/>
    <w:basedOn w:val="Estiloimportado29"/>
    <w:rsid w:val="00A84770"/>
    <w:pPr>
      <w:numPr>
        <w:numId w:val="26"/>
      </w:numPr>
    </w:pPr>
  </w:style>
  <w:style w:type="numbering" w:customStyle="1" w:styleId="Estiloimportado29">
    <w:name w:val="Estilo importado 29"/>
    <w:rsid w:val="00A84770"/>
  </w:style>
  <w:style w:type="numbering" w:customStyle="1" w:styleId="List34">
    <w:name w:val="List 34"/>
    <w:basedOn w:val="Estiloimportado30"/>
    <w:rsid w:val="00A84770"/>
    <w:pPr>
      <w:numPr>
        <w:numId w:val="11"/>
      </w:numPr>
    </w:pPr>
  </w:style>
  <w:style w:type="numbering" w:customStyle="1" w:styleId="Estiloimportado30">
    <w:name w:val="Estilo importado 30"/>
    <w:rsid w:val="00A84770"/>
  </w:style>
  <w:style w:type="numbering" w:customStyle="1" w:styleId="List35">
    <w:name w:val="List 35"/>
    <w:basedOn w:val="Estiloimportado31"/>
    <w:rsid w:val="00A84770"/>
    <w:pPr>
      <w:numPr>
        <w:numId w:val="8"/>
      </w:numPr>
    </w:pPr>
  </w:style>
  <w:style w:type="numbering" w:customStyle="1" w:styleId="Estiloimportado31">
    <w:name w:val="Estilo importado 31"/>
    <w:rsid w:val="00A84770"/>
  </w:style>
  <w:style w:type="numbering" w:customStyle="1" w:styleId="List36">
    <w:name w:val="List 36"/>
    <w:basedOn w:val="Estiloimportado32"/>
    <w:rsid w:val="00A84770"/>
    <w:pPr>
      <w:numPr>
        <w:numId w:val="14"/>
      </w:numPr>
    </w:pPr>
  </w:style>
  <w:style w:type="numbering" w:customStyle="1" w:styleId="Estiloimportado32">
    <w:name w:val="Estilo importado 32"/>
    <w:rsid w:val="00A84770"/>
  </w:style>
  <w:style w:type="numbering" w:customStyle="1" w:styleId="List37">
    <w:name w:val="List 37"/>
    <w:basedOn w:val="Estiloimportado33"/>
    <w:rsid w:val="00A84770"/>
    <w:pPr>
      <w:numPr>
        <w:numId w:val="47"/>
      </w:numPr>
    </w:pPr>
  </w:style>
  <w:style w:type="numbering" w:customStyle="1" w:styleId="Estiloimportado33">
    <w:name w:val="Estilo importado 33"/>
    <w:rsid w:val="00A84770"/>
  </w:style>
  <w:style w:type="numbering" w:customStyle="1" w:styleId="List38">
    <w:name w:val="List 38"/>
    <w:basedOn w:val="Estiloimportado34"/>
    <w:rsid w:val="00A84770"/>
    <w:pPr>
      <w:numPr>
        <w:numId w:val="35"/>
      </w:numPr>
    </w:pPr>
  </w:style>
  <w:style w:type="numbering" w:customStyle="1" w:styleId="Estiloimportado34">
    <w:name w:val="Estilo importado 34"/>
    <w:rsid w:val="00A84770"/>
  </w:style>
  <w:style w:type="numbering" w:customStyle="1" w:styleId="List39">
    <w:name w:val="List 39"/>
    <w:basedOn w:val="Estiloimportado35"/>
    <w:rsid w:val="00A84770"/>
    <w:pPr>
      <w:numPr>
        <w:numId w:val="46"/>
      </w:numPr>
    </w:pPr>
  </w:style>
  <w:style w:type="numbering" w:customStyle="1" w:styleId="Estiloimportado35">
    <w:name w:val="Estilo importado 35"/>
    <w:rsid w:val="00A84770"/>
  </w:style>
  <w:style w:type="numbering" w:customStyle="1" w:styleId="List40">
    <w:name w:val="List 40"/>
    <w:basedOn w:val="Estiloimportado36"/>
    <w:rsid w:val="00A84770"/>
    <w:pPr>
      <w:numPr>
        <w:numId w:val="21"/>
      </w:numPr>
    </w:pPr>
  </w:style>
  <w:style w:type="numbering" w:customStyle="1" w:styleId="Estiloimportado36">
    <w:name w:val="Estilo importado 36"/>
    <w:rsid w:val="00A84770"/>
  </w:style>
  <w:style w:type="numbering" w:customStyle="1" w:styleId="List411">
    <w:name w:val="List 411"/>
    <w:basedOn w:val="Estiloimportado37"/>
    <w:rsid w:val="00A84770"/>
    <w:pPr>
      <w:numPr>
        <w:numId w:val="44"/>
      </w:numPr>
    </w:pPr>
  </w:style>
  <w:style w:type="numbering" w:customStyle="1" w:styleId="Estiloimportado37">
    <w:name w:val="Estilo importado 37"/>
    <w:rsid w:val="00A84770"/>
  </w:style>
  <w:style w:type="numbering" w:customStyle="1" w:styleId="List42">
    <w:name w:val="List 42"/>
    <w:basedOn w:val="Estiloimportado12"/>
    <w:rsid w:val="00A84770"/>
    <w:pPr>
      <w:numPr>
        <w:numId w:val="12"/>
      </w:numPr>
    </w:pPr>
  </w:style>
  <w:style w:type="numbering" w:customStyle="1" w:styleId="List43">
    <w:name w:val="List 43"/>
    <w:basedOn w:val="Estiloimportado38"/>
    <w:rsid w:val="00A84770"/>
    <w:pPr>
      <w:numPr>
        <w:numId w:val="23"/>
      </w:numPr>
    </w:pPr>
  </w:style>
  <w:style w:type="numbering" w:customStyle="1" w:styleId="Estiloimportado38">
    <w:name w:val="Estilo importado 38"/>
    <w:rsid w:val="00A84770"/>
  </w:style>
  <w:style w:type="numbering" w:customStyle="1" w:styleId="List44">
    <w:name w:val="List 44"/>
    <w:basedOn w:val="Estiloimportado39"/>
    <w:rsid w:val="00A84770"/>
    <w:pPr>
      <w:numPr>
        <w:numId w:val="40"/>
      </w:numPr>
    </w:pPr>
  </w:style>
  <w:style w:type="numbering" w:customStyle="1" w:styleId="Estiloimportado39">
    <w:name w:val="Estilo importado 39"/>
    <w:rsid w:val="00A84770"/>
  </w:style>
  <w:style w:type="numbering" w:customStyle="1" w:styleId="List45">
    <w:name w:val="List 45"/>
    <w:basedOn w:val="Estiloimportado40"/>
    <w:rsid w:val="00A84770"/>
    <w:pPr>
      <w:numPr>
        <w:numId w:val="20"/>
      </w:numPr>
    </w:pPr>
  </w:style>
  <w:style w:type="numbering" w:customStyle="1" w:styleId="Estiloimportado40">
    <w:name w:val="Estilo importado 40"/>
    <w:rsid w:val="00A84770"/>
  </w:style>
  <w:style w:type="numbering" w:customStyle="1" w:styleId="List46">
    <w:name w:val="List 46"/>
    <w:basedOn w:val="Estiloimportado41"/>
    <w:rsid w:val="00A84770"/>
    <w:pPr>
      <w:numPr>
        <w:numId w:val="24"/>
      </w:numPr>
    </w:pPr>
  </w:style>
  <w:style w:type="numbering" w:customStyle="1" w:styleId="Estiloimportado41">
    <w:name w:val="Estilo importado 41"/>
    <w:rsid w:val="00A84770"/>
  </w:style>
  <w:style w:type="numbering" w:customStyle="1" w:styleId="List47">
    <w:name w:val="List 47"/>
    <w:basedOn w:val="Estiloimportado42"/>
    <w:rsid w:val="00A84770"/>
    <w:pPr>
      <w:numPr>
        <w:numId w:val="29"/>
      </w:numPr>
    </w:pPr>
  </w:style>
  <w:style w:type="numbering" w:customStyle="1" w:styleId="Estiloimportado42">
    <w:name w:val="Estilo importado 42"/>
    <w:rsid w:val="00A84770"/>
  </w:style>
  <w:style w:type="numbering" w:customStyle="1" w:styleId="List48">
    <w:name w:val="List 48"/>
    <w:basedOn w:val="Estiloimportado43"/>
    <w:rsid w:val="00A84770"/>
    <w:pPr>
      <w:numPr>
        <w:numId w:val="50"/>
      </w:numPr>
    </w:pPr>
  </w:style>
  <w:style w:type="numbering" w:customStyle="1" w:styleId="Estiloimportado43">
    <w:name w:val="Estilo importado 43"/>
    <w:rsid w:val="00A84770"/>
  </w:style>
  <w:style w:type="numbering" w:customStyle="1" w:styleId="List49">
    <w:name w:val="List 49"/>
    <w:basedOn w:val="Estiloimportado44"/>
    <w:rsid w:val="00A84770"/>
    <w:pPr>
      <w:numPr>
        <w:numId w:val="39"/>
      </w:numPr>
    </w:pPr>
  </w:style>
  <w:style w:type="numbering" w:customStyle="1" w:styleId="Estiloimportado44">
    <w:name w:val="Estilo importado 44"/>
    <w:rsid w:val="00A84770"/>
  </w:style>
  <w:style w:type="numbering" w:customStyle="1" w:styleId="List50">
    <w:name w:val="List 50"/>
    <w:basedOn w:val="Estiloimportado45"/>
    <w:rsid w:val="00A84770"/>
    <w:pPr>
      <w:numPr>
        <w:numId w:val="37"/>
      </w:numPr>
    </w:pPr>
  </w:style>
  <w:style w:type="numbering" w:customStyle="1" w:styleId="Estiloimportado45">
    <w:name w:val="Estilo importado 45"/>
    <w:rsid w:val="00A84770"/>
  </w:style>
  <w:style w:type="numbering" w:customStyle="1" w:styleId="List511">
    <w:name w:val="List 511"/>
    <w:basedOn w:val="Estiloimportado46"/>
    <w:rsid w:val="00A84770"/>
    <w:pPr>
      <w:numPr>
        <w:numId w:val="33"/>
      </w:numPr>
    </w:pPr>
  </w:style>
  <w:style w:type="numbering" w:customStyle="1" w:styleId="Estiloimportado46">
    <w:name w:val="Estilo importado 46"/>
    <w:rsid w:val="00A84770"/>
  </w:style>
  <w:style w:type="numbering" w:customStyle="1" w:styleId="List52">
    <w:name w:val="List 52"/>
    <w:basedOn w:val="Estiloimportado1"/>
    <w:rsid w:val="00A84770"/>
    <w:pPr>
      <w:numPr>
        <w:numId w:val="9"/>
      </w:numPr>
    </w:pPr>
  </w:style>
  <w:style w:type="paragraph" w:styleId="Textodeglobo">
    <w:name w:val="Balloon Text"/>
    <w:basedOn w:val="Normal"/>
    <w:link w:val="TextodegloboCar"/>
    <w:semiHidden/>
    <w:unhideWhenUsed/>
    <w:rsid w:val="00A84770"/>
    <w:rPr>
      <w:rFonts w:ascii="Tahoma" w:hAnsi="Tahoma" w:cs="Tahoma"/>
      <w:sz w:val="16"/>
      <w:szCs w:val="16"/>
    </w:rPr>
  </w:style>
  <w:style w:type="character" w:customStyle="1" w:styleId="TextodegloboCar">
    <w:name w:val="Texto de globo Car"/>
    <w:basedOn w:val="Fuentedeprrafopredeter"/>
    <w:link w:val="Textodeglobo"/>
    <w:semiHidden/>
    <w:rsid w:val="00A84770"/>
    <w:rPr>
      <w:rFonts w:ascii="Tahoma" w:eastAsia="Arial Unicode MS" w:hAnsi="Tahoma" w:cs="Tahoma"/>
      <w:sz w:val="16"/>
      <w:szCs w:val="16"/>
    </w:rPr>
  </w:style>
  <w:style w:type="paragraph" w:styleId="Encabezado">
    <w:name w:val="header"/>
    <w:aliases w:val="encabezado"/>
    <w:basedOn w:val="Normal"/>
    <w:link w:val="EncabezadoCar"/>
    <w:rsid w:val="00A84770"/>
    <w:pPr>
      <w:widowControl w:val="0"/>
      <w:tabs>
        <w:tab w:val="center" w:pos="4320"/>
        <w:tab w:val="right" w:pos="8640"/>
      </w:tabs>
      <w:snapToGrid w:val="0"/>
    </w:pPr>
    <w:rPr>
      <w:rFonts w:ascii="Univers" w:eastAsia="Times New Roman" w:hAnsi="Univers" w:cs="Univers"/>
    </w:rPr>
  </w:style>
  <w:style w:type="character" w:customStyle="1" w:styleId="EncabezadoCar">
    <w:name w:val="Encabezado Car"/>
    <w:aliases w:val="encabezado Car"/>
    <w:basedOn w:val="Fuentedeprrafopredeter"/>
    <w:link w:val="Encabezado"/>
    <w:rsid w:val="00A84770"/>
    <w:rPr>
      <w:rFonts w:ascii="Univers" w:eastAsia="Times New Roman" w:hAnsi="Univers" w:cs="Univers"/>
    </w:rPr>
  </w:style>
  <w:style w:type="table" w:styleId="Sombreadomedio1-nfasis1">
    <w:name w:val="Medium Shading 1 Accent 1"/>
    <w:basedOn w:val="Tablanormal"/>
    <w:uiPriority w:val="63"/>
    <w:rsid w:val="00A84770"/>
    <w:rPr>
      <w:rFonts w:ascii="Times New Roman" w:eastAsia="Arial Unicode MS" w:hAnsi="Times New Roman" w:cs="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qFormat/>
    <w:rsid w:val="00A84770"/>
    <w:pPr>
      <w:tabs>
        <w:tab w:val="left" w:pos="720"/>
        <w:tab w:val="right" w:leader="dot" w:pos="9440"/>
      </w:tabs>
      <w:spacing w:after="60" w:line="360" w:lineRule="auto"/>
      <w:ind w:left="240"/>
    </w:pPr>
    <w:rPr>
      <w:rFonts w:asciiTheme="minorHAnsi" w:hAnsiTheme="minorHAnsi"/>
      <w:b/>
      <w:bCs/>
      <w:sz w:val="22"/>
      <w:szCs w:val="22"/>
    </w:rPr>
  </w:style>
  <w:style w:type="paragraph" w:styleId="TDC1">
    <w:name w:val="toc 1"/>
    <w:basedOn w:val="Normal"/>
    <w:next w:val="Normal"/>
    <w:autoRedefine/>
    <w:uiPriority w:val="39"/>
    <w:unhideWhenUsed/>
    <w:qFormat/>
    <w:rsid w:val="00A84770"/>
    <w:pPr>
      <w:tabs>
        <w:tab w:val="left" w:pos="1134"/>
        <w:tab w:val="right" w:leader="dot" w:pos="9440"/>
      </w:tabs>
      <w:spacing w:before="120" w:after="60" w:line="360" w:lineRule="auto"/>
    </w:pPr>
    <w:rPr>
      <w:rFonts w:asciiTheme="minorHAnsi" w:hAnsiTheme="minorHAnsi"/>
      <w:b/>
      <w:bCs/>
    </w:rPr>
  </w:style>
  <w:style w:type="paragraph" w:styleId="TDC3">
    <w:name w:val="toc 3"/>
    <w:basedOn w:val="Normal"/>
    <w:next w:val="Normal"/>
    <w:autoRedefine/>
    <w:uiPriority w:val="39"/>
    <w:unhideWhenUsed/>
    <w:qFormat/>
    <w:rsid w:val="00A84770"/>
    <w:pPr>
      <w:ind w:left="480"/>
    </w:pPr>
    <w:rPr>
      <w:rFonts w:asciiTheme="minorHAnsi" w:hAnsiTheme="minorHAnsi"/>
      <w:sz w:val="22"/>
      <w:szCs w:val="22"/>
    </w:rPr>
  </w:style>
  <w:style w:type="paragraph" w:styleId="TDC4">
    <w:name w:val="toc 4"/>
    <w:basedOn w:val="Normal"/>
    <w:next w:val="Normal"/>
    <w:autoRedefine/>
    <w:unhideWhenUsed/>
    <w:rsid w:val="00A84770"/>
    <w:pPr>
      <w:ind w:left="720"/>
    </w:pPr>
    <w:rPr>
      <w:rFonts w:asciiTheme="minorHAnsi" w:hAnsiTheme="minorHAnsi"/>
      <w:sz w:val="20"/>
      <w:szCs w:val="20"/>
    </w:rPr>
  </w:style>
  <w:style w:type="character" w:styleId="Nmerodepgina">
    <w:name w:val="page number"/>
    <w:basedOn w:val="Fuentedeprrafopredeter"/>
    <w:rsid w:val="00A84770"/>
  </w:style>
  <w:style w:type="numbering" w:customStyle="1" w:styleId="NoList1">
    <w:name w:val="No List1"/>
    <w:next w:val="Sinlista"/>
    <w:semiHidden/>
    <w:unhideWhenUsed/>
    <w:rsid w:val="00A84770"/>
  </w:style>
  <w:style w:type="character" w:styleId="Refdenotaalpie">
    <w:name w:val="footnote reference"/>
    <w:aliases w:val="Footnotes refss,Texto de nota al pie,Appel note de bas de page,Footnote number,referencia nota al pie,BVI fnr,f,Ref. de nota al pie.,Footnote symbol,Footnote,4_G,16 Point,Superscript 6 Point,Texto nota al pie,Ref. de nota al pi,Ref,R"/>
    <w:link w:val="BVIfnrCar1CarCarCarCar"/>
    <w:qFormat/>
    <w:rsid w:val="00A84770"/>
    <w:rPr>
      <w:rFonts w:ascii="Verdana" w:hAnsi="Verdana"/>
      <w:sz w:val="22"/>
      <w:vertAlign w:val="superscript"/>
    </w:rPr>
  </w:style>
  <w:style w:type="character" w:customStyle="1" w:styleId="Style">
    <w:name w:val="Style"/>
    <w:rsid w:val="00A84770"/>
    <w:rPr>
      <w:rFonts w:ascii="Times New Roman" w:hAnsi="Times New Roman"/>
      <w:sz w:val="22"/>
      <w:vertAlign w:val="superscript"/>
    </w:rPr>
  </w:style>
  <w:style w:type="paragraph" w:customStyle="1" w:styleId="Style1">
    <w:name w:val="Style1"/>
    <w:basedOn w:val="Textonotapie"/>
    <w:autoRedefine/>
    <w:rsid w:val="00A84770"/>
    <w:p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ascii="Univers" w:eastAsia="Times New Roman" w:hAnsi="Univers" w:cs="Times New Roman"/>
      <w:color w:val="auto"/>
      <w:sz w:val="16"/>
      <w:szCs w:val="16"/>
      <w:bdr w:val="none" w:sz="0" w:space="0" w:color="auto"/>
      <w:lang w:val="es-PY" w:eastAsia="en-US"/>
    </w:rPr>
  </w:style>
  <w:style w:type="paragraph" w:customStyle="1" w:styleId="Style10">
    <w:name w:val="Style 1"/>
    <w:basedOn w:val="Normal"/>
    <w:uiPriority w:val="99"/>
    <w:rsid w:val="00A84770"/>
    <w:pPr>
      <w:widowControl w:val="0"/>
      <w:autoSpaceDE w:val="0"/>
      <w:autoSpaceDN w:val="0"/>
      <w:spacing w:before="396" w:line="408" w:lineRule="atLeast"/>
      <w:jc w:val="both"/>
    </w:pPr>
    <w:rPr>
      <w:rFonts w:eastAsia="Times New Roman"/>
    </w:rPr>
  </w:style>
  <w:style w:type="paragraph" w:customStyle="1" w:styleId="Style4">
    <w:name w:val="Style 4"/>
    <w:basedOn w:val="Normal"/>
    <w:rsid w:val="00A84770"/>
    <w:pPr>
      <w:widowControl w:val="0"/>
      <w:autoSpaceDE w:val="0"/>
      <w:autoSpaceDN w:val="0"/>
      <w:spacing w:line="408" w:lineRule="atLeast"/>
      <w:jc w:val="both"/>
    </w:pPr>
    <w:rPr>
      <w:rFonts w:eastAsia="Times New Roman"/>
    </w:rPr>
  </w:style>
  <w:style w:type="paragraph" w:customStyle="1" w:styleId="Style31">
    <w:name w:val="Style 31"/>
    <w:basedOn w:val="Normal"/>
    <w:rsid w:val="00A84770"/>
    <w:pPr>
      <w:widowControl w:val="0"/>
      <w:autoSpaceDE w:val="0"/>
      <w:autoSpaceDN w:val="0"/>
      <w:spacing w:after="3204" w:line="1116" w:lineRule="exact"/>
      <w:jc w:val="center"/>
    </w:pPr>
    <w:rPr>
      <w:rFonts w:eastAsia="Times New Roman"/>
    </w:rPr>
  </w:style>
  <w:style w:type="paragraph" w:customStyle="1" w:styleId="Style36">
    <w:name w:val="Style 36"/>
    <w:basedOn w:val="Normal"/>
    <w:rsid w:val="00A84770"/>
    <w:pPr>
      <w:widowControl w:val="0"/>
      <w:autoSpaceDE w:val="0"/>
      <w:autoSpaceDN w:val="0"/>
      <w:spacing w:before="360" w:line="384" w:lineRule="atLeast"/>
      <w:ind w:right="72"/>
      <w:jc w:val="both"/>
    </w:pPr>
    <w:rPr>
      <w:rFonts w:eastAsia="Times New Roman"/>
    </w:rPr>
  </w:style>
  <w:style w:type="paragraph" w:customStyle="1" w:styleId="Style11">
    <w:name w:val="Style 11"/>
    <w:basedOn w:val="Normal"/>
    <w:rsid w:val="00A84770"/>
    <w:pPr>
      <w:widowControl w:val="0"/>
      <w:autoSpaceDE w:val="0"/>
      <w:autoSpaceDN w:val="0"/>
      <w:spacing w:before="360" w:line="360" w:lineRule="auto"/>
      <w:jc w:val="both"/>
    </w:pPr>
    <w:rPr>
      <w:rFonts w:eastAsia="Times New Roman"/>
    </w:rPr>
  </w:style>
  <w:style w:type="paragraph" w:customStyle="1" w:styleId="Style14">
    <w:name w:val="Style 14"/>
    <w:basedOn w:val="Normal"/>
    <w:rsid w:val="00A84770"/>
    <w:pPr>
      <w:widowControl w:val="0"/>
      <w:autoSpaceDE w:val="0"/>
      <w:autoSpaceDN w:val="0"/>
      <w:spacing w:before="360" w:line="384" w:lineRule="atLeast"/>
      <w:ind w:left="504" w:right="72" w:hanging="504"/>
      <w:jc w:val="both"/>
    </w:pPr>
    <w:rPr>
      <w:rFonts w:eastAsia="Times New Roman"/>
    </w:rPr>
  </w:style>
  <w:style w:type="paragraph" w:customStyle="1" w:styleId="Style27">
    <w:name w:val="Style 27"/>
    <w:basedOn w:val="Normal"/>
    <w:rsid w:val="00A84770"/>
    <w:pPr>
      <w:widowControl w:val="0"/>
      <w:autoSpaceDE w:val="0"/>
      <w:autoSpaceDN w:val="0"/>
      <w:spacing w:before="396" w:line="360" w:lineRule="auto"/>
      <w:ind w:left="360" w:hanging="360"/>
      <w:jc w:val="both"/>
    </w:pPr>
    <w:rPr>
      <w:rFonts w:eastAsia="Times New Roman"/>
    </w:rPr>
  </w:style>
  <w:style w:type="paragraph" w:customStyle="1" w:styleId="Style16">
    <w:name w:val="Style 16"/>
    <w:basedOn w:val="Normal"/>
    <w:rsid w:val="00A84770"/>
    <w:pPr>
      <w:widowControl w:val="0"/>
      <w:autoSpaceDE w:val="0"/>
      <w:autoSpaceDN w:val="0"/>
      <w:ind w:left="360" w:hanging="360"/>
      <w:jc w:val="both"/>
    </w:pPr>
    <w:rPr>
      <w:rFonts w:eastAsia="Times New Roman"/>
    </w:rPr>
  </w:style>
  <w:style w:type="paragraph" w:customStyle="1" w:styleId="Style17">
    <w:name w:val="Style 17"/>
    <w:basedOn w:val="Normal"/>
    <w:rsid w:val="00A84770"/>
    <w:pPr>
      <w:widowControl w:val="0"/>
      <w:autoSpaceDE w:val="0"/>
      <w:autoSpaceDN w:val="0"/>
      <w:adjustRightInd w:val="0"/>
    </w:pPr>
    <w:rPr>
      <w:rFonts w:eastAsia="Times New Roman"/>
    </w:rPr>
  </w:style>
  <w:style w:type="paragraph" w:customStyle="1" w:styleId="Style19">
    <w:name w:val="Style 19"/>
    <w:basedOn w:val="Normal"/>
    <w:rsid w:val="00A84770"/>
    <w:pPr>
      <w:widowControl w:val="0"/>
      <w:autoSpaceDE w:val="0"/>
      <w:autoSpaceDN w:val="0"/>
      <w:spacing w:line="360" w:lineRule="auto"/>
      <w:ind w:left="504" w:right="72" w:hanging="504"/>
      <w:jc w:val="both"/>
    </w:pPr>
    <w:rPr>
      <w:rFonts w:eastAsia="Times New Roman"/>
    </w:rPr>
  </w:style>
  <w:style w:type="paragraph" w:customStyle="1" w:styleId="Style21">
    <w:name w:val="Style 21"/>
    <w:basedOn w:val="Normal"/>
    <w:rsid w:val="00A84770"/>
    <w:pPr>
      <w:widowControl w:val="0"/>
      <w:autoSpaceDE w:val="0"/>
      <w:autoSpaceDN w:val="0"/>
      <w:spacing w:before="216"/>
      <w:ind w:right="864"/>
      <w:jc w:val="both"/>
    </w:pPr>
    <w:rPr>
      <w:rFonts w:eastAsia="Times New Roman"/>
    </w:rPr>
  </w:style>
  <w:style w:type="paragraph" w:customStyle="1" w:styleId="Style22">
    <w:name w:val="Style 22"/>
    <w:basedOn w:val="Normal"/>
    <w:rsid w:val="00A84770"/>
    <w:pPr>
      <w:widowControl w:val="0"/>
      <w:autoSpaceDE w:val="0"/>
      <w:autoSpaceDN w:val="0"/>
      <w:spacing w:before="216"/>
      <w:ind w:right="864"/>
    </w:pPr>
    <w:rPr>
      <w:rFonts w:eastAsia="Times New Roman"/>
    </w:rPr>
  </w:style>
  <w:style w:type="paragraph" w:customStyle="1" w:styleId="Style24">
    <w:name w:val="Style 24"/>
    <w:basedOn w:val="Normal"/>
    <w:rsid w:val="00A84770"/>
    <w:pPr>
      <w:widowControl w:val="0"/>
      <w:autoSpaceDE w:val="0"/>
      <w:autoSpaceDN w:val="0"/>
      <w:spacing w:before="360" w:line="360" w:lineRule="auto"/>
      <w:ind w:left="504" w:right="72" w:hanging="504"/>
      <w:jc w:val="both"/>
    </w:pPr>
    <w:rPr>
      <w:rFonts w:eastAsia="Times New Roman"/>
    </w:rPr>
  </w:style>
  <w:style w:type="paragraph" w:styleId="Mapadeldocumento">
    <w:name w:val="Document Map"/>
    <w:basedOn w:val="Normal"/>
    <w:link w:val="MapadeldocumentoCar"/>
    <w:semiHidden/>
    <w:rsid w:val="00A84770"/>
    <w:pPr>
      <w:shd w:val="clear" w:color="auto" w:fill="000080"/>
    </w:pPr>
    <w:rPr>
      <w:rFonts w:ascii="Tahoma" w:eastAsia="Times New Roman" w:hAnsi="Tahoma" w:cs="Tahoma"/>
      <w:sz w:val="20"/>
      <w:szCs w:val="20"/>
    </w:rPr>
  </w:style>
  <w:style w:type="character" w:customStyle="1" w:styleId="MapadeldocumentoCar">
    <w:name w:val="Mapa del documento Car"/>
    <w:basedOn w:val="Fuentedeprrafopredeter"/>
    <w:link w:val="Mapadeldocumento"/>
    <w:semiHidden/>
    <w:rsid w:val="00A84770"/>
    <w:rPr>
      <w:rFonts w:ascii="Tahoma" w:eastAsia="Times New Roman" w:hAnsi="Tahoma" w:cs="Tahoma"/>
      <w:sz w:val="20"/>
      <w:szCs w:val="20"/>
      <w:shd w:val="clear" w:color="auto" w:fill="000080"/>
    </w:rPr>
  </w:style>
  <w:style w:type="paragraph" w:styleId="Textoindependiente">
    <w:name w:val="Body Text"/>
    <w:aliases w:val="Body Text Char Car Car Car Car Car Car Car Car Car Car Car Car Car,Body Text Char Car Car Car Car Car Car Car Car Car Car Car Car"/>
    <w:basedOn w:val="Normal"/>
    <w:link w:val="TextoindependienteCar"/>
    <w:rsid w:val="00A84770"/>
    <w:pPr>
      <w:spacing w:after="120"/>
    </w:pPr>
    <w:rPr>
      <w:rFonts w:eastAsia="Times New Roman"/>
      <w:sz w:val="20"/>
      <w:szCs w:val="20"/>
    </w:rPr>
  </w:style>
  <w:style w:type="character" w:customStyle="1" w:styleId="TextoindependienteCar">
    <w:name w:val="Texto independiente Car"/>
    <w:aliases w:val="Body Text Char Car Car Car Car Car Car Car Car Car Car Car Car Car Car,Body Text Char Car Car Car Car Car Car Car Car Car Car Car Car Car1"/>
    <w:basedOn w:val="Fuentedeprrafopredeter"/>
    <w:link w:val="Textoindependiente"/>
    <w:rsid w:val="00A84770"/>
    <w:rPr>
      <w:rFonts w:ascii="Times New Roman" w:eastAsia="Times New Roman" w:hAnsi="Times New Roman" w:cs="Times New Roman"/>
      <w:sz w:val="20"/>
      <w:szCs w:val="20"/>
    </w:rPr>
  </w:style>
  <w:style w:type="paragraph" w:customStyle="1" w:styleId="Style6">
    <w:name w:val="Style 6"/>
    <w:basedOn w:val="Normal"/>
    <w:rsid w:val="00A84770"/>
    <w:pPr>
      <w:widowControl w:val="0"/>
      <w:autoSpaceDE w:val="0"/>
      <w:autoSpaceDN w:val="0"/>
      <w:spacing w:before="252"/>
      <w:jc w:val="both"/>
    </w:pPr>
    <w:rPr>
      <w:rFonts w:eastAsia="Times New Roman"/>
    </w:rPr>
  </w:style>
  <w:style w:type="paragraph" w:customStyle="1" w:styleId="Style29">
    <w:name w:val="Style 29"/>
    <w:basedOn w:val="Normal"/>
    <w:rsid w:val="00A84770"/>
    <w:pPr>
      <w:widowControl w:val="0"/>
      <w:autoSpaceDE w:val="0"/>
      <w:autoSpaceDN w:val="0"/>
      <w:spacing w:before="252"/>
      <w:ind w:right="72"/>
      <w:jc w:val="both"/>
    </w:pPr>
    <w:rPr>
      <w:rFonts w:eastAsia="Times New Roman"/>
    </w:rPr>
  </w:style>
  <w:style w:type="paragraph" w:customStyle="1" w:styleId="Style28">
    <w:name w:val="Style 28"/>
    <w:basedOn w:val="Normal"/>
    <w:rsid w:val="00A84770"/>
    <w:pPr>
      <w:widowControl w:val="0"/>
      <w:autoSpaceDE w:val="0"/>
      <w:autoSpaceDN w:val="0"/>
      <w:spacing w:before="252"/>
      <w:ind w:left="72"/>
      <w:jc w:val="both"/>
    </w:pPr>
    <w:rPr>
      <w:rFonts w:eastAsia="Times New Roman"/>
    </w:rPr>
  </w:style>
  <w:style w:type="paragraph" w:customStyle="1" w:styleId="Style26">
    <w:name w:val="Style 26"/>
    <w:basedOn w:val="Normal"/>
    <w:rsid w:val="00A84770"/>
    <w:pPr>
      <w:widowControl w:val="0"/>
      <w:autoSpaceDE w:val="0"/>
      <w:autoSpaceDN w:val="0"/>
      <w:jc w:val="center"/>
    </w:pPr>
    <w:rPr>
      <w:rFonts w:eastAsia="Times New Roman"/>
    </w:rPr>
  </w:style>
  <w:style w:type="paragraph" w:customStyle="1" w:styleId="Style100">
    <w:name w:val="Style 10"/>
    <w:basedOn w:val="Normal"/>
    <w:rsid w:val="00A84770"/>
    <w:pPr>
      <w:widowControl w:val="0"/>
      <w:autoSpaceDE w:val="0"/>
      <w:autoSpaceDN w:val="0"/>
      <w:ind w:left="720"/>
      <w:jc w:val="both"/>
    </w:pPr>
    <w:rPr>
      <w:rFonts w:eastAsia="Times New Roman"/>
    </w:rPr>
  </w:style>
  <w:style w:type="paragraph" w:customStyle="1" w:styleId="Style12">
    <w:name w:val="Style 12"/>
    <w:basedOn w:val="Normal"/>
    <w:rsid w:val="00A84770"/>
    <w:pPr>
      <w:widowControl w:val="0"/>
      <w:autoSpaceDE w:val="0"/>
      <w:autoSpaceDN w:val="0"/>
      <w:jc w:val="center"/>
    </w:pPr>
    <w:rPr>
      <w:rFonts w:eastAsia="Times New Roman"/>
    </w:rPr>
  </w:style>
  <w:style w:type="paragraph" w:customStyle="1" w:styleId="Style13">
    <w:name w:val="Style 13"/>
    <w:basedOn w:val="Normal"/>
    <w:rsid w:val="00A84770"/>
    <w:pPr>
      <w:widowControl w:val="0"/>
      <w:autoSpaceDE w:val="0"/>
      <w:autoSpaceDN w:val="0"/>
      <w:ind w:right="72" w:firstLine="72"/>
      <w:jc w:val="both"/>
    </w:pPr>
    <w:rPr>
      <w:rFonts w:eastAsia="Times New Roman"/>
    </w:rPr>
  </w:style>
  <w:style w:type="paragraph" w:customStyle="1" w:styleId="Style2">
    <w:name w:val="Style 2"/>
    <w:basedOn w:val="Normal"/>
    <w:rsid w:val="00A84770"/>
    <w:pPr>
      <w:widowControl w:val="0"/>
      <w:autoSpaceDE w:val="0"/>
      <w:autoSpaceDN w:val="0"/>
      <w:adjustRightInd w:val="0"/>
    </w:pPr>
    <w:rPr>
      <w:rFonts w:eastAsia="Times New Roman"/>
    </w:rPr>
  </w:style>
  <w:style w:type="paragraph" w:customStyle="1" w:styleId="Style15">
    <w:name w:val="Style 15"/>
    <w:basedOn w:val="Normal"/>
    <w:rsid w:val="00A84770"/>
    <w:pPr>
      <w:widowControl w:val="0"/>
      <w:autoSpaceDE w:val="0"/>
      <w:autoSpaceDN w:val="0"/>
      <w:ind w:left="648" w:right="72"/>
    </w:pPr>
    <w:rPr>
      <w:rFonts w:eastAsia="Times New Roman"/>
    </w:rPr>
  </w:style>
  <w:style w:type="paragraph" w:customStyle="1" w:styleId="Style25">
    <w:name w:val="Style 25"/>
    <w:basedOn w:val="Normal"/>
    <w:rsid w:val="00A84770"/>
    <w:pPr>
      <w:widowControl w:val="0"/>
      <w:autoSpaceDE w:val="0"/>
      <w:autoSpaceDN w:val="0"/>
      <w:jc w:val="both"/>
    </w:pPr>
    <w:rPr>
      <w:rFonts w:eastAsia="Times New Roman"/>
    </w:rPr>
  </w:style>
  <w:style w:type="paragraph" w:customStyle="1" w:styleId="Style18">
    <w:name w:val="Style 18"/>
    <w:basedOn w:val="Normal"/>
    <w:rsid w:val="00A84770"/>
    <w:pPr>
      <w:widowControl w:val="0"/>
      <w:autoSpaceDE w:val="0"/>
      <w:autoSpaceDN w:val="0"/>
      <w:adjustRightInd w:val="0"/>
    </w:pPr>
    <w:rPr>
      <w:rFonts w:eastAsia="Times New Roman"/>
    </w:rPr>
  </w:style>
  <w:style w:type="paragraph" w:customStyle="1" w:styleId="Style20">
    <w:name w:val="Style 20"/>
    <w:basedOn w:val="Normal"/>
    <w:rsid w:val="00A84770"/>
    <w:pPr>
      <w:widowControl w:val="0"/>
      <w:autoSpaceDE w:val="0"/>
      <w:autoSpaceDN w:val="0"/>
      <w:ind w:left="72"/>
    </w:pPr>
    <w:rPr>
      <w:rFonts w:eastAsia="Times New Roman"/>
    </w:rPr>
  </w:style>
  <w:style w:type="table" w:styleId="Tablaconcuadrcula">
    <w:name w:val="Table Grid"/>
    <w:basedOn w:val="Tablanormal"/>
    <w:rsid w:val="00A84770"/>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har1,Normal (Web) Char Char,Normal (Web) Char1 Char,Normal (Web) Char Char Char"/>
    <w:basedOn w:val="Normal"/>
    <w:uiPriority w:val="99"/>
    <w:rsid w:val="00A84770"/>
    <w:pPr>
      <w:spacing w:before="100" w:beforeAutospacing="1" w:after="100" w:afterAutospacing="1"/>
    </w:pPr>
    <w:rPr>
      <w:rFonts w:eastAsia="Times New Roman"/>
    </w:rPr>
  </w:style>
  <w:style w:type="character" w:styleId="Textoennegrita">
    <w:name w:val="Strong"/>
    <w:uiPriority w:val="22"/>
    <w:qFormat/>
    <w:rsid w:val="00A84770"/>
    <w:rPr>
      <w:b/>
      <w:bCs/>
    </w:rPr>
  </w:style>
  <w:style w:type="character" w:customStyle="1" w:styleId="Heading1CharCharCharCharCharChar">
    <w:name w:val="Heading 1 Char Char Char Char Char Char"/>
    <w:rsid w:val="00A84770"/>
    <w:rPr>
      <w:rFonts w:ascii="Univers" w:hAnsi="Univers" w:cs="Arial"/>
      <w:kern w:val="36"/>
      <w:sz w:val="22"/>
      <w:szCs w:val="22"/>
      <w:lang w:val="en-US" w:eastAsia="en-US" w:bidi="ar-SA"/>
    </w:rPr>
  </w:style>
  <w:style w:type="paragraph" w:styleId="Sangra2detindependiente">
    <w:name w:val="Body Text Indent 2"/>
    <w:basedOn w:val="Normal"/>
    <w:link w:val="Sangra2detindependienteCar"/>
    <w:rsid w:val="00A84770"/>
    <w:pPr>
      <w:spacing w:after="120" w:line="480" w:lineRule="auto"/>
      <w:ind w:left="360"/>
    </w:pPr>
    <w:rPr>
      <w:rFonts w:eastAsia="Times New Roman"/>
      <w:sz w:val="20"/>
      <w:szCs w:val="20"/>
    </w:rPr>
  </w:style>
  <w:style w:type="character" w:customStyle="1" w:styleId="Sangra2detindependienteCar">
    <w:name w:val="Sangría 2 de t. independiente Car"/>
    <w:basedOn w:val="Fuentedeprrafopredeter"/>
    <w:link w:val="Sangra2detindependiente"/>
    <w:rsid w:val="00A84770"/>
    <w:rPr>
      <w:rFonts w:ascii="Times New Roman" w:eastAsia="Times New Roman" w:hAnsi="Times New Roman" w:cs="Times New Roman"/>
      <w:sz w:val="20"/>
      <w:szCs w:val="20"/>
    </w:rPr>
  </w:style>
  <w:style w:type="paragraph" w:customStyle="1" w:styleId="Default">
    <w:name w:val="Default"/>
    <w:link w:val="DefaultChar"/>
    <w:rsid w:val="00A84770"/>
    <w:pPr>
      <w:autoSpaceDE w:val="0"/>
      <w:autoSpaceDN w:val="0"/>
      <w:adjustRightInd w:val="0"/>
    </w:pPr>
    <w:rPr>
      <w:rFonts w:ascii="Times New Roman" w:eastAsia="Times New Roman" w:hAnsi="Times New Roman" w:cs="Times New Roman"/>
      <w:color w:val="000000"/>
    </w:rPr>
  </w:style>
  <w:style w:type="character" w:customStyle="1" w:styleId="ju-005fpara--char">
    <w:name w:val="ju-005fpara--char"/>
    <w:basedOn w:val="Fuentedeprrafopredeter"/>
    <w:rsid w:val="00A84770"/>
  </w:style>
  <w:style w:type="paragraph" w:customStyle="1" w:styleId="Sinespaciado1">
    <w:name w:val="Sin espaciado1"/>
    <w:qFormat/>
    <w:rsid w:val="00A84770"/>
    <w:rPr>
      <w:rFonts w:ascii="Calibri" w:eastAsia="Calibri" w:hAnsi="Calibri" w:cs="Times New Roman"/>
      <w:sz w:val="22"/>
      <w:szCs w:val="22"/>
      <w:lang w:val="es-ES"/>
    </w:rPr>
  </w:style>
  <w:style w:type="character" w:customStyle="1" w:styleId="normal--char">
    <w:name w:val="normal--char"/>
    <w:basedOn w:val="Fuentedeprrafopredeter"/>
    <w:rsid w:val="00A84770"/>
  </w:style>
  <w:style w:type="paragraph" w:styleId="Ttulo">
    <w:name w:val="Title"/>
    <w:basedOn w:val="Normal"/>
    <w:link w:val="TtuloCar"/>
    <w:qFormat/>
    <w:rsid w:val="00A84770"/>
    <w:pPr>
      <w:jc w:val="center"/>
    </w:pPr>
    <w:rPr>
      <w:rFonts w:ascii="Univers" w:eastAsia="Times New Roman" w:hAnsi="Univers"/>
      <w:b/>
      <w:sz w:val="22"/>
      <w:szCs w:val="20"/>
      <w:lang w:val="es-ES"/>
    </w:rPr>
  </w:style>
  <w:style w:type="character" w:customStyle="1" w:styleId="TtuloCar">
    <w:name w:val="Título Car"/>
    <w:basedOn w:val="Fuentedeprrafopredeter"/>
    <w:link w:val="Ttulo"/>
    <w:rsid w:val="00A84770"/>
    <w:rPr>
      <w:rFonts w:ascii="Univers" w:eastAsia="Times New Roman" w:hAnsi="Univers" w:cs="Times New Roman"/>
      <w:b/>
      <w:sz w:val="22"/>
      <w:szCs w:val="20"/>
      <w:lang w:val="es-ES"/>
    </w:rPr>
  </w:style>
  <w:style w:type="character" w:customStyle="1" w:styleId="antetitulo1">
    <w:name w:val="antetitulo1"/>
    <w:rsid w:val="00A84770"/>
    <w:rPr>
      <w:rFonts w:ascii="Verdana" w:hAnsi="Verdana"/>
      <w:b w:val="0"/>
      <w:bCs w:val="0"/>
      <w:strike w:val="0"/>
      <w:dstrike w:val="0"/>
      <w:color w:val="CC0000"/>
      <w:sz w:val="15"/>
      <w:szCs w:val="15"/>
      <w:u w:val="none"/>
      <w:effect w:val="none"/>
    </w:rPr>
  </w:style>
  <w:style w:type="character" w:customStyle="1" w:styleId="ju-005fcase-0020char--char">
    <w:name w:val="ju-005fcase-0020char--char"/>
    <w:basedOn w:val="Fuentedeprrafopredeter"/>
    <w:rsid w:val="00A84770"/>
  </w:style>
  <w:style w:type="paragraph" w:customStyle="1" w:styleId="Blockquote">
    <w:name w:val="Blockquote"/>
    <w:basedOn w:val="Normal"/>
    <w:rsid w:val="00A84770"/>
    <w:pPr>
      <w:spacing w:before="100" w:after="100"/>
      <w:ind w:left="360" w:right="360"/>
    </w:pPr>
    <w:rPr>
      <w:rFonts w:eastAsia="Times New Roman"/>
      <w:snapToGrid w:val="0"/>
      <w:szCs w:val="20"/>
    </w:rPr>
  </w:style>
  <w:style w:type="paragraph" w:styleId="TDC5">
    <w:name w:val="toc 5"/>
    <w:basedOn w:val="Normal"/>
    <w:next w:val="Normal"/>
    <w:autoRedefine/>
    <w:semiHidden/>
    <w:rsid w:val="00A84770"/>
    <w:pPr>
      <w:ind w:left="960"/>
    </w:pPr>
    <w:rPr>
      <w:rFonts w:asciiTheme="minorHAnsi" w:hAnsiTheme="minorHAnsi"/>
      <w:sz w:val="20"/>
      <w:szCs w:val="20"/>
    </w:rPr>
  </w:style>
  <w:style w:type="character" w:customStyle="1" w:styleId="TextonotapieCar1">
    <w:name w:val="Texto nota pie Car1"/>
    <w:aliases w:val="ft Car,FA Fu Car,Footnote Text Char Char Char Char Char Car,Footnote Text Char Char Char Char Car,Footnote reference Car,Texto nota pie Car Car,Footnote Text Char Char Char Car,texto de nota al pie Car,FA Fußnotentext Car"/>
    <w:semiHidden/>
    <w:locked/>
    <w:rsid w:val="00A84770"/>
    <w:rPr>
      <w:rFonts w:cs="Times New Roman"/>
      <w:lang w:val="es-ES_tradnl" w:eastAsia="en-US" w:bidi="ar-SA"/>
    </w:rPr>
  </w:style>
  <w:style w:type="paragraph" w:customStyle="1" w:styleId="Car">
    <w:name w:val="Car"/>
    <w:basedOn w:val="Normal"/>
    <w:rsid w:val="00A84770"/>
    <w:pPr>
      <w:spacing w:after="160" w:line="240" w:lineRule="exact"/>
    </w:pPr>
    <w:rPr>
      <w:rFonts w:eastAsia="Times New Roman"/>
      <w:noProof/>
      <w:color w:val="000000"/>
      <w:sz w:val="20"/>
      <w:szCs w:val="20"/>
      <w:lang w:val="es-CO" w:eastAsia="es-ES"/>
    </w:rPr>
  </w:style>
  <w:style w:type="paragraph" w:customStyle="1" w:styleId="Prrafonumerado">
    <w:name w:val="Párrafo numerado"/>
    <w:basedOn w:val="Normal"/>
    <w:autoRedefine/>
    <w:rsid w:val="00A84770"/>
    <w:pPr>
      <w:tabs>
        <w:tab w:val="left" w:pos="0"/>
      </w:tabs>
      <w:ind w:left="720" w:right="760"/>
      <w:jc w:val="both"/>
    </w:pPr>
    <w:rPr>
      <w:rFonts w:ascii="Univers" w:eastAsia="Times New Roman" w:hAnsi="Univers"/>
      <w:sz w:val="18"/>
      <w:szCs w:val="18"/>
      <w:lang w:val="es-CO" w:eastAsia="es-ES"/>
    </w:rPr>
  </w:style>
  <w:style w:type="paragraph" w:styleId="Textoindependiente3">
    <w:name w:val="Body Text 3"/>
    <w:basedOn w:val="Normal"/>
    <w:link w:val="Textoindependiente3Car"/>
    <w:rsid w:val="00A84770"/>
    <w:pPr>
      <w:spacing w:after="120"/>
    </w:pPr>
    <w:rPr>
      <w:rFonts w:eastAsia="Times New Roman"/>
      <w:sz w:val="16"/>
      <w:szCs w:val="16"/>
    </w:rPr>
  </w:style>
  <w:style w:type="character" w:customStyle="1" w:styleId="Textoindependiente3Car">
    <w:name w:val="Texto independiente 3 Car"/>
    <w:basedOn w:val="Fuentedeprrafopredeter"/>
    <w:link w:val="Textoindependiente3"/>
    <w:rsid w:val="00A84770"/>
    <w:rPr>
      <w:rFonts w:ascii="Times New Roman" w:eastAsia="Times New Roman" w:hAnsi="Times New Roman" w:cs="Times New Roman"/>
      <w:sz w:val="16"/>
      <w:szCs w:val="16"/>
    </w:rPr>
  </w:style>
  <w:style w:type="paragraph" w:styleId="Sangra3detindependiente">
    <w:name w:val="Body Text Indent 3"/>
    <w:basedOn w:val="Normal"/>
    <w:link w:val="Sangra3detindependienteCar"/>
    <w:rsid w:val="00A84770"/>
    <w:pPr>
      <w:spacing w:after="120"/>
      <w:ind w:left="360"/>
    </w:pPr>
    <w:rPr>
      <w:rFonts w:eastAsia="Times New Roman"/>
      <w:sz w:val="16"/>
      <w:szCs w:val="16"/>
    </w:rPr>
  </w:style>
  <w:style w:type="character" w:customStyle="1" w:styleId="Sangra3detindependienteCar">
    <w:name w:val="Sangría 3 de t. independiente Car"/>
    <w:basedOn w:val="Fuentedeprrafopredeter"/>
    <w:link w:val="Sangra3detindependiente"/>
    <w:rsid w:val="00A84770"/>
    <w:rPr>
      <w:rFonts w:ascii="Times New Roman" w:eastAsia="Times New Roman" w:hAnsi="Times New Roman" w:cs="Times New Roman"/>
      <w:sz w:val="16"/>
      <w:szCs w:val="16"/>
    </w:rPr>
  </w:style>
  <w:style w:type="character" w:customStyle="1" w:styleId="FootnoteCharacters">
    <w:name w:val="Footnote Characters"/>
    <w:rsid w:val="00A84770"/>
    <w:rPr>
      <w:vertAlign w:val="superscript"/>
    </w:rPr>
  </w:style>
  <w:style w:type="character" w:customStyle="1" w:styleId="WW-FootnoteCharacters">
    <w:name w:val="WW-Footnote Characters"/>
    <w:rsid w:val="00A84770"/>
    <w:rPr>
      <w:rFonts w:ascii="Universal" w:hAnsi="Universal"/>
      <w:sz w:val="16"/>
      <w:vertAlign w:val="superscript"/>
    </w:rPr>
  </w:style>
  <w:style w:type="character" w:customStyle="1" w:styleId="textonavy1">
    <w:name w:val="texto_navy1"/>
    <w:rsid w:val="00A84770"/>
    <w:rPr>
      <w:color w:val="000080"/>
    </w:rPr>
  </w:style>
  <w:style w:type="paragraph" w:customStyle="1" w:styleId="Style3">
    <w:name w:val="Style 3"/>
    <w:basedOn w:val="Normal"/>
    <w:uiPriority w:val="99"/>
    <w:rsid w:val="00A84770"/>
    <w:pPr>
      <w:widowControl w:val="0"/>
      <w:autoSpaceDE w:val="0"/>
      <w:autoSpaceDN w:val="0"/>
      <w:spacing w:line="360" w:lineRule="auto"/>
      <w:jc w:val="both"/>
    </w:pPr>
    <w:rPr>
      <w:rFonts w:eastAsia="Times New Roman"/>
    </w:rPr>
  </w:style>
  <w:style w:type="paragraph" w:customStyle="1" w:styleId="Style5">
    <w:name w:val="Style 5"/>
    <w:basedOn w:val="Normal"/>
    <w:rsid w:val="00A84770"/>
    <w:pPr>
      <w:widowControl w:val="0"/>
      <w:autoSpaceDE w:val="0"/>
      <w:autoSpaceDN w:val="0"/>
      <w:spacing w:before="252" w:line="360" w:lineRule="auto"/>
      <w:jc w:val="both"/>
    </w:pPr>
    <w:rPr>
      <w:rFonts w:eastAsia="Times New Roman"/>
    </w:rPr>
  </w:style>
  <w:style w:type="paragraph" w:customStyle="1" w:styleId="Style7">
    <w:name w:val="Style 7"/>
    <w:basedOn w:val="Normal"/>
    <w:rsid w:val="00A84770"/>
    <w:pPr>
      <w:widowControl w:val="0"/>
      <w:autoSpaceDE w:val="0"/>
      <w:autoSpaceDN w:val="0"/>
      <w:spacing w:before="360" w:line="360" w:lineRule="auto"/>
      <w:ind w:right="72"/>
      <w:jc w:val="both"/>
    </w:pPr>
    <w:rPr>
      <w:rFonts w:eastAsia="Times New Roman"/>
    </w:rPr>
  </w:style>
  <w:style w:type="character" w:styleId="nfasis">
    <w:name w:val="Emphasis"/>
    <w:uiPriority w:val="20"/>
    <w:qFormat/>
    <w:rsid w:val="00A84770"/>
    <w:rPr>
      <w:i/>
      <w:iCs/>
    </w:rPr>
  </w:style>
  <w:style w:type="character" w:styleId="Refdecomentario">
    <w:name w:val="annotation reference"/>
    <w:semiHidden/>
    <w:rsid w:val="00A84770"/>
    <w:rPr>
      <w:sz w:val="16"/>
      <w:szCs w:val="16"/>
    </w:rPr>
  </w:style>
  <w:style w:type="paragraph" w:styleId="Textocomentario">
    <w:name w:val="annotation text"/>
    <w:basedOn w:val="Normal"/>
    <w:link w:val="TextocomentarioCar"/>
    <w:rsid w:val="00A84770"/>
    <w:rPr>
      <w:rFonts w:eastAsia="Times New Roman"/>
      <w:sz w:val="20"/>
      <w:szCs w:val="20"/>
    </w:rPr>
  </w:style>
  <w:style w:type="character" w:customStyle="1" w:styleId="TextocomentarioCar">
    <w:name w:val="Texto comentario Car"/>
    <w:basedOn w:val="Fuentedeprrafopredeter"/>
    <w:link w:val="Textocomentario"/>
    <w:rsid w:val="00A84770"/>
    <w:rPr>
      <w:rFonts w:ascii="Times New Roman" w:eastAsia="Times New Roman" w:hAnsi="Times New Roman" w:cs="Times New Roman"/>
      <w:sz w:val="20"/>
      <w:szCs w:val="20"/>
    </w:rPr>
  </w:style>
  <w:style w:type="character" w:customStyle="1" w:styleId="st1">
    <w:name w:val="st1"/>
    <w:basedOn w:val="Fuentedeprrafopredeter"/>
    <w:rsid w:val="00A84770"/>
  </w:style>
  <w:style w:type="paragraph" w:styleId="Textoindependiente2">
    <w:name w:val="Body Text 2"/>
    <w:basedOn w:val="Normal"/>
    <w:link w:val="Textoindependiente2Car"/>
    <w:unhideWhenUsed/>
    <w:rsid w:val="00A84770"/>
    <w:pPr>
      <w:spacing w:after="120" w:line="480" w:lineRule="auto"/>
    </w:pPr>
  </w:style>
  <w:style w:type="character" w:customStyle="1" w:styleId="Textoindependiente2Car">
    <w:name w:val="Texto independiente 2 Car"/>
    <w:basedOn w:val="Fuentedeprrafopredeter"/>
    <w:link w:val="Textoindependiente2"/>
    <w:rsid w:val="00A84770"/>
    <w:rPr>
      <w:rFonts w:ascii="Times New Roman" w:eastAsia="Arial Unicode MS" w:hAnsi="Times New Roman" w:cs="Times New Roman"/>
    </w:rPr>
  </w:style>
  <w:style w:type="paragraph" w:styleId="Textosinformato">
    <w:name w:val="Plain Text"/>
    <w:basedOn w:val="Normal"/>
    <w:link w:val="TextosinformatoCar"/>
    <w:uiPriority w:val="99"/>
    <w:unhideWhenUsed/>
    <w:rsid w:val="00A84770"/>
    <w:rPr>
      <w:rFonts w:ascii="Consolas" w:hAnsi="Consolas" w:cs="Consolas"/>
      <w:sz w:val="21"/>
      <w:szCs w:val="21"/>
    </w:rPr>
  </w:style>
  <w:style w:type="character" w:customStyle="1" w:styleId="TextosinformatoCar">
    <w:name w:val="Texto sin formato Car"/>
    <w:basedOn w:val="Fuentedeprrafopredeter"/>
    <w:link w:val="Textosinformato"/>
    <w:uiPriority w:val="99"/>
    <w:rsid w:val="00A84770"/>
    <w:rPr>
      <w:rFonts w:ascii="Consolas" w:eastAsia="Arial Unicode MS" w:hAnsi="Consolas" w:cs="Consolas"/>
      <w:sz w:val="21"/>
      <w:szCs w:val="21"/>
    </w:rPr>
  </w:style>
  <w:style w:type="character" w:customStyle="1" w:styleId="PrrafodelistaCar">
    <w:name w:val="Párrafo de lista Car"/>
    <w:aliases w:val="Párrafo de lista1 Car,List Paragraph1 Car,List Paragraph11 Car"/>
    <w:link w:val="Prrafodelista"/>
    <w:uiPriority w:val="34"/>
    <w:locked/>
    <w:rsid w:val="00A84770"/>
    <w:rPr>
      <w:rFonts w:ascii="Cambria" w:eastAsia="Cambria" w:hAnsi="Cambria" w:cs="Cambria"/>
      <w:color w:val="000000"/>
      <w:u w:color="000000"/>
      <w:bdr w:val="nil"/>
      <w:lang w:eastAsia="es-ES"/>
    </w:rPr>
  </w:style>
  <w:style w:type="character" w:customStyle="1" w:styleId="BodyTextChar1">
    <w:name w:val="Body Text Char1"/>
    <w:aliases w:val="Body Text Char Char,Body Text Char Car Car Car Car Car Car Car Car Car Car Car Car Car Char,Body Text Char Car Car Car Car Car Car Car Car Car Car Car Car Char"/>
    <w:semiHidden/>
    <w:locked/>
    <w:rsid w:val="00A84770"/>
    <w:rPr>
      <w:rFonts w:ascii="Univers" w:eastAsia="Batang" w:hAnsi="Univers"/>
      <w:spacing w:val="-2"/>
      <w:sz w:val="22"/>
      <w:lang w:val="es-ES_tradnl" w:eastAsia="en-US" w:bidi="ar-SA"/>
    </w:rPr>
  </w:style>
  <w:style w:type="character" w:customStyle="1" w:styleId="FootnoteTextChar2">
    <w:name w:val="Footnote Text Char2"/>
    <w:aliases w:val="Footnote Text Char Char Char Char Char Char2,Footnote Text Char Char Char Char Char11,Footnote reference Char2,FA Fu Char2,Footnote Text Char Char Char Char11,Footnote Text Cha Char2,FA Fußnotentext Char2,FA Fuﬂnotentext Char2,f Cha"/>
    <w:semiHidden/>
    <w:locked/>
    <w:rsid w:val="00A84770"/>
    <w:rPr>
      <w:rFonts w:ascii="Univers" w:hAnsi="Univers" w:cs="Times New Roman"/>
      <w:lang w:val="es-ES_tradnl" w:eastAsia="x-none"/>
    </w:rPr>
  </w:style>
  <w:style w:type="paragraph" w:styleId="Subttulo">
    <w:name w:val="Subtitle"/>
    <w:basedOn w:val="Normal"/>
    <w:link w:val="SubttuloCar"/>
    <w:qFormat/>
    <w:rsid w:val="00A84770"/>
    <w:pPr>
      <w:spacing w:after="60"/>
      <w:jc w:val="center"/>
      <w:outlineLvl w:val="1"/>
    </w:pPr>
    <w:rPr>
      <w:rFonts w:ascii="Arial" w:eastAsia="Batang" w:hAnsi="Arial" w:cs="Arial"/>
      <w:lang w:val="es-ES_tradnl"/>
    </w:rPr>
  </w:style>
  <w:style w:type="character" w:customStyle="1" w:styleId="SubttuloCar">
    <w:name w:val="Subtítulo Car"/>
    <w:basedOn w:val="Fuentedeprrafopredeter"/>
    <w:link w:val="Subttulo"/>
    <w:rsid w:val="00A84770"/>
    <w:rPr>
      <w:rFonts w:ascii="Arial" w:eastAsia="Batang" w:hAnsi="Arial" w:cs="Arial"/>
      <w:lang w:val="es-ES_tradnl"/>
    </w:rPr>
  </w:style>
  <w:style w:type="paragraph" w:styleId="Lista2">
    <w:name w:val="List 2"/>
    <w:basedOn w:val="Normal"/>
    <w:rsid w:val="00A84770"/>
    <w:pPr>
      <w:ind w:left="720" w:hanging="360"/>
    </w:pPr>
    <w:rPr>
      <w:rFonts w:ascii="Univers" w:eastAsia="Batang" w:hAnsi="Univers"/>
      <w:sz w:val="22"/>
      <w:szCs w:val="20"/>
      <w:lang w:val="es-ES_tradnl"/>
    </w:rPr>
  </w:style>
  <w:style w:type="character" w:customStyle="1" w:styleId="NormalWebChar">
    <w:name w:val="Normal (Web) Char"/>
    <w:aliases w:val="Normal (Web) Char1 Char1,Normal (Web) Char Char Char1,Normal (Web) Char1 Char Char,Normal (Web) Char Char Char Char"/>
    <w:rsid w:val="00A84770"/>
    <w:rPr>
      <w:sz w:val="24"/>
      <w:lang w:val="en-US" w:eastAsia="en-US"/>
    </w:rPr>
  </w:style>
  <w:style w:type="paragraph" w:styleId="Textodebloque">
    <w:name w:val="Block Text"/>
    <w:basedOn w:val="Normal"/>
    <w:rsid w:val="00A84770"/>
    <w:pPr>
      <w:ind w:left="720" w:right="720"/>
      <w:jc w:val="both"/>
    </w:pPr>
    <w:rPr>
      <w:rFonts w:ascii="Univers" w:eastAsia="Batang" w:hAnsi="Univers"/>
      <w:sz w:val="18"/>
      <w:szCs w:val="20"/>
      <w:lang w:val="es-ES_tradnl"/>
    </w:rPr>
  </w:style>
  <w:style w:type="paragraph" w:styleId="Lista3">
    <w:name w:val="List 3"/>
    <w:basedOn w:val="Normal"/>
    <w:rsid w:val="00A84770"/>
    <w:pPr>
      <w:ind w:left="1080" w:hanging="360"/>
    </w:pPr>
    <w:rPr>
      <w:rFonts w:ascii="Univers" w:eastAsia="Batang" w:hAnsi="Univers"/>
      <w:sz w:val="22"/>
      <w:szCs w:val="20"/>
      <w:lang w:val="es-ES_tradnl"/>
    </w:rPr>
  </w:style>
  <w:style w:type="paragraph" w:customStyle="1" w:styleId="Sangradetindependiente">
    <w:name w:val="SangrÌa de t. independiente"/>
    <w:basedOn w:val="Normal"/>
    <w:rsid w:val="00A84770"/>
    <w:pPr>
      <w:suppressAutoHyphens/>
      <w:spacing w:line="360" w:lineRule="atLeast"/>
    </w:pPr>
    <w:rPr>
      <w:rFonts w:ascii="Garamond" w:eastAsia="Batang" w:hAnsi="Garamond"/>
      <w:szCs w:val="20"/>
      <w:lang w:val="es-ES_tradnl" w:eastAsia="ar-SA"/>
    </w:rPr>
  </w:style>
  <w:style w:type="character" w:styleId="Hipervnculovisitado">
    <w:name w:val="FollowedHyperlink"/>
    <w:rsid w:val="00A84770"/>
    <w:rPr>
      <w:rFonts w:cs="Times New Roman"/>
      <w:color w:val="800080"/>
      <w:u w:val="single"/>
    </w:rPr>
  </w:style>
  <w:style w:type="character" w:customStyle="1" w:styleId="ifinal011">
    <w:name w:val="ifinal011"/>
    <w:rsid w:val="00A84770"/>
    <w:rPr>
      <w:rFonts w:ascii="Verdana" w:hAnsi="Verdana"/>
      <w:color w:val="003399"/>
      <w:sz w:val="12"/>
    </w:rPr>
  </w:style>
  <w:style w:type="paragraph" w:customStyle="1" w:styleId="PlaceholderText1">
    <w:name w:val="Placeholder Text1"/>
    <w:basedOn w:val="Normal"/>
    <w:rsid w:val="00A84770"/>
    <w:pPr>
      <w:keepNext/>
      <w:tabs>
        <w:tab w:val="num" w:pos="0"/>
      </w:tabs>
      <w:outlineLvl w:val="0"/>
    </w:pPr>
    <w:rPr>
      <w:rFonts w:ascii="Verdana" w:eastAsia="MS Gothic" w:hAnsi="Verdana"/>
      <w:sz w:val="20"/>
      <w:lang w:val="es-ES_tradnl"/>
    </w:rPr>
  </w:style>
  <w:style w:type="paragraph" w:styleId="Sinespaciado">
    <w:name w:val="No Spacing"/>
    <w:basedOn w:val="Normal"/>
    <w:uiPriority w:val="1"/>
    <w:qFormat/>
    <w:rsid w:val="00A84770"/>
    <w:pPr>
      <w:keepNext/>
      <w:numPr>
        <w:numId w:val="55"/>
      </w:numPr>
      <w:tabs>
        <w:tab w:val="clear" w:pos="0"/>
        <w:tab w:val="num" w:pos="720"/>
      </w:tabs>
      <w:ind w:left="1080" w:hanging="360"/>
      <w:outlineLvl w:val="1"/>
    </w:pPr>
    <w:rPr>
      <w:rFonts w:ascii="Verdana" w:eastAsia="MS Gothic" w:hAnsi="Verdana"/>
      <w:sz w:val="20"/>
      <w:lang w:val="es-ES_tradnl"/>
    </w:rPr>
  </w:style>
  <w:style w:type="paragraph" w:customStyle="1" w:styleId="LightShading1">
    <w:name w:val="Light Shading1"/>
    <w:basedOn w:val="Normal"/>
    <w:rsid w:val="00A84770"/>
    <w:pPr>
      <w:keepNext/>
      <w:numPr>
        <w:ilvl w:val="1"/>
        <w:numId w:val="55"/>
      </w:numPr>
      <w:tabs>
        <w:tab w:val="clear" w:pos="720"/>
        <w:tab w:val="num" w:pos="1440"/>
      </w:tabs>
      <w:ind w:left="1800"/>
      <w:outlineLvl w:val="2"/>
    </w:pPr>
    <w:rPr>
      <w:rFonts w:ascii="Verdana" w:eastAsia="MS Gothic" w:hAnsi="Verdana"/>
      <w:sz w:val="20"/>
      <w:lang w:val="es-ES_tradnl"/>
    </w:rPr>
  </w:style>
  <w:style w:type="paragraph" w:customStyle="1" w:styleId="LightList1">
    <w:name w:val="Light List1"/>
    <w:basedOn w:val="Normal"/>
    <w:rsid w:val="00A84770"/>
    <w:pPr>
      <w:keepNext/>
      <w:numPr>
        <w:ilvl w:val="2"/>
        <w:numId w:val="55"/>
      </w:numPr>
      <w:tabs>
        <w:tab w:val="clear" w:pos="1440"/>
        <w:tab w:val="num" w:pos="2160"/>
      </w:tabs>
      <w:ind w:left="2520"/>
      <w:outlineLvl w:val="3"/>
    </w:pPr>
    <w:rPr>
      <w:rFonts w:ascii="Verdana" w:eastAsia="MS Gothic" w:hAnsi="Verdana"/>
      <w:sz w:val="20"/>
      <w:lang w:val="es-ES_tradnl"/>
    </w:rPr>
  </w:style>
  <w:style w:type="paragraph" w:customStyle="1" w:styleId="LightGrid1">
    <w:name w:val="Light Grid1"/>
    <w:basedOn w:val="Normal"/>
    <w:rsid w:val="00A84770"/>
    <w:pPr>
      <w:keepNext/>
      <w:numPr>
        <w:ilvl w:val="3"/>
        <w:numId w:val="55"/>
      </w:numPr>
      <w:tabs>
        <w:tab w:val="clear" w:pos="2160"/>
        <w:tab w:val="num" w:pos="2880"/>
      </w:tabs>
      <w:ind w:left="3240"/>
      <w:outlineLvl w:val="4"/>
    </w:pPr>
    <w:rPr>
      <w:rFonts w:ascii="Verdana" w:eastAsia="MS Gothic" w:hAnsi="Verdana"/>
      <w:sz w:val="20"/>
      <w:lang w:val="es-ES_tradnl"/>
    </w:rPr>
  </w:style>
  <w:style w:type="paragraph" w:customStyle="1" w:styleId="MediumShading11">
    <w:name w:val="Medium Shading 11"/>
    <w:basedOn w:val="Normal"/>
    <w:rsid w:val="00A84770"/>
    <w:pPr>
      <w:keepNext/>
      <w:numPr>
        <w:ilvl w:val="4"/>
        <w:numId w:val="55"/>
      </w:numPr>
      <w:tabs>
        <w:tab w:val="clear" w:pos="2880"/>
        <w:tab w:val="num" w:pos="3600"/>
      </w:tabs>
      <w:ind w:left="3960"/>
      <w:outlineLvl w:val="5"/>
    </w:pPr>
    <w:rPr>
      <w:rFonts w:ascii="Verdana" w:eastAsia="MS Gothic" w:hAnsi="Verdana"/>
      <w:sz w:val="20"/>
      <w:lang w:val="es-ES_tradnl"/>
    </w:rPr>
  </w:style>
  <w:style w:type="paragraph" w:customStyle="1" w:styleId="MediumShading21">
    <w:name w:val="Medium Shading 21"/>
    <w:basedOn w:val="Normal"/>
    <w:rsid w:val="00A84770"/>
    <w:pPr>
      <w:keepNext/>
      <w:numPr>
        <w:ilvl w:val="5"/>
        <w:numId w:val="55"/>
      </w:numPr>
      <w:tabs>
        <w:tab w:val="clear" w:pos="3600"/>
        <w:tab w:val="num" w:pos="4320"/>
      </w:tabs>
      <w:ind w:left="4680"/>
      <w:outlineLvl w:val="6"/>
    </w:pPr>
    <w:rPr>
      <w:rFonts w:ascii="Verdana" w:eastAsia="MS Gothic" w:hAnsi="Verdana"/>
      <w:sz w:val="20"/>
      <w:lang w:val="es-ES_tradnl"/>
    </w:rPr>
  </w:style>
  <w:style w:type="paragraph" w:customStyle="1" w:styleId="MediumList11">
    <w:name w:val="Medium List 11"/>
    <w:basedOn w:val="Normal"/>
    <w:rsid w:val="00A84770"/>
    <w:pPr>
      <w:keepNext/>
      <w:numPr>
        <w:ilvl w:val="6"/>
        <w:numId w:val="55"/>
      </w:numPr>
      <w:tabs>
        <w:tab w:val="clear" w:pos="4320"/>
        <w:tab w:val="num" w:pos="5040"/>
      </w:tabs>
      <w:ind w:left="5400"/>
      <w:outlineLvl w:val="7"/>
    </w:pPr>
    <w:rPr>
      <w:rFonts w:ascii="Verdana" w:eastAsia="MS Gothic" w:hAnsi="Verdana"/>
      <w:sz w:val="20"/>
      <w:lang w:val="es-ES_tradnl"/>
    </w:rPr>
  </w:style>
  <w:style w:type="paragraph" w:customStyle="1" w:styleId="MediumList21">
    <w:name w:val="Medium List 21"/>
    <w:basedOn w:val="Normal"/>
    <w:rsid w:val="00A84770"/>
    <w:pPr>
      <w:keepNext/>
      <w:numPr>
        <w:ilvl w:val="7"/>
        <w:numId w:val="55"/>
      </w:numPr>
      <w:tabs>
        <w:tab w:val="clear" w:pos="5040"/>
        <w:tab w:val="num" w:pos="5760"/>
      </w:tabs>
      <w:ind w:left="6120"/>
      <w:outlineLvl w:val="8"/>
    </w:pPr>
    <w:rPr>
      <w:rFonts w:ascii="Verdana" w:eastAsia="MS Gothic" w:hAnsi="Verdana"/>
      <w:sz w:val="20"/>
      <w:lang w:val="es-ES_tradnl"/>
    </w:rPr>
  </w:style>
  <w:style w:type="paragraph" w:customStyle="1" w:styleId="Estilo5">
    <w:name w:val="Estilo5"/>
    <w:basedOn w:val="Ttulo1"/>
    <w:next w:val="Normal"/>
    <w:rsid w:val="00A84770"/>
    <w:pPr>
      <w:numPr>
        <w:ilvl w:val="8"/>
        <w:numId w:val="55"/>
      </w:numPr>
      <w:tabs>
        <w:tab w:val="clear" w:pos="5760"/>
      </w:tabs>
      <w:spacing w:before="240" w:after="60"/>
      <w:ind w:left="0" w:firstLine="0"/>
      <w:jc w:val="both"/>
    </w:pPr>
    <w:rPr>
      <w:rFonts w:ascii="Verdana" w:eastAsia="Batang" w:hAnsi="Verdana" w:cs="Arial"/>
      <w:b w:val="0"/>
      <w:bCs/>
      <w:kern w:val="32"/>
      <w:szCs w:val="24"/>
      <w:lang w:val="en-US"/>
    </w:rPr>
  </w:style>
  <w:style w:type="character" w:customStyle="1" w:styleId="FootnoteTextChar1">
    <w:name w:val="Footnote Text Char1"/>
    <w:aliases w:val="Footnote Text Char Char Char Char Char Char1,Footnote Text Char Char Char Char Char2,Footnote reference Char1,FA Fu Char1,Footnote Text Char Char Char Char2,Footnote Text Cha Char1,FA Fußnotentext Char1,FA Fuﬂnotentext Char1,Ca Char1"/>
    <w:locked/>
    <w:rsid w:val="00A84770"/>
    <w:rPr>
      <w:rFonts w:ascii="Univers" w:eastAsia="Batang" w:hAnsi="Univers"/>
      <w:lang w:val="es-CO" w:eastAsia="en-US" w:bidi="ar-SA"/>
    </w:rPr>
  </w:style>
  <w:style w:type="character" w:customStyle="1" w:styleId="apple-converted-space">
    <w:name w:val="apple-converted-space"/>
    <w:rsid w:val="00A84770"/>
    <w:rPr>
      <w:rFonts w:cs="Times New Roman"/>
    </w:rPr>
  </w:style>
  <w:style w:type="paragraph" w:customStyle="1" w:styleId="Estilo7">
    <w:name w:val="Estilo7"/>
    <w:basedOn w:val="Normal"/>
    <w:rsid w:val="00A84770"/>
    <w:pPr>
      <w:numPr>
        <w:ilvl w:val="2"/>
        <w:numId w:val="56"/>
      </w:numPr>
      <w:tabs>
        <w:tab w:val="left" w:pos="567"/>
        <w:tab w:val="left" w:pos="851"/>
      </w:tabs>
      <w:spacing w:before="120" w:after="120"/>
      <w:jc w:val="both"/>
    </w:pPr>
    <w:rPr>
      <w:rFonts w:ascii="Verdana" w:eastAsia="Batang" w:hAnsi="Verdana"/>
      <w:b/>
      <w:i/>
      <w:sz w:val="20"/>
      <w:szCs w:val="20"/>
      <w:lang w:val="es-ES_tradnl" w:eastAsia="es-MX"/>
    </w:rPr>
  </w:style>
  <w:style w:type="character" w:customStyle="1" w:styleId="skypepnhprintcontainer">
    <w:name w:val="skype_pnh_print_container"/>
    <w:rsid w:val="00A84770"/>
    <w:rPr>
      <w:rFonts w:cs="Times New Roman"/>
    </w:rPr>
  </w:style>
  <w:style w:type="character" w:customStyle="1" w:styleId="skypepnhcontainer">
    <w:name w:val="skype_pnh_container"/>
    <w:rsid w:val="00A84770"/>
    <w:rPr>
      <w:rFonts w:cs="Times New Roman"/>
    </w:rPr>
  </w:style>
  <w:style w:type="character" w:customStyle="1" w:styleId="s6b621b36">
    <w:name w:val="s6b621b36"/>
    <w:rsid w:val="00A84770"/>
    <w:rPr>
      <w:rFonts w:cs="Times New Roman"/>
    </w:rPr>
  </w:style>
  <w:style w:type="character" w:customStyle="1" w:styleId="tituloarticulo1">
    <w:name w:val="titulo_articulo1"/>
    <w:rsid w:val="00A84770"/>
    <w:rPr>
      <w:rFonts w:ascii="Arial" w:hAnsi="Arial"/>
      <w:b/>
      <w:sz w:val="36"/>
    </w:rPr>
  </w:style>
  <w:style w:type="paragraph" w:styleId="Asuntodelcomentario">
    <w:name w:val="annotation subject"/>
    <w:basedOn w:val="Textocomentario"/>
    <w:next w:val="Textocomentario"/>
    <w:link w:val="AsuntodelcomentarioCar"/>
    <w:semiHidden/>
    <w:rsid w:val="00A84770"/>
    <w:rPr>
      <w:rFonts w:ascii="Univers" w:eastAsia="Batang" w:hAnsi="Univers"/>
      <w:sz w:val="22"/>
      <w:lang w:val="es-ES_tradnl"/>
    </w:rPr>
  </w:style>
  <w:style w:type="character" w:customStyle="1" w:styleId="AsuntodelcomentarioCar">
    <w:name w:val="Asunto del comentario Car"/>
    <w:basedOn w:val="TextocomentarioCar"/>
    <w:link w:val="Asuntodelcomentario"/>
    <w:semiHidden/>
    <w:rsid w:val="00A84770"/>
    <w:rPr>
      <w:rFonts w:ascii="Univers" w:eastAsia="Batang" w:hAnsi="Univers" w:cs="Times New Roman"/>
      <w:sz w:val="22"/>
      <w:szCs w:val="20"/>
      <w:lang w:val="es-ES_tradnl"/>
    </w:rPr>
  </w:style>
  <w:style w:type="character" w:customStyle="1" w:styleId="ListParagraphChar1">
    <w:name w:val="List Paragraph Char1"/>
    <w:aliases w:val="Footnote Char2"/>
    <w:locked/>
    <w:rsid w:val="00A84770"/>
    <w:rPr>
      <w:rFonts w:ascii="Verdana" w:hAnsi="Verdana"/>
      <w:lang w:val="es-ES_tradnl" w:eastAsia="x-none"/>
    </w:rPr>
  </w:style>
  <w:style w:type="paragraph" w:styleId="Revisin">
    <w:name w:val="Revision"/>
    <w:hidden/>
    <w:uiPriority w:val="71"/>
    <w:rsid w:val="00A84770"/>
    <w:rPr>
      <w:rFonts w:ascii="Univers" w:eastAsia="Batang" w:hAnsi="Univers" w:cs="Times New Roman"/>
      <w:sz w:val="22"/>
      <w:lang w:val="es-ES_tradnl"/>
    </w:rPr>
  </w:style>
  <w:style w:type="character" w:customStyle="1" w:styleId="apple-style-span">
    <w:name w:val="apple-style-span"/>
    <w:rsid w:val="00A84770"/>
  </w:style>
  <w:style w:type="character" w:customStyle="1" w:styleId="DefaultChar">
    <w:name w:val="Default Char"/>
    <w:link w:val="Default"/>
    <w:rsid w:val="00A84770"/>
    <w:rPr>
      <w:rFonts w:ascii="Times New Roman" w:eastAsia="Times New Roman" w:hAnsi="Times New Roman" w:cs="Times New Roman"/>
      <w:color w:val="000000"/>
    </w:rPr>
  </w:style>
  <w:style w:type="paragraph" w:styleId="TtulodeTDC">
    <w:name w:val="TOC Heading"/>
    <w:basedOn w:val="Ttulo1"/>
    <w:next w:val="Normal"/>
    <w:uiPriority w:val="39"/>
    <w:unhideWhenUsed/>
    <w:qFormat/>
    <w:rsid w:val="00A84770"/>
    <w:pPr>
      <w:keepLines/>
      <w:spacing w:before="480" w:line="276" w:lineRule="auto"/>
      <w:outlineLvl w:val="9"/>
    </w:pPr>
    <w:rPr>
      <w:rFonts w:eastAsia="MS Gothic"/>
      <w:bCs/>
      <w:color w:val="365F91"/>
      <w:sz w:val="28"/>
      <w:szCs w:val="28"/>
      <w:lang w:val="en-US" w:eastAsia="ja-JP"/>
    </w:rPr>
  </w:style>
  <w:style w:type="paragraph" w:customStyle="1" w:styleId="ColorfulList-Accent12">
    <w:name w:val="Colorful List - Accent 12"/>
    <w:link w:val="ColorfulList-Accent1Char"/>
    <w:uiPriority w:val="34"/>
    <w:qFormat/>
    <w:rsid w:val="00A84770"/>
    <w:pPr>
      <w:pBdr>
        <w:top w:val="nil"/>
        <w:left w:val="nil"/>
        <w:bottom w:val="nil"/>
        <w:right w:val="nil"/>
        <w:between w:val="nil"/>
        <w:bar w:val="nil"/>
      </w:pBdr>
      <w:ind w:left="720"/>
    </w:pPr>
    <w:rPr>
      <w:rFonts w:ascii="Cambria" w:eastAsia="Cambria" w:hAnsi="Cambria" w:cs="Cambria"/>
      <w:color w:val="000000"/>
      <w:u w:color="000000"/>
      <w:bdr w:val="nil"/>
      <w:lang w:eastAsia="es-ES"/>
    </w:rPr>
  </w:style>
  <w:style w:type="character" w:customStyle="1" w:styleId="ColorfulList-Accent1Char">
    <w:name w:val="Colorful List - Accent 1 Char"/>
    <w:link w:val="ColorfulList-Accent12"/>
    <w:uiPriority w:val="34"/>
    <w:locked/>
    <w:rsid w:val="00A84770"/>
    <w:rPr>
      <w:rFonts w:ascii="Cambria" w:eastAsia="Cambria" w:hAnsi="Cambria" w:cs="Cambria"/>
      <w:color w:val="000000"/>
      <w:u w:color="000000"/>
      <w:bdr w:val="nil"/>
      <w:lang w:eastAsia="es-ES"/>
    </w:rPr>
  </w:style>
  <w:style w:type="paragraph" w:customStyle="1" w:styleId="footnote">
    <w:name w:val="footnote"/>
    <w:basedOn w:val="NormalWeb"/>
    <w:rsid w:val="00A84770"/>
  </w:style>
  <w:style w:type="character" w:styleId="Textodelmarcadordeposicin">
    <w:name w:val="Placeholder Text"/>
    <w:uiPriority w:val="99"/>
    <w:semiHidden/>
    <w:rsid w:val="00A84770"/>
    <w:rPr>
      <w:color w:val="808080"/>
    </w:rPr>
  </w:style>
  <w:style w:type="character" w:customStyle="1" w:styleId="sb8d990e2">
    <w:name w:val="sb8d990e2"/>
    <w:basedOn w:val="Fuentedeprrafopredeter"/>
    <w:rsid w:val="00A84770"/>
  </w:style>
  <w:style w:type="paragraph" w:styleId="HTMLconformatoprevio">
    <w:name w:val="HTML Preformatted"/>
    <w:basedOn w:val="Normal"/>
    <w:link w:val="HTMLconformatoprevioCar"/>
    <w:uiPriority w:val="99"/>
    <w:unhideWhenUsed/>
    <w:rsid w:val="00A84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rsid w:val="00A84770"/>
    <w:rPr>
      <w:rFonts w:ascii="Courier New" w:eastAsia="Times New Roman" w:hAnsi="Courier New" w:cs="Courier New"/>
      <w:sz w:val="20"/>
      <w:szCs w:val="20"/>
    </w:r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link w:val="Refdenotaalpie"/>
    <w:rsid w:val="00A84770"/>
    <w:pPr>
      <w:spacing w:before="200" w:after="160" w:line="240" w:lineRule="exact"/>
    </w:pPr>
    <w:rPr>
      <w:rFonts w:ascii="Verdana" w:eastAsiaTheme="minorHAnsi" w:hAnsi="Verdana" w:cstheme="minorBidi"/>
      <w:sz w:val="22"/>
      <w:vertAlign w:val="superscript"/>
    </w:rPr>
  </w:style>
  <w:style w:type="paragraph" w:styleId="Textonotaalfinal">
    <w:name w:val="endnote text"/>
    <w:basedOn w:val="Normal"/>
    <w:link w:val="TextonotaalfinalCar"/>
    <w:uiPriority w:val="99"/>
    <w:semiHidden/>
    <w:unhideWhenUsed/>
    <w:rsid w:val="00A84770"/>
    <w:rPr>
      <w:sz w:val="20"/>
      <w:szCs w:val="20"/>
    </w:rPr>
  </w:style>
  <w:style w:type="character" w:customStyle="1" w:styleId="TextonotaalfinalCar">
    <w:name w:val="Texto nota al final Car"/>
    <w:basedOn w:val="Fuentedeprrafopredeter"/>
    <w:link w:val="Textonotaalfinal"/>
    <w:uiPriority w:val="99"/>
    <w:semiHidden/>
    <w:rsid w:val="00A84770"/>
    <w:rPr>
      <w:rFonts w:ascii="Times New Roman" w:eastAsia="Arial Unicode MS" w:hAnsi="Times New Roman" w:cs="Times New Roman"/>
      <w:sz w:val="20"/>
      <w:szCs w:val="20"/>
    </w:rPr>
  </w:style>
  <w:style w:type="character" w:styleId="Refdenotaalfinal">
    <w:name w:val="endnote reference"/>
    <w:uiPriority w:val="99"/>
    <w:semiHidden/>
    <w:unhideWhenUsed/>
    <w:rsid w:val="00A84770"/>
    <w:rPr>
      <w:vertAlign w:val="superscript"/>
    </w:rPr>
  </w:style>
  <w:style w:type="table" w:styleId="Cuadrculamedia1">
    <w:name w:val="Medium Grid 1"/>
    <w:basedOn w:val="Tablanormal"/>
    <w:uiPriority w:val="67"/>
    <w:rsid w:val="00A84770"/>
    <w:rPr>
      <w:rFonts w:ascii="Times New Roman" w:eastAsia="Arial Unicode MS" w:hAnsi="Times New Roman" w:cs="Times New Roman"/>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Cuadrculaclara">
    <w:name w:val="Light Grid"/>
    <w:basedOn w:val="Tablanormal"/>
    <w:uiPriority w:val="62"/>
    <w:rsid w:val="00A84770"/>
    <w:rPr>
      <w:rFonts w:ascii="Times New Roman" w:eastAsia="Arial Unicode MS"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MS Gothic"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MS Gothic"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MS Gothic" w:hAnsi="Cambria" w:cs="Times New Roman"/>
        <w:b/>
        <w:bCs/>
      </w:rPr>
    </w:tblStylePr>
    <w:tblStylePr w:type="lastCol">
      <w:rPr>
        <w:rFonts w:ascii="Cambria" w:eastAsia="MS Gothic"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
    <w:name w:val="Light Grid2"/>
    <w:basedOn w:val="Tablanormal"/>
    <w:next w:val="Cuadrculaclara"/>
    <w:uiPriority w:val="62"/>
    <w:rsid w:val="00A84770"/>
    <w:rPr>
      <w:rFonts w:ascii="Times New Roman" w:eastAsia="Arial Unicode MS"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MS Gothic"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MS Gothic"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MS Gothic" w:hAnsi="Cambria" w:cs="Times New Roman"/>
        <w:b/>
        <w:bCs/>
      </w:rPr>
    </w:tblStylePr>
    <w:tblStylePr w:type="lastCol">
      <w:rPr>
        <w:rFonts w:ascii="Cambria" w:eastAsia="MS Gothic"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ColorfulList-Accent11">
    <w:name w:val="Colorful List - Accent 11"/>
    <w:uiPriority w:val="34"/>
    <w:qFormat/>
    <w:rsid w:val="00A84770"/>
    <w:pPr>
      <w:pBdr>
        <w:top w:val="nil"/>
        <w:left w:val="nil"/>
        <w:bottom w:val="nil"/>
        <w:right w:val="nil"/>
        <w:between w:val="nil"/>
        <w:bar w:val="nil"/>
      </w:pBdr>
      <w:ind w:left="720"/>
    </w:pPr>
    <w:rPr>
      <w:rFonts w:ascii="Cambria" w:eastAsia="Cambria" w:hAnsi="Cambria" w:cs="Cambria"/>
      <w:color w:val="000000"/>
      <w:u w:color="000000"/>
      <w:bdr w:val="nil"/>
      <w:lang w:eastAsia="es-ES"/>
    </w:rPr>
  </w:style>
  <w:style w:type="character" w:customStyle="1" w:styleId="BodyTextIndentChar1">
    <w:name w:val="Body Text Indent Char1"/>
    <w:locked/>
    <w:rsid w:val="00A84770"/>
    <w:rPr>
      <w:rFonts w:eastAsia="Times New Roman"/>
      <w:color w:val="000000"/>
      <w:sz w:val="24"/>
      <w:szCs w:val="24"/>
      <w:u w:color="000000"/>
      <w:lang w:val="es-ES_tradnl"/>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qFormat/>
    <w:rsid w:val="00A84770"/>
    <w:pPr>
      <w:spacing w:after="160" w:line="240" w:lineRule="exact"/>
    </w:pPr>
    <w:rPr>
      <w:sz w:val="20"/>
      <w:szCs w:val="20"/>
      <w:vertAlign w:val="superscript"/>
      <w:lang w:val="es-ES" w:eastAsia="es-ES"/>
    </w:rPr>
  </w:style>
  <w:style w:type="paragraph" w:customStyle="1" w:styleId="1">
    <w:name w:val="1"/>
    <w:basedOn w:val="Normal"/>
    <w:uiPriority w:val="99"/>
    <w:rsid w:val="00A84770"/>
    <w:pPr>
      <w:spacing w:after="160" w:line="240" w:lineRule="exact"/>
    </w:pPr>
    <w:rPr>
      <w:rFonts w:ascii="Calibri" w:eastAsia="Calibri" w:hAnsi="Calibri"/>
      <w:vertAlign w:val="superscript"/>
    </w:rPr>
  </w:style>
  <w:style w:type="paragraph" w:customStyle="1" w:styleId="section1">
    <w:name w:val="section1"/>
    <w:basedOn w:val="Normal"/>
    <w:rsid w:val="00A84770"/>
    <w:pPr>
      <w:spacing w:before="100" w:beforeAutospacing="1" w:after="100" w:afterAutospacing="1"/>
    </w:pPr>
    <w:rPr>
      <w:rFonts w:eastAsia="Times New Roman"/>
    </w:rPr>
  </w:style>
  <w:style w:type="paragraph" w:customStyle="1" w:styleId="p1">
    <w:name w:val="p1"/>
    <w:basedOn w:val="Normal"/>
    <w:rsid w:val="00A84770"/>
    <w:rPr>
      <w:rFonts w:ascii="Times" w:hAnsi="Times"/>
      <w:sz w:val="18"/>
      <w:szCs w:val="18"/>
    </w:rPr>
  </w:style>
  <w:style w:type="paragraph" w:styleId="TDC6">
    <w:name w:val="toc 6"/>
    <w:basedOn w:val="Normal"/>
    <w:next w:val="Normal"/>
    <w:autoRedefine/>
    <w:uiPriority w:val="39"/>
    <w:semiHidden/>
    <w:unhideWhenUsed/>
    <w:rsid w:val="00A84770"/>
    <w:pPr>
      <w:ind w:left="1200"/>
    </w:pPr>
    <w:rPr>
      <w:rFonts w:asciiTheme="minorHAnsi" w:hAnsiTheme="minorHAnsi"/>
      <w:sz w:val="20"/>
      <w:szCs w:val="20"/>
    </w:rPr>
  </w:style>
  <w:style w:type="paragraph" w:styleId="TDC7">
    <w:name w:val="toc 7"/>
    <w:basedOn w:val="Normal"/>
    <w:next w:val="Normal"/>
    <w:autoRedefine/>
    <w:uiPriority w:val="39"/>
    <w:semiHidden/>
    <w:unhideWhenUsed/>
    <w:rsid w:val="00A84770"/>
    <w:pPr>
      <w:ind w:left="1440"/>
    </w:pPr>
    <w:rPr>
      <w:rFonts w:asciiTheme="minorHAnsi" w:hAnsiTheme="minorHAnsi"/>
      <w:sz w:val="20"/>
      <w:szCs w:val="20"/>
    </w:rPr>
  </w:style>
  <w:style w:type="paragraph" w:styleId="TDC8">
    <w:name w:val="toc 8"/>
    <w:basedOn w:val="Normal"/>
    <w:next w:val="Normal"/>
    <w:autoRedefine/>
    <w:uiPriority w:val="39"/>
    <w:semiHidden/>
    <w:unhideWhenUsed/>
    <w:rsid w:val="00A84770"/>
    <w:pPr>
      <w:ind w:left="1680"/>
    </w:pPr>
    <w:rPr>
      <w:rFonts w:asciiTheme="minorHAnsi" w:hAnsiTheme="minorHAnsi"/>
      <w:sz w:val="20"/>
      <w:szCs w:val="20"/>
    </w:rPr>
  </w:style>
  <w:style w:type="paragraph" w:styleId="TDC9">
    <w:name w:val="toc 9"/>
    <w:basedOn w:val="Normal"/>
    <w:next w:val="Normal"/>
    <w:autoRedefine/>
    <w:uiPriority w:val="39"/>
    <w:semiHidden/>
    <w:unhideWhenUsed/>
    <w:rsid w:val="00A84770"/>
    <w:pPr>
      <w:ind w:left="1920"/>
    </w:pPr>
    <w:rPr>
      <w:rFonts w:asciiTheme="minorHAnsi" w:hAnsiTheme="minorHAns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header" w:uiPriority="0"/>
    <w:lsdException w:name="caption" w:uiPriority="35" w:qFormat="1"/>
    <w:lsdException w:name="footnote reference" w:uiPriority="0" w:qFormat="1"/>
    <w:lsdException w:name="annotation reference" w:uiPriority="0"/>
    <w:lsdException w:name="page number" w:uiPriority="0"/>
    <w:lsdException w:name="List 2" w:uiPriority="0"/>
    <w:lsdException w:name="Lis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770"/>
    <w:rPr>
      <w:rFonts w:ascii="Times New Roman" w:eastAsia="Arial Unicode MS" w:hAnsi="Times New Roman" w:cs="Times New Roman"/>
    </w:rPr>
  </w:style>
  <w:style w:type="paragraph" w:styleId="Ttulo1">
    <w:name w:val="heading 1"/>
    <w:basedOn w:val="Normal"/>
    <w:next w:val="Normal"/>
    <w:link w:val="Ttulo1Car"/>
    <w:qFormat/>
    <w:rsid w:val="00A84770"/>
    <w:pPr>
      <w:keepNext/>
      <w:outlineLvl w:val="0"/>
    </w:pPr>
    <w:rPr>
      <w:rFonts w:ascii="Cambria" w:eastAsia="Times New Roman" w:hAnsi="Cambria"/>
      <w:b/>
      <w:sz w:val="20"/>
      <w:szCs w:val="20"/>
      <w:lang w:val="es-ES_tradnl"/>
    </w:rPr>
  </w:style>
  <w:style w:type="paragraph" w:styleId="Ttulo2">
    <w:name w:val="heading 2"/>
    <w:basedOn w:val="Normal"/>
    <w:next w:val="Normal"/>
    <w:link w:val="Ttulo2Car"/>
    <w:qFormat/>
    <w:rsid w:val="00A84770"/>
    <w:pPr>
      <w:keepNext/>
      <w:numPr>
        <w:ilvl w:val="2"/>
      </w:numPr>
      <w:ind w:firstLine="720"/>
      <w:jc w:val="both"/>
      <w:outlineLvl w:val="1"/>
    </w:pPr>
    <w:rPr>
      <w:rFonts w:ascii="Cambria" w:eastAsia="Times New Roman" w:hAnsi="Cambria"/>
      <w:b/>
      <w:sz w:val="20"/>
      <w:szCs w:val="20"/>
      <w:lang w:val="es-ES_tradnl"/>
    </w:rPr>
  </w:style>
  <w:style w:type="paragraph" w:styleId="Ttulo3">
    <w:name w:val="heading 3"/>
    <w:basedOn w:val="Normal"/>
    <w:next w:val="Normal"/>
    <w:link w:val="Ttulo3Car"/>
    <w:unhideWhenUsed/>
    <w:qFormat/>
    <w:rsid w:val="00A84770"/>
    <w:pPr>
      <w:keepNext/>
      <w:keepLines/>
      <w:spacing w:before="200"/>
      <w:outlineLvl w:val="2"/>
    </w:pPr>
    <w:rPr>
      <w:rFonts w:ascii="Cambria" w:eastAsia="MS Gothic" w:hAnsi="Cambria"/>
      <w:b/>
      <w:bCs/>
      <w:color w:val="4F81BD"/>
    </w:rPr>
  </w:style>
  <w:style w:type="paragraph" w:styleId="Ttulo4">
    <w:name w:val="heading 4"/>
    <w:basedOn w:val="Normal"/>
    <w:next w:val="Normal"/>
    <w:link w:val="Ttulo4Car"/>
    <w:qFormat/>
    <w:rsid w:val="00A84770"/>
    <w:pPr>
      <w:keepNext/>
      <w:spacing w:before="240" w:after="60"/>
      <w:outlineLvl w:val="3"/>
    </w:pPr>
    <w:rPr>
      <w:rFonts w:ascii="Arial" w:eastAsia="Times New Roman" w:hAnsi="Arial"/>
      <w:b/>
      <w:szCs w:val="20"/>
    </w:rPr>
  </w:style>
  <w:style w:type="paragraph" w:styleId="Ttulo5">
    <w:name w:val="heading 5"/>
    <w:basedOn w:val="Normal"/>
    <w:next w:val="Normal"/>
    <w:link w:val="Ttulo5Car"/>
    <w:qFormat/>
    <w:rsid w:val="00A84770"/>
    <w:pPr>
      <w:spacing w:before="240" w:after="60"/>
      <w:outlineLvl w:val="4"/>
    </w:pPr>
    <w:rPr>
      <w:rFonts w:eastAsia="Times New Roman"/>
      <w:sz w:val="22"/>
      <w:szCs w:val="20"/>
    </w:rPr>
  </w:style>
  <w:style w:type="paragraph" w:styleId="Ttulo6">
    <w:name w:val="heading 6"/>
    <w:basedOn w:val="Normal"/>
    <w:next w:val="Normal"/>
    <w:link w:val="Ttulo6Car"/>
    <w:uiPriority w:val="9"/>
    <w:qFormat/>
    <w:rsid w:val="00A84770"/>
    <w:pPr>
      <w:spacing w:before="240" w:after="60"/>
      <w:outlineLvl w:val="5"/>
    </w:pPr>
    <w:rPr>
      <w:rFonts w:eastAsia="Times New Roman"/>
      <w:i/>
      <w:sz w:val="22"/>
      <w:szCs w:val="20"/>
    </w:rPr>
  </w:style>
  <w:style w:type="paragraph" w:styleId="Ttulo7">
    <w:name w:val="heading 7"/>
    <w:basedOn w:val="Normal"/>
    <w:next w:val="Normal"/>
    <w:link w:val="Ttulo7Car"/>
    <w:qFormat/>
    <w:rsid w:val="00A84770"/>
    <w:pPr>
      <w:spacing w:before="240" w:after="60"/>
      <w:outlineLvl w:val="6"/>
    </w:pPr>
    <w:rPr>
      <w:rFonts w:ascii="Arial" w:eastAsia="Times New Roman" w:hAnsi="Arial"/>
      <w:sz w:val="20"/>
      <w:szCs w:val="20"/>
    </w:rPr>
  </w:style>
  <w:style w:type="paragraph" w:styleId="Ttulo8">
    <w:name w:val="heading 8"/>
    <w:basedOn w:val="Normal"/>
    <w:next w:val="Normal"/>
    <w:link w:val="Ttulo8Car"/>
    <w:qFormat/>
    <w:rsid w:val="00A84770"/>
    <w:pPr>
      <w:spacing w:before="240" w:after="60"/>
      <w:outlineLvl w:val="7"/>
    </w:pPr>
    <w:rPr>
      <w:rFonts w:ascii="Arial" w:eastAsia="Times New Roman" w:hAnsi="Arial"/>
      <w:i/>
      <w:sz w:val="20"/>
      <w:szCs w:val="20"/>
    </w:rPr>
  </w:style>
  <w:style w:type="paragraph" w:styleId="Ttulo9">
    <w:name w:val="heading 9"/>
    <w:basedOn w:val="Normal"/>
    <w:next w:val="Normal"/>
    <w:link w:val="Ttulo9Car"/>
    <w:qFormat/>
    <w:rsid w:val="00A84770"/>
    <w:pPr>
      <w:spacing w:before="240" w:after="60"/>
      <w:outlineLvl w:val="8"/>
    </w:pPr>
    <w:rPr>
      <w:rFonts w:ascii="Arial" w:eastAsia="Times New Roman" w:hAnsi="Arial"/>
      <w:b/>
      <w:i/>
      <w:sz w:val="18"/>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84770"/>
    <w:rPr>
      <w:rFonts w:ascii="Cambria" w:eastAsia="Times New Roman" w:hAnsi="Cambria" w:cs="Times New Roman"/>
      <w:b/>
      <w:sz w:val="20"/>
      <w:szCs w:val="20"/>
      <w:lang w:val="es-ES_tradnl"/>
    </w:rPr>
  </w:style>
  <w:style w:type="character" w:customStyle="1" w:styleId="Ttulo2Car">
    <w:name w:val="Título 2 Car"/>
    <w:basedOn w:val="Fuentedeprrafopredeter"/>
    <w:link w:val="Ttulo2"/>
    <w:rsid w:val="00A84770"/>
    <w:rPr>
      <w:rFonts w:ascii="Cambria" w:eastAsia="Times New Roman" w:hAnsi="Cambria" w:cs="Times New Roman"/>
      <w:b/>
      <w:sz w:val="20"/>
      <w:szCs w:val="20"/>
      <w:lang w:val="es-ES_tradnl"/>
    </w:rPr>
  </w:style>
  <w:style w:type="character" w:customStyle="1" w:styleId="Ttulo3Car">
    <w:name w:val="Título 3 Car"/>
    <w:basedOn w:val="Fuentedeprrafopredeter"/>
    <w:link w:val="Ttulo3"/>
    <w:rsid w:val="00A84770"/>
    <w:rPr>
      <w:rFonts w:ascii="Cambria" w:eastAsia="MS Gothic" w:hAnsi="Cambria" w:cs="Times New Roman"/>
      <w:b/>
      <w:bCs/>
      <w:color w:val="4F81BD"/>
    </w:rPr>
  </w:style>
  <w:style w:type="character" w:customStyle="1" w:styleId="Ttulo4Car">
    <w:name w:val="Título 4 Car"/>
    <w:basedOn w:val="Fuentedeprrafopredeter"/>
    <w:link w:val="Ttulo4"/>
    <w:rsid w:val="00A84770"/>
    <w:rPr>
      <w:rFonts w:ascii="Arial" w:eastAsia="Times New Roman" w:hAnsi="Arial" w:cs="Times New Roman"/>
      <w:b/>
      <w:szCs w:val="20"/>
    </w:rPr>
  </w:style>
  <w:style w:type="character" w:customStyle="1" w:styleId="Ttulo5Car">
    <w:name w:val="Título 5 Car"/>
    <w:basedOn w:val="Fuentedeprrafopredeter"/>
    <w:link w:val="Ttulo5"/>
    <w:rsid w:val="00A84770"/>
    <w:rPr>
      <w:rFonts w:ascii="Times New Roman" w:eastAsia="Times New Roman" w:hAnsi="Times New Roman" w:cs="Times New Roman"/>
      <w:sz w:val="22"/>
      <w:szCs w:val="20"/>
    </w:rPr>
  </w:style>
  <w:style w:type="character" w:customStyle="1" w:styleId="Ttulo6Car">
    <w:name w:val="Título 6 Car"/>
    <w:basedOn w:val="Fuentedeprrafopredeter"/>
    <w:link w:val="Ttulo6"/>
    <w:uiPriority w:val="9"/>
    <w:rsid w:val="00A84770"/>
    <w:rPr>
      <w:rFonts w:ascii="Times New Roman" w:eastAsia="Times New Roman" w:hAnsi="Times New Roman" w:cs="Times New Roman"/>
      <w:i/>
      <w:sz w:val="22"/>
      <w:szCs w:val="20"/>
    </w:rPr>
  </w:style>
  <w:style w:type="character" w:customStyle="1" w:styleId="Ttulo7Car">
    <w:name w:val="Título 7 Car"/>
    <w:basedOn w:val="Fuentedeprrafopredeter"/>
    <w:link w:val="Ttulo7"/>
    <w:rsid w:val="00A84770"/>
    <w:rPr>
      <w:rFonts w:ascii="Arial" w:eastAsia="Times New Roman" w:hAnsi="Arial" w:cs="Times New Roman"/>
      <w:sz w:val="20"/>
      <w:szCs w:val="20"/>
    </w:rPr>
  </w:style>
  <w:style w:type="character" w:customStyle="1" w:styleId="Ttulo8Car">
    <w:name w:val="Título 8 Car"/>
    <w:basedOn w:val="Fuentedeprrafopredeter"/>
    <w:link w:val="Ttulo8"/>
    <w:rsid w:val="00A84770"/>
    <w:rPr>
      <w:rFonts w:ascii="Arial" w:eastAsia="Times New Roman" w:hAnsi="Arial" w:cs="Times New Roman"/>
      <w:i/>
      <w:sz w:val="20"/>
      <w:szCs w:val="20"/>
    </w:rPr>
  </w:style>
  <w:style w:type="character" w:customStyle="1" w:styleId="Ttulo9Car">
    <w:name w:val="Título 9 Car"/>
    <w:basedOn w:val="Fuentedeprrafopredeter"/>
    <w:link w:val="Ttulo9"/>
    <w:rsid w:val="00A84770"/>
    <w:rPr>
      <w:rFonts w:ascii="Arial" w:eastAsia="Times New Roman" w:hAnsi="Arial" w:cs="Times New Roman"/>
      <w:b/>
      <w:i/>
      <w:sz w:val="18"/>
      <w:szCs w:val="20"/>
    </w:rPr>
  </w:style>
  <w:style w:type="character" w:styleId="Hipervnculo">
    <w:name w:val="Hyperlink"/>
    <w:uiPriority w:val="99"/>
    <w:rsid w:val="00A84770"/>
    <w:rPr>
      <w:u w:val="single"/>
    </w:rPr>
  </w:style>
  <w:style w:type="paragraph" w:customStyle="1" w:styleId="Cabeceraypie">
    <w:name w:val="Cabecera y pie"/>
    <w:rsid w:val="00A84770"/>
    <w:pPr>
      <w:pBdr>
        <w:top w:val="nil"/>
        <w:left w:val="nil"/>
        <w:bottom w:val="nil"/>
        <w:right w:val="nil"/>
        <w:between w:val="nil"/>
        <w:bar w:val="nil"/>
      </w:pBdr>
      <w:tabs>
        <w:tab w:val="right" w:pos="9020"/>
      </w:tabs>
    </w:pPr>
    <w:rPr>
      <w:rFonts w:ascii="Helvetica" w:eastAsia="Arial Unicode MS" w:hAnsi="Arial Unicode MS" w:cs="Arial Unicode MS"/>
      <w:color w:val="000000"/>
      <w:bdr w:val="nil"/>
      <w:lang w:val="es-ES" w:eastAsia="es-ES"/>
    </w:rPr>
  </w:style>
  <w:style w:type="paragraph" w:styleId="Piedepgina">
    <w:name w:val="footer"/>
    <w:link w:val="PiedepginaCar"/>
    <w:uiPriority w:val="99"/>
    <w:rsid w:val="00A84770"/>
    <w:pPr>
      <w:pBdr>
        <w:top w:val="nil"/>
        <w:left w:val="nil"/>
        <w:bottom w:val="nil"/>
        <w:right w:val="nil"/>
        <w:between w:val="nil"/>
        <w:bar w:val="nil"/>
      </w:pBdr>
      <w:tabs>
        <w:tab w:val="center" w:pos="4513"/>
        <w:tab w:val="right" w:pos="9026"/>
      </w:tabs>
    </w:pPr>
    <w:rPr>
      <w:rFonts w:ascii="Cambria" w:eastAsia="Cambria" w:hAnsi="Cambria" w:cs="Cambria"/>
      <w:color w:val="000000"/>
      <w:u w:color="000000"/>
      <w:bdr w:val="nil"/>
      <w:lang w:eastAsia="es-ES"/>
    </w:rPr>
  </w:style>
  <w:style w:type="character" w:customStyle="1" w:styleId="PiedepginaCar">
    <w:name w:val="Pie de página Car"/>
    <w:basedOn w:val="Fuentedeprrafopredeter"/>
    <w:link w:val="Piedepgina"/>
    <w:uiPriority w:val="99"/>
    <w:rsid w:val="00A84770"/>
    <w:rPr>
      <w:rFonts w:ascii="Cambria" w:eastAsia="Cambria" w:hAnsi="Cambria" w:cs="Cambria"/>
      <w:color w:val="000000"/>
      <w:u w:color="000000"/>
      <w:bdr w:val="nil"/>
      <w:lang w:eastAsia="es-ES"/>
    </w:rPr>
  </w:style>
  <w:style w:type="paragraph" w:customStyle="1" w:styleId="Cuerpo">
    <w:name w:val="Cuerpo"/>
    <w:rsid w:val="00A84770"/>
    <w:pPr>
      <w:pBdr>
        <w:top w:val="nil"/>
        <w:left w:val="nil"/>
        <w:bottom w:val="nil"/>
        <w:right w:val="nil"/>
        <w:between w:val="nil"/>
        <w:bar w:val="nil"/>
      </w:pBdr>
    </w:pPr>
    <w:rPr>
      <w:rFonts w:ascii="Cambria" w:eastAsia="Cambria" w:hAnsi="Cambria" w:cs="Cambria"/>
      <w:color w:val="000000"/>
      <w:u w:color="000000"/>
      <w:bdr w:val="nil"/>
      <w:lang w:val="es-ES" w:eastAsia="es-ES"/>
    </w:rPr>
  </w:style>
  <w:style w:type="paragraph" w:styleId="Sangradetextonormal">
    <w:name w:val="Body Text Indent"/>
    <w:link w:val="SangradetextonormalCar"/>
    <w:rsid w:val="00A84770"/>
    <w:pPr>
      <w:pBdr>
        <w:top w:val="nil"/>
        <w:left w:val="nil"/>
        <w:bottom w:val="nil"/>
        <w:right w:val="nil"/>
        <w:between w:val="nil"/>
        <w:bar w:val="nil"/>
      </w:pBdr>
      <w:ind w:left="2160" w:hanging="720"/>
    </w:pPr>
    <w:rPr>
      <w:rFonts w:ascii="Times New Roman" w:eastAsia="Times New Roman" w:hAnsi="Times New Roman" w:cs="Times New Roman"/>
      <w:color w:val="000000"/>
      <w:u w:color="000000"/>
      <w:bdr w:val="nil"/>
      <w:lang w:val="es-ES_tradnl" w:eastAsia="es-ES"/>
    </w:rPr>
  </w:style>
  <w:style w:type="character" w:customStyle="1" w:styleId="SangradetextonormalCar">
    <w:name w:val="Sangría de texto normal Car"/>
    <w:basedOn w:val="Fuentedeprrafopredeter"/>
    <w:link w:val="Sangradetextonormal"/>
    <w:rsid w:val="00A84770"/>
    <w:rPr>
      <w:rFonts w:ascii="Times New Roman" w:eastAsia="Times New Roman" w:hAnsi="Times New Roman" w:cs="Times New Roman"/>
      <w:color w:val="000000"/>
      <w:u w:color="000000"/>
      <w:bdr w:val="nil"/>
      <w:lang w:val="es-ES_tradnl" w:eastAsia="es-ES"/>
    </w:rPr>
  </w:style>
  <w:style w:type="paragraph" w:styleId="Prrafodelista">
    <w:name w:val="List Paragraph"/>
    <w:aliases w:val="Párrafo de lista1,List Paragraph1,List Paragraph11"/>
    <w:link w:val="PrrafodelistaCar"/>
    <w:uiPriority w:val="34"/>
    <w:qFormat/>
    <w:rsid w:val="00A84770"/>
    <w:pPr>
      <w:pBdr>
        <w:top w:val="nil"/>
        <w:left w:val="nil"/>
        <w:bottom w:val="nil"/>
        <w:right w:val="nil"/>
        <w:between w:val="nil"/>
        <w:bar w:val="nil"/>
      </w:pBdr>
      <w:ind w:left="720"/>
    </w:pPr>
    <w:rPr>
      <w:rFonts w:ascii="Cambria" w:eastAsia="Cambria" w:hAnsi="Cambria" w:cs="Cambria"/>
      <w:color w:val="000000"/>
      <w:u w:color="000000"/>
      <w:bdr w:val="nil"/>
      <w:lang w:eastAsia="es-ES"/>
    </w:rPr>
  </w:style>
  <w:style w:type="numbering" w:customStyle="1" w:styleId="List0">
    <w:name w:val="List 0"/>
    <w:basedOn w:val="Estiloimportado1"/>
    <w:rsid w:val="00A84770"/>
    <w:pPr>
      <w:numPr>
        <w:numId w:val="31"/>
      </w:numPr>
    </w:pPr>
  </w:style>
  <w:style w:type="numbering" w:customStyle="1" w:styleId="Estiloimportado1">
    <w:name w:val="Estilo importado 1"/>
    <w:rsid w:val="00A84770"/>
  </w:style>
  <w:style w:type="numbering" w:customStyle="1" w:styleId="List1">
    <w:name w:val="List 1"/>
    <w:basedOn w:val="Estiloimportado2"/>
    <w:rsid w:val="00A84770"/>
    <w:pPr>
      <w:numPr>
        <w:numId w:val="1"/>
      </w:numPr>
    </w:pPr>
  </w:style>
  <w:style w:type="numbering" w:customStyle="1" w:styleId="Estiloimportado2">
    <w:name w:val="Estilo importado 2"/>
    <w:rsid w:val="00A84770"/>
  </w:style>
  <w:style w:type="numbering" w:customStyle="1" w:styleId="List21">
    <w:name w:val="List 21"/>
    <w:basedOn w:val="Estiloimportado3"/>
    <w:rsid w:val="00A84770"/>
    <w:pPr>
      <w:numPr>
        <w:numId w:val="52"/>
      </w:numPr>
    </w:pPr>
  </w:style>
  <w:style w:type="numbering" w:customStyle="1" w:styleId="Estiloimportado3">
    <w:name w:val="Estilo importado 3"/>
    <w:rsid w:val="00A84770"/>
  </w:style>
  <w:style w:type="numbering" w:customStyle="1" w:styleId="List31">
    <w:name w:val="List 31"/>
    <w:basedOn w:val="Estiloimportado4"/>
    <w:rsid w:val="00A84770"/>
    <w:pPr>
      <w:numPr>
        <w:numId w:val="51"/>
      </w:numPr>
    </w:pPr>
  </w:style>
  <w:style w:type="numbering" w:customStyle="1" w:styleId="Estiloimportado4">
    <w:name w:val="Estilo importado 4"/>
    <w:rsid w:val="00A84770"/>
  </w:style>
  <w:style w:type="numbering" w:customStyle="1" w:styleId="List41">
    <w:name w:val="List 41"/>
    <w:basedOn w:val="Estiloimportado5"/>
    <w:rsid w:val="00A84770"/>
    <w:pPr>
      <w:numPr>
        <w:numId w:val="2"/>
      </w:numPr>
    </w:pPr>
  </w:style>
  <w:style w:type="numbering" w:customStyle="1" w:styleId="Estiloimportado5">
    <w:name w:val="Estilo importado 5"/>
    <w:rsid w:val="00A84770"/>
  </w:style>
  <w:style w:type="numbering" w:customStyle="1" w:styleId="List51">
    <w:name w:val="List 51"/>
    <w:basedOn w:val="Estiloimportado6"/>
    <w:rsid w:val="00A84770"/>
    <w:pPr>
      <w:numPr>
        <w:numId w:val="53"/>
      </w:numPr>
    </w:pPr>
  </w:style>
  <w:style w:type="numbering" w:customStyle="1" w:styleId="Estiloimportado6">
    <w:name w:val="Estilo importado 6"/>
    <w:rsid w:val="00A84770"/>
  </w:style>
  <w:style w:type="numbering" w:customStyle="1" w:styleId="List6">
    <w:name w:val="List 6"/>
    <w:basedOn w:val="Estiloimportado7"/>
    <w:rsid w:val="00A84770"/>
    <w:pPr>
      <w:numPr>
        <w:numId w:val="3"/>
      </w:numPr>
    </w:pPr>
  </w:style>
  <w:style w:type="numbering" w:customStyle="1" w:styleId="Estiloimportado7">
    <w:name w:val="Estilo importado 7"/>
    <w:rsid w:val="00A84770"/>
  </w:style>
  <w:style w:type="numbering" w:customStyle="1" w:styleId="List7">
    <w:name w:val="List 7"/>
    <w:basedOn w:val="Estiloimportado8"/>
    <w:rsid w:val="00A84770"/>
    <w:pPr>
      <w:numPr>
        <w:numId w:val="4"/>
      </w:numPr>
    </w:pPr>
  </w:style>
  <w:style w:type="numbering" w:customStyle="1" w:styleId="Estiloimportado8">
    <w:name w:val="Estilo importado 8"/>
    <w:rsid w:val="00A84770"/>
  </w:style>
  <w:style w:type="numbering" w:customStyle="1" w:styleId="List8">
    <w:name w:val="List 8"/>
    <w:basedOn w:val="Estiloimportado9"/>
    <w:rsid w:val="00A84770"/>
    <w:pPr>
      <w:numPr>
        <w:numId w:val="5"/>
      </w:numPr>
    </w:pPr>
  </w:style>
  <w:style w:type="numbering" w:customStyle="1" w:styleId="Estiloimportado9">
    <w:name w:val="Estilo importado 9"/>
    <w:rsid w:val="00A84770"/>
  </w:style>
  <w:style w:type="numbering" w:customStyle="1" w:styleId="List9">
    <w:name w:val="List 9"/>
    <w:basedOn w:val="Estiloimportado10"/>
    <w:rsid w:val="00A84770"/>
    <w:pPr>
      <w:numPr>
        <w:numId w:val="22"/>
      </w:numPr>
    </w:pPr>
  </w:style>
  <w:style w:type="numbering" w:customStyle="1" w:styleId="Estiloimportado10">
    <w:name w:val="Estilo importado 10"/>
    <w:rsid w:val="00A84770"/>
  </w:style>
  <w:style w:type="numbering" w:customStyle="1" w:styleId="List10">
    <w:name w:val="List 10"/>
    <w:basedOn w:val="Estiloimportado11"/>
    <w:rsid w:val="00A84770"/>
    <w:pPr>
      <w:numPr>
        <w:numId w:val="6"/>
      </w:numPr>
    </w:pPr>
  </w:style>
  <w:style w:type="numbering" w:customStyle="1" w:styleId="Estiloimportado11">
    <w:name w:val="Estilo importado 11"/>
    <w:rsid w:val="00A84770"/>
  </w:style>
  <w:style w:type="numbering" w:customStyle="1" w:styleId="List11">
    <w:name w:val="List 11"/>
    <w:basedOn w:val="Estiloimportado12"/>
    <w:rsid w:val="00A84770"/>
    <w:pPr>
      <w:numPr>
        <w:numId w:val="7"/>
      </w:numPr>
    </w:pPr>
  </w:style>
  <w:style w:type="numbering" w:customStyle="1" w:styleId="Estiloimportado12">
    <w:name w:val="Estilo importado 12"/>
    <w:rsid w:val="00A84770"/>
  </w:style>
  <w:style w:type="numbering" w:customStyle="1" w:styleId="List12">
    <w:name w:val="List 12"/>
    <w:basedOn w:val="Estiloimportado13"/>
    <w:rsid w:val="00A84770"/>
    <w:pPr>
      <w:numPr>
        <w:numId w:val="36"/>
      </w:numPr>
    </w:pPr>
  </w:style>
  <w:style w:type="numbering" w:customStyle="1" w:styleId="Estiloimportado13">
    <w:name w:val="Estilo importado 13"/>
    <w:rsid w:val="00A84770"/>
  </w:style>
  <w:style w:type="numbering" w:customStyle="1" w:styleId="List13">
    <w:name w:val="List 13"/>
    <w:basedOn w:val="Estiloimportado14"/>
    <w:rsid w:val="00A84770"/>
    <w:pPr>
      <w:numPr>
        <w:numId w:val="42"/>
      </w:numPr>
    </w:pPr>
  </w:style>
  <w:style w:type="numbering" w:customStyle="1" w:styleId="Estiloimportado14">
    <w:name w:val="Estilo importado 14"/>
    <w:rsid w:val="00A84770"/>
  </w:style>
  <w:style w:type="numbering" w:customStyle="1" w:styleId="List14">
    <w:name w:val="List 14"/>
    <w:basedOn w:val="Estiloimportado15"/>
    <w:rsid w:val="00A84770"/>
    <w:pPr>
      <w:numPr>
        <w:numId w:val="17"/>
      </w:numPr>
    </w:pPr>
  </w:style>
  <w:style w:type="numbering" w:customStyle="1" w:styleId="Estiloimportado15">
    <w:name w:val="Estilo importado 15"/>
    <w:rsid w:val="00A84770"/>
  </w:style>
  <w:style w:type="numbering" w:customStyle="1" w:styleId="List15">
    <w:name w:val="List 15"/>
    <w:basedOn w:val="Estiloimportado16"/>
    <w:rsid w:val="00A84770"/>
    <w:pPr>
      <w:numPr>
        <w:numId w:val="16"/>
      </w:numPr>
    </w:pPr>
  </w:style>
  <w:style w:type="numbering" w:customStyle="1" w:styleId="Estiloimportado16">
    <w:name w:val="Estilo importado 16"/>
    <w:rsid w:val="00A84770"/>
  </w:style>
  <w:style w:type="numbering" w:customStyle="1" w:styleId="List16">
    <w:name w:val="List 16"/>
    <w:basedOn w:val="Estiloimportado16"/>
    <w:rsid w:val="00A84770"/>
    <w:pPr>
      <w:numPr>
        <w:numId w:val="10"/>
      </w:numPr>
    </w:pPr>
  </w:style>
  <w:style w:type="numbering" w:customStyle="1" w:styleId="List17">
    <w:name w:val="List 17"/>
    <w:basedOn w:val="Estiloimportado17"/>
    <w:rsid w:val="00A84770"/>
    <w:pPr>
      <w:numPr>
        <w:numId w:val="25"/>
      </w:numPr>
    </w:pPr>
  </w:style>
  <w:style w:type="numbering" w:customStyle="1" w:styleId="Estiloimportado17">
    <w:name w:val="Estilo importado 17"/>
    <w:rsid w:val="00A84770"/>
  </w:style>
  <w:style w:type="numbering" w:customStyle="1" w:styleId="List18">
    <w:name w:val="List 18"/>
    <w:basedOn w:val="Estiloimportado18"/>
    <w:rsid w:val="00A84770"/>
    <w:pPr>
      <w:numPr>
        <w:numId w:val="27"/>
      </w:numPr>
    </w:pPr>
  </w:style>
  <w:style w:type="numbering" w:customStyle="1" w:styleId="Estiloimportado18">
    <w:name w:val="Estilo importado 18"/>
    <w:rsid w:val="00A84770"/>
  </w:style>
  <w:style w:type="numbering" w:customStyle="1" w:styleId="List19">
    <w:name w:val="List 19"/>
    <w:basedOn w:val="Estiloimportado10"/>
    <w:rsid w:val="00A84770"/>
    <w:pPr>
      <w:numPr>
        <w:numId w:val="19"/>
      </w:numPr>
    </w:pPr>
  </w:style>
  <w:style w:type="numbering" w:customStyle="1" w:styleId="List20">
    <w:name w:val="List 20"/>
    <w:basedOn w:val="Estiloimportado12"/>
    <w:rsid w:val="00A84770"/>
    <w:pPr>
      <w:numPr>
        <w:numId w:val="43"/>
      </w:numPr>
    </w:pPr>
  </w:style>
  <w:style w:type="numbering" w:customStyle="1" w:styleId="List211">
    <w:name w:val="List 211"/>
    <w:basedOn w:val="Estiloimportado19"/>
    <w:rsid w:val="00A84770"/>
    <w:pPr>
      <w:numPr>
        <w:numId w:val="38"/>
      </w:numPr>
    </w:pPr>
  </w:style>
  <w:style w:type="numbering" w:customStyle="1" w:styleId="Estiloimportado19">
    <w:name w:val="Estilo importado 19"/>
    <w:rsid w:val="00A84770"/>
  </w:style>
  <w:style w:type="numbering" w:customStyle="1" w:styleId="List22">
    <w:name w:val="List 22"/>
    <w:basedOn w:val="Estiloimportado19"/>
    <w:rsid w:val="00A84770"/>
    <w:pPr>
      <w:numPr>
        <w:numId w:val="28"/>
      </w:numPr>
    </w:pPr>
  </w:style>
  <w:style w:type="numbering" w:customStyle="1" w:styleId="List23">
    <w:name w:val="List 23"/>
    <w:basedOn w:val="Estiloimportado19"/>
    <w:rsid w:val="00A84770"/>
    <w:pPr>
      <w:numPr>
        <w:numId w:val="18"/>
      </w:numPr>
    </w:pPr>
  </w:style>
  <w:style w:type="numbering" w:customStyle="1" w:styleId="List24">
    <w:name w:val="List 24"/>
    <w:basedOn w:val="Estiloimportado20"/>
    <w:rsid w:val="00A84770"/>
    <w:pPr>
      <w:numPr>
        <w:numId w:val="13"/>
      </w:numPr>
    </w:pPr>
  </w:style>
  <w:style w:type="numbering" w:customStyle="1" w:styleId="Estiloimportado20">
    <w:name w:val="Estilo importado 20"/>
    <w:rsid w:val="00A84770"/>
  </w:style>
  <w:style w:type="numbering" w:customStyle="1" w:styleId="List25">
    <w:name w:val="List 25"/>
    <w:basedOn w:val="Estiloimportado21"/>
    <w:rsid w:val="00A84770"/>
    <w:pPr>
      <w:numPr>
        <w:numId w:val="15"/>
      </w:numPr>
    </w:pPr>
  </w:style>
  <w:style w:type="numbering" w:customStyle="1" w:styleId="Estiloimportado21">
    <w:name w:val="Estilo importado 21"/>
    <w:rsid w:val="00A84770"/>
  </w:style>
  <w:style w:type="numbering" w:customStyle="1" w:styleId="List26">
    <w:name w:val="List 26"/>
    <w:basedOn w:val="Estiloimportado22"/>
    <w:rsid w:val="00A84770"/>
    <w:pPr>
      <w:numPr>
        <w:numId w:val="49"/>
      </w:numPr>
    </w:pPr>
  </w:style>
  <w:style w:type="numbering" w:customStyle="1" w:styleId="Estiloimportado22">
    <w:name w:val="Estilo importado 22"/>
    <w:rsid w:val="00A84770"/>
  </w:style>
  <w:style w:type="numbering" w:customStyle="1" w:styleId="List27">
    <w:name w:val="List 27"/>
    <w:basedOn w:val="Estiloimportado23"/>
    <w:rsid w:val="00A84770"/>
    <w:pPr>
      <w:numPr>
        <w:numId w:val="41"/>
      </w:numPr>
    </w:pPr>
  </w:style>
  <w:style w:type="numbering" w:customStyle="1" w:styleId="Estiloimportado23">
    <w:name w:val="Estilo importado 23"/>
    <w:rsid w:val="00A84770"/>
  </w:style>
  <w:style w:type="numbering" w:customStyle="1" w:styleId="List28">
    <w:name w:val="List 28"/>
    <w:basedOn w:val="Estiloimportado24"/>
    <w:rsid w:val="00A84770"/>
    <w:pPr>
      <w:numPr>
        <w:numId w:val="30"/>
      </w:numPr>
    </w:pPr>
  </w:style>
  <w:style w:type="numbering" w:customStyle="1" w:styleId="Estiloimportado24">
    <w:name w:val="Estilo importado 24"/>
    <w:rsid w:val="00A84770"/>
  </w:style>
  <w:style w:type="numbering" w:customStyle="1" w:styleId="List29">
    <w:name w:val="List 29"/>
    <w:basedOn w:val="Estiloimportado25"/>
    <w:rsid w:val="00A84770"/>
    <w:pPr>
      <w:numPr>
        <w:numId w:val="34"/>
      </w:numPr>
    </w:pPr>
  </w:style>
  <w:style w:type="numbering" w:customStyle="1" w:styleId="Estiloimportado25">
    <w:name w:val="Estilo importado 25"/>
    <w:rsid w:val="00A84770"/>
  </w:style>
  <w:style w:type="numbering" w:customStyle="1" w:styleId="List30">
    <w:name w:val="List 30"/>
    <w:basedOn w:val="Estiloimportado26"/>
    <w:rsid w:val="00A84770"/>
    <w:pPr>
      <w:numPr>
        <w:numId w:val="32"/>
      </w:numPr>
    </w:pPr>
  </w:style>
  <w:style w:type="numbering" w:customStyle="1" w:styleId="Estiloimportado26">
    <w:name w:val="Estilo importado 26"/>
    <w:rsid w:val="00A84770"/>
  </w:style>
  <w:style w:type="numbering" w:customStyle="1" w:styleId="List311">
    <w:name w:val="List 311"/>
    <w:basedOn w:val="Estiloimportado27"/>
    <w:rsid w:val="00A84770"/>
    <w:pPr>
      <w:numPr>
        <w:numId w:val="45"/>
      </w:numPr>
    </w:pPr>
  </w:style>
  <w:style w:type="numbering" w:customStyle="1" w:styleId="Estiloimportado27">
    <w:name w:val="Estilo importado 27"/>
    <w:rsid w:val="00A84770"/>
  </w:style>
  <w:style w:type="numbering" w:customStyle="1" w:styleId="List32">
    <w:name w:val="List 32"/>
    <w:basedOn w:val="Estiloimportado28"/>
    <w:rsid w:val="00A84770"/>
    <w:pPr>
      <w:numPr>
        <w:numId w:val="48"/>
      </w:numPr>
    </w:pPr>
  </w:style>
  <w:style w:type="numbering" w:customStyle="1" w:styleId="Estiloimportado28">
    <w:name w:val="Estilo importado 28"/>
    <w:rsid w:val="00A84770"/>
  </w:style>
  <w:style w:type="paragraph" w:styleId="Textonotapie">
    <w:name w:val="footnote text"/>
    <w:aliases w:val="Footnote Text Char Char Char Char Char,Footnote Text Char Char Char Char,FA Fu,Footnote reference,Footnote Text Char Char Char,FA Fußnotentext,FA Fuﬂnotentext,Texto nota pie Car,Footnote Text Cha,Footnote Text Char Char,footnote text,Ca"/>
    <w:link w:val="TextonotapieCar2"/>
    <w:qFormat/>
    <w:rsid w:val="00A84770"/>
    <w:pPr>
      <w:pBdr>
        <w:top w:val="nil"/>
        <w:left w:val="nil"/>
        <w:bottom w:val="nil"/>
        <w:right w:val="nil"/>
        <w:between w:val="nil"/>
        <w:bar w:val="nil"/>
      </w:pBdr>
    </w:pPr>
    <w:rPr>
      <w:rFonts w:ascii="Calibri" w:eastAsia="Calibri" w:hAnsi="Calibri" w:cs="Calibri"/>
      <w:color w:val="000000"/>
      <w:u w:color="000000"/>
      <w:bdr w:val="nil"/>
      <w:lang w:eastAsia="es-ES"/>
    </w:rPr>
  </w:style>
  <w:style w:type="character" w:customStyle="1" w:styleId="TextonotapieCar2">
    <w:name w:val="Texto nota pie Car2"/>
    <w:aliases w:val="Footnote Text Char Char Char Char Char Car1,Footnote Text Char Char Char Char Car1,FA Fu Car1,Footnote reference Car1,Footnote Text Char Char Char Car1,FA Fußnotentext Car1,FA Fuﬂnotentext Car,Texto nota pie Car Car1,Ca Car"/>
    <w:basedOn w:val="Fuentedeprrafopredeter"/>
    <w:link w:val="Textonotapie"/>
    <w:qFormat/>
    <w:rsid w:val="00A84770"/>
    <w:rPr>
      <w:rFonts w:ascii="Calibri" w:eastAsia="Calibri" w:hAnsi="Calibri" w:cs="Calibri"/>
      <w:color w:val="000000"/>
      <w:u w:color="000000"/>
      <w:bdr w:val="nil"/>
      <w:lang w:eastAsia="es-ES"/>
    </w:rPr>
  </w:style>
  <w:style w:type="numbering" w:customStyle="1" w:styleId="List33">
    <w:name w:val="List 33"/>
    <w:basedOn w:val="Estiloimportado29"/>
    <w:rsid w:val="00A84770"/>
    <w:pPr>
      <w:numPr>
        <w:numId w:val="26"/>
      </w:numPr>
    </w:pPr>
  </w:style>
  <w:style w:type="numbering" w:customStyle="1" w:styleId="Estiloimportado29">
    <w:name w:val="Estilo importado 29"/>
    <w:rsid w:val="00A84770"/>
  </w:style>
  <w:style w:type="numbering" w:customStyle="1" w:styleId="List34">
    <w:name w:val="List 34"/>
    <w:basedOn w:val="Estiloimportado30"/>
    <w:rsid w:val="00A84770"/>
    <w:pPr>
      <w:numPr>
        <w:numId w:val="11"/>
      </w:numPr>
    </w:pPr>
  </w:style>
  <w:style w:type="numbering" w:customStyle="1" w:styleId="Estiloimportado30">
    <w:name w:val="Estilo importado 30"/>
    <w:rsid w:val="00A84770"/>
  </w:style>
  <w:style w:type="numbering" w:customStyle="1" w:styleId="List35">
    <w:name w:val="List 35"/>
    <w:basedOn w:val="Estiloimportado31"/>
    <w:rsid w:val="00A84770"/>
    <w:pPr>
      <w:numPr>
        <w:numId w:val="8"/>
      </w:numPr>
    </w:pPr>
  </w:style>
  <w:style w:type="numbering" w:customStyle="1" w:styleId="Estiloimportado31">
    <w:name w:val="Estilo importado 31"/>
    <w:rsid w:val="00A84770"/>
  </w:style>
  <w:style w:type="numbering" w:customStyle="1" w:styleId="List36">
    <w:name w:val="List 36"/>
    <w:basedOn w:val="Estiloimportado32"/>
    <w:rsid w:val="00A84770"/>
    <w:pPr>
      <w:numPr>
        <w:numId w:val="14"/>
      </w:numPr>
    </w:pPr>
  </w:style>
  <w:style w:type="numbering" w:customStyle="1" w:styleId="Estiloimportado32">
    <w:name w:val="Estilo importado 32"/>
    <w:rsid w:val="00A84770"/>
  </w:style>
  <w:style w:type="numbering" w:customStyle="1" w:styleId="List37">
    <w:name w:val="List 37"/>
    <w:basedOn w:val="Estiloimportado33"/>
    <w:rsid w:val="00A84770"/>
    <w:pPr>
      <w:numPr>
        <w:numId w:val="47"/>
      </w:numPr>
    </w:pPr>
  </w:style>
  <w:style w:type="numbering" w:customStyle="1" w:styleId="Estiloimportado33">
    <w:name w:val="Estilo importado 33"/>
    <w:rsid w:val="00A84770"/>
  </w:style>
  <w:style w:type="numbering" w:customStyle="1" w:styleId="List38">
    <w:name w:val="List 38"/>
    <w:basedOn w:val="Estiloimportado34"/>
    <w:rsid w:val="00A84770"/>
    <w:pPr>
      <w:numPr>
        <w:numId w:val="35"/>
      </w:numPr>
    </w:pPr>
  </w:style>
  <w:style w:type="numbering" w:customStyle="1" w:styleId="Estiloimportado34">
    <w:name w:val="Estilo importado 34"/>
    <w:rsid w:val="00A84770"/>
  </w:style>
  <w:style w:type="numbering" w:customStyle="1" w:styleId="List39">
    <w:name w:val="List 39"/>
    <w:basedOn w:val="Estiloimportado35"/>
    <w:rsid w:val="00A84770"/>
    <w:pPr>
      <w:numPr>
        <w:numId w:val="46"/>
      </w:numPr>
    </w:pPr>
  </w:style>
  <w:style w:type="numbering" w:customStyle="1" w:styleId="Estiloimportado35">
    <w:name w:val="Estilo importado 35"/>
    <w:rsid w:val="00A84770"/>
  </w:style>
  <w:style w:type="numbering" w:customStyle="1" w:styleId="List40">
    <w:name w:val="List 40"/>
    <w:basedOn w:val="Estiloimportado36"/>
    <w:rsid w:val="00A84770"/>
    <w:pPr>
      <w:numPr>
        <w:numId w:val="21"/>
      </w:numPr>
    </w:pPr>
  </w:style>
  <w:style w:type="numbering" w:customStyle="1" w:styleId="Estiloimportado36">
    <w:name w:val="Estilo importado 36"/>
    <w:rsid w:val="00A84770"/>
  </w:style>
  <w:style w:type="numbering" w:customStyle="1" w:styleId="List411">
    <w:name w:val="List 411"/>
    <w:basedOn w:val="Estiloimportado37"/>
    <w:rsid w:val="00A84770"/>
    <w:pPr>
      <w:numPr>
        <w:numId w:val="44"/>
      </w:numPr>
    </w:pPr>
  </w:style>
  <w:style w:type="numbering" w:customStyle="1" w:styleId="Estiloimportado37">
    <w:name w:val="Estilo importado 37"/>
    <w:rsid w:val="00A84770"/>
  </w:style>
  <w:style w:type="numbering" w:customStyle="1" w:styleId="List42">
    <w:name w:val="List 42"/>
    <w:basedOn w:val="Estiloimportado12"/>
    <w:rsid w:val="00A84770"/>
    <w:pPr>
      <w:numPr>
        <w:numId w:val="12"/>
      </w:numPr>
    </w:pPr>
  </w:style>
  <w:style w:type="numbering" w:customStyle="1" w:styleId="List43">
    <w:name w:val="List 43"/>
    <w:basedOn w:val="Estiloimportado38"/>
    <w:rsid w:val="00A84770"/>
    <w:pPr>
      <w:numPr>
        <w:numId w:val="23"/>
      </w:numPr>
    </w:pPr>
  </w:style>
  <w:style w:type="numbering" w:customStyle="1" w:styleId="Estiloimportado38">
    <w:name w:val="Estilo importado 38"/>
    <w:rsid w:val="00A84770"/>
  </w:style>
  <w:style w:type="numbering" w:customStyle="1" w:styleId="List44">
    <w:name w:val="List 44"/>
    <w:basedOn w:val="Estiloimportado39"/>
    <w:rsid w:val="00A84770"/>
    <w:pPr>
      <w:numPr>
        <w:numId w:val="40"/>
      </w:numPr>
    </w:pPr>
  </w:style>
  <w:style w:type="numbering" w:customStyle="1" w:styleId="Estiloimportado39">
    <w:name w:val="Estilo importado 39"/>
    <w:rsid w:val="00A84770"/>
  </w:style>
  <w:style w:type="numbering" w:customStyle="1" w:styleId="List45">
    <w:name w:val="List 45"/>
    <w:basedOn w:val="Estiloimportado40"/>
    <w:rsid w:val="00A84770"/>
    <w:pPr>
      <w:numPr>
        <w:numId w:val="20"/>
      </w:numPr>
    </w:pPr>
  </w:style>
  <w:style w:type="numbering" w:customStyle="1" w:styleId="Estiloimportado40">
    <w:name w:val="Estilo importado 40"/>
    <w:rsid w:val="00A84770"/>
  </w:style>
  <w:style w:type="numbering" w:customStyle="1" w:styleId="List46">
    <w:name w:val="List 46"/>
    <w:basedOn w:val="Estiloimportado41"/>
    <w:rsid w:val="00A84770"/>
    <w:pPr>
      <w:numPr>
        <w:numId w:val="24"/>
      </w:numPr>
    </w:pPr>
  </w:style>
  <w:style w:type="numbering" w:customStyle="1" w:styleId="Estiloimportado41">
    <w:name w:val="Estilo importado 41"/>
    <w:rsid w:val="00A84770"/>
  </w:style>
  <w:style w:type="numbering" w:customStyle="1" w:styleId="List47">
    <w:name w:val="List 47"/>
    <w:basedOn w:val="Estiloimportado42"/>
    <w:rsid w:val="00A84770"/>
    <w:pPr>
      <w:numPr>
        <w:numId w:val="29"/>
      </w:numPr>
    </w:pPr>
  </w:style>
  <w:style w:type="numbering" w:customStyle="1" w:styleId="Estiloimportado42">
    <w:name w:val="Estilo importado 42"/>
    <w:rsid w:val="00A84770"/>
  </w:style>
  <w:style w:type="numbering" w:customStyle="1" w:styleId="List48">
    <w:name w:val="List 48"/>
    <w:basedOn w:val="Estiloimportado43"/>
    <w:rsid w:val="00A84770"/>
    <w:pPr>
      <w:numPr>
        <w:numId w:val="50"/>
      </w:numPr>
    </w:pPr>
  </w:style>
  <w:style w:type="numbering" w:customStyle="1" w:styleId="Estiloimportado43">
    <w:name w:val="Estilo importado 43"/>
    <w:rsid w:val="00A84770"/>
  </w:style>
  <w:style w:type="numbering" w:customStyle="1" w:styleId="List49">
    <w:name w:val="List 49"/>
    <w:basedOn w:val="Estiloimportado44"/>
    <w:rsid w:val="00A84770"/>
    <w:pPr>
      <w:numPr>
        <w:numId w:val="39"/>
      </w:numPr>
    </w:pPr>
  </w:style>
  <w:style w:type="numbering" w:customStyle="1" w:styleId="Estiloimportado44">
    <w:name w:val="Estilo importado 44"/>
    <w:rsid w:val="00A84770"/>
  </w:style>
  <w:style w:type="numbering" w:customStyle="1" w:styleId="List50">
    <w:name w:val="List 50"/>
    <w:basedOn w:val="Estiloimportado45"/>
    <w:rsid w:val="00A84770"/>
    <w:pPr>
      <w:numPr>
        <w:numId w:val="37"/>
      </w:numPr>
    </w:pPr>
  </w:style>
  <w:style w:type="numbering" w:customStyle="1" w:styleId="Estiloimportado45">
    <w:name w:val="Estilo importado 45"/>
    <w:rsid w:val="00A84770"/>
  </w:style>
  <w:style w:type="numbering" w:customStyle="1" w:styleId="List511">
    <w:name w:val="List 511"/>
    <w:basedOn w:val="Estiloimportado46"/>
    <w:rsid w:val="00A84770"/>
    <w:pPr>
      <w:numPr>
        <w:numId w:val="33"/>
      </w:numPr>
    </w:pPr>
  </w:style>
  <w:style w:type="numbering" w:customStyle="1" w:styleId="Estiloimportado46">
    <w:name w:val="Estilo importado 46"/>
    <w:rsid w:val="00A84770"/>
  </w:style>
  <w:style w:type="numbering" w:customStyle="1" w:styleId="List52">
    <w:name w:val="List 52"/>
    <w:basedOn w:val="Estiloimportado1"/>
    <w:rsid w:val="00A84770"/>
    <w:pPr>
      <w:numPr>
        <w:numId w:val="9"/>
      </w:numPr>
    </w:pPr>
  </w:style>
  <w:style w:type="paragraph" w:styleId="Textodeglobo">
    <w:name w:val="Balloon Text"/>
    <w:basedOn w:val="Normal"/>
    <w:link w:val="TextodegloboCar"/>
    <w:semiHidden/>
    <w:unhideWhenUsed/>
    <w:rsid w:val="00A84770"/>
    <w:rPr>
      <w:rFonts w:ascii="Tahoma" w:hAnsi="Tahoma" w:cs="Tahoma"/>
      <w:sz w:val="16"/>
      <w:szCs w:val="16"/>
    </w:rPr>
  </w:style>
  <w:style w:type="character" w:customStyle="1" w:styleId="TextodegloboCar">
    <w:name w:val="Texto de globo Car"/>
    <w:basedOn w:val="Fuentedeprrafopredeter"/>
    <w:link w:val="Textodeglobo"/>
    <w:semiHidden/>
    <w:rsid w:val="00A84770"/>
    <w:rPr>
      <w:rFonts w:ascii="Tahoma" w:eastAsia="Arial Unicode MS" w:hAnsi="Tahoma" w:cs="Tahoma"/>
      <w:sz w:val="16"/>
      <w:szCs w:val="16"/>
    </w:rPr>
  </w:style>
  <w:style w:type="paragraph" w:styleId="Encabezado">
    <w:name w:val="header"/>
    <w:aliases w:val="encabezado"/>
    <w:basedOn w:val="Normal"/>
    <w:link w:val="EncabezadoCar"/>
    <w:rsid w:val="00A84770"/>
    <w:pPr>
      <w:widowControl w:val="0"/>
      <w:tabs>
        <w:tab w:val="center" w:pos="4320"/>
        <w:tab w:val="right" w:pos="8640"/>
      </w:tabs>
      <w:snapToGrid w:val="0"/>
    </w:pPr>
    <w:rPr>
      <w:rFonts w:ascii="Univers" w:eastAsia="Times New Roman" w:hAnsi="Univers" w:cs="Univers"/>
    </w:rPr>
  </w:style>
  <w:style w:type="character" w:customStyle="1" w:styleId="EncabezadoCar">
    <w:name w:val="Encabezado Car"/>
    <w:aliases w:val="encabezado Car"/>
    <w:basedOn w:val="Fuentedeprrafopredeter"/>
    <w:link w:val="Encabezado"/>
    <w:rsid w:val="00A84770"/>
    <w:rPr>
      <w:rFonts w:ascii="Univers" w:eastAsia="Times New Roman" w:hAnsi="Univers" w:cs="Univers"/>
    </w:rPr>
  </w:style>
  <w:style w:type="table" w:styleId="Sombreadomedio1-nfasis1">
    <w:name w:val="Medium Shading 1 Accent 1"/>
    <w:basedOn w:val="Tablanormal"/>
    <w:uiPriority w:val="63"/>
    <w:rsid w:val="00A84770"/>
    <w:rPr>
      <w:rFonts w:ascii="Times New Roman" w:eastAsia="Arial Unicode MS" w:hAnsi="Times New Roman" w:cs="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qFormat/>
    <w:rsid w:val="00A84770"/>
    <w:pPr>
      <w:tabs>
        <w:tab w:val="left" w:pos="720"/>
        <w:tab w:val="right" w:leader="dot" w:pos="9440"/>
      </w:tabs>
      <w:spacing w:after="60" w:line="360" w:lineRule="auto"/>
      <w:ind w:left="240"/>
    </w:pPr>
    <w:rPr>
      <w:rFonts w:asciiTheme="minorHAnsi" w:hAnsiTheme="minorHAnsi"/>
      <w:b/>
      <w:bCs/>
      <w:sz w:val="22"/>
      <w:szCs w:val="22"/>
    </w:rPr>
  </w:style>
  <w:style w:type="paragraph" w:styleId="TDC1">
    <w:name w:val="toc 1"/>
    <w:basedOn w:val="Normal"/>
    <w:next w:val="Normal"/>
    <w:autoRedefine/>
    <w:uiPriority w:val="39"/>
    <w:unhideWhenUsed/>
    <w:qFormat/>
    <w:rsid w:val="00A84770"/>
    <w:pPr>
      <w:tabs>
        <w:tab w:val="left" w:pos="1134"/>
        <w:tab w:val="right" w:leader="dot" w:pos="9440"/>
      </w:tabs>
      <w:spacing w:before="120" w:after="60" w:line="360" w:lineRule="auto"/>
    </w:pPr>
    <w:rPr>
      <w:rFonts w:asciiTheme="minorHAnsi" w:hAnsiTheme="minorHAnsi"/>
      <w:b/>
      <w:bCs/>
    </w:rPr>
  </w:style>
  <w:style w:type="paragraph" w:styleId="TDC3">
    <w:name w:val="toc 3"/>
    <w:basedOn w:val="Normal"/>
    <w:next w:val="Normal"/>
    <w:autoRedefine/>
    <w:uiPriority w:val="39"/>
    <w:unhideWhenUsed/>
    <w:qFormat/>
    <w:rsid w:val="00A84770"/>
    <w:pPr>
      <w:ind w:left="480"/>
    </w:pPr>
    <w:rPr>
      <w:rFonts w:asciiTheme="minorHAnsi" w:hAnsiTheme="minorHAnsi"/>
      <w:sz w:val="22"/>
      <w:szCs w:val="22"/>
    </w:rPr>
  </w:style>
  <w:style w:type="paragraph" w:styleId="TDC4">
    <w:name w:val="toc 4"/>
    <w:basedOn w:val="Normal"/>
    <w:next w:val="Normal"/>
    <w:autoRedefine/>
    <w:unhideWhenUsed/>
    <w:rsid w:val="00A84770"/>
    <w:pPr>
      <w:ind w:left="720"/>
    </w:pPr>
    <w:rPr>
      <w:rFonts w:asciiTheme="minorHAnsi" w:hAnsiTheme="minorHAnsi"/>
      <w:sz w:val="20"/>
      <w:szCs w:val="20"/>
    </w:rPr>
  </w:style>
  <w:style w:type="character" w:styleId="Nmerodepgina">
    <w:name w:val="page number"/>
    <w:basedOn w:val="Fuentedeprrafopredeter"/>
    <w:rsid w:val="00A84770"/>
  </w:style>
  <w:style w:type="numbering" w:customStyle="1" w:styleId="NoList1">
    <w:name w:val="No List1"/>
    <w:next w:val="Sinlista"/>
    <w:semiHidden/>
    <w:unhideWhenUsed/>
    <w:rsid w:val="00A84770"/>
  </w:style>
  <w:style w:type="character" w:styleId="Refdenotaalpie">
    <w:name w:val="footnote reference"/>
    <w:aliases w:val="Footnotes refss,Texto de nota al pie,Appel note de bas de page,Footnote number,referencia nota al pie,BVI fnr,f,Ref. de nota al pie.,Footnote symbol,Footnote,4_G,16 Point,Superscript 6 Point,Texto nota al pie,Ref. de nota al pi,Ref,R"/>
    <w:link w:val="BVIfnrCar1CarCarCarCar"/>
    <w:qFormat/>
    <w:rsid w:val="00A84770"/>
    <w:rPr>
      <w:rFonts w:ascii="Verdana" w:hAnsi="Verdana"/>
      <w:sz w:val="22"/>
      <w:vertAlign w:val="superscript"/>
    </w:rPr>
  </w:style>
  <w:style w:type="character" w:customStyle="1" w:styleId="Style">
    <w:name w:val="Style"/>
    <w:rsid w:val="00A84770"/>
    <w:rPr>
      <w:rFonts w:ascii="Times New Roman" w:hAnsi="Times New Roman"/>
      <w:sz w:val="22"/>
      <w:vertAlign w:val="superscript"/>
    </w:rPr>
  </w:style>
  <w:style w:type="paragraph" w:customStyle="1" w:styleId="Style1">
    <w:name w:val="Style1"/>
    <w:basedOn w:val="Textonotapie"/>
    <w:autoRedefine/>
    <w:rsid w:val="00A84770"/>
    <w:p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ascii="Univers" w:eastAsia="Times New Roman" w:hAnsi="Univers" w:cs="Times New Roman"/>
      <w:color w:val="auto"/>
      <w:sz w:val="16"/>
      <w:szCs w:val="16"/>
      <w:bdr w:val="none" w:sz="0" w:space="0" w:color="auto"/>
      <w:lang w:val="es-PY" w:eastAsia="en-US"/>
    </w:rPr>
  </w:style>
  <w:style w:type="paragraph" w:customStyle="1" w:styleId="Style10">
    <w:name w:val="Style 1"/>
    <w:basedOn w:val="Normal"/>
    <w:uiPriority w:val="99"/>
    <w:rsid w:val="00A84770"/>
    <w:pPr>
      <w:widowControl w:val="0"/>
      <w:autoSpaceDE w:val="0"/>
      <w:autoSpaceDN w:val="0"/>
      <w:spacing w:before="396" w:line="408" w:lineRule="atLeast"/>
      <w:jc w:val="both"/>
    </w:pPr>
    <w:rPr>
      <w:rFonts w:eastAsia="Times New Roman"/>
    </w:rPr>
  </w:style>
  <w:style w:type="paragraph" w:customStyle="1" w:styleId="Style4">
    <w:name w:val="Style 4"/>
    <w:basedOn w:val="Normal"/>
    <w:rsid w:val="00A84770"/>
    <w:pPr>
      <w:widowControl w:val="0"/>
      <w:autoSpaceDE w:val="0"/>
      <w:autoSpaceDN w:val="0"/>
      <w:spacing w:line="408" w:lineRule="atLeast"/>
      <w:jc w:val="both"/>
    </w:pPr>
    <w:rPr>
      <w:rFonts w:eastAsia="Times New Roman"/>
    </w:rPr>
  </w:style>
  <w:style w:type="paragraph" w:customStyle="1" w:styleId="Style31">
    <w:name w:val="Style 31"/>
    <w:basedOn w:val="Normal"/>
    <w:rsid w:val="00A84770"/>
    <w:pPr>
      <w:widowControl w:val="0"/>
      <w:autoSpaceDE w:val="0"/>
      <w:autoSpaceDN w:val="0"/>
      <w:spacing w:after="3204" w:line="1116" w:lineRule="exact"/>
      <w:jc w:val="center"/>
    </w:pPr>
    <w:rPr>
      <w:rFonts w:eastAsia="Times New Roman"/>
    </w:rPr>
  </w:style>
  <w:style w:type="paragraph" w:customStyle="1" w:styleId="Style36">
    <w:name w:val="Style 36"/>
    <w:basedOn w:val="Normal"/>
    <w:rsid w:val="00A84770"/>
    <w:pPr>
      <w:widowControl w:val="0"/>
      <w:autoSpaceDE w:val="0"/>
      <w:autoSpaceDN w:val="0"/>
      <w:spacing w:before="360" w:line="384" w:lineRule="atLeast"/>
      <w:ind w:right="72"/>
      <w:jc w:val="both"/>
    </w:pPr>
    <w:rPr>
      <w:rFonts w:eastAsia="Times New Roman"/>
    </w:rPr>
  </w:style>
  <w:style w:type="paragraph" w:customStyle="1" w:styleId="Style11">
    <w:name w:val="Style 11"/>
    <w:basedOn w:val="Normal"/>
    <w:rsid w:val="00A84770"/>
    <w:pPr>
      <w:widowControl w:val="0"/>
      <w:autoSpaceDE w:val="0"/>
      <w:autoSpaceDN w:val="0"/>
      <w:spacing w:before="360" w:line="360" w:lineRule="auto"/>
      <w:jc w:val="both"/>
    </w:pPr>
    <w:rPr>
      <w:rFonts w:eastAsia="Times New Roman"/>
    </w:rPr>
  </w:style>
  <w:style w:type="paragraph" w:customStyle="1" w:styleId="Style14">
    <w:name w:val="Style 14"/>
    <w:basedOn w:val="Normal"/>
    <w:rsid w:val="00A84770"/>
    <w:pPr>
      <w:widowControl w:val="0"/>
      <w:autoSpaceDE w:val="0"/>
      <w:autoSpaceDN w:val="0"/>
      <w:spacing w:before="360" w:line="384" w:lineRule="atLeast"/>
      <w:ind w:left="504" w:right="72" w:hanging="504"/>
      <w:jc w:val="both"/>
    </w:pPr>
    <w:rPr>
      <w:rFonts w:eastAsia="Times New Roman"/>
    </w:rPr>
  </w:style>
  <w:style w:type="paragraph" w:customStyle="1" w:styleId="Style27">
    <w:name w:val="Style 27"/>
    <w:basedOn w:val="Normal"/>
    <w:rsid w:val="00A84770"/>
    <w:pPr>
      <w:widowControl w:val="0"/>
      <w:autoSpaceDE w:val="0"/>
      <w:autoSpaceDN w:val="0"/>
      <w:spacing w:before="396" w:line="360" w:lineRule="auto"/>
      <w:ind w:left="360" w:hanging="360"/>
      <w:jc w:val="both"/>
    </w:pPr>
    <w:rPr>
      <w:rFonts w:eastAsia="Times New Roman"/>
    </w:rPr>
  </w:style>
  <w:style w:type="paragraph" w:customStyle="1" w:styleId="Style16">
    <w:name w:val="Style 16"/>
    <w:basedOn w:val="Normal"/>
    <w:rsid w:val="00A84770"/>
    <w:pPr>
      <w:widowControl w:val="0"/>
      <w:autoSpaceDE w:val="0"/>
      <w:autoSpaceDN w:val="0"/>
      <w:ind w:left="360" w:hanging="360"/>
      <w:jc w:val="both"/>
    </w:pPr>
    <w:rPr>
      <w:rFonts w:eastAsia="Times New Roman"/>
    </w:rPr>
  </w:style>
  <w:style w:type="paragraph" w:customStyle="1" w:styleId="Style17">
    <w:name w:val="Style 17"/>
    <w:basedOn w:val="Normal"/>
    <w:rsid w:val="00A84770"/>
    <w:pPr>
      <w:widowControl w:val="0"/>
      <w:autoSpaceDE w:val="0"/>
      <w:autoSpaceDN w:val="0"/>
      <w:adjustRightInd w:val="0"/>
    </w:pPr>
    <w:rPr>
      <w:rFonts w:eastAsia="Times New Roman"/>
    </w:rPr>
  </w:style>
  <w:style w:type="paragraph" w:customStyle="1" w:styleId="Style19">
    <w:name w:val="Style 19"/>
    <w:basedOn w:val="Normal"/>
    <w:rsid w:val="00A84770"/>
    <w:pPr>
      <w:widowControl w:val="0"/>
      <w:autoSpaceDE w:val="0"/>
      <w:autoSpaceDN w:val="0"/>
      <w:spacing w:line="360" w:lineRule="auto"/>
      <w:ind w:left="504" w:right="72" w:hanging="504"/>
      <w:jc w:val="both"/>
    </w:pPr>
    <w:rPr>
      <w:rFonts w:eastAsia="Times New Roman"/>
    </w:rPr>
  </w:style>
  <w:style w:type="paragraph" w:customStyle="1" w:styleId="Style21">
    <w:name w:val="Style 21"/>
    <w:basedOn w:val="Normal"/>
    <w:rsid w:val="00A84770"/>
    <w:pPr>
      <w:widowControl w:val="0"/>
      <w:autoSpaceDE w:val="0"/>
      <w:autoSpaceDN w:val="0"/>
      <w:spacing w:before="216"/>
      <w:ind w:right="864"/>
      <w:jc w:val="both"/>
    </w:pPr>
    <w:rPr>
      <w:rFonts w:eastAsia="Times New Roman"/>
    </w:rPr>
  </w:style>
  <w:style w:type="paragraph" w:customStyle="1" w:styleId="Style22">
    <w:name w:val="Style 22"/>
    <w:basedOn w:val="Normal"/>
    <w:rsid w:val="00A84770"/>
    <w:pPr>
      <w:widowControl w:val="0"/>
      <w:autoSpaceDE w:val="0"/>
      <w:autoSpaceDN w:val="0"/>
      <w:spacing w:before="216"/>
      <w:ind w:right="864"/>
    </w:pPr>
    <w:rPr>
      <w:rFonts w:eastAsia="Times New Roman"/>
    </w:rPr>
  </w:style>
  <w:style w:type="paragraph" w:customStyle="1" w:styleId="Style24">
    <w:name w:val="Style 24"/>
    <w:basedOn w:val="Normal"/>
    <w:rsid w:val="00A84770"/>
    <w:pPr>
      <w:widowControl w:val="0"/>
      <w:autoSpaceDE w:val="0"/>
      <w:autoSpaceDN w:val="0"/>
      <w:spacing w:before="360" w:line="360" w:lineRule="auto"/>
      <w:ind w:left="504" w:right="72" w:hanging="504"/>
      <w:jc w:val="both"/>
    </w:pPr>
    <w:rPr>
      <w:rFonts w:eastAsia="Times New Roman"/>
    </w:rPr>
  </w:style>
  <w:style w:type="paragraph" w:styleId="Mapadeldocumento">
    <w:name w:val="Document Map"/>
    <w:basedOn w:val="Normal"/>
    <w:link w:val="MapadeldocumentoCar"/>
    <w:semiHidden/>
    <w:rsid w:val="00A84770"/>
    <w:pPr>
      <w:shd w:val="clear" w:color="auto" w:fill="000080"/>
    </w:pPr>
    <w:rPr>
      <w:rFonts w:ascii="Tahoma" w:eastAsia="Times New Roman" w:hAnsi="Tahoma" w:cs="Tahoma"/>
      <w:sz w:val="20"/>
      <w:szCs w:val="20"/>
    </w:rPr>
  </w:style>
  <w:style w:type="character" w:customStyle="1" w:styleId="MapadeldocumentoCar">
    <w:name w:val="Mapa del documento Car"/>
    <w:basedOn w:val="Fuentedeprrafopredeter"/>
    <w:link w:val="Mapadeldocumento"/>
    <w:semiHidden/>
    <w:rsid w:val="00A84770"/>
    <w:rPr>
      <w:rFonts w:ascii="Tahoma" w:eastAsia="Times New Roman" w:hAnsi="Tahoma" w:cs="Tahoma"/>
      <w:sz w:val="20"/>
      <w:szCs w:val="20"/>
      <w:shd w:val="clear" w:color="auto" w:fill="000080"/>
    </w:rPr>
  </w:style>
  <w:style w:type="paragraph" w:styleId="Textoindependiente">
    <w:name w:val="Body Text"/>
    <w:aliases w:val="Body Text Char Car Car Car Car Car Car Car Car Car Car Car Car Car,Body Text Char Car Car Car Car Car Car Car Car Car Car Car Car"/>
    <w:basedOn w:val="Normal"/>
    <w:link w:val="TextoindependienteCar"/>
    <w:rsid w:val="00A84770"/>
    <w:pPr>
      <w:spacing w:after="120"/>
    </w:pPr>
    <w:rPr>
      <w:rFonts w:eastAsia="Times New Roman"/>
      <w:sz w:val="20"/>
      <w:szCs w:val="20"/>
    </w:rPr>
  </w:style>
  <w:style w:type="character" w:customStyle="1" w:styleId="TextoindependienteCar">
    <w:name w:val="Texto independiente Car"/>
    <w:aliases w:val="Body Text Char Car Car Car Car Car Car Car Car Car Car Car Car Car Car,Body Text Char Car Car Car Car Car Car Car Car Car Car Car Car Car1"/>
    <w:basedOn w:val="Fuentedeprrafopredeter"/>
    <w:link w:val="Textoindependiente"/>
    <w:rsid w:val="00A84770"/>
    <w:rPr>
      <w:rFonts w:ascii="Times New Roman" w:eastAsia="Times New Roman" w:hAnsi="Times New Roman" w:cs="Times New Roman"/>
      <w:sz w:val="20"/>
      <w:szCs w:val="20"/>
    </w:rPr>
  </w:style>
  <w:style w:type="paragraph" w:customStyle="1" w:styleId="Style6">
    <w:name w:val="Style 6"/>
    <w:basedOn w:val="Normal"/>
    <w:rsid w:val="00A84770"/>
    <w:pPr>
      <w:widowControl w:val="0"/>
      <w:autoSpaceDE w:val="0"/>
      <w:autoSpaceDN w:val="0"/>
      <w:spacing w:before="252"/>
      <w:jc w:val="both"/>
    </w:pPr>
    <w:rPr>
      <w:rFonts w:eastAsia="Times New Roman"/>
    </w:rPr>
  </w:style>
  <w:style w:type="paragraph" w:customStyle="1" w:styleId="Style29">
    <w:name w:val="Style 29"/>
    <w:basedOn w:val="Normal"/>
    <w:rsid w:val="00A84770"/>
    <w:pPr>
      <w:widowControl w:val="0"/>
      <w:autoSpaceDE w:val="0"/>
      <w:autoSpaceDN w:val="0"/>
      <w:spacing w:before="252"/>
      <w:ind w:right="72"/>
      <w:jc w:val="both"/>
    </w:pPr>
    <w:rPr>
      <w:rFonts w:eastAsia="Times New Roman"/>
    </w:rPr>
  </w:style>
  <w:style w:type="paragraph" w:customStyle="1" w:styleId="Style28">
    <w:name w:val="Style 28"/>
    <w:basedOn w:val="Normal"/>
    <w:rsid w:val="00A84770"/>
    <w:pPr>
      <w:widowControl w:val="0"/>
      <w:autoSpaceDE w:val="0"/>
      <w:autoSpaceDN w:val="0"/>
      <w:spacing w:before="252"/>
      <w:ind w:left="72"/>
      <w:jc w:val="both"/>
    </w:pPr>
    <w:rPr>
      <w:rFonts w:eastAsia="Times New Roman"/>
    </w:rPr>
  </w:style>
  <w:style w:type="paragraph" w:customStyle="1" w:styleId="Style26">
    <w:name w:val="Style 26"/>
    <w:basedOn w:val="Normal"/>
    <w:rsid w:val="00A84770"/>
    <w:pPr>
      <w:widowControl w:val="0"/>
      <w:autoSpaceDE w:val="0"/>
      <w:autoSpaceDN w:val="0"/>
      <w:jc w:val="center"/>
    </w:pPr>
    <w:rPr>
      <w:rFonts w:eastAsia="Times New Roman"/>
    </w:rPr>
  </w:style>
  <w:style w:type="paragraph" w:customStyle="1" w:styleId="Style100">
    <w:name w:val="Style 10"/>
    <w:basedOn w:val="Normal"/>
    <w:rsid w:val="00A84770"/>
    <w:pPr>
      <w:widowControl w:val="0"/>
      <w:autoSpaceDE w:val="0"/>
      <w:autoSpaceDN w:val="0"/>
      <w:ind w:left="720"/>
      <w:jc w:val="both"/>
    </w:pPr>
    <w:rPr>
      <w:rFonts w:eastAsia="Times New Roman"/>
    </w:rPr>
  </w:style>
  <w:style w:type="paragraph" w:customStyle="1" w:styleId="Style12">
    <w:name w:val="Style 12"/>
    <w:basedOn w:val="Normal"/>
    <w:rsid w:val="00A84770"/>
    <w:pPr>
      <w:widowControl w:val="0"/>
      <w:autoSpaceDE w:val="0"/>
      <w:autoSpaceDN w:val="0"/>
      <w:jc w:val="center"/>
    </w:pPr>
    <w:rPr>
      <w:rFonts w:eastAsia="Times New Roman"/>
    </w:rPr>
  </w:style>
  <w:style w:type="paragraph" w:customStyle="1" w:styleId="Style13">
    <w:name w:val="Style 13"/>
    <w:basedOn w:val="Normal"/>
    <w:rsid w:val="00A84770"/>
    <w:pPr>
      <w:widowControl w:val="0"/>
      <w:autoSpaceDE w:val="0"/>
      <w:autoSpaceDN w:val="0"/>
      <w:ind w:right="72" w:firstLine="72"/>
      <w:jc w:val="both"/>
    </w:pPr>
    <w:rPr>
      <w:rFonts w:eastAsia="Times New Roman"/>
    </w:rPr>
  </w:style>
  <w:style w:type="paragraph" w:customStyle="1" w:styleId="Style2">
    <w:name w:val="Style 2"/>
    <w:basedOn w:val="Normal"/>
    <w:rsid w:val="00A84770"/>
    <w:pPr>
      <w:widowControl w:val="0"/>
      <w:autoSpaceDE w:val="0"/>
      <w:autoSpaceDN w:val="0"/>
      <w:adjustRightInd w:val="0"/>
    </w:pPr>
    <w:rPr>
      <w:rFonts w:eastAsia="Times New Roman"/>
    </w:rPr>
  </w:style>
  <w:style w:type="paragraph" w:customStyle="1" w:styleId="Style15">
    <w:name w:val="Style 15"/>
    <w:basedOn w:val="Normal"/>
    <w:rsid w:val="00A84770"/>
    <w:pPr>
      <w:widowControl w:val="0"/>
      <w:autoSpaceDE w:val="0"/>
      <w:autoSpaceDN w:val="0"/>
      <w:ind w:left="648" w:right="72"/>
    </w:pPr>
    <w:rPr>
      <w:rFonts w:eastAsia="Times New Roman"/>
    </w:rPr>
  </w:style>
  <w:style w:type="paragraph" w:customStyle="1" w:styleId="Style25">
    <w:name w:val="Style 25"/>
    <w:basedOn w:val="Normal"/>
    <w:rsid w:val="00A84770"/>
    <w:pPr>
      <w:widowControl w:val="0"/>
      <w:autoSpaceDE w:val="0"/>
      <w:autoSpaceDN w:val="0"/>
      <w:jc w:val="both"/>
    </w:pPr>
    <w:rPr>
      <w:rFonts w:eastAsia="Times New Roman"/>
    </w:rPr>
  </w:style>
  <w:style w:type="paragraph" w:customStyle="1" w:styleId="Style18">
    <w:name w:val="Style 18"/>
    <w:basedOn w:val="Normal"/>
    <w:rsid w:val="00A84770"/>
    <w:pPr>
      <w:widowControl w:val="0"/>
      <w:autoSpaceDE w:val="0"/>
      <w:autoSpaceDN w:val="0"/>
      <w:adjustRightInd w:val="0"/>
    </w:pPr>
    <w:rPr>
      <w:rFonts w:eastAsia="Times New Roman"/>
    </w:rPr>
  </w:style>
  <w:style w:type="paragraph" w:customStyle="1" w:styleId="Style20">
    <w:name w:val="Style 20"/>
    <w:basedOn w:val="Normal"/>
    <w:rsid w:val="00A84770"/>
    <w:pPr>
      <w:widowControl w:val="0"/>
      <w:autoSpaceDE w:val="0"/>
      <w:autoSpaceDN w:val="0"/>
      <w:ind w:left="72"/>
    </w:pPr>
    <w:rPr>
      <w:rFonts w:eastAsia="Times New Roman"/>
    </w:rPr>
  </w:style>
  <w:style w:type="table" w:styleId="Tablaconcuadrcula">
    <w:name w:val="Table Grid"/>
    <w:basedOn w:val="Tablanormal"/>
    <w:rsid w:val="00A84770"/>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har1,Normal (Web) Char Char,Normal (Web) Char1 Char,Normal (Web) Char Char Char"/>
    <w:basedOn w:val="Normal"/>
    <w:uiPriority w:val="99"/>
    <w:rsid w:val="00A84770"/>
    <w:pPr>
      <w:spacing w:before="100" w:beforeAutospacing="1" w:after="100" w:afterAutospacing="1"/>
    </w:pPr>
    <w:rPr>
      <w:rFonts w:eastAsia="Times New Roman"/>
    </w:rPr>
  </w:style>
  <w:style w:type="character" w:styleId="Textoennegrita">
    <w:name w:val="Strong"/>
    <w:uiPriority w:val="22"/>
    <w:qFormat/>
    <w:rsid w:val="00A84770"/>
    <w:rPr>
      <w:b/>
      <w:bCs/>
    </w:rPr>
  </w:style>
  <w:style w:type="character" w:customStyle="1" w:styleId="Heading1CharCharCharCharCharChar">
    <w:name w:val="Heading 1 Char Char Char Char Char Char"/>
    <w:rsid w:val="00A84770"/>
    <w:rPr>
      <w:rFonts w:ascii="Univers" w:hAnsi="Univers" w:cs="Arial"/>
      <w:kern w:val="36"/>
      <w:sz w:val="22"/>
      <w:szCs w:val="22"/>
      <w:lang w:val="en-US" w:eastAsia="en-US" w:bidi="ar-SA"/>
    </w:rPr>
  </w:style>
  <w:style w:type="paragraph" w:styleId="Sangra2detindependiente">
    <w:name w:val="Body Text Indent 2"/>
    <w:basedOn w:val="Normal"/>
    <w:link w:val="Sangra2detindependienteCar"/>
    <w:rsid w:val="00A84770"/>
    <w:pPr>
      <w:spacing w:after="120" w:line="480" w:lineRule="auto"/>
      <w:ind w:left="360"/>
    </w:pPr>
    <w:rPr>
      <w:rFonts w:eastAsia="Times New Roman"/>
      <w:sz w:val="20"/>
      <w:szCs w:val="20"/>
    </w:rPr>
  </w:style>
  <w:style w:type="character" w:customStyle="1" w:styleId="Sangra2detindependienteCar">
    <w:name w:val="Sangría 2 de t. independiente Car"/>
    <w:basedOn w:val="Fuentedeprrafopredeter"/>
    <w:link w:val="Sangra2detindependiente"/>
    <w:rsid w:val="00A84770"/>
    <w:rPr>
      <w:rFonts w:ascii="Times New Roman" w:eastAsia="Times New Roman" w:hAnsi="Times New Roman" w:cs="Times New Roman"/>
      <w:sz w:val="20"/>
      <w:szCs w:val="20"/>
    </w:rPr>
  </w:style>
  <w:style w:type="paragraph" w:customStyle="1" w:styleId="Default">
    <w:name w:val="Default"/>
    <w:link w:val="DefaultChar"/>
    <w:rsid w:val="00A84770"/>
    <w:pPr>
      <w:autoSpaceDE w:val="0"/>
      <w:autoSpaceDN w:val="0"/>
      <w:adjustRightInd w:val="0"/>
    </w:pPr>
    <w:rPr>
      <w:rFonts w:ascii="Times New Roman" w:eastAsia="Times New Roman" w:hAnsi="Times New Roman" w:cs="Times New Roman"/>
      <w:color w:val="000000"/>
    </w:rPr>
  </w:style>
  <w:style w:type="character" w:customStyle="1" w:styleId="ju-005fpara--char">
    <w:name w:val="ju-005fpara--char"/>
    <w:basedOn w:val="Fuentedeprrafopredeter"/>
    <w:rsid w:val="00A84770"/>
  </w:style>
  <w:style w:type="paragraph" w:customStyle="1" w:styleId="Sinespaciado1">
    <w:name w:val="Sin espaciado1"/>
    <w:qFormat/>
    <w:rsid w:val="00A84770"/>
    <w:rPr>
      <w:rFonts w:ascii="Calibri" w:eastAsia="Calibri" w:hAnsi="Calibri" w:cs="Times New Roman"/>
      <w:sz w:val="22"/>
      <w:szCs w:val="22"/>
      <w:lang w:val="es-ES"/>
    </w:rPr>
  </w:style>
  <w:style w:type="character" w:customStyle="1" w:styleId="normal--char">
    <w:name w:val="normal--char"/>
    <w:basedOn w:val="Fuentedeprrafopredeter"/>
    <w:rsid w:val="00A84770"/>
  </w:style>
  <w:style w:type="paragraph" w:styleId="Ttulo">
    <w:name w:val="Title"/>
    <w:basedOn w:val="Normal"/>
    <w:link w:val="TtuloCar"/>
    <w:qFormat/>
    <w:rsid w:val="00A84770"/>
    <w:pPr>
      <w:jc w:val="center"/>
    </w:pPr>
    <w:rPr>
      <w:rFonts w:ascii="Univers" w:eastAsia="Times New Roman" w:hAnsi="Univers"/>
      <w:b/>
      <w:sz w:val="22"/>
      <w:szCs w:val="20"/>
      <w:lang w:val="es-ES"/>
    </w:rPr>
  </w:style>
  <w:style w:type="character" w:customStyle="1" w:styleId="TtuloCar">
    <w:name w:val="Título Car"/>
    <w:basedOn w:val="Fuentedeprrafopredeter"/>
    <w:link w:val="Ttulo"/>
    <w:rsid w:val="00A84770"/>
    <w:rPr>
      <w:rFonts w:ascii="Univers" w:eastAsia="Times New Roman" w:hAnsi="Univers" w:cs="Times New Roman"/>
      <w:b/>
      <w:sz w:val="22"/>
      <w:szCs w:val="20"/>
      <w:lang w:val="es-ES"/>
    </w:rPr>
  </w:style>
  <w:style w:type="character" w:customStyle="1" w:styleId="antetitulo1">
    <w:name w:val="antetitulo1"/>
    <w:rsid w:val="00A84770"/>
    <w:rPr>
      <w:rFonts w:ascii="Verdana" w:hAnsi="Verdana"/>
      <w:b w:val="0"/>
      <w:bCs w:val="0"/>
      <w:strike w:val="0"/>
      <w:dstrike w:val="0"/>
      <w:color w:val="CC0000"/>
      <w:sz w:val="15"/>
      <w:szCs w:val="15"/>
      <w:u w:val="none"/>
      <w:effect w:val="none"/>
    </w:rPr>
  </w:style>
  <w:style w:type="character" w:customStyle="1" w:styleId="ju-005fcase-0020char--char">
    <w:name w:val="ju-005fcase-0020char--char"/>
    <w:basedOn w:val="Fuentedeprrafopredeter"/>
    <w:rsid w:val="00A84770"/>
  </w:style>
  <w:style w:type="paragraph" w:customStyle="1" w:styleId="Blockquote">
    <w:name w:val="Blockquote"/>
    <w:basedOn w:val="Normal"/>
    <w:rsid w:val="00A84770"/>
    <w:pPr>
      <w:spacing w:before="100" w:after="100"/>
      <w:ind w:left="360" w:right="360"/>
    </w:pPr>
    <w:rPr>
      <w:rFonts w:eastAsia="Times New Roman"/>
      <w:snapToGrid w:val="0"/>
      <w:szCs w:val="20"/>
    </w:rPr>
  </w:style>
  <w:style w:type="paragraph" w:styleId="TDC5">
    <w:name w:val="toc 5"/>
    <w:basedOn w:val="Normal"/>
    <w:next w:val="Normal"/>
    <w:autoRedefine/>
    <w:semiHidden/>
    <w:rsid w:val="00A84770"/>
    <w:pPr>
      <w:ind w:left="960"/>
    </w:pPr>
    <w:rPr>
      <w:rFonts w:asciiTheme="minorHAnsi" w:hAnsiTheme="minorHAnsi"/>
      <w:sz w:val="20"/>
      <w:szCs w:val="20"/>
    </w:rPr>
  </w:style>
  <w:style w:type="character" w:customStyle="1" w:styleId="TextonotapieCar1">
    <w:name w:val="Texto nota pie Car1"/>
    <w:aliases w:val="ft Car,FA Fu Car,Footnote Text Char Char Char Char Char Car,Footnote Text Char Char Char Char Car,Footnote reference Car,Texto nota pie Car Car,Footnote Text Char Char Char Car,texto de nota al pie Car,FA Fußnotentext Car"/>
    <w:semiHidden/>
    <w:locked/>
    <w:rsid w:val="00A84770"/>
    <w:rPr>
      <w:rFonts w:cs="Times New Roman"/>
      <w:lang w:val="es-ES_tradnl" w:eastAsia="en-US" w:bidi="ar-SA"/>
    </w:rPr>
  </w:style>
  <w:style w:type="paragraph" w:customStyle="1" w:styleId="Car">
    <w:name w:val="Car"/>
    <w:basedOn w:val="Normal"/>
    <w:rsid w:val="00A84770"/>
    <w:pPr>
      <w:spacing w:after="160" w:line="240" w:lineRule="exact"/>
    </w:pPr>
    <w:rPr>
      <w:rFonts w:eastAsia="Times New Roman"/>
      <w:noProof/>
      <w:color w:val="000000"/>
      <w:sz w:val="20"/>
      <w:szCs w:val="20"/>
      <w:lang w:val="es-CO" w:eastAsia="es-ES"/>
    </w:rPr>
  </w:style>
  <w:style w:type="paragraph" w:customStyle="1" w:styleId="Prrafonumerado">
    <w:name w:val="Párrafo numerado"/>
    <w:basedOn w:val="Normal"/>
    <w:autoRedefine/>
    <w:rsid w:val="00A84770"/>
    <w:pPr>
      <w:tabs>
        <w:tab w:val="left" w:pos="0"/>
      </w:tabs>
      <w:ind w:left="720" w:right="760"/>
      <w:jc w:val="both"/>
    </w:pPr>
    <w:rPr>
      <w:rFonts w:ascii="Univers" w:eastAsia="Times New Roman" w:hAnsi="Univers"/>
      <w:sz w:val="18"/>
      <w:szCs w:val="18"/>
      <w:lang w:val="es-CO" w:eastAsia="es-ES"/>
    </w:rPr>
  </w:style>
  <w:style w:type="paragraph" w:styleId="Textoindependiente3">
    <w:name w:val="Body Text 3"/>
    <w:basedOn w:val="Normal"/>
    <w:link w:val="Textoindependiente3Car"/>
    <w:rsid w:val="00A84770"/>
    <w:pPr>
      <w:spacing w:after="120"/>
    </w:pPr>
    <w:rPr>
      <w:rFonts w:eastAsia="Times New Roman"/>
      <w:sz w:val="16"/>
      <w:szCs w:val="16"/>
    </w:rPr>
  </w:style>
  <w:style w:type="character" w:customStyle="1" w:styleId="Textoindependiente3Car">
    <w:name w:val="Texto independiente 3 Car"/>
    <w:basedOn w:val="Fuentedeprrafopredeter"/>
    <w:link w:val="Textoindependiente3"/>
    <w:rsid w:val="00A84770"/>
    <w:rPr>
      <w:rFonts w:ascii="Times New Roman" w:eastAsia="Times New Roman" w:hAnsi="Times New Roman" w:cs="Times New Roman"/>
      <w:sz w:val="16"/>
      <w:szCs w:val="16"/>
    </w:rPr>
  </w:style>
  <w:style w:type="paragraph" w:styleId="Sangra3detindependiente">
    <w:name w:val="Body Text Indent 3"/>
    <w:basedOn w:val="Normal"/>
    <w:link w:val="Sangra3detindependienteCar"/>
    <w:rsid w:val="00A84770"/>
    <w:pPr>
      <w:spacing w:after="120"/>
      <w:ind w:left="360"/>
    </w:pPr>
    <w:rPr>
      <w:rFonts w:eastAsia="Times New Roman"/>
      <w:sz w:val="16"/>
      <w:szCs w:val="16"/>
    </w:rPr>
  </w:style>
  <w:style w:type="character" w:customStyle="1" w:styleId="Sangra3detindependienteCar">
    <w:name w:val="Sangría 3 de t. independiente Car"/>
    <w:basedOn w:val="Fuentedeprrafopredeter"/>
    <w:link w:val="Sangra3detindependiente"/>
    <w:rsid w:val="00A84770"/>
    <w:rPr>
      <w:rFonts w:ascii="Times New Roman" w:eastAsia="Times New Roman" w:hAnsi="Times New Roman" w:cs="Times New Roman"/>
      <w:sz w:val="16"/>
      <w:szCs w:val="16"/>
    </w:rPr>
  </w:style>
  <w:style w:type="character" w:customStyle="1" w:styleId="FootnoteCharacters">
    <w:name w:val="Footnote Characters"/>
    <w:rsid w:val="00A84770"/>
    <w:rPr>
      <w:vertAlign w:val="superscript"/>
    </w:rPr>
  </w:style>
  <w:style w:type="character" w:customStyle="1" w:styleId="WW-FootnoteCharacters">
    <w:name w:val="WW-Footnote Characters"/>
    <w:rsid w:val="00A84770"/>
    <w:rPr>
      <w:rFonts w:ascii="Universal" w:hAnsi="Universal"/>
      <w:sz w:val="16"/>
      <w:vertAlign w:val="superscript"/>
    </w:rPr>
  </w:style>
  <w:style w:type="character" w:customStyle="1" w:styleId="textonavy1">
    <w:name w:val="texto_navy1"/>
    <w:rsid w:val="00A84770"/>
    <w:rPr>
      <w:color w:val="000080"/>
    </w:rPr>
  </w:style>
  <w:style w:type="paragraph" w:customStyle="1" w:styleId="Style3">
    <w:name w:val="Style 3"/>
    <w:basedOn w:val="Normal"/>
    <w:uiPriority w:val="99"/>
    <w:rsid w:val="00A84770"/>
    <w:pPr>
      <w:widowControl w:val="0"/>
      <w:autoSpaceDE w:val="0"/>
      <w:autoSpaceDN w:val="0"/>
      <w:spacing w:line="360" w:lineRule="auto"/>
      <w:jc w:val="both"/>
    </w:pPr>
    <w:rPr>
      <w:rFonts w:eastAsia="Times New Roman"/>
    </w:rPr>
  </w:style>
  <w:style w:type="paragraph" w:customStyle="1" w:styleId="Style5">
    <w:name w:val="Style 5"/>
    <w:basedOn w:val="Normal"/>
    <w:rsid w:val="00A84770"/>
    <w:pPr>
      <w:widowControl w:val="0"/>
      <w:autoSpaceDE w:val="0"/>
      <w:autoSpaceDN w:val="0"/>
      <w:spacing w:before="252" w:line="360" w:lineRule="auto"/>
      <w:jc w:val="both"/>
    </w:pPr>
    <w:rPr>
      <w:rFonts w:eastAsia="Times New Roman"/>
    </w:rPr>
  </w:style>
  <w:style w:type="paragraph" w:customStyle="1" w:styleId="Style7">
    <w:name w:val="Style 7"/>
    <w:basedOn w:val="Normal"/>
    <w:rsid w:val="00A84770"/>
    <w:pPr>
      <w:widowControl w:val="0"/>
      <w:autoSpaceDE w:val="0"/>
      <w:autoSpaceDN w:val="0"/>
      <w:spacing w:before="360" w:line="360" w:lineRule="auto"/>
      <w:ind w:right="72"/>
      <w:jc w:val="both"/>
    </w:pPr>
    <w:rPr>
      <w:rFonts w:eastAsia="Times New Roman"/>
    </w:rPr>
  </w:style>
  <w:style w:type="character" w:styleId="nfasis">
    <w:name w:val="Emphasis"/>
    <w:uiPriority w:val="20"/>
    <w:qFormat/>
    <w:rsid w:val="00A84770"/>
    <w:rPr>
      <w:i/>
      <w:iCs/>
    </w:rPr>
  </w:style>
  <w:style w:type="character" w:styleId="Refdecomentario">
    <w:name w:val="annotation reference"/>
    <w:semiHidden/>
    <w:rsid w:val="00A84770"/>
    <w:rPr>
      <w:sz w:val="16"/>
      <w:szCs w:val="16"/>
    </w:rPr>
  </w:style>
  <w:style w:type="paragraph" w:styleId="Textocomentario">
    <w:name w:val="annotation text"/>
    <w:basedOn w:val="Normal"/>
    <w:link w:val="TextocomentarioCar"/>
    <w:rsid w:val="00A84770"/>
    <w:rPr>
      <w:rFonts w:eastAsia="Times New Roman"/>
      <w:sz w:val="20"/>
      <w:szCs w:val="20"/>
    </w:rPr>
  </w:style>
  <w:style w:type="character" w:customStyle="1" w:styleId="TextocomentarioCar">
    <w:name w:val="Texto comentario Car"/>
    <w:basedOn w:val="Fuentedeprrafopredeter"/>
    <w:link w:val="Textocomentario"/>
    <w:rsid w:val="00A84770"/>
    <w:rPr>
      <w:rFonts w:ascii="Times New Roman" w:eastAsia="Times New Roman" w:hAnsi="Times New Roman" w:cs="Times New Roman"/>
      <w:sz w:val="20"/>
      <w:szCs w:val="20"/>
    </w:rPr>
  </w:style>
  <w:style w:type="character" w:customStyle="1" w:styleId="st1">
    <w:name w:val="st1"/>
    <w:basedOn w:val="Fuentedeprrafopredeter"/>
    <w:rsid w:val="00A84770"/>
  </w:style>
  <w:style w:type="paragraph" w:styleId="Textoindependiente2">
    <w:name w:val="Body Text 2"/>
    <w:basedOn w:val="Normal"/>
    <w:link w:val="Textoindependiente2Car"/>
    <w:unhideWhenUsed/>
    <w:rsid w:val="00A84770"/>
    <w:pPr>
      <w:spacing w:after="120" w:line="480" w:lineRule="auto"/>
    </w:pPr>
  </w:style>
  <w:style w:type="character" w:customStyle="1" w:styleId="Textoindependiente2Car">
    <w:name w:val="Texto independiente 2 Car"/>
    <w:basedOn w:val="Fuentedeprrafopredeter"/>
    <w:link w:val="Textoindependiente2"/>
    <w:rsid w:val="00A84770"/>
    <w:rPr>
      <w:rFonts w:ascii="Times New Roman" w:eastAsia="Arial Unicode MS" w:hAnsi="Times New Roman" w:cs="Times New Roman"/>
    </w:rPr>
  </w:style>
  <w:style w:type="paragraph" w:styleId="Textosinformato">
    <w:name w:val="Plain Text"/>
    <w:basedOn w:val="Normal"/>
    <w:link w:val="TextosinformatoCar"/>
    <w:uiPriority w:val="99"/>
    <w:unhideWhenUsed/>
    <w:rsid w:val="00A84770"/>
    <w:rPr>
      <w:rFonts w:ascii="Consolas" w:hAnsi="Consolas" w:cs="Consolas"/>
      <w:sz w:val="21"/>
      <w:szCs w:val="21"/>
    </w:rPr>
  </w:style>
  <w:style w:type="character" w:customStyle="1" w:styleId="TextosinformatoCar">
    <w:name w:val="Texto sin formato Car"/>
    <w:basedOn w:val="Fuentedeprrafopredeter"/>
    <w:link w:val="Textosinformato"/>
    <w:uiPriority w:val="99"/>
    <w:rsid w:val="00A84770"/>
    <w:rPr>
      <w:rFonts w:ascii="Consolas" w:eastAsia="Arial Unicode MS" w:hAnsi="Consolas" w:cs="Consolas"/>
      <w:sz w:val="21"/>
      <w:szCs w:val="21"/>
    </w:rPr>
  </w:style>
  <w:style w:type="character" w:customStyle="1" w:styleId="PrrafodelistaCar">
    <w:name w:val="Párrafo de lista Car"/>
    <w:aliases w:val="Párrafo de lista1 Car,List Paragraph1 Car,List Paragraph11 Car"/>
    <w:link w:val="Prrafodelista"/>
    <w:uiPriority w:val="34"/>
    <w:locked/>
    <w:rsid w:val="00A84770"/>
    <w:rPr>
      <w:rFonts w:ascii="Cambria" w:eastAsia="Cambria" w:hAnsi="Cambria" w:cs="Cambria"/>
      <w:color w:val="000000"/>
      <w:u w:color="000000"/>
      <w:bdr w:val="nil"/>
      <w:lang w:eastAsia="es-ES"/>
    </w:rPr>
  </w:style>
  <w:style w:type="character" w:customStyle="1" w:styleId="BodyTextChar1">
    <w:name w:val="Body Text Char1"/>
    <w:aliases w:val="Body Text Char Char,Body Text Char Car Car Car Car Car Car Car Car Car Car Car Car Car Char,Body Text Char Car Car Car Car Car Car Car Car Car Car Car Car Char"/>
    <w:semiHidden/>
    <w:locked/>
    <w:rsid w:val="00A84770"/>
    <w:rPr>
      <w:rFonts w:ascii="Univers" w:eastAsia="Batang" w:hAnsi="Univers"/>
      <w:spacing w:val="-2"/>
      <w:sz w:val="22"/>
      <w:lang w:val="es-ES_tradnl" w:eastAsia="en-US" w:bidi="ar-SA"/>
    </w:rPr>
  </w:style>
  <w:style w:type="character" w:customStyle="1" w:styleId="FootnoteTextChar2">
    <w:name w:val="Footnote Text Char2"/>
    <w:aliases w:val="Footnote Text Char Char Char Char Char Char2,Footnote Text Char Char Char Char Char11,Footnote reference Char2,FA Fu Char2,Footnote Text Char Char Char Char11,Footnote Text Cha Char2,FA Fußnotentext Char2,FA Fuﬂnotentext Char2,f Cha"/>
    <w:semiHidden/>
    <w:locked/>
    <w:rsid w:val="00A84770"/>
    <w:rPr>
      <w:rFonts w:ascii="Univers" w:hAnsi="Univers" w:cs="Times New Roman"/>
      <w:lang w:val="es-ES_tradnl" w:eastAsia="x-none"/>
    </w:rPr>
  </w:style>
  <w:style w:type="paragraph" w:styleId="Subttulo">
    <w:name w:val="Subtitle"/>
    <w:basedOn w:val="Normal"/>
    <w:link w:val="SubttuloCar"/>
    <w:qFormat/>
    <w:rsid w:val="00A84770"/>
    <w:pPr>
      <w:spacing w:after="60"/>
      <w:jc w:val="center"/>
      <w:outlineLvl w:val="1"/>
    </w:pPr>
    <w:rPr>
      <w:rFonts w:ascii="Arial" w:eastAsia="Batang" w:hAnsi="Arial" w:cs="Arial"/>
      <w:lang w:val="es-ES_tradnl"/>
    </w:rPr>
  </w:style>
  <w:style w:type="character" w:customStyle="1" w:styleId="SubttuloCar">
    <w:name w:val="Subtítulo Car"/>
    <w:basedOn w:val="Fuentedeprrafopredeter"/>
    <w:link w:val="Subttulo"/>
    <w:rsid w:val="00A84770"/>
    <w:rPr>
      <w:rFonts w:ascii="Arial" w:eastAsia="Batang" w:hAnsi="Arial" w:cs="Arial"/>
      <w:lang w:val="es-ES_tradnl"/>
    </w:rPr>
  </w:style>
  <w:style w:type="paragraph" w:styleId="Lista2">
    <w:name w:val="List 2"/>
    <w:basedOn w:val="Normal"/>
    <w:rsid w:val="00A84770"/>
    <w:pPr>
      <w:ind w:left="720" w:hanging="360"/>
    </w:pPr>
    <w:rPr>
      <w:rFonts w:ascii="Univers" w:eastAsia="Batang" w:hAnsi="Univers"/>
      <w:sz w:val="22"/>
      <w:szCs w:val="20"/>
      <w:lang w:val="es-ES_tradnl"/>
    </w:rPr>
  </w:style>
  <w:style w:type="character" w:customStyle="1" w:styleId="NormalWebChar">
    <w:name w:val="Normal (Web) Char"/>
    <w:aliases w:val="Normal (Web) Char1 Char1,Normal (Web) Char Char Char1,Normal (Web) Char1 Char Char,Normal (Web) Char Char Char Char"/>
    <w:rsid w:val="00A84770"/>
    <w:rPr>
      <w:sz w:val="24"/>
      <w:lang w:val="en-US" w:eastAsia="en-US"/>
    </w:rPr>
  </w:style>
  <w:style w:type="paragraph" w:styleId="Textodebloque">
    <w:name w:val="Block Text"/>
    <w:basedOn w:val="Normal"/>
    <w:rsid w:val="00A84770"/>
    <w:pPr>
      <w:ind w:left="720" w:right="720"/>
      <w:jc w:val="both"/>
    </w:pPr>
    <w:rPr>
      <w:rFonts w:ascii="Univers" w:eastAsia="Batang" w:hAnsi="Univers"/>
      <w:sz w:val="18"/>
      <w:szCs w:val="20"/>
      <w:lang w:val="es-ES_tradnl"/>
    </w:rPr>
  </w:style>
  <w:style w:type="paragraph" w:styleId="Lista3">
    <w:name w:val="List 3"/>
    <w:basedOn w:val="Normal"/>
    <w:rsid w:val="00A84770"/>
    <w:pPr>
      <w:ind w:left="1080" w:hanging="360"/>
    </w:pPr>
    <w:rPr>
      <w:rFonts w:ascii="Univers" w:eastAsia="Batang" w:hAnsi="Univers"/>
      <w:sz w:val="22"/>
      <w:szCs w:val="20"/>
      <w:lang w:val="es-ES_tradnl"/>
    </w:rPr>
  </w:style>
  <w:style w:type="paragraph" w:customStyle="1" w:styleId="Sangradetindependiente">
    <w:name w:val="SangrÌa de t. independiente"/>
    <w:basedOn w:val="Normal"/>
    <w:rsid w:val="00A84770"/>
    <w:pPr>
      <w:suppressAutoHyphens/>
      <w:spacing w:line="360" w:lineRule="atLeast"/>
    </w:pPr>
    <w:rPr>
      <w:rFonts w:ascii="Garamond" w:eastAsia="Batang" w:hAnsi="Garamond"/>
      <w:szCs w:val="20"/>
      <w:lang w:val="es-ES_tradnl" w:eastAsia="ar-SA"/>
    </w:rPr>
  </w:style>
  <w:style w:type="character" w:styleId="Hipervnculovisitado">
    <w:name w:val="FollowedHyperlink"/>
    <w:rsid w:val="00A84770"/>
    <w:rPr>
      <w:rFonts w:cs="Times New Roman"/>
      <w:color w:val="800080"/>
      <w:u w:val="single"/>
    </w:rPr>
  </w:style>
  <w:style w:type="character" w:customStyle="1" w:styleId="ifinal011">
    <w:name w:val="ifinal011"/>
    <w:rsid w:val="00A84770"/>
    <w:rPr>
      <w:rFonts w:ascii="Verdana" w:hAnsi="Verdana"/>
      <w:color w:val="003399"/>
      <w:sz w:val="12"/>
    </w:rPr>
  </w:style>
  <w:style w:type="paragraph" w:customStyle="1" w:styleId="PlaceholderText1">
    <w:name w:val="Placeholder Text1"/>
    <w:basedOn w:val="Normal"/>
    <w:rsid w:val="00A84770"/>
    <w:pPr>
      <w:keepNext/>
      <w:tabs>
        <w:tab w:val="num" w:pos="0"/>
      </w:tabs>
      <w:outlineLvl w:val="0"/>
    </w:pPr>
    <w:rPr>
      <w:rFonts w:ascii="Verdana" w:eastAsia="MS Gothic" w:hAnsi="Verdana"/>
      <w:sz w:val="20"/>
      <w:lang w:val="es-ES_tradnl"/>
    </w:rPr>
  </w:style>
  <w:style w:type="paragraph" w:styleId="Sinespaciado">
    <w:name w:val="No Spacing"/>
    <w:basedOn w:val="Normal"/>
    <w:uiPriority w:val="1"/>
    <w:qFormat/>
    <w:rsid w:val="00A84770"/>
    <w:pPr>
      <w:keepNext/>
      <w:numPr>
        <w:numId w:val="55"/>
      </w:numPr>
      <w:tabs>
        <w:tab w:val="clear" w:pos="0"/>
        <w:tab w:val="num" w:pos="720"/>
      </w:tabs>
      <w:ind w:left="1080" w:hanging="360"/>
      <w:outlineLvl w:val="1"/>
    </w:pPr>
    <w:rPr>
      <w:rFonts w:ascii="Verdana" w:eastAsia="MS Gothic" w:hAnsi="Verdana"/>
      <w:sz w:val="20"/>
      <w:lang w:val="es-ES_tradnl"/>
    </w:rPr>
  </w:style>
  <w:style w:type="paragraph" w:customStyle="1" w:styleId="LightShading1">
    <w:name w:val="Light Shading1"/>
    <w:basedOn w:val="Normal"/>
    <w:rsid w:val="00A84770"/>
    <w:pPr>
      <w:keepNext/>
      <w:numPr>
        <w:ilvl w:val="1"/>
        <w:numId w:val="55"/>
      </w:numPr>
      <w:tabs>
        <w:tab w:val="clear" w:pos="720"/>
        <w:tab w:val="num" w:pos="1440"/>
      </w:tabs>
      <w:ind w:left="1800"/>
      <w:outlineLvl w:val="2"/>
    </w:pPr>
    <w:rPr>
      <w:rFonts w:ascii="Verdana" w:eastAsia="MS Gothic" w:hAnsi="Verdana"/>
      <w:sz w:val="20"/>
      <w:lang w:val="es-ES_tradnl"/>
    </w:rPr>
  </w:style>
  <w:style w:type="paragraph" w:customStyle="1" w:styleId="LightList1">
    <w:name w:val="Light List1"/>
    <w:basedOn w:val="Normal"/>
    <w:rsid w:val="00A84770"/>
    <w:pPr>
      <w:keepNext/>
      <w:numPr>
        <w:ilvl w:val="2"/>
        <w:numId w:val="55"/>
      </w:numPr>
      <w:tabs>
        <w:tab w:val="clear" w:pos="1440"/>
        <w:tab w:val="num" w:pos="2160"/>
      </w:tabs>
      <w:ind w:left="2520"/>
      <w:outlineLvl w:val="3"/>
    </w:pPr>
    <w:rPr>
      <w:rFonts w:ascii="Verdana" w:eastAsia="MS Gothic" w:hAnsi="Verdana"/>
      <w:sz w:val="20"/>
      <w:lang w:val="es-ES_tradnl"/>
    </w:rPr>
  </w:style>
  <w:style w:type="paragraph" w:customStyle="1" w:styleId="LightGrid1">
    <w:name w:val="Light Grid1"/>
    <w:basedOn w:val="Normal"/>
    <w:rsid w:val="00A84770"/>
    <w:pPr>
      <w:keepNext/>
      <w:numPr>
        <w:ilvl w:val="3"/>
        <w:numId w:val="55"/>
      </w:numPr>
      <w:tabs>
        <w:tab w:val="clear" w:pos="2160"/>
        <w:tab w:val="num" w:pos="2880"/>
      </w:tabs>
      <w:ind w:left="3240"/>
      <w:outlineLvl w:val="4"/>
    </w:pPr>
    <w:rPr>
      <w:rFonts w:ascii="Verdana" w:eastAsia="MS Gothic" w:hAnsi="Verdana"/>
      <w:sz w:val="20"/>
      <w:lang w:val="es-ES_tradnl"/>
    </w:rPr>
  </w:style>
  <w:style w:type="paragraph" w:customStyle="1" w:styleId="MediumShading11">
    <w:name w:val="Medium Shading 11"/>
    <w:basedOn w:val="Normal"/>
    <w:rsid w:val="00A84770"/>
    <w:pPr>
      <w:keepNext/>
      <w:numPr>
        <w:ilvl w:val="4"/>
        <w:numId w:val="55"/>
      </w:numPr>
      <w:tabs>
        <w:tab w:val="clear" w:pos="2880"/>
        <w:tab w:val="num" w:pos="3600"/>
      </w:tabs>
      <w:ind w:left="3960"/>
      <w:outlineLvl w:val="5"/>
    </w:pPr>
    <w:rPr>
      <w:rFonts w:ascii="Verdana" w:eastAsia="MS Gothic" w:hAnsi="Verdana"/>
      <w:sz w:val="20"/>
      <w:lang w:val="es-ES_tradnl"/>
    </w:rPr>
  </w:style>
  <w:style w:type="paragraph" w:customStyle="1" w:styleId="MediumShading21">
    <w:name w:val="Medium Shading 21"/>
    <w:basedOn w:val="Normal"/>
    <w:rsid w:val="00A84770"/>
    <w:pPr>
      <w:keepNext/>
      <w:numPr>
        <w:ilvl w:val="5"/>
        <w:numId w:val="55"/>
      </w:numPr>
      <w:tabs>
        <w:tab w:val="clear" w:pos="3600"/>
        <w:tab w:val="num" w:pos="4320"/>
      </w:tabs>
      <w:ind w:left="4680"/>
      <w:outlineLvl w:val="6"/>
    </w:pPr>
    <w:rPr>
      <w:rFonts w:ascii="Verdana" w:eastAsia="MS Gothic" w:hAnsi="Verdana"/>
      <w:sz w:val="20"/>
      <w:lang w:val="es-ES_tradnl"/>
    </w:rPr>
  </w:style>
  <w:style w:type="paragraph" w:customStyle="1" w:styleId="MediumList11">
    <w:name w:val="Medium List 11"/>
    <w:basedOn w:val="Normal"/>
    <w:rsid w:val="00A84770"/>
    <w:pPr>
      <w:keepNext/>
      <w:numPr>
        <w:ilvl w:val="6"/>
        <w:numId w:val="55"/>
      </w:numPr>
      <w:tabs>
        <w:tab w:val="clear" w:pos="4320"/>
        <w:tab w:val="num" w:pos="5040"/>
      </w:tabs>
      <w:ind w:left="5400"/>
      <w:outlineLvl w:val="7"/>
    </w:pPr>
    <w:rPr>
      <w:rFonts w:ascii="Verdana" w:eastAsia="MS Gothic" w:hAnsi="Verdana"/>
      <w:sz w:val="20"/>
      <w:lang w:val="es-ES_tradnl"/>
    </w:rPr>
  </w:style>
  <w:style w:type="paragraph" w:customStyle="1" w:styleId="MediumList21">
    <w:name w:val="Medium List 21"/>
    <w:basedOn w:val="Normal"/>
    <w:rsid w:val="00A84770"/>
    <w:pPr>
      <w:keepNext/>
      <w:numPr>
        <w:ilvl w:val="7"/>
        <w:numId w:val="55"/>
      </w:numPr>
      <w:tabs>
        <w:tab w:val="clear" w:pos="5040"/>
        <w:tab w:val="num" w:pos="5760"/>
      </w:tabs>
      <w:ind w:left="6120"/>
      <w:outlineLvl w:val="8"/>
    </w:pPr>
    <w:rPr>
      <w:rFonts w:ascii="Verdana" w:eastAsia="MS Gothic" w:hAnsi="Verdana"/>
      <w:sz w:val="20"/>
      <w:lang w:val="es-ES_tradnl"/>
    </w:rPr>
  </w:style>
  <w:style w:type="paragraph" w:customStyle="1" w:styleId="Estilo5">
    <w:name w:val="Estilo5"/>
    <w:basedOn w:val="Ttulo1"/>
    <w:next w:val="Normal"/>
    <w:rsid w:val="00A84770"/>
    <w:pPr>
      <w:numPr>
        <w:ilvl w:val="8"/>
        <w:numId w:val="55"/>
      </w:numPr>
      <w:tabs>
        <w:tab w:val="clear" w:pos="5760"/>
      </w:tabs>
      <w:spacing w:before="240" w:after="60"/>
      <w:ind w:left="0" w:firstLine="0"/>
      <w:jc w:val="both"/>
    </w:pPr>
    <w:rPr>
      <w:rFonts w:ascii="Verdana" w:eastAsia="Batang" w:hAnsi="Verdana" w:cs="Arial"/>
      <w:b w:val="0"/>
      <w:bCs/>
      <w:kern w:val="32"/>
      <w:szCs w:val="24"/>
      <w:lang w:val="en-US"/>
    </w:rPr>
  </w:style>
  <w:style w:type="character" w:customStyle="1" w:styleId="FootnoteTextChar1">
    <w:name w:val="Footnote Text Char1"/>
    <w:aliases w:val="Footnote Text Char Char Char Char Char Char1,Footnote Text Char Char Char Char Char2,Footnote reference Char1,FA Fu Char1,Footnote Text Char Char Char Char2,Footnote Text Cha Char1,FA Fußnotentext Char1,FA Fuﬂnotentext Char1,Ca Char1"/>
    <w:locked/>
    <w:rsid w:val="00A84770"/>
    <w:rPr>
      <w:rFonts w:ascii="Univers" w:eastAsia="Batang" w:hAnsi="Univers"/>
      <w:lang w:val="es-CO" w:eastAsia="en-US" w:bidi="ar-SA"/>
    </w:rPr>
  </w:style>
  <w:style w:type="character" w:customStyle="1" w:styleId="apple-converted-space">
    <w:name w:val="apple-converted-space"/>
    <w:rsid w:val="00A84770"/>
    <w:rPr>
      <w:rFonts w:cs="Times New Roman"/>
    </w:rPr>
  </w:style>
  <w:style w:type="paragraph" w:customStyle="1" w:styleId="Estilo7">
    <w:name w:val="Estilo7"/>
    <w:basedOn w:val="Normal"/>
    <w:rsid w:val="00A84770"/>
    <w:pPr>
      <w:numPr>
        <w:ilvl w:val="2"/>
        <w:numId w:val="56"/>
      </w:numPr>
      <w:tabs>
        <w:tab w:val="left" w:pos="567"/>
        <w:tab w:val="left" w:pos="851"/>
      </w:tabs>
      <w:spacing w:before="120" w:after="120"/>
      <w:jc w:val="both"/>
    </w:pPr>
    <w:rPr>
      <w:rFonts w:ascii="Verdana" w:eastAsia="Batang" w:hAnsi="Verdana"/>
      <w:b/>
      <w:i/>
      <w:sz w:val="20"/>
      <w:szCs w:val="20"/>
      <w:lang w:val="es-ES_tradnl" w:eastAsia="es-MX"/>
    </w:rPr>
  </w:style>
  <w:style w:type="character" w:customStyle="1" w:styleId="skypepnhprintcontainer">
    <w:name w:val="skype_pnh_print_container"/>
    <w:rsid w:val="00A84770"/>
    <w:rPr>
      <w:rFonts w:cs="Times New Roman"/>
    </w:rPr>
  </w:style>
  <w:style w:type="character" w:customStyle="1" w:styleId="skypepnhcontainer">
    <w:name w:val="skype_pnh_container"/>
    <w:rsid w:val="00A84770"/>
    <w:rPr>
      <w:rFonts w:cs="Times New Roman"/>
    </w:rPr>
  </w:style>
  <w:style w:type="character" w:customStyle="1" w:styleId="s6b621b36">
    <w:name w:val="s6b621b36"/>
    <w:rsid w:val="00A84770"/>
    <w:rPr>
      <w:rFonts w:cs="Times New Roman"/>
    </w:rPr>
  </w:style>
  <w:style w:type="character" w:customStyle="1" w:styleId="tituloarticulo1">
    <w:name w:val="titulo_articulo1"/>
    <w:rsid w:val="00A84770"/>
    <w:rPr>
      <w:rFonts w:ascii="Arial" w:hAnsi="Arial"/>
      <w:b/>
      <w:sz w:val="36"/>
    </w:rPr>
  </w:style>
  <w:style w:type="paragraph" w:styleId="Asuntodelcomentario">
    <w:name w:val="annotation subject"/>
    <w:basedOn w:val="Textocomentario"/>
    <w:next w:val="Textocomentario"/>
    <w:link w:val="AsuntodelcomentarioCar"/>
    <w:semiHidden/>
    <w:rsid w:val="00A84770"/>
    <w:rPr>
      <w:rFonts w:ascii="Univers" w:eastAsia="Batang" w:hAnsi="Univers"/>
      <w:sz w:val="22"/>
      <w:lang w:val="es-ES_tradnl"/>
    </w:rPr>
  </w:style>
  <w:style w:type="character" w:customStyle="1" w:styleId="AsuntodelcomentarioCar">
    <w:name w:val="Asunto del comentario Car"/>
    <w:basedOn w:val="TextocomentarioCar"/>
    <w:link w:val="Asuntodelcomentario"/>
    <w:semiHidden/>
    <w:rsid w:val="00A84770"/>
    <w:rPr>
      <w:rFonts w:ascii="Univers" w:eastAsia="Batang" w:hAnsi="Univers" w:cs="Times New Roman"/>
      <w:sz w:val="22"/>
      <w:szCs w:val="20"/>
      <w:lang w:val="es-ES_tradnl"/>
    </w:rPr>
  </w:style>
  <w:style w:type="character" w:customStyle="1" w:styleId="ListParagraphChar1">
    <w:name w:val="List Paragraph Char1"/>
    <w:aliases w:val="Footnote Char2"/>
    <w:locked/>
    <w:rsid w:val="00A84770"/>
    <w:rPr>
      <w:rFonts w:ascii="Verdana" w:hAnsi="Verdana"/>
      <w:lang w:val="es-ES_tradnl" w:eastAsia="x-none"/>
    </w:rPr>
  </w:style>
  <w:style w:type="paragraph" w:styleId="Revisin">
    <w:name w:val="Revision"/>
    <w:hidden/>
    <w:uiPriority w:val="71"/>
    <w:rsid w:val="00A84770"/>
    <w:rPr>
      <w:rFonts w:ascii="Univers" w:eastAsia="Batang" w:hAnsi="Univers" w:cs="Times New Roman"/>
      <w:sz w:val="22"/>
      <w:lang w:val="es-ES_tradnl"/>
    </w:rPr>
  </w:style>
  <w:style w:type="character" w:customStyle="1" w:styleId="apple-style-span">
    <w:name w:val="apple-style-span"/>
    <w:rsid w:val="00A84770"/>
  </w:style>
  <w:style w:type="character" w:customStyle="1" w:styleId="DefaultChar">
    <w:name w:val="Default Char"/>
    <w:link w:val="Default"/>
    <w:rsid w:val="00A84770"/>
    <w:rPr>
      <w:rFonts w:ascii="Times New Roman" w:eastAsia="Times New Roman" w:hAnsi="Times New Roman" w:cs="Times New Roman"/>
      <w:color w:val="000000"/>
    </w:rPr>
  </w:style>
  <w:style w:type="paragraph" w:styleId="TtulodeTDC">
    <w:name w:val="TOC Heading"/>
    <w:basedOn w:val="Ttulo1"/>
    <w:next w:val="Normal"/>
    <w:uiPriority w:val="39"/>
    <w:unhideWhenUsed/>
    <w:qFormat/>
    <w:rsid w:val="00A84770"/>
    <w:pPr>
      <w:keepLines/>
      <w:spacing w:before="480" w:line="276" w:lineRule="auto"/>
      <w:outlineLvl w:val="9"/>
    </w:pPr>
    <w:rPr>
      <w:rFonts w:eastAsia="MS Gothic"/>
      <w:bCs/>
      <w:color w:val="365F91"/>
      <w:sz w:val="28"/>
      <w:szCs w:val="28"/>
      <w:lang w:val="en-US" w:eastAsia="ja-JP"/>
    </w:rPr>
  </w:style>
  <w:style w:type="paragraph" w:customStyle="1" w:styleId="ColorfulList-Accent12">
    <w:name w:val="Colorful List - Accent 12"/>
    <w:link w:val="ColorfulList-Accent1Char"/>
    <w:uiPriority w:val="34"/>
    <w:qFormat/>
    <w:rsid w:val="00A84770"/>
    <w:pPr>
      <w:pBdr>
        <w:top w:val="nil"/>
        <w:left w:val="nil"/>
        <w:bottom w:val="nil"/>
        <w:right w:val="nil"/>
        <w:between w:val="nil"/>
        <w:bar w:val="nil"/>
      </w:pBdr>
      <w:ind w:left="720"/>
    </w:pPr>
    <w:rPr>
      <w:rFonts w:ascii="Cambria" w:eastAsia="Cambria" w:hAnsi="Cambria" w:cs="Cambria"/>
      <w:color w:val="000000"/>
      <w:u w:color="000000"/>
      <w:bdr w:val="nil"/>
      <w:lang w:eastAsia="es-ES"/>
    </w:rPr>
  </w:style>
  <w:style w:type="character" w:customStyle="1" w:styleId="ColorfulList-Accent1Char">
    <w:name w:val="Colorful List - Accent 1 Char"/>
    <w:link w:val="ColorfulList-Accent12"/>
    <w:uiPriority w:val="34"/>
    <w:locked/>
    <w:rsid w:val="00A84770"/>
    <w:rPr>
      <w:rFonts w:ascii="Cambria" w:eastAsia="Cambria" w:hAnsi="Cambria" w:cs="Cambria"/>
      <w:color w:val="000000"/>
      <w:u w:color="000000"/>
      <w:bdr w:val="nil"/>
      <w:lang w:eastAsia="es-ES"/>
    </w:rPr>
  </w:style>
  <w:style w:type="paragraph" w:customStyle="1" w:styleId="footnote">
    <w:name w:val="footnote"/>
    <w:basedOn w:val="NormalWeb"/>
    <w:rsid w:val="00A84770"/>
  </w:style>
  <w:style w:type="character" w:styleId="Textodelmarcadordeposicin">
    <w:name w:val="Placeholder Text"/>
    <w:uiPriority w:val="99"/>
    <w:semiHidden/>
    <w:rsid w:val="00A84770"/>
    <w:rPr>
      <w:color w:val="808080"/>
    </w:rPr>
  </w:style>
  <w:style w:type="character" w:customStyle="1" w:styleId="sb8d990e2">
    <w:name w:val="sb8d990e2"/>
    <w:basedOn w:val="Fuentedeprrafopredeter"/>
    <w:rsid w:val="00A84770"/>
  </w:style>
  <w:style w:type="paragraph" w:styleId="HTMLconformatoprevio">
    <w:name w:val="HTML Preformatted"/>
    <w:basedOn w:val="Normal"/>
    <w:link w:val="HTMLconformatoprevioCar"/>
    <w:uiPriority w:val="99"/>
    <w:unhideWhenUsed/>
    <w:rsid w:val="00A84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rsid w:val="00A84770"/>
    <w:rPr>
      <w:rFonts w:ascii="Courier New" w:eastAsia="Times New Roman" w:hAnsi="Courier New" w:cs="Courier New"/>
      <w:sz w:val="20"/>
      <w:szCs w:val="20"/>
    </w:r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link w:val="Refdenotaalpie"/>
    <w:rsid w:val="00A84770"/>
    <w:pPr>
      <w:spacing w:before="200" w:after="160" w:line="240" w:lineRule="exact"/>
    </w:pPr>
    <w:rPr>
      <w:rFonts w:ascii="Verdana" w:eastAsiaTheme="minorHAnsi" w:hAnsi="Verdana" w:cstheme="minorBidi"/>
      <w:sz w:val="22"/>
      <w:vertAlign w:val="superscript"/>
    </w:rPr>
  </w:style>
  <w:style w:type="paragraph" w:styleId="Textonotaalfinal">
    <w:name w:val="endnote text"/>
    <w:basedOn w:val="Normal"/>
    <w:link w:val="TextonotaalfinalCar"/>
    <w:uiPriority w:val="99"/>
    <w:semiHidden/>
    <w:unhideWhenUsed/>
    <w:rsid w:val="00A84770"/>
    <w:rPr>
      <w:sz w:val="20"/>
      <w:szCs w:val="20"/>
    </w:rPr>
  </w:style>
  <w:style w:type="character" w:customStyle="1" w:styleId="TextonotaalfinalCar">
    <w:name w:val="Texto nota al final Car"/>
    <w:basedOn w:val="Fuentedeprrafopredeter"/>
    <w:link w:val="Textonotaalfinal"/>
    <w:uiPriority w:val="99"/>
    <w:semiHidden/>
    <w:rsid w:val="00A84770"/>
    <w:rPr>
      <w:rFonts w:ascii="Times New Roman" w:eastAsia="Arial Unicode MS" w:hAnsi="Times New Roman" w:cs="Times New Roman"/>
      <w:sz w:val="20"/>
      <w:szCs w:val="20"/>
    </w:rPr>
  </w:style>
  <w:style w:type="character" w:styleId="Refdenotaalfinal">
    <w:name w:val="endnote reference"/>
    <w:uiPriority w:val="99"/>
    <w:semiHidden/>
    <w:unhideWhenUsed/>
    <w:rsid w:val="00A84770"/>
    <w:rPr>
      <w:vertAlign w:val="superscript"/>
    </w:rPr>
  </w:style>
  <w:style w:type="table" w:styleId="Cuadrculamedia1">
    <w:name w:val="Medium Grid 1"/>
    <w:basedOn w:val="Tablanormal"/>
    <w:uiPriority w:val="67"/>
    <w:rsid w:val="00A84770"/>
    <w:rPr>
      <w:rFonts w:ascii="Times New Roman" w:eastAsia="Arial Unicode MS" w:hAnsi="Times New Roman" w:cs="Times New Roman"/>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Cuadrculaclara">
    <w:name w:val="Light Grid"/>
    <w:basedOn w:val="Tablanormal"/>
    <w:uiPriority w:val="62"/>
    <w:rsid w:val="00A84770"/>
    <w:rPr>
      <w:rFonts w:ascii="Times New Roman" w:eastAsia="Arial Unicode MS"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MS Gothic"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MS Gothic"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MS Gothic" w:hAnsi="Cambria" w:cs="Times New Roman"/>
        <w:b/>
        <w:bCs/>
      </w:rPr>
    </w:tblStylePr>
    <w:tblStylePr w:type="lastCol">
      <w:rPr>
        <w:rFonts w:ascii="Cambria" w:eastAsia="MS Gothic"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
    <w:name w:val="Light Grid2"/>
    <w:basedOn w:val="Tablanormal"/>
    <w:next w:val="Cuadrculaclara"/>
    <w:uiPriority w:val="62"/>
    <w:rsid w:val="00A84770"/>
    <w:rPr>
      <w:rFonts w:ascii="Times New Roman" w:eastAsia="Arial Unicode MS"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MS Gothic"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MS Gothic"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MS Gothic" w:hAnsi="Cambria" w:cs="Times New Roman"/>
        <w:b/>
        <w:bCs/>
      </w:rPr>
    </w:tblStylePr>
    <w:tblStylePr w:type="lastCol">
      <w:rPr>
        <w:rFonts w:ascii="Cambria" w:eastAsia="MS Gothic"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ColorfulList-Accent11">
    <w:name w:val="Colorful List - Accent 11"/>
    <w:uiPriority w:val="34"/>
    <w:qFormat/>
    <w:rsid w:val="00A84770"/>
    <w:pPr>
      <w:pBdr>
        <w:top w:val="nil"/>
        <w:left w:val="nil"/>
        <w:bottom w:val="nil"/>
        <w:right w:val="nil"/>
        <w:between w:val="nil"/>
        <w:bar w:val="nil"/>
      </w:pBdr>
      <w:ind w:left="720"/>
    </w:pPr>
    <w:rPr>
      <w:rFonts w:ascii="Cambria" w:eastAsia="Cambria" w:hAnsi="Cambria" w:cs="Cambria"/>
      <w:color w:val="000000"/>
      <w:u w:color="000000"/>
      <w:bdr w:val="nil"/>
      <w:lang w:eastAsia="es-ES"/>
    </w:rPr>
  </w:style>
  <w:style w:type="character" w:customStyle="1" w:styleId="BodyTextIndentChar1">
    <w:name w:val="Body Text Indent Char1"/>
    <w:locked/>
    <w:rsid w:val="00A84770"/>
    <w:rPr>
      <w:rFonts w:eastAsia="Times New Roman"/>
      <w:color w:val="000000"/>
      <w:sz w:val="24"/>
      <w:szCs w:val="24"/>
      <w:u w:color="000000"/>
      <w:lang w:val="es-ES_tradnl"/>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qFormat/>
    <w:rsid w:val="00A84770"/>
    <w:pPr>
      <w:spacing w:after="160" w:line="240" w:lineRule="exact"/>
    </w:pPr>
    <w:rPr>
      <w:sz w:val="20"/>
      <w:szCs w:val="20"/>
      <w:vertAlign w:val="superscript"/>
      <w:lang w:val="es-ES" w:eastAsia="es-ES"/>
    </w:rPr>
  </w:style>
  <w:style w:type="paragraph" w:customStyle="1" w:styleId="1">
    <w:name w:val="1"/>
    <w:basedOn w:val="Normal"/>
    <w:uiPriority w:val="99"/>
    <w:rsid w:val="00A84770"/>
    <w:pPr>
      <w:spacing w:after="160" w:line="240" w:lineRule="exact"/>
    </w:pPr>
    <w:rPr>
      <w:rFonts w:ascii="Calibri" w:eastAsia="Calibri" w:hAnsi="Calibri"/>
      <w:vertAlign w:val="superscript"/>
    </w:rPr>
  </w:style>
  <w:style w:type="paragraph" w:customStyle="1" w:styleId="section1">
    <w:name w:val="section1"/>
    <w:basedOn w:val="Normal"/>
    <w:rsid w:val="00A84770"/>
    <w:pPr>
      <w:spacing w:before="100" w:beforeAutospacing="1" w:after="100" w:afterAutospacing="1"/>
    </w:pPr>
    <w:rPr>
      <w:rFonts w:eastAsia="Times New Roman"/>
    </w:rPr>
  </w:style>
  <w:style w:type="paragraph" w:customStyle="1" w:styleId="p1">
    <w:name w:val="p1"/>
    <w:basedOn w:val="Normal"/>
    <w:rsid w:val="00A84770"/>
    <w:rPr>
      <w:rFonts w:ascii="Times" w:hAnsi="Times"/>
      <w:sz w:val="18"/>
      <w:szCs w:val="18"/>
    </w:rPr>
  </w:style>
  <w:style w:type="paragraph" w:styleId="TDC6">
    <w:name w:val="toc 6"/>
    <w:basedOn w:val="Normal"/>
    <w:next w:val="Normal"/>
    <w:autoRedefine/>
    <w:uiPriority w:val="39"/>
    <w:semiHidden/>
    <w:unhideWhenUsed/>
    <w:rsid w:val="00A84770"/>
    <w:pPr>
      <w:ind w:left="1200"/>
    </w:pPr>
    <w:rPr>
      <w:rFonts w:asciiTheme="minorHAnsi" w:hAnsiTheme="minorHAnsi"/>
      <w:sz w:val="20"/>
      <w:szCs w:val="20"/>
    </w:rPr>
  </w:style>
  <w:style w:type="paragraph" w:styleId="TDC7">
    <w:name w:val="toc 7"/>
    <w:basedOn w:val="Normal"/>
    <w:next w:val="Normal"/>
    <w:autoRedefine/>
    <w:uiPriority w:val="39"/>
    <w:semiHidden/>
    <w:unhideWhenUsed/>
    <w:rsid w:val="00A84770"/>
    <w:pPr>
      <w:ind w:left="1440"/>
    </w:pPr>
    <w:rPr>
      <w:rFonts w:asciiTheme="minorHAnsi" w:hAnsiTheme="minorHAnsi"/>
      <w:sz w:val="20"/>
      <w:szCs w:val="20"/>
    </w:rPr>
  </w:style>
  <w:style w:type="paragraph" w:styleId="TDC8">
    <w:name w:val="toc 8"/>
    <w:basedOn w:val="Normal"/>
    <w:next w:val="Normal"/>
    <w:autoRedefine/>
    <w:uiPriority w:val="39"/>
    <w:semiHidden/>
    <w:unhideWhenUsed/>
    <w:rsid w:val="00A84770"/>
    <w:pPr>
      <w:ind w:left="1680"/>
    </w:pPr>
    <w:rPr>
      <w:rFonts w:asciiTheme="minorHAnsi" w:hAnsiTheme="minorHAnsi"/>
      <w:sz w:val="20"/>
      <w:szCs w:val="20"/>
    </w:rPr>
  </w:style>
  <w:style w:type="paragraph" w:styleId="TDC9">
    <w:name w:val="toc 9"/>
    <w:basedOn w:val="Normal"/>
    <w:next w:val="Normal"/>
    <w:autoRedefine/>
    <w:uiPriority w:val="39"/>
    <w:semiHidden/>
    <w:unhideWhenUsed/>
    <w:rsid w:val="00A84770"/>
    <w:pPr>
      <w:ind w:left="192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www.alcaldiabogota.gov.co/sisjur/normas/Norma1.jsp?i=50876" TargetMode="External"/><Relationship Id="rId13" Type="http://schemas.openxmlformats.org/officeDocument/2006/relationships/hyperlink" Target="http://www.alcaldiabogota.gov.co/sisjur/normas/Norma1.jsp?i=57074" TargetMode="External"/><Relationship Id="rId18" Type="http://schemas.openxmlformats.org/officeDocument/2006/relationships/hyperlink" Target="http://joomla.corteidh.or.cr:8080/joomla/es/casos-contenciosos/38-jurisprudencia/476-corte-idh-caso-baena-ricardo-y-otros-vs-panama-fondo-reparaciones-y-costas-sentencia-de-2-de-febrero-de-2001-serie-c-no-72" TargetMode="External"/><Relationship Id="rId3" Type="http://schemas.openxmlformats.org/officeDocument/2006/relationships/hyperlink" Target="http://www.corteconstitucional.gov.co/inicio/Constitucion%20politica%20de%20Colombia%20-%202015.pdf" TargetMode="External"/><Relationship Id="rId21" Type="http://schemas.openxmlformats.org/officeDocument/2006/relationships/hyperlink" Target="http://joomla.corteidh.or.cr:8080/joomla/es/casos-contenciosos/38-jurisprudencia/476-corte-idh-caso-baena-ricardo-y-otros-vs-panama-fondo-reparaciones-y-costas-sentencia-de-2-de-febrero-de-2001-serie-c-no-72" TargetMode="External"/><Relationship Id="rId7" Type="http://schemas.openxmlformats.org/officeDocument/2006/relationships/hyperlink" Target="https://www.contratos.gov.co/consultas/detalleProceso.do?numConstancia=12-12-1234788" TargetMode="External"/><Relationship Id="rId12" Type="http://schemas.openxmlformats.org/officeDocument/2006/relationships/hyperlink" Target="http://www.alcaldiabogota.gov.co/sisjur/normas/Norma1.jsp?i=55073" TargetMode="External"/><Relationship Id="rId17" Type="http://schemas.openxmlformats.org/officeDocument/2006/relationships/hyperlink" Target="http://www.alcaldiabogota.gov.co/sisjur/normas/Norma1.jsp?i=5725" TargetMode="External"/><Relationship Id="rId2" Type="http://schemas.openxmlformats.org/officeDocument/2006/relationships/hyperlink" Target="http://www.corteconstitucional.gov.co/inicio/Constitucion%20politica%20de%20Colombia%20-%202015.pdf" TargetMode="External"/><Relationship Id="rId16" Type="http://schemas.openxmlformats.org/officeDocument/2006/relationships/hyperlink" Target="http://www.alcaldiabogota.gov.co/sisjur/normas/Norma1.jsp?i=48509" TargetMode="External"/><Relationship Id="rId20" Type="http://schemas.openxmlformats.org/officeDocument/2006/relationships/hyperlink" Target="http://joomla.corteidh.or.cr:8080/joomla/es/casos-contenciosos/38-jurisprudencia/1450-corte-idh-caso-lopez-mendoza-vs-venezuela-fondo-reparaciones-y-costas-sentencia-de-1-de-septiembre-de-2011-serie-c-no-233" TargetMode="External"/><Relationship Id="rId1" Type="http://schemas.openxmlformats.org/officeDocument/2006/relationships/hyperlink" Target="http://www.urosario.edu.co/Plaza-Capital/POLITICA/Perfil-del-nuevo-alcalde-de-Bogota/" TargetMode="External"/><Relationship Id="rId6" Type="http://schemas.openxmlformats.org/officeDocument/2006/relationships/hyperlink" Target="http://www.corteconstitucional.gov.co/relatoria/autos/2011/a275-11.htm" TargetMode="External"/><Relationship Id="rId11" Type="http://schemas.openxmlformats.org/officeDocument/2006/relationships/hyperlink" Target="http://www.alcaldiabogota.gov.co/sisjur/normas/Norma1.jsp?i=55073" TargetMode="External"/><Relationship Id="rId5" Type="http://schemas.openxmlformats.org/officeDocument/2006/relationships/hyperlink" Target="http://www.corteconstitucional.gov.co/relatoria/autos/2010/a268-10.htm" TargetMode="External"/><Relationship Id="rId15" Type="http://schemas.openxmlformats.org/officeDocument/2006/relationships/hyperlink" Target="http://www.alcaldiabogota.gov.co/sisjur/normas/Norma1.jsp?i=48509" TargetMode="External"/><Relationship Id="rId10" Type="http://schemas.openxmlformats.org/officeDocument/2006/relationships/hyperlink" Target="http://wsp.presidencia.gov.co/Normativa/Decretos/2014/Documents/ABRIL/23/DECRETO%20797%20DEL%2023%20DE%20ABRIL%20DE%202014.pdf" TargetMode="External"/><Relationship Id="rId19" Type="http://schemas.openxmlformats.org/officeDocument/2006/relationships/hyperlink" Target="http://joomla.corteidh.or.cr:8080/joomla/es/casos-contenciosos/38-jurisprudencia/475-corte-idh-caso-del-tribunal-constitucional-vs-peru-fondo-reparaciones-y-costas-sentencia-de-31-de-enero-de-2001-serie-c-no-71" TargetMode="External"/><Relationship Id="rId4" Type="http://schemas.openxmlformats.org/officeDocument/2006/relationships/hyperlink" Target="http://www.corteconstitucional.gov.co/relatoria/2003/T-724-03.htm" TargetMode="External"/><Relationship Id="rId9" Type="http://schemas.openxmlformats.org/officeDocument/2006/relationships/hyperlink" Target="http://www.eltiempo.com/archivo/documento/CMS-13360177" TargetMode="External"/><Relationship Id="rId14" Type="http://schemas.openxmlformats.org/officeDocument/2006/relationships/hyperlink" Target="http://es.presidencia.gov.co/normativa/normativa/LEY%201864%20DEL%2017%20DE%20AGOSTO%20DE%202017.pdf" TargetMode="External"/><Relationship Id="rId22" Type="http://schemas.openxmlformats.org/officeDocument/2006/relationships/hyperlink" Target="https://vimeo.com/2052341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14458</Words>
  <Characters>79520</Characters>
  <Application>Microsoft Office Word</Application>
  <DocSecurity>0</DocSecurity>
  <Lines>662</Lines>
  <Paragraphs>187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93791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Autorizado</dc:creator>
  <cp:lastModifiedBy>Usuario Autorizado</cp:lastModifiedBy>
  <cp:revision>2</cp:revision>
  <dcterms:created xsi:type="dcterms:W3CDTF">2018-09-17T15:46:00Z</dcterms:created>
  <dcterms:modified xsi:type="dcterms:W3CDTF">2018-09-17T15:46:00Z</dcterms:modified>
</cp:coreProperties>
</file>