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C7" w:rsidRPr="00EA246B" w:rsidRDefault="00C202C7" w:rsidP="00C202C7">
      <w:pPr>
        <w:tabs>
          <w:tab w:val="left" w:pos="810"/>
        </w:tabs>
        <w:suppressAutoHyphens/>
        <w:spacing w:after="0" w:line="240" w:lineRule="auto"/>
        <w:rPr>
          <w:rFonts w:ascii="Cambria" w:hAnsi="Cambria" w:cs="Arial"/>
          <w:lang w:val="es-CO"/>
        </w:rPr>
      </w:pPr>
      <w:bookmarkStart w:id="0" w:name="_GoBack"/>
      <w:bookmarkEnd w:id="0"/>
    </w:p>
    <w:p w:rsidR="00C202C7" w:rsidRPr="00EA246B" w:rsidRDefault="00C202C7" w:rsidP="00C202C7">
      <w:pPr>
        <w:tabs>
          <w:tab w:val="left" w:pos="810"/>
        </w:tabs>
        <w:suppressAutoHyphens/>
        <w:spacing w:after="0" w:line="240" w:lineRule="auto"/>
        <w:rPr>
          <w:rFonts w:ascii="Cambria" w:hAnsi="Cambria" w:cs="Arial"/>
          <w:lang w:val="es-CO"/>
        </w:rPr>
      </w:pPr>
    </w:p>
    <w:p w:rsidR="00C202C7" w:rsidRPr="00EA246B" w:rsidRDefault="00BD19C2" w:rsidP="00C202C7">
      <w:pPr>
        <w:tabs>
          <w:tab w:val="left" w:pos="810"/>
        </w:tabs>
        <w:suppressAutoHyphens/>
        <w:spacing w:after="0" w:line="240" w:lineRule="auto"/>
        <w:jc w:val="right"/>
        <w:rPr>
          <w:rFonts w:ascii="Cambria" w:hAnsi="Cambria" w:cs="Arial"/>
          <w:b/>
          <w:lang w:val="es-PE"/>
        </w:rPr>
      </w:pPr>
      <w:r>
        <w:rPr>
          <w:rFonts w:ascii="Cambria" w:hAnsi="Cambria" w:cs="Arial"/>
          <w:lang w:val="es-PE"/>
        </w:rPr>
        <w:t>16</w:t>
      </w:r>
      <w:r w:rsidR="00C202C7" w:rsidRPr="00EA246B">
        <w:rPr>
          <w:rFonts w:ascii="Cambria" w:hAnsi="Cambria" w:cs="Arial"/>
          <w:lang w:val="es-PE"/>
        </w:rPr>
        <w:t xml:space="preserve"> de </w:t>
      </w:r>
      <w:r>
        <w:rPr>
          <w:rFonts w:ascii="Cambria" w:hAnsi="Cambria" w:cs="Arial"/>
          <w:lang w:val="es-PE"/>
        </w:rPr>
        <w:t>marzo</w:t>
      </w:r>
      <w:r w:rsidR="00C202C7" w:rsidRPr="00EA246B">
        <w:rPr>
          <w:rFonts w:ascii="Cambria" w:hAnsi="Cambria" w:cs="Arial"/>
          <w:lang w:val="es-PE"/>
        </w:rPr>
        <w:t xml:space="preserve"> de 201</w:t>
      </w:r>
      <w:r w:rsidR="00C202C7">
        <w:rPr>
          <w:rFonts w:ascii="Cambria" w:hAnsi="Cambria" w:cs="Arial"/>
          <w:lang w:val="es-PE"/>
        </w:rPr>
        <w:t>8</w:t>
      </w:r>
    </w:p>
    <w:p w:rsidR="00C202C7" w:rsidRPr="00EA246B" w:rsidRDefault="00C202C7" w:rsidP="00C202C7">
      <w:pPr>
        <w:widowControl w:val="0"/>
        <w:tabs>
          <w:tab w:val="left" w:pos="720"/>
        </w:tabs>
        <w:autoSpaceDE w:val="0"/>
        <w:autoSpaceDN w:val="0"/>
        <w:adjustRightInd w:val="0"/>
        <w:spacing w:after="0" w:line="240" w:lineRule="auto"/>
        <w:jc w:val="both"/>
        <w:rPr>
          <w:rFonts w:ascii="Cambria" w:hAnsi="Cambria" w:cs="Arial"/>
          <w:b/>
          <w:lang w:val="es-PE"/>
        </w:rPr>
      </w:pPr>
      <w:r w:rsidRPr="00EA246B">
        <w:rPr>
          <w:rFonts w:ascii="Cambria" w:hAnsi="Cambria" w:cs="Arial"/>
          <w:b/>
          <w:lang w:val="es-PE"/>
        </w:rPr>
        <w:t>REF.:</w:t>
      </w:r>
      <w:bookmarkStart w:id="1" w:name="Peticion_n"/>
      <w:bookmarkEnd w:id="1"/>
      <w:r w:rsidRPr="00EA246B">
        <w:rPr>
          <w:rFonts w:ascii="Cambria" w:hAnsi="Cambria" w:cs="Arial"/>
          <w:b/>
          <w:lang w:val="es-PE"/>
        </w:rPr>
        <w:tab/>
        <w:t xml:space="preserve">Caso Nº </w:t>
      </w:r>
      <w:r w:rsidRPr="00EA246B">
        <w:rPr>
          <w:rFonts w:ascii="Cambria" w:hAnsi="Cambria"/>
          <w:b/>
          <w:lang w:val="es-PE"/>
        </w:rPr>
        <w:t>12.</w:t>
      </w:r>
      <w:r w:rsidR="00BD19C2">
        <w:rPr>
          <w:rFonts w:ascii="Cambria" w:hAnsi="Cambria"/>
          <w:b/>
          <w:lang w:val="es-PE"/>
        </w:rPr>
        <w:t>925</w:t>
      </w:r>
    </w:p>
    <w:p w:rsidR="00C202C7" w:rsidRPr="00EA246B" w:rsidRDefault="00BD19C2" w:rsidP="00C202C7">
      <w:pPr>
        <w:widowControl w:val="0"/>
        <w:tabs>
          <w:tab w:val="left" w:pos="810"/>
        </w:tabs>
        <w:autoSpaceDE w:val="0"/>
        <w:autoSpaceDN w:val="0"/>
        <w:adjustRightInd w:val="0"/>
        <w:spacing w:after="0" w:line="240" w:lineRule="auto"/>
        <w:ind w:firstLine="720"/>
        <w:jc w:val="both"/>
        <w:rPr>
          <w:rFonts w:ascii="Cambria" w:hAnsi="Cambria" w:cs="Arial"/>
          <w:b/>
          <w:lang w:val="es-PE"/>
        </w:rPr>
      </w:pPr>
      <w:r>
        <w:rPr>
          <w:rFonts w:ascii="Cambria" w:hAnsi="Cambria"/>
          <w:b/>
          <w:lang w:val="es-PE"/>
        </w:rPr>
        <w:t>Oscar Raú</w:t>
      </w:r>
      <w:r w:rsidR="009066C8">
        <w:rPr>
          <w:rFonts w:ascii="Cambria" w:hAnsi="Cambria"/>
          <w:b/>
          <w:lang w:val="es-PE"/>
        </w:rPr>
        <w:t>l</w:t>
      </w:r>
      <w:r>
        <w:rPr>
          <w:rFonts w:ascii="Cambria" w:hAnsi="Cambria"/>
          <w:b/>
          <w:lang w:val="es-PE"/>
        </w:rPr>
        <w:t xml:space="preserve"> Gorigoitia</w:t>
      </w:r>
    </w:p>
    <w:p w:rsidR="00C202C7" w:rsidRPr="00EA246B" w:rsidRDefault="00C202C7" w:rsidP="00C202C7">
      <w:pPr>
        <w:tabs>
          <w:tab w:val="left" w:pos="720"/>
          <w:tab w:val="left" w:pos="810"/>
          <w:tab w:val="center" w:pos="6480"/>
        </w:tabs>
        <w:spacing w:after="0" w:line="240" w:lineRule="auto"/>
        <w:ind w:left="720"/>
        <w:jc w:val="both"/>
        <w:rPr>
          <w:rFonts w:ascii="Cambria" w:hAnsi="Cambria" w:cs="Arial"/>
          <w:b/>
          <w:lang w:val="es-ES_tradnl"/>
        </w:rPr>
      </w:pPr>
      <w:r w:rsidRPr="00EA246B">
        <w:rPr>
          <w:rFonts w:ascii="Cambria" w:hAnsi="Cambria" w:cs="Arial"/>
          <w:b/>
          <w:lang w:val="es-CR"/>
        </w:rPr>
        <w:t>Argentina</w:t>
      </w:r>
      <w:r w:rsidRPr="00EA246B">
        <w:rPr>
          <w:rFonts w:ascii="Cambria" w:hAnsi="Cambria" w:cs="Arial"/>
          <w:b/>
          <w:lang w:val="es-ES_tradnl"/>
        </w:rPr>
        <w:t xml:space="preserve"> </w:t>
      </w:r>
    </w:p>
    <w:p w:rsidR="00C202C7" w:rsidRPr="00EA246B" w:rsidRDefault="00C202C7" w:rsidP="00C202C7">
      <w:pPr>
        <w:tabs>
          <w:tab w:val="left" w:pos="720"/>
          <w:tab w:val="left" w:pos="810"/>
          <w:tab w:val="center" w:pos="6480"/>
        </w:tabs>
        <w:spacing w:after="0" w:line="240" w:lineRule="auto"/>
        <w:jc w:val="both"/>
        <w:rPr>
          <w:rFonts w:ascii="Cambria" w:hAnsi="Cambria" w:cs="Arial"/>
          <w:lang w:val="es-PE"/>
        </w:rPr>
      </w:pPr>
    </w:p>
    <w:p w:rsidR="00C202C7" w:rsidRPr="00EA246B" w:rsidRDefault="00C202C7" w:rsidP="00C202C7">
      <w:pPr>
        <w:tabs>
          <w:tab w:val="left" w:pos="720"/>
          <w:tab w:val="left" w:pos="810"/>
          <w:tab w:val="center" w:pos="6480"/>
        </w:tabs>
        <w:spacing w:after="0" w:line="240" w:lineRule="auto"/>
        <w:jc w:val="both"/>
        <w:rPr>
          <w:rFonts w:ascii="Cambria" w:hAnsi="Cambria" w:cs="Arial"/>
          <w:lang w:val="es-PE"/>
        </w:rPr>
      </w:pPr>
      <w:r w:rsidRPr="00EA246B">
        <w:rPr>
          <w:rFonts w:ascii="Cambria" w:hAnsi="Cambria" w:cs="Arial"/>
          <w:lang w:val="es-PE"/>
        </w:rPr>
        <w:t>Señor Secretario:</w:t>
      </w:r>
    </w:p>
    <w:p w:rsidR="00C202C7" w:rsidRPr="00EA246B" w:rsidRDefault="00C202C7" w:rsidP="00C202C7">
      <w:pPr>
        <w:widowControl w:val="0"/>
        <w:tabs>
          <w:tab w:val="left" w:pos="810"/>
        </w:tabs>
        <w:autoSpaceDE w:val="0"/>
        <w:autoSpaceDN w:val="0"/>
        <w:adjustRightInd w:val="0"/>
        <w:spacing w:after="0" w:line="240" w:lineRule="auto"/>
        <w:jc w:val="both"/>
        <w:rPr>
          <w:rFonts w:ascii="Cambria" w:hAnsi="Cambria"/>
          <w:lang w:val="es-CO"/>
        </w:rPr>
      </w:pPr>
    </w:p>
    <w:p w:rsidR="009066C8" w:rsidRPr="00961C78" w:rsidRDefault="00C202C7" w:rsidP="009066C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2"/>
          <w:szCs w:val="22"/>
          <w:lang w:val="es-CO"/>
        </w:rPr>
      </w:pPr>
      <w:r w:rsidRPr="00EA246B">
        <w:rPr>
          <w:rFonts w:ascii="Cambria" w:hAnsi="Cambria"/>
          <w:sz w:val="22"/>
          <w:szCs w:val="22"/>
          <w:lang w:val="es-CO"/>
        </w:rPr>
        <w:t>Tengo el agrado de dirigirme a usted, en nombre de la Comisión Interamericana de Derechos Humanos, con el objeto</w:t>
      </w:r>
      <w:r w:rsidRPr="00EA246B">
        <w:rPr>
          <w:rFonts w:ascii="Cambria" w:hAnsi="Cambria" w:cs="Arial"/>
          <w:sz w:val="22"/>
          <w:szCs w:val="22"/>
          <w:lang w:val="es-CO"/>
        </w:rPr>
        <w:t xml:space="preserve"> de pr</w:t>
      </w:r>
      <w:r w:rsidRPr="009066C8">
        <w:rPr>
          <w:rFonts w:ascii="Cambria" w:hAnsi="Cambria" w:cs="Arial"/>
          <w:sz w:val="22"/>
          <w:szCs w:val="22"/>
          <w:lang w:val="es-CO"/>
        </w:rPr>
        <w:t xml:space="preserve">esentar ante la Honorable Corte Interamericana de Derechos </w:t>
      </w:r>
      <w:r w:rsidRPr="00961C78">
        <w:rPr>
          <w:rFonts w:ascii="Cambria" w:hAnsi="Cambria" w:cs="Arial"/>
          <w:sz w:val="22"/>
          <w:szCs w:val="22"/>
          <w:lang w:val="es-CO"/>
        </w:rPr>
        <w:t>Humanos el Caso Nº 12.</w:t>
      </w:r>
      <w:r w:rsidR="009066C8" w:rsidRPr="00961C78">
        <w:rPr>
          <w:rFonts w:ascii="Cambria" w:hAnsi="Cambria" w:cs="Arial"/>
          <w:sz w:val="22"/>
          <w:szCs w:val="22"/>
          <w:lang w:val="es-CO"/>
        </w:rPr>
        <w:t>925</w:t>
      </w:r>
      <w:r w:rsidRPr="00961C78">
        <w:rPr>
          <w:rFonts w:ascii="Cambria" w:hAnsi="Cambria" w:cs="Arial"/>
          <w:sz w:val="22"/>
          <w:szCs w:val="22"/>
          <w:lang w:val="es-CO"/>
        </w:rPr>
        <w:t xml:space="preserve"> – </w:t>
      </w:r>
      <w:r w:rsidR="009066C8" w:rsidRPr="00961C78">
        <w:rPr>
          <w:rFonts w:ascii="Cambria" w:hAnsi="Cambria"/>
          <w:sz w:val="22"/>
          <w:szCs w:val="22"/>
          <w:lang w:val="es-CO"/>
        </w:rPr>
        <w:t>Oscar Raúl Gorigoitia</w:t>
      </w:r>
      <w:r w:rsidR="009066C8" w:rsidRPr="00961C78">
        <w:rPr>
          <w:rFonts w:ascii="Cambria" w:hAnsi="Cambria" w:cs="Arial"/>
          <w:sz w:val="22"/>
          <w:szCs w:val="22"/>
          <w:lang w:val="es-CO"/>
        </w:rPr>
        <w:t xml:space="preserve"> </w:t>
      </w:r>
      <w:r w:rsidRPr="00961C78">
        <w:rPr>
          <w:rFonts w:ascii="Cambria" w:hAnsi="Cambria" w:cs="Arial"/>
          <w:sz w:val="22"/>
          <w:szCs w:val="22"/>
          <w:lang w:val="es-CO"/>
        </w:rPr>
        <w:t xml:space="preserve">respecto de la República de Argentina (en adelante “el Estado”, “el Estado argentino” o “Argentina”), relacionado con </w:t>
      </w:r>
      <w:r w:rsidR="009066C8" w:rsidRPr="00961C78">
        <w:rPr>
          <w:rFonts w:ascii="Cambria" w:hAnsi="Cambria"/>
          <w:sz w:val="22"/>
          <w:szCs w:val="22"/>
        </w:rPr>
        <w:t xml:space="preserve">la </w:t>
      </w:r>
      <w:r w:rsidR="009066C8" w:rsidRPr="00961C78">
        <w:rPr>
          <w:rFonts w:ascii="Cambria" w:hAnsi="Cambria"/>
          <w:sz w:val="22"/>
          <w:szCs w:val="22"/>
          <w:bdr w:val="none" w:sz="0" w:space="0" w:color="auto"/>
        </w:rPr>
        <w:t xml:space="preserve">inexistencia de un recurso ordinario que permita la revisión integral de la sentencia condenatoria impuesta </w:t>
      </w:r>
      <w:r w:rsidR="009066C8" w:rsidRPr="00961C78">
        <w:rPr>
          <w:rFonts w:ascii="Cambria" w:hAnsi="Cambria"/>
          <w:sz w:val="22"/>
          <w:szCs w:val="22"/>
        </w:rPr>
        <w:t xml:space="preserve">por el delito de homicidio simple en el marco de un proceso penal en la Provincia de Mendoza, Argentina, en 1997. </w:t>
      </w:r>
      <w:r w:rsidR="009066C8" w:rsidRPr="00961C78">
        <w:rPr>
          <w:rFonts w:ascii="Cambria" w:hAnsi="Cambria"/>
          <w:sz w:val="22"/>
          <w:szCs w:val="22"/>
          <w:lang w:val="es-AR"/>
        </w:rPr>
        <w:t xml:space="preserve">La Comisión concluyó que </w:t>
      </w:r>
      <w:r w:rsidR="009066C8" w:rsidRPr="00961C78">
        <w:rPr>
          <w:rFonts w:ascii="Cambria" w:hAnsi="Cambria"/>
          <w:sz w:val="22"/>
          <w:szCs w:val="22"/>
          <w:lang w:val="es-CL"/>
        </w:rPr>
        <w:t>el señor Gorigoitia no contó con un recurso ante autoridad jerárquica que efectuara una revisión integral de dicha sentencia, incluyendo las cuestiones de hecho y de valoración probatoria alegadas por la defensa mediante el recurso de casación. En ese sentido, la Comisión concluyó que el Estado argentino violó en su perjuicio el derecho a recurrir del fallo establecido en el artículo 8.2 h) de la Convención, en relación con las obligaciones establecidas en los artículos 1.1 y 2 del mismo instrumento. Asimismo, la Comisión concluyó que como consecuencia del carácter limitado del recurso de casación y</w:t>
      </w:r>
      <w:r w:rsidR="00945A08" w:rsidRPr="00961C78">
        <w:rPr>
          <w:rFonts w:ascii="Cambria" w:hAnsi="Cambria"/>
          <w:sz w:val="22"/>
          <w:szCs w:val="22"/>
          <w:lang w:val="es-CL"/>
        </w:rPr>
        <w:t>,</w:t>
      </w:r>
      <w:r w:rsidR="009066C8" w:rsidRPr="00961C78">
        <w:rPr>
          <w:rFonts w:ascii="Cambria" w:hAnsi="Cambria"/>
          <w:sz w:val="22"/>
          <w:szCs w:val="22"/>
          <w:lang w:val="es-CL"/>
        </w:rPr>
        <w:t xml:space="preserve"> aún más limitado</w:t>
      </w:r>
      <w:r w:rsidR="00945A08" w:rsidRPr="00961C78">
        <w:rPr>
          <w:rFonts w:ascii="Cambria" w:hAnsi="Cambria"/>
          <w:sz w:val="22"/>
          <w:szCs w:val="22"/>
          <w:lang w:val="es-CL"/>
        </w:rPr>
        <w:t>,</w:t>
      </w:r>
      <w:r w:rsidR="009066C8" w:rsidRPr="00961C78">
        <w:rPr>
          <w:rFonts w:ascii="Cambria" w:hAnsi="Cambria"/>
          <w:sz w:val="22"/>
          <w:szCs w:val="22"/>
          <w:lang w:val="es-CL"/>
        </w:rPr>
        <w:t xml:space="preserve"> del recurso extraordinario, la víctima no contó con recursos judiciales sencillos y efectivos en el marco del proceso penal que culminó con su condena, en violación también del derecho establecido en el artículo 25.1 de la Convención, en relación con las obligaciones de los artículos 1.1 y 2 del mismo instrumento.</w:t>
      </w:r>
    </w:p>
    <w:p w:rsidR="00C202C7" w:rsidRPr="00EA246B" w:rsidRDefault="00C202C7" w:rsidP="00C202C7">
      <w:pPr>
        <w:pStyle w:val="NormalWeb"/>
        <w:ind w:firstLine="720"/>
        <w:jc w:val="both"/>
        <w:rPr>
          <w:rFonts w:ascii="Cambria" w:hAnsi="Cambria"/>
          <w:sz w:val="22"/>
          <w:szCs w:val="22"/>
          <w:lang w:val="es-PE"/>
        </w:rPr>
      </w:pPr>
      <w:r w:rsidRPr="00EA246B">
        <w:rPr>
          <w:rFonts w:ascii="Cambria" w:hAnsi="Cambria"/>
          <w:sz w:val="22"/>
          <w:szCs w:val="22"/>
          <w:lang w:val="es-PE"/>
        </w:rPr>
        <w:t xml:space="preserve">El Estado argentino ratificó la Convención Americana sobre Derechos Humanos y aceptó la competencia contenciosa de la Corte Interamericana el 5 de septiembre de 1984. </w:t>
      </w:r>
    </w:p>
    <w:p w:rsidR="00C202C7" w:rsidRPr="00EA246B" w:rsidRDefault="00C202C7" w:rsidP="00C202C7">
      <w:pPr>
        <w:tabs>
          <w:tab w:val="left" w:pos="810"/>
        </w:tabs>
        <w:spacing w:after="0" w:line="240" w:lineRule="auto"/>
        <w:ind w:firstLine="720"/>
        <w:jc w:val="both"/>
        <w:rPr>
          <w:rFonts w:ascii="Cambria" w:hAnsi="Cambria" w:cs="Arial"/>
          <w:lang w:val="es-CO"/>
        </w:rPr>
      </w:pPr>
      <w:r w:rsidRPr="00EA246B">
        <w:rPr>
          <w:rFonts w:ascii="Cambria" w:hAnsi="Cambria"/>
          <w:lang w:val="es-CO"/>
        </w:rPr>
        <w:t xml:space="preserve">La CIDH ha designado al Comisionado </w:t>
      </w:r>
      <w:r>
        <w:rPr>
          <w:rFonts w:ascii="Cambria" w:hAnsi="Cambria"/>
          <w:lang w:val="es-CO"/>
        </w:rPr>
        <w:t>Luis Ernesto Vargas Silva</w:t>
      </w:r>
      <w:r w:rsidRPr="00EA246B">
        <w:rPr>
          <w:rFonts w:ascii="Cambria" w:hAnsi="Cambria"/>
          <w:lang w:val="es-CO"/>
        </w:rPr>
        <w:t xml:space="preserve"> y al Secretario Ejecutivo Paulo Abr</w:t>
      </w:r>
      <w:r w:rsidRPr="00EA246B">
        <w:rPr>
          <w:rFonts w:ascii="Cambria" w:hAnsi="Cambria"/>
          <w:lang w:val="es-PE"/>
        </w:rPr>
        <w:t xml:space="preserve">ão, </w:t>
      </w:r>
      <w:r w:rsidRPr="00EA246B">
        <w:rPr>
          <w:rFonts w:ascii="Cambria" w:hAnsi="Cambria"/>
          <w:lang w:val="es-CO"/>
        </w:rPr>
        <w:t>como sus delegados. Asimismo, Elizabeth Abi-Mershed, Secretaria Ejecutiva Adjunta, y Silvia Serrano Guzmán</w:t>
      </w:r>
      <w:r w:rsidR="004F4D25">
        <w:rPr>
          <w:rFonts w:ascii="Cambria" w:hAnsi="Cambria"/>
          <w:lang w:val="es-CO"/>
        </w:rPr>
        <w:t xml:space="preserve"> y Erick Acuña Pereda,</w:t>
      </w:r>
      <w:r w:rsidRPr="00EA246B">
        <w:rPr>
          <w:rFonts w:ascii="Cambria" w:hAnsi="Cambria"/>
          <w:lang w:val="es-CO"/>
        </w:rPr>
        <w:t xml:space="preserve"> </w:t>
      </w:r>
      <w:r w:rsidRPr="00EA246B">
        <w:rPr>
          <w:rFonts w:ascii="Cambria" w:hAnsi="Cambria"/>
          <w:lang w:val="es-ES"/>
        </w:rPr>
        <w:t>abogada</w:t>
      </w:r>
      <w:r w:rsidR="004F4D25">
        <w:rPr>
          <w:rFonts w:ascii="Cambria" w:hAnsi="Cambria"/>
          <w:lang w:val="es-ES"/>
        </w:rPr>
        <w:t xml:space="preserve"> y abogado</w:t>
      </w:r>
      <w:r w:rsidRPr="00EA246B">
        <w:rPr>
          <w:rFonts w:ascii="Cambria" w:hAnsi="Cambria"/>
          <w:lang w:val="es-ES"/>
        </w:rPr>
        <w:t xml:space="preserve"> de la Secretaría Ejecutiva, </w:t>
      </w:r>
      <w:r w:rsidR="004F4D25">
        <w:rPr>
          <w:rFonts w:ascii="Cambria" w:hAnsi="Cambria"/>
          <w:lang w:val="es-CO"/>
        </w:rPr>
        <w:t>actuarán como asesoras y asesor</w:t>
      </w:r>
      <w:r w:rsidRPr="00EA246B">
        <w:rPr>
          <w:rFonts w:ascii="Cambria" w:hAnsi="Cambria"/>
          <w:lang w:val="es-CO"/>
        </w:rPr>
        <w:t xml:space="preserve"> legales.</w:t>
      </w:r>
    </w:p>
    <w:p w:rsidR="00C202C7" w:rsidRPr="00EA246B" w:rsidRDefault="00C202C7" w:rsidP="00C202C7">
      <w:pPr>
        <w:widowControl w:val="0"/>
        <w:tabs>
          <w:tab w:val="left" w:pos="810"/>
        </w:tabs>
        <w:autoSpaceDE w:val="0"/>
        <w:autoSpaceDN w:val="0"/>
        <w:adjustRightInd w:val="0"/>
        <w:spacing w:after="0" w:line="240" w:lineRule="auto"/>
        <w:jc w:val="both"/>
        <w:rPr>
          <w:rFonts w:ascii="Cambria" w:hAnsi="Cambria" w:cs="Arial"/>
          <w:lang w:val="es-ES"/>
        </w:rPr>
      </w:pPr>
    </w:p>
    <w:p w:rsidR="00C202C7" w:rsidRPr="00EA246B" w:rsidRDefault="00C202C7" w:rsidP="00C202C7">
      <w:pPr>
        <w:tabs>
          <w:tab w:val="left" w:pos="810"/>
        </w:tabs>
        <w:spacing w:after="0" w:line="240" w:lineRule="auto"/>
        <w:ind w:firstLine="720"/>
        <w:jc w:val="both"/>
        <w:rPr>
          <w:rFonts w:ascii="Cambria" w:hAnsi="Cambria"/>
          <w:lang w:val="es-AR"/>
        </w:rPr>
      </w:pPr>
      <w:r w:rsidRPr="00EA246B">
        <w:rPr>
          <w:rFonts w:ascii="Cambria" w:hAnsi="Cambria" w:cs="Arial"/>
          <w:lang w:val="es-CO"/>
        </w:rPr>
        <w:t xml:space="preserve">De conformidad con el artículo 35 del Reglamento de la Corte Interamericana, la Comisión adjunta </w:t>
      </w:r>
      <w:r w:rsidRPr="00EA246B">
        <w:rPr>
          <w:rFonts w:ascii="Cambria" w:hAnsi="Cambria"/>
          <w:lang w:val="es-CO"/>
        </w:rPr>
        <w:t xml:space="preserve">copia del Informe de Fondo Nº </w:t>
      </w:r>
      <w:r w:rsidR="00187CF5">
        <w:rPr>
          <w:rFonts w:ascii="Cambria" w:hAnsi="Cambria"/>
          <w:lang w:val="es-CO"/>
        </w:rPr>
        <w:t>98/</w:t>
      </w:r>
      <w:r w:rsidRPr="00EA246B">
        <w:rPr>
          <w:rFonts w:ascii="Cambria" w:hAnsi="Cambria"/>
          <w:lang w:val="es-CO"/>
        </w:rPr>
        <w:t xml:space="preserve">17 elaborado en observancia del artículo 50 de la Convención, así como copia de la totalidad del expediente ante la Comisión Interamericana (Apéndice I) y los anexos utilizados en la elaboración del Informe Nº </w:t>
      </w:r>
      <w:r w:rsidR="00187CF5">
        <w:rPr>
          <w:rFonts w:ascii="Cambria" w:hAnsi="Cambria"/>
          <w:lang w:val="es-CO"/>
        </w:rPr>
        <w:t>98</w:t>
      </w:r>
      <w:r w:rsidRPr="00EA246B">
        <w:rPr>
          <w:rFonts w:ascii="Cambria" w:hAnsi="Cambria"/>
          <w:lang w:val="es-CO"/>
        </w:rPr>
        <w:t xml:space="preserve">/17 (Anexos). </w:t>
      </w:r>
    </w:p>
    <w:p w:rsidR="00C202C7" w:rsidRDefault="00C202C7" w:rsidP="00C202C7">
      <w:pPr>
        <w:widowControl w:val="0"/>
        <w:tabs>
          <w:tab w:val="left" w:pos="810"/>
        </w:tabs>
        <w:autoSpaceDE w:val="0"/>
        <w:autoSpaceDN w:val="0"/>
        <w:adjustRightInd w:val="0"/>
        <w:spacing w:after="0" w:line="240" w:lineRule="auto"/>
        <w:jc w:val="both"/>
        <w:rPr>
          <w:rFonts w:ascii="Cambria" w:hAnsi="Cambria" w:cs="Arial"/>
          <w:lang w:val="es-ES"/>
        </w:rPr>
      </w:pPr>
    </w:p>
    <w:p w:rsidR="00187CF5" w:rsidRDefault="00187CF5" w:rsidP="00C202C7">
      <w:pPr>
        <w:widowControl w:val="0"/>
        <w:tabs>
          <w:tab w:val="left" w:pos="810"/>
        </w:tabs>
        <w:autoSpaceDE w:val="0"/>
        <w:autoSpaceDN w:val="0"/>
        <w:adjustRightInd w:val="0"/>
        <w:spacing w:after="0" w:line="240" w:lineRule="auto"/>
        <w:jc w:val="both"/>
        <w:rPr>
          <w:rFonts w:ascii="Cambria" w:hAnsi="Cambria" w:cs="Arial"/>
          <w:lang w:val="es-ES"/>
        </w:rPr>
      </w:pPr>
    </w:p>
    <w:p w:rsidR="00187CF5" w:rsidRPr="00EA246B" w:rsidRDefault="00187CF5" w:rsidP="00187CF5">
      <w:pPr>
        <w:widowControl w:val="0"/>
        <w:tabs>
          <w:tab w:val="left" w:pos="810"/>
        </w:tabs>
        <w:autoSpaceDE w:val="0"/>
        <w:autoSpaceDN w:val="0"/>
        <w:adjustRightInd w:val="0"/>
        <w:spacing w:after="0" w:line="240" w:lineRule="auto"/>
        <w:jc w:val="both"/>
        <w:rPr>
          <w:rFonts w:ascii="Cambria" w:hAnsi="Cambria" w:cs="Arial"/>
          <w:snapToGrid w:val="0"/>
          <w:lang w:val="es-CO"/>
        </w:rPr>
      </w:pPr>
      <w:r w:rsidRPr="00EA246B">
        <w:rPr>
          <w:rFonts w:ascii="Cambria" w:hAnsi="Cambria" w:cs="Arial"/>
          <w:snapToGrid w:val="0"/>
          <w:lang w:val="es-ES_tradnl"/>
        </w:rPr>
        <w:t>Señor</w:t>
      </w:r>
    </w:p>
    <w:p w:rsidR="00187CF5" w:rsidRPr="00EA246B" w:rsidRDefault="00187CF5" w:rsidP="00187CF5">
      <w:pPr>
        <w:widowControl w:val="0"/>
        <w:tabs>
          <w:tab w:val="left" w:pos="810"/>
        </w:tabs>
        <w:autoSpaceDE w:val="0"/>
        <w:autoSpaceDN w:val="0"/>
        <w:adjustRightInd w:val="0"/>
        <w:spacing w:after="0" w:line="240" w:lineRule="auto"/>
        <w:jc w:val="both"/>
        <w:rPr>
          <w:rFonts w:ascii="Cambria" w:hAnsi="Cambria" w:cs="Arial"/>
          <w:snapToGrid w:val="0"/>
          <w:lang w:val="es-CO"/>
        </w:rPr>
      </w:pPr>
      <w:r w:rsidRPr="00EA246B">
        <w:rPr>
          <w:rFonts w:ascii="Cambria" w:hAnsi="Cambria" w:cs="Arial"/>
          <w:snapToGrid w:val="0"/>
          <w:lang w:val="es-CO"/>
        </w:rPr>
        <w:t xml:space="preserve">Pablo </w:t>
      </w:r>
      <w:r w:rsidRPr="00EA246B">
        <w:rPr>
          <w:rFonts w:ascii="Cambria" w:hAnsi="Cambria"/>
          <w:lang w:val="es-ES"/>
        </w:rPr>
        <w:t>Saavedra</w:t>
      </w:r>
      <w:r w:rsidRPr="00EA246B">
        <w:rPr>
          <w:rFonts w:ascii="Cambria" w:hAnsi="Cambria" w:cs="Arial"/>
          <w:snapToGrid w:val="0"/>
          <w:lang w:val="es-CO"/>
        </w:rPr>
        <w:t xml:space="preserve"> Alessandri, Secretario</w:t>
      </w:r>
    </w:p>
    <w:p w:rsidR="00187CF5" w:rsidRPr="00EA246B" w:rsidRDefault="00187CF5" w:rsidP="00187CF5">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EA246B">
        <w:rPr>
          <w:rFonts w:ascii="Cambria" w:hAnsi="Cambria" w:cs="Arial"/>
          <w:snapToGrid w:val="0"/>
          <w:lang w:val="es-ES_tradnl"/>
        </w:rPr>
        <w:t>Corte Interamericana de Derechos Humanos</w:t>
      </w:r>
    </w:p>
    <w:p w:rsidR="00187CF5" w:rsidRPr="00EA246B" w:rsidRDefault="00187CF5" w:rsidP="00187CF5">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EA246B">
        <w:rPr>
          <w:rFonts w:ascii="Cambria" w:hAnsi="Cambria" w:cs="Arial"/>
          <w:snapToGrid w:val="0"/>
          <w:lang w:val="es-ES_tradnl"/>
        </w:rPr>
        <w:t>Apartado 6906-1000</w:t>
      </w:r>
      <w:proofErr w:type="gramStart"/>
      <w:r w:rsidRPr="00EA246B">
        <w:rPr>
          <w:rFonts w:ascii="Cambria" w:hAnsi="Cambria" w:cs="Arial"/>
          <w:snapToGrid w:val="0"/>
          <w:lang w:val="es-ES_tradnl"/>
        </w:rPr>
        <w:t>,San</w:t>
      </w:r>
      <w:proofErr w:type="gramEnd"/>
      <w:r w:rsidRPr="00EA246B">
        <w:rPr>
          <w:rFonts w:ascii="Cambria" w:hAnsi="Cambria" w:cs="Arial"/>
          <w:snapToGrid w:val="0"/>
          <w:lang w:val="es-ES_tradnl"/>
        </w:rPr>
        <w:t xml:space="preserve"> José, Costa Rica</w:t>
      </w:r>
    </w:p>
    <w:p w:rsidR="00187CF5" w:rsidRDefault="00187CF5" w:rsidP="00C202C7">
      <w:pPr>
        <w:widowControl w:val="0"/>
        <w:tabs>
          <w:tab w:val="left" w:pos="810"/>
        </w:tabs>
        <w:autoSpaceDE w:val="0"/>
        <w:autoSpaceDN w:val="0"/>
        <w:adjustRightInd w:val="0"/>
        <w:spacing w:after="0" w:line="240" w:lineRule="auto"/>
        <w:jc w:val="both"/>
        <w:rPr>
          <w:rFonts w:ascii="Cambria" w:hAnsi="Cambria" w:cs="Arial"/>
          <w:lang w:val="es-ES"/>
        </w:rPr>
      </w:pPr>
    </w:p>
    <w:p w:rsidR="00187CF5" w:rsidRPr="00EA246B" w:rsidRDefault="00187CF5" w:rsidP="00C202C7">
      <w:pPr>
        <w:widowControl w:val="0"/>
        <w:tabs>
          <w:tab w:val="left" w:pos="810"/>
        </w:tabs>
        <w:autoSpaceDE w:val="0"/>
        <w:autoSpaceDN w:val="0"/>
        <w:adjustRightInd w:val="0"/>
        <w:spacing w:after="0" w:line="240" w:lineRule="auto"/>
        <w:jc w:val="both"/>
        <w:rPr>
          <w:rFonts w:ascii="Cambria" w:hAnsi="Cambria" w:cs="Arial"/>
          <w:lang w:val="es-ES"/>
        </w:rPr>
      </w:pPr>
    </w:p>
    <w:p w:rsidR="00C202C7" w:rsidRPr="00961C78" w:rsidRDefault="00C202C7" w:rsidP="00C202C7">
      <w:pPr>
        <w:tabs>
          <w:tab w:val="left" w:pos="810"/>
        </w:tabs>
        <w:spacing w:after="0" w:line="240" w:lineRule="auto"/>
        <w:jc w:val="both"/>
        <w:rPr>
          <w:rFonts w:ascii="Cambria" w:hAnsi="Cambria"/>
          <w:lang w:val="es-AR"/>
        </w:rPr>
      </w:pPr>
      <w:r w:rsidRPr="00EA246B">
        <w:rPr>
          <w:rFonts w:ascii="Cambria" w:hAnsi="Cambria"/>
          <w:lang w:val="es-CO"/>
        </w:rPr>
        <w:lastRenderedPageBreak/>
        <w:tab/>
        <w:t xml:space="preserve">Dicho Informe de Fondo </w:t>
      </w:r>
      <w:r w:rsidRPr="00EA246B">
        <w:rPr>
          <w:rFonts w:ascii="Cambria" w:hAnsi="Cambria"/>
          <w:lang w:val="es-AR"/>
        </w:rPr>
        <w:t xml:space="preserve">fue notificado al Estado el </w:t>
      </w:r>
      <w:r w:rsidR="00187CF5">
        <w:rPr>
          <w:rFonts w:ascii="Cambria" w:hAnsi="Cambria"/>
          <w:lang w:val="es-AR"/>
        </w:rPr>
        <w:t>18 de octubre de 2017</w:t>
      </w:r>
      <w:r w:rsidRPr="00EA246B">
        <w:rPr>
          <w:rFonts w:ascii="Cambria" w:hAnsi="Cambria"/>
          <w:lang w:val="es-AR"/>
        </w:rPr>
        <w:t xml:space="preserve">, otorgándole dos meses para informar sobre el cumplimiento de las recomendaciones.  </w:t>
      </w:r>
      <w:r>
        <w:rPr>
          <w:rFonts w:ascii="Cambria" w:hAnsi="Cambria"/>
          <w:lang w:val="es-AR"/>
        </w:rPr>
        <w:t xml:space="preserve">La Comisión Interamericana otorgó </w:t>
      </w:r>
      <w:r w:rsidR="00187CF5">
        <w:rPr>
          <w:rFonts w:ascii="Cambria" w:hAnsi="Cambria"/>
          <w:lang w:val="es-AR"/>
        </w:rPr>
        <w:t>una</w:t>
      </w:r>
      <w:r>
        <w:rPr>
          <w:rFonts w:ascii="Cambria" w:hAnsi="Cambria"/>
          <w:lang w:val="es-AR"/>
        </w:rPr>
        <w:t xml:space="preserve"> prórroga al Estado argentino, a fin de que informara sobre el cumplimiento de las recomendaciones. El Estado solicitó una </w:t>
      </w:r>
      <w:r w:rsidR="00187CF5">
        <w:rPr>
          <w:rFonts w:ascii="Cambria" w:hAnsi="Cambria"/>
          <w:lang w:val="es-AR"/>
        </w:rPr>
        <w:t xml:space="preserve">segunda </w:t>
      </w:r>
      <w:r>
        <w:rPr>
          <w:rFonts w:ascii="Cambria" w:hAnsi="Cambria"/>
          <w:lang w:val="es-AR"/>
        </w:rPr>
        <w:t>prórroga sin aportar información</w:t>
      </w:r>
      <w:r w:rsidR="00187CF5">
        <w:rPr>
          <w:rFonts w:ascii="Cambria" w:hAnsi="Cambria"/>
          <w:lang w:val="es-AR"/>
        </w:rPr>
        <w:t xml:space="preserve"> sobre avances concretos en el cumplimiento de las recomendaciones. Si bien el Estado informó que habría iniciado un </w:t>
      </w:r>
      <w:r w:rsidR="00187CF5" w:rsidRPr="00961C78">
        <w:rPr>
          <w:rFonts w:ascii="Cambria" w:hAnsi="Cambria"/>
          <w:lang w:val="es-AR"/>
        </w:rPr>
        <w:t xml:space="preserve">diálogo con la parte peticionaria, ésta indicó que no se llegó a ningún acuerdo y reiteró su solicitud de que el caso fuera enviado a la Corte Interamericana.  </w:t>
      </w:r>
    </w:p>
    <w:p w:rsidR="00C202C7" w:rsidRPr="00961C78" w:rsidRDefault="00C202C7" w:rsidP="00C202C7">
      <w:pPr>
        <w:tabs>
          <w:tab w:val="left" w:pos="810"/>
        </w:tabs>
        <w:spacing w:after="0" w:line="240" w:lineRule="auto"/>
        <w:ind w:firstLine="720"/>
        <w:jc w:val="both"/>
        <w:rPr>
          <w:rFonts w:ascii="Cambria" w:hAnsi="Cambria"/>
          <w:lang w:val="es-AR"/>
        </w:rPr>
      </w:pPr>
    </w:p>
    <w:p w:rsidR="00C202C7" w:rsidRPr="00961C78" w:rsidRDefault="00C202C7" w:rsidP="00C202C7">
      <w:pPr>
        <w:tabs>
          <w:tab w:val="left" w:pos="810"/>
        </w:tabs>
        <w:spacing w:after="0" w:line="240" w:lineRule="auto"/>
        <w:ind w:firstLine="720"/>
        <w:jc w:val="both"/>
        <w:rPr>
          <w:rFonts w:ascii="Cambria" w:hAnsi="Cambria"/>
          <w:lang w:val="es-AR"/>
        </w:rPr>
      </w:pPr>
      <w:r w:rsidRPr="00961C78">
        <w:rPr>
          <w:rFonts w:ascii="Cambria" w:hAnsi="Cambria"/>
          <w:lang w:val="es-AR"/>
        </w:rPr>
        <w:t>En virtud de lo anterior, l</w:t>
      </w:r>
      <w:r w:rsidRPr="00961C78">
        <w:rPr>
          <w:rFonts w:ascii="Cambria" w:hAnsi="Cambria"/>
          <w:lang w:val="es-CO"/>
        </w:rPr>
        <w:t xml:space="preserve">a Comisión Interamericana decidió someter a la jurisdicción de la Corte Interamericana la totalidad de los hechos y violaciones de derechos humanos descritos en el Informe de Fondo Nº </w:t>
      </w:r>
      <w:r w:rsidR="00187CF5" w:rsidRPr="00961C78">
        <w:rPr>
          <w:rFonts w:ascii="Cambria" w:hAnsi="Cambria"/>
          <w:lang w:val="es-CO"/>
        </w:rPr>
        <w:t>98</w:t>
      </w:r>
      <w:r w:rsidRPr="00961C78">
        <w:rPr>
          <w:rFonts w:ascii="Cambria" w:hAnsi="Cambria"/>
          <w:lang w:val="es-CO"/>
        </w:rPr>
        <w:t xml:space="preserve">/17, ante la necesidad de obtención de justicia para la víctima en el caso particular. </w:t>
      </w:r>
    </w:p>
    <w:p w:rsidR="00C202C7" w:rsidRPr="00961C78" w:rsidRDefault="00C202C7" w:rsidP="00C202C7">
      <w:pPr>
        <w:tabs>
          <w:tab w:val="left" w:pos="0"/>
          <w:tab w:val="left" w:pos="810"/>
        </w:tabs>
        <w:spacing w:after="0" w:line="240" w:lineRule="auto"/>
        <w:jc w:val="both"/>
        <w:rPr>
          <w:rFonts w:ascii="Cambria" w:hAnsi="Cambria"/>
          <w:lang w:val="es-AR"/>
        </w:rPr>
      </w:pPr>
    </w:p>
    <w:p w:rsidR="001544C9" w:rsidRPr="00961C78" w:rsidRDefault="001544C9" w:rsidP="001544C9">
      <w:pPr>
        <w:tabs>
          <w:tab w:val="left" w:pos="810"/>
        </w:tabs>
        <w:spacing w:after="0" w:line="240" w:lineRule="auto"/>
        <w:jc w:val="both"/>
        <w:rPr>
          <w:rFonts w:ascii="Cambria" w:hAnsi="Cambria" w:cs="Verdana"/>
          <w:lang w:val="es-VE"/>
        </w:rPr>
      </w:pPr>
      <w:r w:rsidRPr="00961C78">
        <w:rPr>
          <w:rFonts w:ascii="Cambria" w:hAnsi="Cambria"/>
          <w:lang w:val="es-CO"/>
        </w:rPr>
        <w:tab/>
      </w:r>
      <w:r w:rsidR="00C202C7" w:rsidRPr="00961C78">
        <w:rPr>
          <w:rFonts w:ascii="Cambria" w:hAnsi="Cambria"/>
          <w:lang w:val="es-CO"/>
        </w:rPr>
        <w:t>En ese sentido, la Comisión solicita a la Corte que concluya y declare que el</w:t>
      </w:r>
      <w:r w:rsidR="00C202C7" w:rsidRPr="00961C78">
        <w:rPr>
          <w:rFonts w:ascii="Cambria" w:hAnsi="Cambria" w:cs="Arial"/>
          <w:lang w:val="es-CL"/>
        </w:rPr>
        <w:t xml:space="preserve"> Estado de Argentina</w:t>
      </w:r>
      <w:r w:rsidR="00C202C7" w:rsidRPr="00961C78">
        <w:rPr>
          <w:rFonts w:ascii="Cambria" w:eastAsia="Times New Roman" w:hAnsi="Cambria"/>
          <w:lang w:val="es-ES_tradnl"/>
        </w:rPr>
        <w:t xml:space="preserve"> es </w:t>
      </w:r>
      <w:r w:rsidR="00C202C7" w:rsidRPr="00961C78">
        <w:rPr>
          <w:rFonts w:ascii="Cambria" w:hAnsi="Cambria" w:cs="Verdana"/>
          <w:lang w:val="es-VE"/>
        </w:rPr>
        <w:t xml:space="preserve">responsable </w:t>
      </w:r>
      <w:r w:rsidRPr="00961C78">
        <w:rPr>
          <w:rFonts w:ascii="Cambria" w:hAnsi="Cambria"/>
          <w:lang w:val="es-CL"/>
        </w:rPr>
        <w:t xml:space="preserve">por la violación de los derechos a recurrir el fallo y a la protección judicial consagrados en los artículos 8.2 h) y 25.1 de la Convención Americana en relación con las obligaciones establecidas en los artículos 1.1 y 2 del mismo instrumento, en perjuicio de Oscar Raúl Gorigoitia. </w:t>
      </w:r>
    </w:p>
    <w:p w:rsidR="001544C9" w:rsidRPr="00961C78" w:rsidRDefault="001544C9" w:rsidP="00C202C7">
      <w:pPr>
        <w:tabs>
          <w:tab w:val="left" w:pos="810"/>
        </w:tabs>
        <w:spacing w:after="0" w:line="240" w:lineRule="auto"/>
        <w:ind w:firstLine="720"/>
        <w:jc w:val="both"/>
        <w:rPr>
          <w:rFonts w:ascii="Cambria" w:hAnsi="Cambria" w:cs="Verdana"/>
          <w:lang w:val="es-CL"/>
        </w:rPr>
      </w:pPr>
    </w:p>
    <w:p w:rsidR="00C202C7" w:rsidRPr="00EA246B" w:rsidRDefault="00C202C7" w:rsidP="00C202C7">
      <w:pPr>
        <w:tabs>
          <w:tab w:val="left" w:pos="810"/>
        </w:tabs>
        <w:autoSpaceDE w:val="0"/>
        <w:autoSpaceDN w:val="0"/>
        <w:adjustRightInd w:val="0"/>
        <w:spacing w:after="0" w:line="240" w:lineRule="auto"/>
        <w:ind w:firstLine="720"/>
        <w:jc w:val="both"/>
        <w:rPr>
          <w:rFonts w:ascii="Cambria" w:hAnsi="Cambria"/>
          <w:lang w:val="es-CO"/>
        </w:rPr>
      </w:pPr>
      <w:r w:rsidRPr="00EA246B">
        <w:rPr>
          <w:rFonts w:ascii="Cambria" w:hAnsi="Cambria"/>
          <w:lang w:val="es-CO"/>
        </w:rPr>
        <w:t>La Comisión solicita a la Corte Interamericana que establezca las siguientes medidas de reparación:</w:t>
      </w:r>
    </w:p>
    <w:p w:rsidR="00C202C7" w:rsidRPr="00961C78" w:rsidRDefault="00C202C7" w:rsidP="00EB49A7">
      <w:pPr>
        <w:tabs>
          <w:tab w:val="left" w:pos="720"/>
          <w:tab w:val="left" w:pos="810"/>
          <w:tab w:val="left" w:pos="1080"/>
        </w:tabs>
        <w:autoSpaceDE w:val="0"/>
        <w:autoSpaceDN w:val="0"/>
        <w:adjustRightInd w:val="0"/>
        <w:spacing w:after="0" w:line="240" w:lineRule="auto"/>
        <w:ind w:right="720"/>
        <w:jc w:val="both"/>
        <w:rPr>
          <w:rFonts w:ascii="Cambria" w:hAnsi="Cambria"/>
          <w:lang w:val="es-CO"/>
        </w:rPr>
      </w:pPr>
    </w:p>
    <w:p w:rsidR="00EB49A7" w:rsidRPr="00961C78" w:rsidRDefault="00EB49A7" w:rsidP="00EB49A7">
      <w:pPr>
        <w:pStyle w:val="Sangra3detindependiente"/>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990"/>
          <w:tab w:val="num" w:pos="0"/>
          <w:tab w:val="left" w:pos="1080"/>
        </w:tabs>
        <w:spacing w:after="0"/>
        <w:ind w:left="0" w:firstLine="720"/>
        <w:jc w:val="both"/>
        <w:rPr>
          <w:rFonts w:ascii="Cambria" w:hAnsi="Cambria"/>
          <w:spacing w:val="-2"/>
          <w:sz w:val="22"/>
          <w:szCs w:val="22"/>
          <w:lang w:val="es-ES"/>
        </w:rPr>
      </w:pPr>
      <w:r w:rsidRPr="00961C78">
        <w:rPr>
          <w:rFonts w:ascii="Cambria" w:hAnsi="Cambria"/>
          <w:spacing w:val="-2"/>
          <w:sz w:val="22"/>
          <w:szCs w:val="22"/>
          <w:lang w:val="es-ES"/>
        </w:rPr>
        <w:t xml:space="preserve">Disponer las medidas necesarias para que, en caso de ser su voluntad, el señor Gorigoitia pueda interponer un recurso mediante el cual obtenga una revisión amplia de la sentencia condenatoria, en cumplimiento del artículo 8.2 h) de la Convención Americana. </w:t>
      </w:r>
    </w:p>
    <w:p w:rsidR="00EB49A7" w:rsidRPr="00961C78" w:rsidRDefault="00EB49A7" w:rsidP="00EB49A7">
      <w:pPr>
        <w:pStyle w:val="Sangra3detindependiente"/>
        <w:pBdr>
          <w:top w:val="none" w:sz="0" w:space="0" w:color="auto"/>
          <w:left w:val="none" w:sz="0" w:space="0" w:color="auto"/>
          <w:bottom w:val="none" w:sz="0" w:space="0" w:color="auto"/>
          <w:right w:val="none" w:sz="0" w:space="0" w:color="auto"/>
          <w:between w:val="none" w:sz="0" w:space="0" w:color="auto"/>
          <w:bar w:val="none" w:sz="0" w:color="auto"/>
        </w:pBdr>
        <w:tabs>
          <w:tab w:val="left" w:pos="1080"/>
        </w:tabs>
        <w:spacing w:after="0"/>
        <w:ind w:left="720"/>
        <w:jc w:val="both"/>
        <w:rPr>
          <w:rFonts w:ascii="Cambria" w:hAnsi="Cambria"/>
          <w:spacing w:val="-2"/>
          <w:sz w:val="22"/>
          <w:szCs w:val="22"/>
          <w:lang w:val="es-ES"/>
        </w:rPr>
      </w:pPr>
    </w:p>
    <w:p w:rsidR="00EB49A7" w:rsidRPr="00961C78" w:rsidRDefault="00EB49A7" w:rsidP="00EB49A7">
      <w:pPr>
        <w:pStyle w:val="Sangra3detindependiente"/>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990"/>
          <w:tab w:val="num" w:pos="0"/>
          <w:tab w:val="left" w:pos="1080"/>
        </w:tabs>
        <w:spacing w:after="0"/>
        <w:ind w:left="0" w:firstLine="720"/>
        <w:jc w:val="both"/>
        <w:rPr>
          <w:rFonts w:ascii="Cambria" w:hAnsi="Cambria"/>
          <w:spacing w:val="-2"/>
          <w:sz w:val="22"/>
          <w:szCs w:val="22"/>
          <w:lang w:val="es-ES"/>
        </w:rPr>
      </w:pPr>
      <w:r w:rsidRPr="00961C78">
        <w:rPr>
          <w:rFonts w:ascii="Cambria" w:hAnsi="Cambria"/>
          <w:spacing w:val="-2"/>
          <w:sz w:val="22"/>
          <w:szCs w:val="22"/>
          <w:lang w:val="es-ES"/>
        </w:rPr>
        <w:t>Reparar integralmente las violaci</w:t>
      </w:r>
      <w:r w:rsidR="00236478" w:rsidRPr="00961C78">
        <w:rPr>
          <w:rFonts w:ascii="Cambria" w:hAnsi="Cambria"/>
          <w:spacing w:val="-2"/>
          <w:sz w:val="22"/>
          <w:szCs w:val="22"/>
          <w:lang w:val="es-ES"/>
        </w:rPr>
        <w:t>ones declaradas en el</w:t>
      </w:r>
      <w:r w:rsidRPr="00961C78">
        <w:rPr>
          <w:rFonts w:ascii="Cambria" w:hAnsi="Cambria"/>
          <w:spacing w:val="-2"/>
          <w:sz w:val="22"/>
          <w:szCs w:val="22"/>
          <w:lang w:val="es-ES"/>
        </w:rPr>
        <w:t xml:space="preserve"> informe, incluyendo el daño material e inmaterial.</w:t>
      </w:r>
    </w:p>
    <w:p w:rsidR="00EB49A7" w:rsidRPr="00961C78" w:rsidRDefault="00EB49A7" w:rsidP="00EB49A7">
      <w:pPr>
        <w:pStyle w:val="Sangra3detindependiente"/>
        <w:pBdr>
          <w:top w:val="none" w:sz="0" w:space="0" w:color="auto"/>
          <w:left w:val="none" w:sz="0" w:space="0" w:color="auto"/>
          <w:bottom w:val="none" w:sz="0" w:space="0" w:color="auto"/>
          <w:right w:val="none" w:sz="0" w:space="0" w:color="auto"/>
          <w:between w:val="none" w:sz="0" w:space="0" w:color="auto"/>
          <w:bar w:val="none" w:sz="0" w:color="auto"/>
        </w:pBdr>
        <w:tabs>
          <w:tab w:val="left" w:pos="1080"/>
        </w:tabs>
        <w:spacing w:after="0"/>
        <w:ind w:left="0"/>
        <w:jc w:val="both"/>
        <w:rPr>
          <w:rFonts w:ascii="Cambria" w:hAnsi="Cambria"/>
          <w:spacing w:val="-2"/>
          <w:sz w:val="22"/>
          <w:szCs w:val="22"/>
          <w:lang w:val="es-ES"/>
        </w:rPr>
      </w:pPr>
    </w:p>
    <w:p w:rsidR="00EB49A7" w:rsidRPr="00961C78" w:rsidRDefault="00EB49A7" w:rsidP="00EB49A7">
      <w:pPr>
        <w:pStyle w:val="Sangra3detindependiente"/>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990"/>
          <w:tab w:val="num" w:pos="0"/>
          <w:tab w:val="left" w:pos="1080"/>
        </w:tabs>
        <w:spacing w:after="0"/>
        <w:ind w:left="0" w:firstLine="720"/>
        <w:jc w:val="both"/>
        <w:rPr>
          <w:rFonts w:ascii="Cambria" w:hAnsi="Cambria"/>
          <w:spacing w:val="-2"/>
          <w:sz w:val="22"/>
          <w:szCs w:val="22"/>
          <w:lang w:val="es-ES"/>
        </w:rPr>
      </w:pPr>
      <w:r w:rsidRPr="00961C78">
        <w:rPr>
          <w:rFonts w:ascii="Cambria" w:hAnsi="Cambria"/>
          <w:spacing w:val="-2"/>
          <w:sz w:val="22"/>
          <w:szCs w:val="22"/>
          <w:lang w:val="es-ES"/>
        </w:rPr>
        <w:t>Disponer las medidas legislativas necesarias para adecuar la legislación interna relativa al recurso de casación a los estándares establecidos en el informe sobre el derecho consagrado en el artículo 8.2 h) de la Convención Americana. Asimismo, y de manera independiente a la adecuación normativa, asegurar que las autoridades judiciales ejerzan un control de convencionalidad al momento de resolver los recursos contra sentencias condenatorias, de forma consistente con los</w:t>
      </w:r>
      <w:r w:rsidR="00236478" w:rsidRPr="00961C78">
        <w:rPr>
          <w:rFonts w:ascii="Cambria" w:hAnsi="Cambria"/>
          <w:spacing w:val="-2"/>
          <w:sz w:val="22"/>
          <w:szCs w:val="22"/>
          <w:lang w:val="es-ES"/>
        </w:rPr>
        <w:t xml:space="preserve"> estándares establecidos en el </w:t>
      </w:r>
      <w:r w:rsidRPr="00961C78">
        <w:rPr>
          <w:rFonts w:ascii="Cambria" w:hAnsi="Cambria"/>
          <w:spacing w:val="-2"/>
          <w:sz w:val="22"/>
          <w:szCs w:val="22"/>
          <w:lang w:val="es-ES"/>
        </w:rPr>
        <w:t xml:space="preserve">informe. </w:t>
      </w:r>
    </w:p>
    <w:p w:rsidR="00C202C7" w:rsidRPr="008567DE" w:rsidRDefault="00C202C7" w:rsidP="00C202C7">
      <w:pPr>
        <w:tabs>
          <w:tab w:val="left" w:pos="720"/>
          <w:tab w:val="left" w:pos="810"/>
        </w:tabs>
        <w:autoSpaceDE w:val="0"/>
        <w:autoSpaceDN w:val="0"/>
        <w:adjustRightInd w:val="0"/>
        <w:spacing w:after="0" w:line="240" w:lineRule="auto"/>
        <w:ind w:right="720"/>
        <w:jc w:val="both"/>
        <w:rPr>
          <w:rFonts w:ascii="Cambria" w:hAnsi="Cambria"/>
          <w:lang w:val="es-CO"/>
        </w:rPr>
      </w:pPr>
    </w:p>
    <w:p w:rsidR="00C202C7" w:rsidRPr="008567DE" w:rsidRDefault="00C202C7" w:rsidP="00C202C7">
      <w:pPr>
        <w:tabs>
          <w:tab w:val="left" w:pos="720"/>
          <w:tab w:val="left" w:pos="2880"/>
        </w:tabs>
        <w:spacing w:after="0" w:line="240" w:lineRule="auto"/>
        <w:jc w:val="both"/>
        <w:rPr>
          <w:rFonts w:ascii="Cambria" w:hAnsi="Cambria"/>
          <w:lang w:val="es-ES"/>
        </w:rPr>
      </w:pPr>
      <w:r w:rsidRPr="008567DE">
        <w:rPr>
          <w:rFonts w:ascii="Cambria" w:hAnsi="Cambria" w:cs="Arial"/>
          <w:color w:val="000000"/>
          <w:lang w:val="es-CL"/>
        </w:rPr>
        <w:tab/>
        <w:t xml:space="preserve">Además de la necesidad de obtención de justicia, la Comisión destaca que </w:t>
      </w:r>
      <w:r w:rsidRPr="008567DE">
        <w:rPr>
          <w:rFonts w:ascii="Cambria" w:eastAsia="Times New Roman" w:hAnsi="Cambria" w:cs="Cambria"/>
          <w:lang w:val="es-CO"/>
        </w:rPr>
        <w:t>el presente caso permitirá a la Corte</w:t>
      </w:r>
      <w:r w:rsidR="00DF585C" w:rsidRPr="008567DE">
        <w:rPr>
          <w:rFonts w:ascii="Cambria" w:eastAsia="Times New Roman" w:hAnsi="Cambria" w:cs="Cambria"/>
          <w:lang w:val="es-CO"/>
        </w:rPr>
        <w:t xml:space="preserve"> </w:t>
      </w:r>
      <w:r w:rsidR="00DF585C" w:rsidRPr="008567DE">
        <w:rPr>
          <w:rFonts w:ascii="Cambria" w:hAnsi="Cambria"/>
          <w:lang w:val="es-CO"/>
        </w:rPr>
        <w:t xml:space="preserve">profundizar su jurisprudencia sobre debido proceso penal y, particularmente, sobre el derecho a recurrir el fallo condenatorio. La legislación procesal penal en Argentina de varias provincias consagra como único recurso contra una sentencia condenatoria de primera instancia, al recurso de casación, cuyas causales se encuentran limitadas a errores de derecho, tanto en lo procesal como en lo sustantivo. En ese sentido, la CIDH ha requerido una adecuación normativa al Estado argentino, que continúa sin implementar a la fecha. Tomando en cuenta que la legislación en Argentina continúa siendo incompatible con los estándares interamericanos sobre el artículo 8.2 h) de la Convención, </w:t>
      </w:r>
      <w:r w:rsidR="00F550D9" w:rsidRPr="008567DE">
        <w:rPr>
          <w:rFonts w:ascii="Cambria" w:hAnsi="Cambria"/>
          <w:lang w:val="es-CO"/>
        </w:rPr>
        <w:t xml:space="preserve">el presente caso </w:t>
      </w:r>
      <w:r w:rsidR="00DF585C" w:rsidRPr="008567DE">
        <w:rPr>
          <w:rFonts w:ascii="Cambria" w:hAnsi="Cambria"/>
          <w:lang w:val="es-CO"/>
        </w:rPr>
        <w:t>trasciende a la víctima</w:t>
      </w:r>
      <w:r w:rsidR="00F550D9" w:rsidRPr="008567DE">
        <w:rPr>
          <w:rFonts w:ascii="Cambria" w:hAnsi="Cambria"/>
          <w:lang w:val="es-CO"/>
        </w:rPr>
        <w:t xml:space="preserve">, siendo ese componente del caso una cuestión </w:t>
      </w:r>
      <w:r w:rsidR="00DF585C" w:rsidRPr="008567DE">
        <w:rPr>
          <w:rFonts w:ascii="Cambria" w:hAnsi="Cambria"/>
          <w:lang w:val="es-CO"/>
        </w:rPr>
        <w:t xml:space="preserve">de orden público interamericano. </w:t>
      </w:r>
    </w:p>
    <w:p w:rsidR="00C202C7" w:rsidRPr="008567DE" w:rsidRDefault="00C202C7" w:rsidP="00C202C7">
      <w:pPr>
        <w:spacing w:after="0" w:line="240" w:lineRule="auto"/>
        <w:jc w:val="both"/>
        <w:rPr>
          <w:rFonts w:ascii="Cambria" w:hAnsi="Cambria" w:cs="Arial"/>
          <w:lang w:val="es-ES"/>
        </w:rPr>
      </w:pPr>
    </w:p>
    <w:p w:rsidR="00C202C7" w:rsidRPr="00EA246B" w:rsidRDefault="00C202C7" w:rsidP="00C202C7">
      <w:pPr>
        <w:tabs>
          <w:tab w:val="left" w:pos="810"/>
        </w:tabs>
        <w:autoSpaceDE w:val="0"/>
        <w:autoSpaceDN w:val="0"/>
        <w:adjustRightInd w:val="0"/>
        <w:spacing w:after="0" w:line="240" w:lineRule="auto"/>
        <w:ind w:firstLine="720"/>
        <w:jc w:val="both"/>
        <w:rPr>
          <w:rFonts w:ascii="Cambria" w:hAnsi="Cambria" w:cs="Arial"/>
          <w:lang w:val="es-CL"/>
        </w:rPr>
      </w:pPr>
      <w:r w:rsidRPr="008567DE">
        <w:rPr>
          <w:rFonts w:ascii="Cambria" w:hAnsi="Cambria" w:cs="Arial"/>
          <w:lang w:val="es-CL"/>
        </w:rPr>
        <w:t>En virtud de que estas cuestiones afectan de manera relevante el orden público interamericano, de conformidad</w:t>
      </w:r>
      <w:r w:rsidRPr="00EA246B">
        <w:rPr>
          <w:rFonts w:ascii="Cambria" w:hAnsi="Cambria" w:cs="Arial"/>
          <w:lang w:val="es-CL"/>
        </w:rPr>
        <w:t xml:space="preserve"> con el artículo 35.1 f) del Reglamento de la Corte Interamericana, </w:t>
      </w:r>
      <w:r w:rsidRPr="00EA246B">
        <w:rPr>
          <w:rFonts w:ascii="Cambria" w:hAnsi="Cambria" w:cs="Arial"/>
          <w:lang w:val="es-CL"/>
        </w:rPr>
        <w:lastRenderedPageBreak/>
        <w:t xml:space="preserve">la Comisión se permite </w:t>
      </w:r>
      <w:r w:rsidR="00F65150">
        <w:rPr>
          <w:rFonts w:ascii="Cambria" w:hAnsi="Cambria" w:cs="Arial"/>
          <w:lang w:val="es-CL"/>
        </w:rPr>
        <w:t>solicitar el traslado de los peritajes rendidos por Alberto Bovino en los caso</w:t>
      </w:r>
      <w:r w:rsidR="00C01008">
        <w:rPr>
          <w:rFonts w:ascii="Cambria" w:hAnsi="Cambria" w:cs="Arial"/>
          <w:lang w:val="es-CL"/>
        </w:rPr>
        <w:t>s</w:t>
      </w:r>
      <w:r w:rsidR="00F65150">
        <w:rPr>
          <w:rFonts w:ascii="Cambria" w:hAnsi="Cambria" w:cs="Arial"/>
          <w:lang w:val="es-CL"/>
        </w:rPr>
        <w:t xml:space="preserve"> </w:t>
      </w:r>
      <w:r w:rsidR="00F65150">
        <w:rPr>
          <w:rFonts w:ascii="Cambria" w:hAnsi="Cambria" w:cs="Arial"/>
          <w:i/>
          <w:lang w:val="es-CL"/>
        </w:rPr>
        <w:t xml:space="preserve">Mendoza y otros vs. Argentina; </w:t>
      </w:r>
      <w:r w:rsidR="00F65150">
        <w:rPr>
          <w:rFonts w:ascii="Cambria" w:hAnsi="Cambria" w:cs="Arial"/>
          <w:lang w:val="es-CL"/>
        </w:rPr>
        <w:t xml:space="preserve">y </w:t>
      </w:r>
      <w:r w:rsidR="00F65150">
        <w:rPr>
          <w:rFonts w:ascii="Cambria" w:hAnsi="Cambria" w:cs="Arial"/>
          <w:i/>
          <w:lang w:val="es-CL"/>
        </w:rPr>
        <w:t xml:space="preserve">Amhrein y otros vs. Costa Rica. </w:t>
      </w:r>
    </w:p>
    <w:p w:rsidR="00C202C7" w:rsidRPr="00EA246B" w:rsidRDefault="00C202C7" w:rsidP="00C202C7">
      <w:pPr>
        <w:tabs>
          <w:tab w:val="left" w:pos="810"/>
        </w:tabs>
        <w:autoSpaceDE w:val="0"/>
        <w:autoSpaceDN w:val="0"/>
        <w:adjustRightInd w:val="0"/>
        <w:spacing w:after="0" w:line="240" w:lineRule="auto"/>
        <w:ind w:right="480"/>
        <w:jc w:val="both"/>
        <w:rPr>
          <w:rFonts w:ascii="Cambria" w:hAnsi="Cambria" w:cs="Arial"/>
          <w:lang w:val="es-CL"/>
        </w:rPr>
      </w:pPr>
    </w:p>
    <w:p w:rsidR="00C202C7" w:rsidRPr="00961C78" w:rsidRDefault="00C202C7" w:rsidP="00C202C7">
      <w:pPr>
        <w:tabs>
          <w:tab w:val="left" w:pos="0"/>
          <w:tab w:val="left" w:pos="810"/>
        </w:tabs>
        <w:spacing w:after="0" w:line="240" w:lineRule="auto"/>
        <w:ind w:firstLine="720"/>
        <w:jc w:val="both"/>
        <w:rPr>
          <w:rFonts w:ascii="Cambria" w:hAnsi="Cambria"/>
          <w:lang w:val="es-CO"/>
        </w:rPr>
      </w:pPr>
      <w:r w:rsidRPr="00EA246B">
        <w:rPr>
          <w:rFonts w:ascii="Cambria" w:hAnsi="Cambria"/>
          <w:lang w:val="es-ES_tradnl"/>
        </w:rPr>
        <w:t>La Comisión pone en conocimiento de la Corte la siguiente información sobre quien actu</w:t>
      </w:r>
      <w:r w:rsidR="00F65150">
        <w:rPr>
          <w:rFonts w:ascii="Cambria" w:hAnsi="Cambria"/>
          <w:lang w:val="es-ES_tradnl"/>
        </w:rPr>
        <w:t xml:space="preserve">ó como parte peticionaria </w:t>
      </w:r>
      <w:r w:rsidRPr="00961C78">
        <w:rPr>
          <w:rFonts w:ascii="Cambria" w:hAnsi="Cambria"/>
          <w:lang w:val="es-ES_tradnl"/>
        </w:rPr>
        <w:t xml:space="preserve">a lo largo del trámite del caso: </w:t>
      </w:r>
    </w:p>
    <w:p w:rsidR="00C202C7" w:rsidRPr="00961C78" w:rsidRDefault="00C202C7" w:rsidP="00C202C7">
      <w:pPr>
        <w:tabs>
          <w:tab w:val="left" w:pos="810"/>
        </w:tabs>
        <w:autoSpaceDE w:val="0"/>
        <w:autoSpaceDN w:val="0"/>
        <w:adjustRightInd w:val="0"/>
        <w:spacing w:after="0" w:line="240" w:lineRule="auto"/>
        <w:jc w:val="center"/>
        <w:rPr>
          <w:rFonts w:ascii="Cambria" w:hAnsi="Cambria"/>
          <w:lang w:val="es-ES"/>
        </w:rPr>
      </w:pPr>
    </w:p>
    <w:p w:rsidR="00F65150" w:rsidRPr="00961C78" w:rsidRDefault="00F65150" w:rsidP="00F65150">
      <w:pPr>
        <w:spacing w:after="0" w:line="240" w:lineRule="auto"/>
        <w:jc w:val="center"/>
        <w:rPr>
          <w:rFonts w:ascii="Cambria" w:hAnsi="Cambria"/>
          <w:lang w:val="es-ES"/>
        </w:rPr>
      </w:pPr>
      <w:r w:rsidRPr="00961C78">
        <w:rPr>
          <w:rFonts w:ascii="Cambria" w:hAnsi="Cambria"/>
          <w:lang w:val="es-ES"/>
        </w:rPr>
        <w:t>Carlos Varela Álvarez</w:t>
      </w:r>
    </w:p>
    <w:p w:rsidR="00F65150" w:rsidRPr="00961C78" w:rsidRDefault="004542D2" w:rsidP="00F65150">
      <w:pPr>
        <w:spacing w:after="0" w:line="240" w:lineRule="auto"/>
        <w:jc w:val="center"/>
        <w:rPr>
          <w:rFonts w:ascii="Cambria" w:hAnsi="Cambria"/>
          <w:lang w:val="es-PE"/>
        </w:rPr>
      </w:pPr>
      <w:proofErr w:type="gramStart"/>
      <w:r w:rsidRPr="004542D2">
        <w:rPr>
          <w:rFonts w:ascii="Cambria" w:hAnsi="Cambria"/>
          <w:highlight w:val="black"/>
          <w:lang w:val="es-ES"/>
        </w:rPr>
        <w:t>xxxxxxxxxxxxxxxxxxxxxxxxxxxxxxxxxx</w:t>
      </w:r>
      <w:proofErr w:type="gramEnd"/>
    </w:p>
    <w:p w:rsidR="00C202C7" w:rsidRPr="00961C78" w:rsidRDefault="00C202C7" w:rsidP="00C202C7">
      <w:pPr>
        <w:tabs>
          <w:tab w:val="left" w:pos="0"/>
          <w:tab w:val="left" w:pos="810"/>
        </w:tabs>
        <w:spacing w:after="0" w:line="240" w:lineRule="auto"/>
        <w:ind w:firstLine="720"/>
        <w:jc w:val="both"/>
        <w:rPr>
          <w:rFonts w:ascii="Cambria" w:hAnsi="Cambria" w:cs="Arial"/>
          <w:lang w:val="es-PE"/>
        </w:rPr>
      </w:pPr>
    </w:p>
    <w:p w:rsidR="00C202C7" w:rsidRPr="00961C78" w:rsidRDefault="00C202C7" w:rsidP="00C202C7">
      <w:pPr>
        <w:tabs>
          <w:tab w:val="left" w:pos="0"/>
          <w:tab w:val="left" w:pos="810"/>
        </w:tabs>
        <w:spacing w:after="0" w:line="240" w:lineRule="auto"/>
        <w:ind w:firstLine="720"/>
        <w:jc w:val="both"/>
        <w:rPr>
          <w:rFonts w:ascii="Cambria" w:hAnsi="Cambria" w:cs="Arial"/>
          <w:lang w:val="es-CO"/>
        </w:rPr>
      </w:pPr>
      <w:r w:rsidRPr="00961C78">
        <w:rPr>
          <w:rFonts w:ascii="Cambria" w:hAnsi="Cambria" w:cs="Arial"/>
          <w:lang w:val="es-CO"/>
        </w:rPr>
        <w:t>Aprovecho la oportunidad para saludar a usted muy atentamente,</w:t>
      </w:r>
    </w:p>
    <w:p w:rsidR="00C202C7" w:rsidRPr="00961C78" w:rsidRDefault="00C202C7" w:rsidP="00C202C7">
      <w:pPr>
        <w:tabs>
          <w:tab w:val="left" w:pos="810"/>
        </w:tabs>
        <w:suppressAutoHyphens/>
        <w:spacing w:after="0" w:line="240" w:lineRule="auto"/>
        <w:rPr>
          <w:rFonts w:ascii="Cambria" w:hAnsi="Cambria" w:cs="Arial"/>
          <w:snapToGrid w:val="0"/>
          <w:lang w:val="es-CO"/>
        </w:rPr>
      </w:pPr>
    </w:p>
    <w:p w:rsidR="00C202C7" w:rsidRPr="00961C78" w:rsidRDefault="00C202C7" w:rsidP="00C202C7">
      <w:pPr>
        <w:tabs>
          <w:tab w:val="left" w:pos="810"/>
        </w:tabs>
        <w:suppressAutoHyphens/>
        <w:spacing w:after="0" w:line="240" w:lineRule="auto"/>
        <w:rPr>
          <w:rFonts w:ascii="Cambria" w:hAnsi="Cambria" w:cs="Arial"/>
          <w:snapToGrid w:val="0"/>
          <w:lang w:val="es-CO"/>
        </w:rPr>
      </w:pPr>
    </w:p>
    <w:p w:rsidR="00C202C7" w:rsidRPr="00961C78" w:rsidRDefault="00C202C7" w:rsidP="00C202C7">
      <w:pPr>
        <w:tabs>
          <w:tab w:val="left" w:pos="810"/>
        </w:tabs>
        <w:suppressAutoHyphens/>
        <w:spacing w:after="0" w:line="240" w:lineRule="auto"/>
        <w:rPr>
          <w:rFonts w:ascii="Cambria" w:hAnsi="Cambria" w:cs="Arial"/>
          <w:snapToGrid w:val="0"/>
          <w:lang w:val="es-CO"/>
        </w:rPr>
      </w:pPr>
    </w:p>
    <w:p w:rsidR="00C202C7" w:rsidRPr="00EA246B" w:rsidRDefault="00C202C7" w:rsidP="00C202C7">
      <w:pPr>
        <w:tabs>
          <w:tab w:val="left" w:pos="810"/>
        </w:tabs>
        <w:suppressAutoHyphens/>
        <w:spacing w:after="0" w:line="240" w:lineRule="auto"/>
        <w:rPr>
          <w:rFonts w:ascii="Cambria" w:hAnsi="Cambria" w:cs="Arial"/>
          <w:snapToGrid w:val="0"/>
          <w:lang w:val="es-CO"/>
        </w:rPr>
      </w:pPr>
    </w:p>
    <w:p w:rsidR="00C202C7" w:rsidRPr="00147AA1" w:rsidRDefault="004542D2" w:rsidP="00C202C7">
      <w:pPr>
        <w:tabs>
          <w:tab w:val="left" w:pos="810"/>
        </w:tabs>
        <w:suppressAutoHyphens/>
        <w:spacing w:after="0" w:line="240" w:lineRule="auto"/>
        <w:rPr>
          <w:rFonts w:ascii="Cambria" w:hAnsi="Cambria" w:cs="Arial"/>
          <w:snapToGrid w:val="0"/>
          <w:color w:val="808080"/>
          <w:sz w:val="20"/>
          <w:lang w:val="es-CO"/>
        </w:rPr>
      </w:pPr>
      <w:r w:rsidRPr="00147AA1">
        <w:rPr>
          <w:rFonts w:ascii="Cambria" w:hAnsi="Cambria" w:cs="Arial"/>
          <w:snapToGrid w:val="0"/>
          <w:color w:val="808080"/>
          <w:sz w:val="20"/>
          <w:lang w:val="es-CO"/>
        </w:rPr>
        <w:tab/>
      </w:r>
      <w:r w:rsidRPr="00147AA1">
        <w:rPr>
          <w:rFonts w:ascii="Cambria" w:hAnsi="Cambria" w:cs="Arial"/>
          <w:snapToGrid w:val="0"/>
          <w:color w:val="808080"/>
          <w:sz w:val="20"/>
          <w:lang w:val="es-CO"/>
        </w:rPr>
        <w:tab/>
      </w:r>
      <w:r w:rsidRPr="00147AA1">
        <w:rPr>
          <w:rFonts w:ascii="Cambria" w:hAnsi="Cambria" w:cs="Arial"/>
          <w:snapToGrid w:val="0"/>
          <w:color w:val="808080"/>
          <w:sz w:val="20"/>
          <w:lang w:val="es-CO"/>
        </w:rPr>
        <w:tab/>
      </w:r>
      <w:r w:rsidRPr="00147AA1">
        <w:rPr>
          <w:rFonts w:ascii="Cambria" w:hAnsi="Cambria" w:cs="Arial"/>
          <w:snapToGrid w:val="0"/>
          <w:color w:val="808080"/>
          <w:sz w:val="20"/>
          <w:lang w:val="es-CO"/>
        </w:rPr>
        <w:tab/>
      </w:r>
      <w:r w:rsidRPr="00147AA1">
        <w:rPr>
          <w:rFonts w:ascii="Cambria" w:hAnsi="Cambria" w:cs="Arial"/>
          <w:snapToGrid w:val="0"/>
          <w:color w:val="808080"/>
          <w:sz w:val="20"/>
          <w:lang w:val="es-CO"/>
        </w:rPr>
        <w:tab/>
      </w:r>
      <w:r w:rsidRPr="00147AA1">
        <w:rPr>
          <w:rFonts w:ascii="Cambria" w:hAnsi="Cambria" w:cs="Arial"/>
          <w:snapToGrid w:val="0"/>
          <w:color w:val="808080"/>
          <w:sz w:val="20"/>
          <w:lang w:val="es-CO"/>
        </w:rPr>
        <w:tab/>
      </w:r>
      <w:r w:rsidRPr="00147AA1">
        <w:rPr>
          <w:rFonts w:ascii="Cambria" w:hAnsi="Cambria" w:cs="Arial"/>
          <w:snapToGrid w:val="0"/>
          <w:color w:val="808080"/>
          <w:sz w:val="20"/>
          <w:lang w:val="es-CO"/>
        </w:rPr>
        <w:tab/>
        <w:t xml:space="preserve">   Firmado en el original</w:t>
      </w:r>
    </w:p>
    <w:p w:rsidR="00C202C7" w:rsidRPr="00EA246B" w:rsidRDefault="00C202C7" w:rsidP="00C202C7">
      <w:pPr>
        <w:tabs>
          <w:tab w:val="left" w:pos="810"/>
        </w:tabs>
        <w:suppressAutoHyphens/>
        <w:spacing w:after="0" w:line="240" w:lineRule="auto"/>
        <w:ind w:left="3600" w:firstLine="720"/>
        <w:rPr>
          <w:rFonts w:ascii="Cambria" w:hAnsi="Cambria" w:cs="Arial"/>
          <w:i/>
          <w:snapToGrid w:val="0"/>
          <w:color w:val="808080"/>
          <w:lang w:val="es-CO"/>
        </w:rPr>
      </w:pPr>
      <w:r w:rsidRPr="00EA246B">
        <w:rPr>
          <w:rFonts w:ascii="Cambria" w:hAnsi="Cambria" w:cs="Arial"/>
          <w:snapToGrid w:val="0"/>
          <w:lang w:val="es-CO"/>
        </w:rPr>
        <w:tab/>
        <w:t xml:space="preserve">Elizabeth Abi-Mershed </w:t>
      </w:r>
    </w:p>
    <w:p w:rsidR="00C202C7" w:rsidRPr="00EA246B" w:rsidRDefault="00C202C7" w:rsidP="00C202C7">
      <w:pPr>
        <w:tabs>
          <w:tab w:val="left" w:pos="810"/>
        </w:tabs>
        <w:suppressAutoHyphens/>
        <w:spacing w:after="0" w:line="240" w:lineRule="auto"/>
        <w:rPr>
          <w:rFonts w:ascii="Cambria" w:hAnsi="Cambria"/>
          <w:lang w:val="es-CO"/>
        </w:rPr>
      </w:pPr>
      <w:r w:rsidRPr="00EA246B">
        <w:rPr>
          <w:rFonts w:ascii="Cambria" w:hAnsi="Cambria" w:cs="Arial"/>
          <w:snapToGrid w:val="0"/>
          <w:lang w:val="es-CO"/>
        </w:rPr>
        <w:t xml:space="preserve"> </w:t>
      </w:r>
      <w:r w:rsidRPr="00EA246B">
        <w:rPr>
          <w:rFonts w:ascii="Cambria" w:hAnsi="Cambria" w:cs="Arial"/>
          <w:snapToGrid w:val="0"/>
          <w:lang w:val="es-CO"/>
        </w:rPr>
        <w:tab/>
      </w:r>
      <w:r w:rsidRPr="00EA246B">
        <w:rPr>
          <w:rFonts w:ascii="Cambria" w:hAnsi="Cambria" w:cs="Arial"/>
          <w:snapToGrid w:val="0"/>
          <w:lang w:val="es-CO"/>
        </w:rPr>
        <w:tab/>
      </w:r>
      <w:r w:rsidRPr="00EA246B">
        <w:rPr>
          <w:rFonts w:ascii="Cambria" w:hAnsi="Cambria" w:cs="Arial"/>
          <w:snapToGrid w:val="0"/>
          <w:lang w:val="es-CO"/>
        </w:rPr>
        <w:tab/>
      </w:r>
      <w:r w:rsidRPr="00EA246B">
        <w:rPr>
          <w:rFonts w:ascii="Cambria" w:hAnsi="Cambria" w:cs="Arial"/>
          <w:snapToGrid w:val="0"/>
          <w:lang w:val="es-CO"/>
        </w:rPr>
        <w:tab/>
      </w:r>
      <w:r w:rsidRPr="00EA246B">
        <w:rPr>
          <w:rFonts w:ascii="Cambria" w:hAnsi="Cambria" w:cs="Arial"/>
          <w:snapToGrid w:val="0"/>
          <w:lang w:val="es-CO"/>
        </w:rPr>
        <w:tab/>
        <w:t xml:space="preserve">        </w:t>
      </w:r>
      <w:r w:rsidRPr="00EA246B">
        <w:rPr>
          <w:rFonts w:ascii="Cambria" w:hAnsi="Cambria" w:cs="Arial"/>
          <w:snapToGrid w:val="0"/>
          <w:lang w:val="es-CO"/>
        </w:rPr>
        <w:tab/>
        <w:t xml:space="preserve">         Secretaria Ejecutiva Adjunta </w:t>
      </w:r>
    </w:p>
    <w:p w:rsidR="00C202C7" w:rsidRPr="00EA246B" w:rsidRDefault="00C202C7" w:rsidP="00C202C7">
      <w:pPr>
        <w:rPr>
          <w:rFonts w:ascii="Cambria" w:hAnsi="Cambria"/>
          <w:lang w:val="es-CO"/>
        </w:rPr>
      </w:pPr>
    </w:p>
    <w:p w:rsidR="00C33A3A" w:rsidRPr="004542D2" w:rsidRDefault="00C33A3A">
      <w:pPr>
        <w:rPr>
          <w:lang w:val="es-UY"/>
        </w:rPr>
      </w:pPr>
    </w:p>
    <w:sectPr w:rsidR="00C33A3A" w:rsidRPr="004542D2" w:rsidSect="00961C78">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29C" w:rsidRDefault="00FD629C">
      <w:pPr>
        <w:spacing w:after="0" w:line="240" w:lineRule="auto"/>
      </w:pPr>
      <w:r>
        <w:separator/>
      </w:r>
    </w:p>
  </w:endnote>
  <w:endnote w:type="continuationSeparator" w:id="0">
    <w:p w:rsidR="00FD629C" w:rsidRDefault="00FD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C78" w:rsidRPr="00A72869" w:rsidRDefault="00961C78">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6C6790">
      <w:rPr>
        <w:noProof/>
        <w:color w:val="7F7F7F"/>
        <w:sz w:val="16"/>
      </w:rPr>
      <w:t>3</w:t>
    </w:r>
    <w:r w:rsidRPr="00A72869">
      <w:rPr>
        <w:noProof/>
        <w:color w:val="7F7F7F"/>
        <w:sz w:val="16"/>
      </w:rPr>
      <w:fldChar w:fldCharType="end"/>
    </w:r>
  </w:p>
  <w:p w:rsidR="00961C78" w:rsidRDefault="00961C7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C78" w:rsidRDefault="00961C78" w:rsidP="00961C78">
    <w:pPr>
      <w:pStyle w:val="Piedepgina"/>
      <w:spacing w:line="360" w:lineRule="auto"/>
    </w:pPr>
    <w:r>
      <w:pict>
        <v:rect id="_x0000_i1026" style="width:0;height:1.5pt" o:hralign="center" o:hrstd="t" o:hr="t" fillcolor="#a0a0a0" stroked="f"/>
      </w:pict>
    </w:r>
  </w:p>
  <w:p w:rsidR="00961C78" w:rsidRDefault="00961C78" w:rsidP="00961C78">
    <w:pPr>
      <w:pStyle w:val="Piedepgina"/>
      <w:jc w:val="center"/>
    </w:pPr>
    <w:r w:rsidRPr="00B803C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0" type="#_x0000_t75" style="width:403.2pt;height:24.95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29C" w:rsidRDefault="00FD629C">
      <w:pPr>
        <w:spacing w:after="0" w:line="240" w:lineRule="auto"/>
      </w:pPr>
      <w:r>
        <w:separator/>
      </w:r>
    </w:p>
  </w:footnote>
  <w:footnote w:type="continuationSeparator" w:id="0">
    <w:p w:rsidR="00FD629C" w:rsidRDefault="00FD62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C78" w:rsidRPr="0058688A" w:rsidRDefault="00961C78" w:rsidP="00961C78">
    <w:pPr>
      <w:pStyle w:val="Encabezado"/>
      <w:jc w:val="center"/>
      <w:rPr>
        <w:lang w:val="es-ES_tradnl"/>
      </w:rPr>
    </w:pPr>
    <w:r w:rsidRPr="00B803C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31" type="#_x0000_t75" alt="cidh-peq" style="width:180.5pt;height:9.6pt;visibility:visible">
          <v:imagedata r:id="rId1" o:title="cidh-peq"/>
        </v:shape>
      </w:pict>
    </w:r>
  </w:p>
  <w:p w:rsidR="00961C78" w:rsidRDefault="00961C78">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C78" w:rsidRDefault="00961C78" w:rsidP="00961C78">
    <w:pPr>
      <w:pStyle w:val="Encabezado"/>
    </w:pPr>
    <w:r w:rsidRPr="00B803C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185.3pt;height:35.5pt;visibility:visible">
          <v:imagedata r:id="rId1" o:title="cidh-es"/>
        </v:shape>
      </w:pict>
    </w:r>
    <w:r>
      <w:tab/>
    </w:r>
    <w:r>
      <w:tab/>
    </w:r>
    <w:r w:rsidRPr="00B803C5">
      <w:rPr>
        <w:noProof/>
      </w:rPr>
      <w:pict>
        <v:shape id="Picture 2" o:spid="_x0000_i1029" type="#_x0000_t75" style="width:129.6pt;height:37.45pt;visibility:visible">
          <v:imagedata r:id="rId2" o:title="oea-es"/>
        </v:shape>
      </w:pict>
    </w:r>
  </w:p>
  <w:p w:rsidR="00961C78" w:rsidRDefault="00961C78" w:rsidP="00961C78">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50020"/>
    <w:multiLevelType w:val="hybridMultilevel"/>
    <w:tmpl w:val="72909BA6"/>
    <w:lvl w:ilvl="0" w:tplc="10D4F5F8">
      <w:start w:val="1"/>
      <w:numFmt w:val="decimal"/>
      <w:lvlText w:val="%1."/>
      <w:lvlJc w:val="left"/>
      <w:pPr>
        <w:tabs>
          <w:tab w:val="num" w:pos="1429"/>
        </w:tabs>
        <w:ind w:firstLine="720"/>
      </w:pPr>
      <w:rPr>
        <w:rFonts w:ascii="Cambria" w:hAnsi="Cambria" w:cs="Times New Roman" w:hint="default"/>
        <w:b w:val="0"/>
        <w:i w:val="0"/>
        <w:color w:val="000000"/>
        <w:sz w:val="20"/>
        <w:szCs w:val="20"/>
        <w:lang w:val="es-PE"/>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C58E6D2">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36023686"/>
    <w:multiLevelType w:val="hybridMultilevel"/>
    <w:tmpl w:val="F86E1812"/>
    <w:lvl w:ilvl="0" w:tplc="91D2B51C">
      <w:start w:val="1"/>
      <w:numFmt w:val="decimal"/>
      <w:lvlText w:val="%1."/>
      <w:lvlJc w:val="left"/>
      <w:pPr>
        <w:tabs>
          <w:tab w:val="num" w:pos="990"/>
        </w:tabs>
        <w:ind w:left="990" w:hanging="360"/>
      </w:pPr>
      <w:rPr>
        <w:rFonts w:ascii="Cambria" w:hAnsi="Cambria" w:hint="default"/>
        <w:b w:val="0"/>
        <w:sz w:val="20"/>
        <w:szCs w:val="20"/>
        <w:lang w:val="es-CO"/>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6BD03E6"/>
    <w:multiLevelType w:val="hybridMultilevel"/>
    <w:tmpl w:val="4CA83BF0"/>
    <w:lvl w:ilvl="0" w:tplc="58B8D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ECC36F6"/>
    <w:multiLevelType w:val="hybridMultilevel"/>
    <w:tmpl w:val="009824F4"/>
    <w:lvl w:ilvl="0" w:tplc="CE203FF4">
      <w:start w:val="24"/>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02C7"/>
    <w:rsid w:val="00147AA1"/>
    <w:rsid w:val="001544C9"/>
    <w:rsid w:val="00187CF5"/>
    <w:rsid w:val="00236478"/>
    <w:rsid w:val="004123C4"/>
    <w:rsid w:val="004542D2"/>
    <w:rsid w:val="004F4D25"/>
    <w:rsid w:val="006C6790"/>
    <w:rsid w:val="00751D7C"/>
    <w:rsid w:val="008567DE"/>
    <w:rsid w:val="00895AC7"/>
    <w:rsid w:val="009066C8"/>
    <w:rsid w:val="00945A08"/>
    <w:rsid w:val="00961C78"/>
    <w:rsid w:val="00BD19C2"/>
    <w:rsid w:val="00C01008"/>
    <w:rsid w:val="00C202C7"/>
    <w:rsid w:val="00C33A3A"/>
    <w:rsid w:val="00DF585C"/>
    <w:rsid w:val="00EB49A7"/>
    <w:rsid w:val="00F550D9"/>
    <w:rsid w:val="00F65150"/>
    <w:rsid w:val="00FD62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202C7"/>
    <w:pPr>
      <w:tabs>
        <w:tab w:val="center" w:pos="4680"/>
        <w:tab w:val="right" w:pos="9360"/>
      </w:tabs>
      <w:spacing w:after="0" w:line="240" w:lineRule="auto"/>
    </w:pPr>
    <w:rPr>
      <w:rFonts w:eastAsia="MS Mincho"/>
    </w:rPr>
  </w:style>
  <w:style w:type="character" w:customStyle="1" w:styleId="EncabezadoCar">
    <w:name w:val="Encabezado Car"/>
    <w:link w:val="Encabezado"/>
    <w:rsid w:val="00C202C7"/>
    <w:rPr>
      <w:rFonts w:eastAsia="MS Mincho"/>
      <w:sz w:val="22"/>
      <w:szCs w:val="22"/>
    </w:rPr>
  </w:style>
  <w:style w:type="paragraph" w:styleId="Piedepgina">
    <w:name w:val="footer"/>
    <w:basedOn w:val="Normal"/>
    <w:link w:val="PiedepginaCar"/>
    <w:unhideWhenUsed/>
    <w:rsid w:val="00C202C7"/>
    <w:pPr>
      <w:tabs>
        <w:tab w:val="center" w:pos="4680"/>
        <w:tab w:val="right" w:pos="9360"/>
      </w:tabs>
      <w:spacing w:after="0" w:line="240" w:lineRule="auto"/>
    </w:pPr>
    <w:rPr>
      <w:rFonts w:eastAsia="MS Mincho"/>
    </w:rPr>
  </w:style>
  <w:style w:type="character" w:customStyle="1" w:styleId="PiedepginaCar">
    <w:name w:val="Pie de página Car"/>
    <w:link w:val="Piedepgina"/>
    <w:rsid w:val="00C202C7"/>
    <w:rPr>
      <w:rFonts w:eastAsia="MS Mincho"/>
      <w:sz w:val="22"/>
      <w:szCs w:val="22"/>
    </w:rPr>
  </w:style>
  <w:style w:type="paragraph" w:styleId="NormalWeb">
    <w:name w:val="Normal (Web)"/>
    <w:basedOn w:val="Normal"/>
    <w:uiPriority w:val="99"/>
    <w:semiHidden/>
    <w:unhideWhenUsed/>
    <w:rsid w:val="00C202C7"/>
    <w:pPr>
      <w:spacing w:before="100" w:beforeAutospacing="1" w:after="100" w:afterAutospacing="1" w:line="240" w:lineRule="auto"/>
    </w:pPr>
    <w:rPr>
      <w:rFonts w:ascii="Times New Roman" w:hAnsi="Times New Roman"/>
      <w:sz w:val="24"/>
      <w:szCs w:val="24"/>
    </w:rPr>
  </w:style>
  <w:style w:type="character" w:styleId="Hipervnculo">
    <w:name w:val="Hyperlink"/>
    <w:uiPriority w:val="99"/>
    <w:unhideWhenUsed/>
    <w:rsid w:val="00C202C7"/>
    <w:rPr>
      <w:color w:val="0563C1"/>
      <w:u w:val="single"/>
    </w:rPr>
  </w:style>
  <w:style w:type="paragraph" w:styleId="Sangradetextonormal">
    <w:name w:val="Body Text Indent"/>
    <w:link w:val="SangradetextonormalCar"/>
    <w:rsid w:val="00C202C7"/>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C202C7"/>
    <w:rPr>
      <w:rFonts w:ascii="Times New Roman" w:eastAsia="Times New Roman" w:hAnsi="Times New Roman"/>
      <w:color w:val="000000"/>
      <w:sz w:val="24"/>
      <w:szCs w:val="24"/>
      <w:u w:color="000000"/>
      <w:bdr w:val="nil"/>
      <w:lang w:val="es-ES_tradnl" w:eastAsia="es-ES"/>
    </w:rPr>
  </w:style>
  <w:style w:type="paragraph" w:customStyle="1" w:styleId="Style2">
    <w:name w:val="Style2"/>
    <w:basedOn w:val="Normal"/>
    <w:qFormat/>
    <w:rsid w:val="009066C8"/>
    <w:pPr>
      <w:numPr>
        <w:numId w:val="2"/>
      </w:numPr>
      <w:spacing w:after="0" w:line="240" w:lineRule="auto"/>
      <w:jc w:val="both"/>
    </w:pPr>
    <w:rPr>
      <w:rFonts w:ascii="Cambria" w:eastAsia="Arial Unicode MS" w:hAnsi="Cambria"/>
      <w:sz w:val="20"/>
      <w:szCs w:val="20"/>
      <w:bdr w:val="nil"/>
      <w:lang w:val="es-ES"/>
    </w:rPr>
  </w:style>
  <w:style w:type="paragraph" w:styleId="Sangra3detindependiente">
    <w:name w:val="Body Text Indent 3"/>
    <w:basedOn w:val="Normal"/>
    <w:link w:val="Sangra3detindependienteCar"/>
    <w:uiPriority w:val="99"/>
    <w:semiHidden/>
    <w:unhideWhenUsed/>
    <w:rsid w:val="00EB49A7"/>
    <w:pPr>
      <w:pBdr>
        <w:top w:val="nil"/>
        <w:left w:val="nil"/>
        <w:bottom w:val="nil"/>
        <w:right w:val="nil"/>
        <w:between w:val="nil"/>
        <w:bar w:val="nil"/>
      </w:pBdr>
      <w:spacing w:after="120" w:line="240" w:lineRule="auto"/>
      <w:ind w:left="360"/>
    </w:pPr>
    <w:rPr>
      <w:rFonts w:ascii="Times New Roman" w:eastAsia="Arial Unicode MS" w:hAnsi="Times New Roman"/>
      <w:sz w:val="16"/>
      <w:szCs w:val="16"/>
      <w:bdr w:val="nil"/>
    </w:rPr>
  </w:style>
  <w:style w:type="character" w:customStyle="1" w:styleId="Sangra3detindependienteCar">
    <w:name w:val="Sangría 3 de t. independiente Car"/>
    <w:link w:val="Sangra3detindependiente"/>
    <w:uiPriority w:val="99"/>
    <w:semiHidden/>
    <w:rsid w:val="00EB49A7"/>
    <w:rPr>
      <w:rFonts w:ascii="Times New Roman" w:eastAsia="Arial Unicode MS" w:hAnsi="Times New Roman"/>
      <w:sz w:val="16"/>
      <w:szCs w:val="1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46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1012</Words>
  <Characters>5568</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2018-09-19T15:48:00Z</cp:lastPrinted>
  <dcterms:created xsi:type="dcterms:W3CDTF">2018-09-19T15:48:00Z</dcterms:created>
  <dcterms:modified xsi:type="dcterms:W3CDTF">2018-09-19T15:48:00Z</dcterms:modified>
</cp:coreProperties>
</file>