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717" w:rsidRPr="009F1B7E" w:rsidRDefault="009E3717" w:rsidP="009E3717">
      <w:pPr>
        <w:suppressAutoHyphens/>
        <w:spacing w:after="0" w:line="240" w:lineRule="auto"/>
        <w:rPr>
          <w:rFonts w:cs="Arial"/>
          <w:sz w:val="21"/>
          <w:szCs w:val="21"/>
          <w:lang w:val="es-CO"/>
        </w:rPr>
      </w:pPr>
      <w:bookmarkStart w:id="0" w:name="_GoBack"/>
      <w:bookmarkEnd w:id="0"/>
    </w:p>
    <w:p w:rsidR="009E3717" w:rsidRPr="009F1B7E" w:rsidRDefault="009E3717" w:rsidP="009E3717">
      <w:pPr>
        <w:suppressAutoHyphens/>
        <w:spacing w:after="0" w:line="240" w:lineRule="auto"/>
        <w:rPr>
          <w:rFonts w:cs="Arial"/>
          <w:sz w:val="21"/>
          <w:szCs w:val="21"/>
          <w:lang w:val="es-CO"/>
        </w:rPr>
      </w:pPr>
    </w:p>
    <w:p w:rsidR="00690393" w:rsidRPr="009F1B7E" w:rsidRDefault="00D46238" w:rsidP="009E3717">
      <w:pPr>
        <w:suppressAutoHyphens/>
        <w:spacing w:after="0" w:line="240" w:lineRule="auto"/>
        <w:jc w:val="right"/>
        <w:rPr>
          <w:rFonts w:cs="Arial"/>
          <w:b/>
          <w:sz w:val="21"/>
          <w:szCs w:val="21"/>
          <w:lang w:val="es-CO"/>
        </w:rPr>
      </w:pPr>
      <w:r w:rsidRPr="009F1B7E">
        <w:rPr>
          <w:rFonts w:cs="Arial"/>
          <w:sz w:val="21"/>
          <w:szCs w:val="21"/>
          <w:lang w:val="es-CO"/>
        </w:rPr>
        <w:t>8</w:t>
      </w:r>
      <w:r w:rsidR="00690393" w:rsidRPr="009F1B7E">
        <w:rPr>
          <w:rFonts w:cs="Arial"/>
          <w:sz w:val="21"/>
          <w:szCs w:val="21"/>
          <w:lang w:val="es-CO"/>
        </w:rPr>
        <w:t xml:space="preserve"> de febrero de 2018</w:t>
      </w:r>
    </w:p>
    <w:p w:rsidR="004A15CD" w:rsidRPr="009F1B7E" w:rsidRDefault="009E3717" w:rsidP="00BD4CB6">
      <w:pPr>
        <w:widowControl w:val="0"/>
        <w:autoSpaceDE w:val="0"/>
        <w:autoSpaceDN w:val="0"/>
        <w:adjustRightInd w:val="0"/>
        <w:spacing w:after="0" w:line="240" w:lineRule="auto"/>
        <w:jc w:val="both"/>
        <w:rPr>
          <w:b/>
          <w:sz w:val="21"/>
          <w:szCs w:val="21"/>
          <w:lang w:val="es-CO"/>
        </w:rPr>
      </w:pPr>
      <w:r w:rsidRPr="009F1B7E">
        <w:rPr>
          <w:rFonts w:cs="Arial"/>
          <w:b/>
          <w:sz w:val="21"/>
          <w:szCs w:val="21"/>
          <w:lang w:val="es-CO"/>
        </w:rPr>
        <w:t>REF</w:t>
      </w:r>
      <w:r w:rsidR="004A15CD" w:rsidRPr="009F1B7E">
        <w:rPr>
          <w:rFonts w:cs="Arial"/>
          <w:b/>
          <w:sz w:val="21"/>
          <w:szCs w:val="21"/>
          <w:lang w:val="es-CO"/>
        </w:rPr>
        <w:t>.:</w:t>
      </w:r>
      <w:bookmarkStart w:id="1" w:name="Peticion_n"/>
      <w:bookmarkEnd w:id="1"/>
      <w:r w:rsidRPr="009F1B7E">
        <w:rPr>
          <w:rFonts w:cs="Arial"/>
          <w:b/>
          <w:sz w:val="21"/>
          <w:szCs w:val="21"/>
          <w:lang w:val="es-CO"/>
        </w:rPr>
        <w:tab/>
        <w:t>Caso Nº</w:t>
      </w:r>
      <w:r w:rsidR="004A15CD" w:rsidRPr="009F1B7E">
        <w:rPr>
          <w:rFonts w:cs="Arial"/>
          <w:b/>
          <w:sz w:val="21"/>
          <w:szCs w:val="21"/>
          <w:lang w:val="es-CO"/>
        </w:rPr>
        <w:t xml:space="preserve"> </w:t>
      </w:r>
      <w:r w:rsidR="004A15CD" w:rsidRPr="009F1B7E">
        <w:rPr>
          <w:b/>
          <w:sz w:val="21"/>
          <w:szCs w:val="21"/>
          <w:lang w:val="es-CO"/>
        </w:rPr>
        <w:t>1</w:t>
      </w:r>
      <w:r w:rsidR="00BB1B49" w:rsidRPr="009F1B7E">
        <w:rPr>
          <w:b/>
          <w:sz w:val="21"/>
          <w:szCs w:val="21"/>
          <w:lang w:val="es-CO"/>
        </w:rPr>
        <w:t>2.</w:t>
      </w:r>
      <w:r w:rsidR="00D46238" w:rsidRPr="009F1B7E">
        <w:rPr>
          <w:b/>
          <w:sz w:val="21"/>
          <w:szCs w:val="21"/>
          <w:lang w:val="es-CO"/>
        </w:rPr>
        <w:t>818</w:t>
      </w:r>
    </w:p>
    <w:p w:rsidR="00BB1B49" w:rsidRPr="009F1B7E" w:rsidRDefault="00BB1B49" w:rsidP="00BB1B49">
      <w:pPr>
        <w:widowControl w:val="0"/>
        <w:autoSpaceDE w:val="0"/>
        <w:autoSpaceDN w:val="0"/>
        <w:adjustRightInd w:val="0"/>
        <w:spacing w:after="0" w:line="240" w:lineRule="auto"/>
        <w:jc w:val="both"/>
        <w:rPr>
          <w:rFonts w:cs="Arial"/>
          <w:b/>
          <w:sz w:val="21"/>
          <w:szCs w:val="21"/>
          <w:lang w:val="es-CO"/>
        </w:rPr>
      </w:pPr>
      <w:r w:rsidRPr="009F1B7E">
        <w:rPr>
          <w:b/>
          <w:sz w:val="21"/>
          <w:szCs w:val="21"/>
          <w:lang w:val="es-CO"/>
        </w:rPr>
        <w:tab/>
      </w:r>
      <w:r w:rsidR="00A2553C" w:rsidRPr="009F1B7E">
        <w:rPr>
          <w:b/>
          <w:sz w:val="21"/>
          <w:szCs w:val="21"/>
          <w:lang w:val="es-CO"/>
        </w:rPr>
        <w:t>José Lui</w:t>
      </w:r>
      <w:r w:rsidR="00D46238" w:rsidRPr="009F1B7E">
        <w:rPr>
          <w:b/>
          <w:sz w:val="21"/>
          <w:szCs w:val="21"/>
          <w:lang w:val="es-CO"/>
        </w:rPr>
        <w:t>s Hernández</w:t>
      </w:r>
    </w:p>
    <w:p w:rsidR="004A15CD" w:rsidRPr="009F1B7E" w:rsidRDefault="00BB1B49" w:rsidP="00BB1B49">
      <w:pPr>
        <w:widowControl w:val="0"/>
        <w:autoSpaceDE w:val="0"/>
        <w:autoSpaceDN w:val="0"/>
        <w:adjustRightInd w:val="0"/>
        <w:spacing w:after="0" w:line="240" w:lineRule="auto"/>
        <w:ind w:firstLine="720"/>
        <w:jc w:val="both"/>
        <w:rPr>
          <w:rFonts w:cs="Arial"/>
          <w:b/>
          <w:sz w:val="21"/>
          <w:szCs w:val="21"/>
          <w:lang w:val="es-CO"/>
        </w:rPr>
      </w:pPr>
      <w:r w:rsidRPr="009F1B7E">
        <w:rPr>
          <w:rFonts w:cs="Arial"/>
          <w:b/>
          <w:sz w:val="21"/>
          <w:szCs w:val="21"/>
          <w:lang w:val="es-CO"/>
        </w:rPr>
        <w:t>Argentina</w:t>
      </w:r>
      <w:r w:rsidR="004A15CD" w:rsidRPr="009F1B7E">
        <w:rPr>
          <w:rFonts w:cs="Arial"/>
          <w:b/>
          <w:sz w:val="21"/>
          <w:szCs w:val="21"/>
          <w:lang w:val="es-ES_tradnl"/>
        </w:rPr>
        <w:t xml:space="preserve"> </w:t>
      </w:r>
    </w:p>
    <w:p w:rsidR="004A15CD" w:rsidRPr="009F1B7E" w:rsidRDefault="004A15CD" w:rsidP="00BD4CB6">
      <w:pPr>
        <w:tabs>
          <w:tab w:val="left" w:pos="720"/>
          <w:tab w:val="center" w:pos="6480"/>
        </w:tabs>
        <w:spacing w:after="0" w:line="240" w:lineRule="auto"/>
        <w:jc w:val="both"/>
        <w:rPr>
          <w:rFonts w:cs="Arial"/>
          <w:sz w:val="21"/>
          <w:szCs w:val="21"/>
          <w:lang w:val="es-PE"/>
        </w:rPr>
      </w:pPr>
    </w:p>
    <w:p w:rsidR="009E3717" w:rsidRPr="009F1B7E" w:rsidRDefault="009E3717" w:rsidP="00BD4CB6">
      <w:pPr>
        <w:tabs>
          <w:tab w:val="left" w:pos="720"/>
          <w:tab w:val="center" w:pos="6480"/>
        </w:tabs>
        <w:spacing w:after="0" w:line="240" w:lineRule="auto"/>
        <w:jc w:val="both"/>
        <w:rPr>
          <w:rFonts w:cs="Arial"/>
          <w:sz w:val="21"/>
          <w:szCs w:val="21"/>
          <w:lang w:val="es-PE"/>
        </w:rPr>
      </w:pPr>
    </w:p>
    <w:p w:rsidR="004A15CD" w:rsidRPr="009F1B7E" w:rsidRDefault="004A15CD" w:rsidP="00BD4CB6">
      <w:pPr>
        <w:tabs>
          <w:tab w:val="left" w:pos="720"/>
          <w:tab w:val="center" w:pos="6480"/>
        </w:tabs>
        <w:spacing w:after="0" w:line="240" w:lineRule="auto"/>
        <w:jc w:val="both"/>
        <w:rPr>
          <w:rFonts w:cs="Arial"/>
          <w:sz w:val="21"/>
          <w:szCs w:val="21"/>
          <w:lang w:val="es-PE"/>
        </w:rPr>
      </w:pPr>
      <w:r w:rsidRPr="009F1B7E">
        <w:rPr>
          <w:rFonts w:cs="Arial"/>
          <w:sz w:val="21"/>
          <w:szCs w:val="21"/>
          <w:lang w:val="es-PE"/>
        </w:rPr>
        <w:t>Señor Secretario:</w:t>
      </w:r>
    </w:p>
    <w:p w:rsidR="004A15CD" w:rsidRPr="009F1B7E" w:rsidRDefault="004A15CD" w:rsidP="00BD4CB6">
      <w:pPr>
        <w:spacing w:after="0" w:line="240" w:lineRule="auto"/>
        <w:rPr>
          <w:rFonts w:cs="Arial"/>
          <w:sz w:val="21"/>
          <w:szCs w:val="21"/>
          <w:lang w:val="es-CO"/>
        </w:rPr>
      </w:pPr>
    </w:p>
    <w:p w:rsidR="004A15CD" w:rsidRPr="009F1B7E" w:rsidRDefault="004A15CD" w:rsidP="00BD4CB6">
      <w:pPr>
        <w:widowControl w:val="0"/>
        <w:autoSpaceDE w:val="0"/>
        <w:autoSpaceDN w:val="0"/>
        <w:adjustRightInd w:val="0"/>
        <w:spacing w:after="0" w:line="240" w:lineRule="auto"/>
        <w:ind w:firstLine="720"/>
        <w:jc w:val="both"/>
        <w:rPr>
          <w:rFonts w:cs="Arial"/>
          <w:sz w:val="21"/>
          <w:szCs w:val="21"/>
          <w:lang w:val="es-CO"/>
        </w:rPr>
      </w:pPr>
      <w:r w:rsidRPr="009F1B7E">
        <w:rPr>
          <w:sz w:val="21"/>
          <w:szCs w:val="21"/>
          <w:lang w:val="es-CO"/>
        </w:rPr>
        <w:t>Tengo el agrado de dirigirme a usted en nombre de la Comisión Interamericana de Derechos Humanos con el objeto</w:t>
      </w:r>
      <w:r w:rsidRPr="009F1B7E">
        <w:rPr>
          <w:rFonts w:cs="Arial"/>
          <w:sz w:val="21"/>
          <w:szCs w:val="21"/>
          <w:lang w:val="es-CO"/>
        </w:rPr>
        <w:t xml:space="preserve"> de someter a la jurisdicción de la Honorable Corte Interamericana de Derechos Humanos, el caso 1</w:t>
      </w:r>
      <w:r w:rsidR="00690393" w:rsidRPr="009F1B7E">
        <w:rPr>
          <w:rFonts w:cs="Arial"/>
          <w:sz w:val="21"/>
          <w:szCs w:val="21"/>
          <w:lang w:val="es-CO"/>
        </w:rPr>
        <w:t>2.</w:t>
      </w:r>
      <w:r w:rsidR="008434AC" w:rsidRPr="009F1B7E">
        <w:rPr>
          <w:rFonts w:cs="Arial"/>
          <w:sz w:val="21"/>
          <w:szCs w:val="21"/>
          <w:lang w:val="es-CO"/>
        </w:rPr>
        <w:t xml:space="preserve">818 </w:t>
      </w:r>
      <w:r w:rsidRPr="009F1B7E">
        <w:rPr>
          <w:rFonts w:cs="Arial"/>
          <w:sz w:val="21"/>
          <w:szCs w:val="21"/>
          <w:lang w:val="es-CO"/>
        </w:rPr>
        <w:t xml:space="preserve">– </w:t>
      </w:r>
      <w:r w:rsidR="00A2553C" w:rsidRPr="009F1B7E">
        <w:rPr>
          <w:rFonts w:cs="Arial"/>
          <w:sz w:val="21"/>
          <w:szCs w:val="21"/>
          <w:lang w:val="es-CO"/>
        </w:rPr>
        <w:t>José Lui</w:t>
      </w:r>
      <w:r w:rsidR="008434AC" w:rsidRPr="009F1B7E">
        <w:rPr>
          <w:rFonts w:cs="Arial"/>
          <w:sz w:val="21"/>
          <w:szCs w:val="21"/>
          <w:lang w:val="es-CO"/>
        </w:rPr>
        <w:t>s</w:t>
      </w:r>
      <w:r w:rsidR="00A2553C" w:rsidRPr="009F1B7E">
        <w:rPr>
          <w:rFonts w:cs="Arial"/>
          <w:sz w:val="21"/>
          <w:szCs w:val="21"/>
          <w:lang w:val="es-CO"/>
        </w:rPr>
        <w:t xml:space="preserve"> Hernández</w:t>
      </w:r>
      <w:r w:rsidR="008434AC" w:rsidRPr="009F1B7E">
        <w:rPr>
          <w:rFonts w:cs="Arial"/>
          <w:sz w:val="21"/>
          <w:szCs w:val="21"/>
          <w:lang w:val="es-CO"/>
        </w:rPr>
        <w:t xml:space="preserve"> </w:t>
      </w:r>
      <w:r w:rsidRPr="009F1B7E">
        <w:rPr>
          <w:rFonts w:cs="Arial"/>
          <w:sz w:val="21"/>
          <w:szCs w:val="21"/>
          <w:lang w:val="es-CO"/>
        </w:rPr>
        <w:t xml:space="preserve">respecto de la República de </w:t>
      </w:r>
      <w:r w:rsidR="00690393" w:rsidRPr="009F1B7E">
        <w:rPr>
          <w:rFonts w:cs="Arial"/>
          <w:sz w:val="21"/>
          <w:szCs w:val="21"/>
          <w:lang w:val="es-CO"/>
        </w:rPr>
        <w:t>Argentina</w:t>
      </w:r>
      <w:r w:rsidRPr="009F1B7E">
        <w:rPr>
          <w:rFonts w:cs="Arial"/>
          <w:sz w:val="21"/>
          <w:szCs w:val="21"/>
          <w:lang w:val="es-CO"/>
        </w:rPr>
        <w:t xml:space="preserve"> (en adelante “el Estado”, “el Estado </w:t>
      </w:r>
      <w:r w:rsidR="00690393" w:rsidRPr="009F1B7E">
        <w:rPr>
          <w:rFonts w:cs="Arial"/>
          <w:sz w:val="21"/>
          <w:szCs w:val="21"/>
          <w:lang w:val="es-CO"/>
        </w:rPr>
        <w:t>argentino</w:t>
      </w:r>
      <w:r w:rsidRPr="009F1B7E">
        <w:rPr>
          <w:rFonts w:cs="Arial"/>
          <w:sz w:val="21"/>
          <w:szCs w:val="21"/>
          <w:lang w:val="es-CO"/>
        </w:rPr>
        <w:t>” o “</w:t>
      </w:r>
      <w:r w:rsidR="00690393" w:rsidRPr="009F1B7E">
        <w:rPr>
          <w:rFonts w:cs="Arial"/>
          <w:sz w:val="21"/>
          <w:szCs w:val="21"/>
          <w:lang w:val="es-CO"/>
        </w:rPr>
        <w:t>Argentina</w:t>
      </w:r>
      <w:r w:rsidRPr="009F1B7E">
        <w:rPr>
          <w:rFonts w:cs="Arial"/>
          <w:sz w:val="21"/>
          <w:szCs w:val="21"/>
          <w:lang w:val="es-CO"/>
        </w:rPr>
        <w:t xml:space="preserve">”). </w:t>
      </w:r>
    </w:p>
    <w:p w:rsidR="004A15CD" w:rsidRPr="009F1B7E" w:rsidRDefault="004A15CD" w:rsidP="00BD4CB6">
      <w:pPr>
        <w:spacing w:after="0" w:line="240" w:lineRule="auto"/>
        <w:jc w:val="both"/>
        <w:rPr>
          <w:rFonts w:cs="Arial"/>
          <w:sz w:val="21"/>
          <w:szCs w:val="21"/>
          <w:lang w:val="es-CO"/>
        </w:rPr>
      </w:pPr>
    </w:p>
    <w:p w:rsidR="00C7295A" w:rsidRPr="009F1B7E" w:rsidRDefault="00A2553C" w:rsidP="003C41EF">
      <w:pPr>
        <w:spacing w:after="0" w:line="240" w:lineRule="auto"/>
        <w:ind w:firstLine="720"/>
        <w:jc w:val="both"/>
        <w:rPr>
          <w:sz w:val="21"/>
          <w:szCs w:val="21"/>
          <w:lang w:val="es-CO"/>
        </w:rPr>
      </w:pPr>
      <w:r w:rsidRPr="009F1B7E">
        <w:rPr>
          <w:sz w:val="21"/>
          <w:szCs w:val="21"/>
          <w:lang w:val="es-ES"/>
        </w:rPr>
        <w:t xml:space="preserve">El caso se relaciona con </w:t>
      </w:r>
      <w:r w:rsidR="00C7295A" w:rsidRPr="009F1B7E">
        <w:rPr>
          <w:sz w:val="21"/>
          <w:szCs w:val="21"/>
          <w:lang w:val="es-CO"/>
        </w:rPr>
        <w:t xml:space="preserve">la falta de acceso a la salud de José Luis Hernández, quien contrajo meningitis mientras se encontraba privado de libertad, la cual por no ser tratada oportunamente y en condiciones de equivalencia a una persona no privada de libertad, le generó una secuela neurológica permanente, la pérdida absoluta de visión en un ojo, incapacidad parcial y permanente de un brazo, y pérdida de memoria. La Comisión determinó que el Estado violó </w:t>
      </w:r>
      <w:r w:rsidR="003C41EF" w:rsidRPr="009F1B7E">
        <w:rPr>
          <w:sz w:val="21"/>
          <w:szCs w:val="21"/>
          <w:lang w:val="es-CO"/>
        </w:rPr>
        <w:t xml:space="preserve">los  derechos </w:t>
      </w:r>
      <w:r w:rsidR="00C7295A" w:rsidRPr="009F1B7E">
        <w:rPr>
          <w:sz w:val="21"/>
          <w:szCs w:val="21"/>
          <w:lang w:val="es-CO"/>
        </w:rPr>
        <w:t>a la integridad personal y a no ser sometido a tratos cr</w:t>
      </w:r>
      <w:r w:rsidR="003C41EF" w:rsidRPr="009F1B7E">
        <w:rPr>
          <w:sz w:val="21"/>
          <w:szCs w:val="21"/>
          <w:lang w:val="es-CO"/>
        </w:rPr>
        <w:t xml:space="preserve">ueles, inhumanos o degradantes de </w:t>
      </w:r>
      <w:r w:rsidR="00C7295A" w:rsidRPr="009F1B7E">
        <w:rPr>
          <w:sz w:val="21"/>
          <w:szCs w:val="21"/>
          <w:lang w:val="es-CO"/>
        </w:rPr>
        <w:t xml:space="preserve">José Luis Hernández. Al respecto, la CIDH notó que el  6 de julio de 1989 el señor Hernández denunció síntomas de una posible enfermedad, sin embargo no se le realizó un reconocimiento médico o diagnóstico de sus padecimientos los cuales después fueron identificados como meningitis. Nuevamente, poco más de un año después, el 1 de agosto de 1990 se denunció ante el juez de la causa que la víctima padecía fuertes dolores encefálicos, sin embargo fue hasta el 14 de agosto de 1990 que </w:t>
      </w:r>
      <w:r w:rsidR="007A16DB" w:rsidRPr="009F1B7E">
        <w:rPr>
          <w:sz w:val="21"/>
          <w:szCs w:val="21"/>
          <w:lang w:val="es-CO"/>
        </w:rPr>
        <w:t>dicho juez</w:t>
      </w:r>
      <w:r w:rsidR="00C7295A" w:rsidRPr="009F1B7E">
        <w:rPr>
          <w:sz w:val="21"/>
          <w:szCs w:val="21"/>
          <w:lang w:val="es-CO"/>
        </w:rPr>
        <w:t xml:space="preserve"> ordenó que se le brindara atención médica al señor Hernández. Adicionalmente, la atención médica tardía que recibió la víctima del caso no fue adecuada. Uno de los hospitales a los que fue trasladado no contaba con camas disponibles para albergarlo y se rehusó en dos ocasiones a su internación, por lo que la víctima permaneció en el centro médico carcelario sin tener acceso al tratamiento especializado y urgente atendiendo a la naturaleza y gravedad de su enfermedad. La CIDH destacó que conforme a la indicación de un médico “de haber sido atendido correctamente, Hernández no hubiera padecido secuelas” y añadió que en el presente caso existió una omisión absoluta de Argentina de aportar una explicación sobre la situación del señor Hernández en cuanto a la atención médica, diagnóstico y tratamiento mientras permaneció bajo custodia. </w:t>
      </w:r>
    </w:p>
    <w:p w:rsidR="00C7295A" w:rsidRPr="009F1B7E" w:rsidRDefault="00C7295A" w:rsidP="00C7295A">
      <w:pPr>
        <w:spacing w:after="0" w:line="240" w:lineRule="auto"/>
        <w:ind w:firstLine="720"/>
        <w:jc w:val="both"/>
        <w:rPr>
          <w:sz w:val="21"/>
          <w:szCs w:val="21"/>
          <w:lang w:val="es-CO"/>
        </w:rPr>
      </w:pPr>
    </w:p>
    <w:p w:rsidR="00C7295A" w:rsidRPr="009F1B7E" w:rsidRDefault="00C7295A" w:rsidP="00C7295A">
      <w:pPr>
        <w:spacing w:after="0" w:line="240" w:lineRule="auto"/>
        <w:ind w:firstLine="720"/>
        <w:jc w:val="both"/>
        <w:rPr>
          <w:sz w:val="21"/>
          <w:szCs w:val="21"/>
          <w:lang w:val="es-CO"/>
        </w:rPr>
      </w:pPr>
      <w:r w:rsidRPr="009F1B7E">
        <w:rPr>
          <w:sz w:val="21"/>
          <w:szCs w:val="21"/>
          <w:lang w:val="es-CO"/>
        </w:rPr>
        <w:t xml:space="preserve">Por otra parte, la CIDH concluyó que el señor Hernández no contó con un recurso efectivo para tutelar su derecho a la salud. Al respecto, dio por probado que cuando la madre de la víctima denunció las dolencias que esta parecía, </w:t>
      </w:r>
      <w:r w:rsidR="00AE442A" w:rsidRPr="009F1B7E">
        <w:rPr>
          <w:sz w:val="21"/>
          <w:szCs w:val="21"/>
          <w:lang w:val="es-CO"/>
        </w:rPr>
        <w:t xml:space="preserve">el juez de la causa </w:t>
      </w:r>
      <w:r w:rsidRPr="009F1B7E">
        <w:rPr>
          <w:sz w:val="21"/>
          <w:szCs w:val="21"/>
          <w:lang w:val="es-CO"/>
        </w:rPr>
        <w:t xml:space="preserve">se limitó a ordenar atención médica sin realizar ningún seguimiento. Asimismo, al denunciarse que la víctima padecía fuertes dolores de cabeza, el juez tardó dos semanas en ordenar una atención médica especializada. Asimismo, consta que la víctima presentó una solicitud de excarcelación extraordinaria para lograr acceso a un tratamiento adecuado, sin embargo el juez denegó tal solicitud limitándose a indicar que estaba recibiendo dicha atención. </w:t>
      </w:r>
    </w:p>
    <w:p w:rsidR="00C7295A" w:rsidRPr="009F1B7E" w:rsidRDefault="00C7295A" w:rsidP="00C7295A">
      <w:pPr>
        <w:spacing w:after="0" w:line="240" w:lineRule="auto"/>
        <w:ind w:firstLine="720"/>
        <w:jc w:val="both"/>
        <w:rPr>
          <w:sz w:val="21"/>
          <w:szCs w:val="21"/>
          <w:lang w:val="es-CO"/>
        </w:rPr>
      </w:pPr>
    </w:p>
    <w:p w:rsidR="009E3717" w:rsidRPr="009F1B7E" w:rsidRDefault="009E3717" w:rsidP="00C7295A">
      <w:pPr>
        <w:spacing w:after="0" w:line="240" w:lineRule="auto"/>
        <w:ind w:firstLine="720"/>
        <w:jc w:val="both"/>
        <w:rPr>
          <w:sz w:val="21"/>
          <w:szCs w:val="21"/>
          <w:lang w:val="es-CO"/>
        </w:rPr>
      </w:pPr>
    </w:p>
    <w:p w:rsidR="00C7295A" w:rsidRPr="009F1B7E" w:rsidRDefault="00C7295A" w:rsidP="00C7295A">
      <w:pPr>
        <w:widowControl w:val="0"/>
        <w:autoSpaceDE w:val="0"/>
        <w:autoSpaceDN w:val="0"/>
        <w:adjustRightInd w:val="0"/>
        <w:spacing w:after="0" w:line="240" w:lineRule="auto"/>
        <w:jc w:val="both"/>
        <w:rPr>
          <w:rFonts w:cs="Arial"/>
          <w:snapToGrid w:val="0"/>
          <w:sz w:val="21"/>
          <w:szCs w:val="21"/>
          <w:lang w:val="es-CO"/>
        </w:rPr>
      </w:pPr>
      <w:r w:rsidRPr="009F1B7E">
        <w:rPr>
          <w:rFonts w:cs="Arial"/>
          <w:snapToGrid w:val="0"/>
          <w:sz w:val="21"/>
          <w:szCs w:val="21"/>
          <w:lang w:val="es-ES_tradnl"/>
        </w:rPr>
        <w:t>Señor</w:t>
      </w:r>
    </w:p>
    <w:p w:rsidR="00C7295A" w:rsidRPr="009F1B7E" w:rsidRDefault="00C7295A" w:rsidP="00C7295A">
      <w:pPr>
        <w:widowControl w:val="0"/>
        <w:autoSpaceDE w:val="0"/>
        <w:autoSpaceDN w:val="0"/>
        <w:adjustRightInd w:val="0"/>
        <w:spacing w:after="0" w:line="240" w:lineRule="auto"/>
        <w:jc w:val="both"/>
        <w:rPr>
          <w:rFonts w:cs="Arial"/>
          <w:snapToGrid w:val="0"/>
          <w:sz w:val="21"/>
          <w:szCs w:val="21"/>
          <w:lang w:val="es-CO"/>
        </w:rPr>
      </w:pPr>
      <w:r w:rsidRPr="009F1B7E">
        <w:rPr>
          <w:rFonts w:cs="Arial"/>
          <w:snapToGrid w:val="0"/>
          <w:sz w:val="21"/>
          <w:szCs w:val="21"/>
          <w:lang w:val="es-CO"/>
        </w:rPr>
        <w:t xml:space="preserve">Pablo </w:t>
      </w:r>
      <w:r w:rsidRPr="009F1B7E">
        <w:rPr>
          <w:sz w:val="21"/>
          <w:szCs w:val="21"/>
          <w:lang w:val="es-ES"/>
        </w:rPr>
        <w:t>Saavedra</w:t>
      </w:r>
      <w:r w:rsidRPr="009F1B7E">
        <w:rPr>
          <w:rFonts w:cs="Arial"/>
          <w:snapToGrid w:val="0"/>
          <w:sz w:val="21"/>
          <w:szCs w:val="21"/>
          <w:lang w:val="es-CO"/>
        </w:rPr>
        <w:t xml:space="preserve"> Alessandri, Secretario</w:t>
      </w:r>
    </w:p>
    <w:p w:rsidR="00C7295A" w:rsidRPr="009F1B7E" w:rsidRDefault="00C7295A" w:rsidP="00C7295A">
      <w:pPr>
        <w:widowControl w:val="0"/>
        <w:autoSpaceDE w:val="0"/>
        <w:autoSpaceDN w:val="0"/>
        <w:adjustRightInd w:val="0"/>
        <w:spacing w:after="0" w:line="240" w:lineRule="auto"/>
        <w:jc w:val="both"/>
        <w:rPr>
          <w:rFonts w:cs="Arial"/>
          <w:snapToGrid w:val="0"/>
          <w:sz w:val="21"/>
          <w:szCs w:val="21"/>
          <w:lang w:val="es-ES_tradnl"/>
        </w:rPr>
      </w:pPr>
      <w:r w:rsidRPr="009F1B7E">
        <w:rPr>
          <w:rFonts w:cs="Arial"/>
          <w:snapToGrid w:val="0"/>
          <w:sz w:val="21"/>
          <w:szCs w:val="21"/>
          <w:lang w:val="es-ES_tradnl"/>
        </w:rPr>
        <w:t>Corte Interamericana de Derechos Humanos</w:t>
      </w:r>
    </w:p>
    <w:p w:rsidR="00C7295A" w:rsidRPr="009F1B7E" w:rsidRDefault="00C7295A" w:rsidP="00C7295A">
      <w:pPr>
        <w:widowControl w:val="0"/>
        <w:autoSpaceDE w:val="0"/>
        <w:autoSpaceDN w:val="0"/>
        <w:adjustRightInd w:val="0"/>
        <w:spacing w:after="0" w:line="240" w:lineRule="auto"/>
        <w:jc w:val="both"/>
        <w:rPr>
          <w:rFonts w:cs="Arial"/>
          <w:snapToGrid w:val="0"/>
          <w:sz w:val="21"/>
          <w:szCs w:val="21"/>
          <w:lang w:val="es-ES_tradnl"/>
        </w:rPr>
      </w:pPr>
      <w:r w:rsidRPr="009F1B7E">
        <w:rPr>
          <w:rFonts w:cs="Arial"/>
          <w:snapToGrid w:val="0"/>
          <w:sz w:val="21"/>
          <w:szCs w:val="21"/>
          <w:lang w:val="es-ES_tradnl"/>
        </w:rPr>
        <w:t>Apartado 6906-1000</w:t>
      </w:r>
    </w:p>
    <w:p w:rsidR="00C7295A" w:rsidRPr="009F1B7E" w:rsidRDefault="00C7295A" w:rsidP="00C7295A">
      <w:pPr>
        <w:widowControl w:val="0"/>
        <w:autoSpaceDE w:val="0"/>
        <w:autoSpaceDN w:val="0"/>
        <w:adjustRightInd w:val="0"/>
        <w:spacing w:after="0" w:line="240" w:lineRule="auto"/>
        <w:jc w:val="both"/>
        <w:rPr>
          <w:rFonts w:cs="Arial"/>
          <w:snapToGrid w:val="0"/>
          <w:sz w:val="21"/>
          <w:szCs w:val="21"/>
          <w:lang w:val="es-ES_tradnl"/>
        </w:rPr>
      </w:pPr>
      <w:r w:rsidRPr="009F1B7E">
        <w:rPr>
          <w:rFonts w:cs="Arial"/>
          <w:snapToGrid w:val="0"/>
          <w:sz w:val="21"/>
          <w:szCs w:val="21"/>
          <w:lang w:val="es-ES_tradnl"/>
        </w:rPr>
        <w:t>San José, Costa Rica</w:t>
      </w:r>
    </w:p>
    <w:p w:rsidR="00C7295A" w:rsidRPr="009F1B7E" w:rsidRDefault="00C7295A" w:rsidP="00C7295A">
      <w:pPr>
        <w:spacing w:after="0" w:line="240" w:lineRule="auto"/>
        <w:ind w:firstLine="720"/>
        <w:jc w:val="both"/>
        <w:rPr>
          <w:sz w:val="21"/>
          <w:szCs w:val="21"/>
          <w:lang w:val="es-CO"/>
        </w:rPr>
      </w:pPr>
    </w:p>
    <w:p w:rsidR="00A2553C" w:rsidRPr="009F1B7E" w:rsidRDefault="00C7295A" w:rsidP="00C7295A">
      <w:pPr>
        <w:spacing w:after="0" w:line="240" w:lineRule="auto"/>
        <w:ind w:firstLine="720"/>
        <w:jc w:val="both"/>
        <w:rPr>
          <w:sz w:val="21"/>
          <w:szCs w:val="21"/>
          <w:lang w:val="es-ES_tradnl"/>
        </w:rPr>
      </w:pPr>
      <w:r w:rsidRPr="009F1B7E">
        <w:rPr>
          <w:sz w:val="21"/>
          <w:szCs w:val="21"/>
          <w:lang w:val="es-CO"/>
        </w:rPr>
        <w:t>Adicionalmente, la CIDH estimó que se violó el derecho a la libertad personal y presunción de inocencia de la víctima porque se le impuso prisión preventiva obligatoria, ya que el delito por el cual estaba siendo procesado (robo agravado) tenía una pena de más de seis años, por lo que conforme  al artículo 1 de la Ley 10.484 no tenía posibilidad de excarcelación a lo largo del proceso, lo que resulta incompatible con el estándar general a la luz del cual la detención preventiva es la excepción a la regla, así como el estándar específico conforme al cual no es posible que el criterio determinante para la misma sea la pena a imponer o la gravedad del delito. Además, la Comisión declaró la violación de dicho derecho, tomando en cuenta que la víctima estuvo privada de libertad un año y seis me</w:t>
      </w:r>
      <w:r w:rsidR="00774D60" w:rsidRPr="009F1B7E">
        <w:rPr>
          <w:sz w:val="21"/>
          <w:szCs w:val="21"/>
          <w:lang w:val="es-CO"/>
        </w:rPr>
        <w:t xml:space="preserve">ses en una comisaría policial. </w:t>
      </w:r>
      <w:r w:rsidRPr="009F1B7E">
        <w:rPr>
          <w:sz w:val="21"/>
          <w:szCs w:val="21"/>
          <w:lang w:val="es-CO"/>
        </w:rPr>
        <w:t>Finalmente, la CIDH declaró la violación de</w:t>
      </w:r>
      <w:r w:rsidR="00774D60" w:rsidRPr="009F1B7E">
        <w:rPr>
          <w:sz w:val="21"/>
          <w:szCs w:val="21"/>
          <w:lang w:val="es-CO"/>
        </w:rPr>
        <w:t>l</w:t>
      </w:r>
      <w:r w:rsidRPr="009F1B7E">
        <w:rPr>
          <w:sz w:val="21"/>
          <w:szCs w:val="21"/>
          <w:lang w:val="es-CO"/>
        </w:rPr>
        <w:t xml:space="preserve"> derecho a la integridad personal en perjuicio de la madre de José Luis Hernández quien denunció en varias ocasiones su situación de salud, ya que la privación de libertad de la víctima le generó una particular angustia.</w:t>
      </w:r>
    </w:p>
    <w:p w:rsidR="004A15CD" w:rsidRPr="009F1B7E" w:rsidRDefault="004A15CD" w:rsidP="00BD4CB6">
      <w:pPr>
        <w:spacing w:after="0" w:line="240" w:lineRule="auto"/>
        <w:ind w:firstLine="720"/>
        <w:jc w:val="both"/>
        <w:rPr>
          <w:rFonts w:cs="Calibri"/>
          <w:sz w:val="21"/>
          <w:szCs w:val="21"/>
          <w:lang w:val="es-CO"/>
        </w:rPr>
      </w:pPr>
    </w:p>
    <w:p w:rsidR="004A15CD" w:rsidRPr="009F1B7E" w:rsidRDefault="004A15CD" w:rsidP="00BD4CB6">
      <w:pPr>
        <w:spacing w:after="0" w:line="240" w:lineRule="auto"/>
        <w:ind w:firstLine="720"/>
        <w:jc w:val="both"/>
        <w:rPr>
          <w:sz w:val="21"/>
          <w:szCs w:val="21"/>
          <w:lang w:val="es-ES"/>
        </w:rPr>
      </w:pPr>
      <w:r w:rsidRPr="009F1B7E">
        <w:rPr>
          <w:rFonts w:cs="Arial"/>
          <w:sz w:val="21"/>
          <w:szCs w:val="21"/>
          <w:lang w:val="es-CO"/>
        </w:rPr>
        <w:t xml:space="preserve">El </w:t>
      </w:r>
      <w:r w:rsidRPr="009F1B7E">
        <w:rPr>
          <w:sz w:val="21"/>
          <w:szCs w:val="21"/>
          <w:lang w:val="es-ES_tradnl"/>
        </w:rPr>
        <w:t>Estado</w:t>
      </w:r>
      <w:r w:rsidRPr="009F1B7E">
        <w:rPr>
          <w:rFonts w:cs="Arial"/>
          <w:sz w:val="21"/>
          <w:szCs w:val="21"/>
          <w:lang w:val="es-CO"/>
        </w:rPr>
        <w:t xml:space="preserve"> de </w:t>
      </w:r>
      <w:r w:rsidR="009022B5" w:rsidRPr="009F1B7E">
        <w:rPr>
          <w:rFonts w:cs="Arial"/>
          <w:sz w:val="21"/>
          <w:szCs w:val="21"/>
          <w:lang w:val="es-CO"/>
        </w:rPr>
        <w:t>Argentina</w:t>
      </w:r>
      <w:r w:rsidRPr="009F1B7E">
        <w:rPr>
          <w:rFonts w:cs="Arial"/>
          <w:sz w:val="21"/>
          <w:szCs w:val="21"/>
          <w:lang w:val="es-CO"/>
        </w:rPr>
        <w:t xml:space="preserve"> ratificó la Convención Americ</w:t>
      </w:r>
      <w:r w:rsidR="004A5F26" w:rsidRPr="009F1B7E">
        <w:rPr>
          <w:rFonts w:cs="Arial"/>
          <w:sz w:val="21"/>
          <w:szCs w:val="21"/>
          <w:lang w:val="es-CO"/>
        </w:rPr>
        <w:t>ana sobre Derechos Humanos el 5</w:t>
      </w:r>
      <w:r w:rsidRPr="009F1B7E">
        <w:rPr>
          <w:rFonts w:cs="Arial"/>
          <w:sz w:val="21"/>
          <w:szCs w:val="21"/>
          <w:lang w:val="es-CO"/>
        </w:rPr>
        <w:t xml:space="preserve"> de </w:t>
      </w:r>
      <w:r w:rsidR="004A5F26" w:rsidRPr="009F1B7E">
        <w:rPr>
          <w:rFonts w:cs="Arial"/>
          <w:sz w:val="21"/>
          <w:szCs w:val="21"/>
          <w:lang w:val="es-CO"/>
        </w:rPr>
        <w:t>septiembre de 1984</w:t>
      </w:r>
      <w:r w:rsidRPr="009F1B7E">
        <w:rPr>
          <w:rFonts w:cs="Arial"/>
          <w:sz w:val="21"/>
          <w:szCs w:val="21"/>
          <w:lang w:val="es-CO"/>
        </w:rPr>
        <w:t xml:space="preserve"> y aceptó la comp</w:t>
      </w:r>
      <w:r w:rsidR="004A5F26" w:rsidRPr="009F1B7E">
        <w:rPr>
          <w:rFonts w:cs="Arial"/>
          <w:sz w:val="21"/>
          <w:szCs w:val="21"/>
          <w:lang w:val="es-CO"/>
        </w:rPr>
        <w:t>etencia contenciosa de la Corte en la misma fecha.</w:t>
      </w:r>
    </w:p>
    <w:p w:rsidR="004A15CD" w:rsidRPr="009F1B7E" w:rsidRDefault="004A15CD" w:rsidP="00BD4CB6">
      <w:pPr>
        <w:widowControl w:val="0"/>
        <w:autoSpaceDE w:val="0"/>
        <w:autoSpaceDN w:val="0"/>
        <w:adjustRightInd w:val="0"/>
        <w:spacing w:after="0" w:line="240" w:lineRule="auto"/>
        <w:ind w:firstLine="720"/>
        <w:jc w:val="both"/>
        <w:rPr>
          <w:sz w:val="21"/>
          <w:szCs w:val="21"/>
          <w:lang w:val="es-ES"/>
        </w:rPr>
      </w:pPr>
    </w:p>
    <w:p w:rsidR="004A15CD" w:rsidRPr="009F1B7E" w:rsidRDefault="004A15CD" w:rsidP="00BD4CB6">
      <w:pPr>
        <w:spacing w:after="0" w:line="240" w:lineRule="auto"/>
        <w:ind w:firstLine="720"/>
        <w:jc w:val="both"/>
        <w:rPr>
          <w:rFonts w:cs="Arial"/>
          <w:sz w:val="21"/>
          <w:szCs w:val="21"/>
          <w:lang w:val="es-CO"/>
        </w:rPr>
      </w:pPr>
      <w:r w:rsidRPr="009F1B7E">
        <w:rPr>
          <w:sz w:val="21"/>
          <w:szCs w:val="21"/>
          <w:lang w:val="es-CO"/>
        </w:rPr>
        <w:t xml:space="preserve">La Comisión ha designado al Comisionado </w:t>
      </w:r>
      <w:r w:rsidR="004B24F2" w:rsidRPr="009F1B7E">
        <w:rPr>
          <w:sz w:val="21"/>
          <w:szCs w:val="21"/>
          <w:lang w:val="es-CO"/>
        </w:rPr>
        <w:t xml:space="preserve">Luis Ernesto Vargas Silva </w:t>
      </w:r>
      <w:r w:rsidRPr="009F1B7E">
        <w:rPr>
          <w:sz w:val="21"/>
          <w:szCs w:val="21"/>
          <w:lang w:val="es-CO"/>
        </w:rPr>
        <w:t>y al Secretario Ejecutivo</w:t>
      </w:r>
      <w:r w:rsidR="00C810B0" w:rsidRPr="009F1B7E">
        <w:rPr>
          <w:sz w:val="21"/>
          <w:szCs w:val="21"/>
          <w:lang w:val="es-CO"/>
        </w:rPr>
        <w:t xml:space="preserve"> Paulo A</w:t>
      </w:r>
      <w:r w:rsidR="004B24F2" w:rsidRPr="009F1B7E">
        <w:rPr>
          <w:sz w:val="21"/>
          <w:szCs w:val="21"/>
          <w:lang w:val="es-CO"/>
        </w:rPr>
        <w:t>br</w:t>
      </w:r>
      <w:r w:rsidR="00C810B0" w:rsidRPr="009F1B7E">
        <w:rPr>
          <w:sz w:val="21"/>
          <w:szCs w:val="21"/>
          <w:lang w:val="es-VE"/>
        </w:rPr>
        <w:t xml:space="preserve">ão </w:t>
      </w:r>
      <w:r w:rsidRPr="009F1B7E">
        <w:rPr>
          <w:sz w:val="21"/>
          <w:szCs w:val="21"/>
          <w:lang w:val="es-CO"/>
        </w:rPr>
        <w:t xml:space="preserve">como sus delegados. Asimismo, Elizabeth Abi-Mershed, </w:t>
      </w:r>
      <w:r w:rsidRPr="009F1B7E">
        <w:rPr>
          <w:rFonts w:cs="Arial"/>
          <w:sz w:val="21"/>
          <w:szCs w:val="21"/>
          <w:lang w:val="es-CO"/>
        </w:rPr>
        <w:t>Secretaria</w:t>
      </w:r>
      <w:r w:rsidRPr="009F1B7E">
        <w:rPr>
          <w:sz w:val="21"/>
          <w:szCs w:val="21"/>
          <w:lang w:val="es-CO"/>
        </w:rPr>
        <w:t xml:space="preserve"> Ejecutiva Adjunta y Silvia Serrano Guzmán y</w:t>
      </w:r>
      <w:r w:rsidR="00D924BA" w:rsidRPr="009F1B7E">
        <w:rPr>
          <w:sz w:val="21"/>
          <w:szCs w:val="21"/>
          <w:lang w:val="es-CO"/>
        </w:rPr>
        <w:t xml:space="preserve"> </w:t>
      </w:r>
      <w:r w:rsidR="002001A8" w:rsidRPr="009F1B7E">
        <w:rPr>
          <w:sz w:val="21"/>
          <w:szCs w:val="21"/>
          <w:lang w:val="es-CO"/>
        </w:rPr>
        <w:t xml:space="preserve">Christian González, </w:t>
      </w:r>
      <w:r w:rsidRPr="009F1B7E">
        <w:rPr>
          <w:sz w:val="21"/>
          <w:szCs w:val="21"/>
          <w:lang w:val="es-CO"/>
        </w:rPr>
        <w:t>abogada</w:t>
      </w:r>
      <w:r w:rsidR="002001A8" w:rsidRPr="009F1B7E">
        <w:rPr>
          <w:sz w:val="21"/>
          <w:szCs w:val="21"/>
          <w:lang w:val="es-CO"/>
        </w:rPr>
        <w:t xml:space="preserve"> y abogado</w:t>
      </w:r>
      <w:r w:rsidRPr="009F1B7E">
        <w:rPr>
          <w:sz w:val="21"/>
          <w:szCs w:val="21"/>
          <w:lang w:val="es-CO"/>
        </w:rPr>
        <w:t xml:space="preserve"> de la Secretaría Ejecutiva de la CIDH, actuarán como asesora</w:t>
      </w:r>
      <w:r w:rsidR="002001A8" w:rsidRPr="009F1B7E">
        <w:rPr>
          <w:sz w:val="21"/>
          <w:szCs w:val="21"/>
          <w:lang w:val="es-CO"/>
        </w:rPr>
        <w:t xml:space="preserve"> y asesor legales</w:t>
      </w:r>
      <w:r w:rsidRPr="009F1B7E">
        <w:rPr>
          <w:sz w:val="21"/>
          <w:szCs w:val="21"/>
          <w:lang w:val="es-CO"/>
        </w:rPr>
        <w:t>.</w:t>
      </w:r>
    </w:p>
    <w:p w:rsidR="004A15CD" w:rsidRPr="009F1B7E" w:rsidRDefault="004A15CD" w:rsidP="00BD4CB6">
      <w:pPr>
        <w:autoSpaceDE w:val="0"/>
        <w:autoSpaceDN w:val="0"/>
        <w:adjustRightInd w:val="0"/>
        <w:spacing w:after="0" w:line="240" w:lineRule="auto"/>
        <w:ind w:right="480"/>
        <w:jc w:val="both"/>
        <w:rPr>
          <w:b/>
          <w:sz w:val="21"/>
          <w:szCs w:val="21"/>
          <w:lang w:val="es-CR"/>
        </w:rPr>
      </w:pPr>
    </w:p>
    <w:p w:rsidR="004A15CD" w:rsidRPr="009F1B7E" w:rsidRDefault="004A15CD" w:rsidP="00BD4CB6">
      <w:pPr>
        <w:spacing w:after="0" w:line="240" w:lineRule="auto"/>
        <w:ind w:firstLine="720"/>
        <w:jc w:val="both"/>
        <w:rPr>
          <w:sz w:val="21"/>
          <w:szCs w:val="21"/>
          <w:lang w:val="es-AR"/>
        </w:rPr>
      </w:pPr>
      <w:r w:rsidRPr="009F1B7E">
        <w:rPr>
          <w:rFonts w:cs="Arial"/>
          <w:sz w:val="21"/>
          <w:szCs w:val="21"/>
          <w:lang w:val="es-CO"/>
        </w:rPr>
        <w:t xml:space="preserve">De conformidad con el artículo 35 del Reglamento de la Corte Interamericana, la Comisión adjunta </w:t>
      </w:r>
      <w:r w:rsidRPr="009F1B7E">
        <w:rPr>
          <w:sz w:val="21"/>
          <w:szCs w:val="21"/>
          <w:lang w:val="es-CO"/>
        </w:rPr>
        <w:t xml:space="preserve">copia del informe de fondo </w:t>
      </w:r>
      <w:r w:rsidR="002001A8" w:rsidRPr="009F1B7E">
        <w:rPr>
          <w:sz w:val="21"/>
          <w:szCs w:val="21"/>
          <w:lang w:val="es-CO"/>
        </w:rPr>
        <w:t>96</w:t>
      </w:r>
      <w:r w:rsidRPr="009F1B7E">
        <w:rPr>
          <w:sz w:val="21"/>
          <w:szCs w:val="21"/>
          <w:lang w:val="es-CO"/>
        </w:rPr>
        <w:t>/1</w:t>
      </w:r>
      <w:r w:rsidR="002001A8" w:rsidRPr="009F1B7E">
        <w:rPr>
          <w:sz w:val="21"/>
          <w:szCs w:val="21"/>
          <w:lang w:val="es-CO"/>
        </w:rPr>
        <w:t>7</w:t>
      </w:r>
      <w:r w:rsidRPr="009F1B7E">
        <w:rPr>
          <w:sz w:val="21"/>
          <w:szCs w:val="21"/>
          <w:lang w:val="es-CO"/>
        </w:rPr>
        <w:t xml:space="preserve"> elaborado en observancia del artículo 50 de la Convención, así como copia de la totalidad del expediente </w:t>
      </w:r>
      <w:r w:rsidRPr="009F1B7E">
        <w:rPr>
          <w:sz w:val="21"/>
          <w:szCs w:val="21"/>
          <w:lang w:val="es-AR"/>
        </w:rPr>
        <w:t>ante</w:t>
      </w:r>
      <w:r w:rsidRPr="009F1B7E">
        <w:rPr>
          <w:sz w:val="21"/>
          <w:szCs w:val="21"/>
          <w:lang w:val="es-CO"/>
        </w:rPr>
        <w:t xml:space="preserve"> la Comisión Interamericana (Apéndice I) y los anexos utilizados en la elaboración </w:t>
      </w:r>
      <w:r w:rsidRPr="009F1B7E">
        <w:rPr>
          <w:sz w:val="21"/>
          <w:szCs w:val="21"/>
          <w:lang w:val="es-AR"/>
        </w:rPr>
        <w:t>del</w:t>
      </w:r>
      <w:r w:rsidRPr="009F1B7E">
        <w:rPr>
          <w:sz w:val="21"/>
          <w:szCs w:val="21"/>
          <w:lang w:val="es-CO"/>
        </w:rPr>
        <w:t xml:space="preserve"> informe </w:t>
      </w:r>
      <w:r w:rsidR="002001A8" w:rsidRPr="009F1B7E">
        <w:rPr>
          <w:sz w:val="21"/>
          <w:szCs w:val="21"/>
          <w:lang w:val="es-CO"/>
        </w:rPr>
        <w:t>96/17</w:t>
      </w:r>
      <w:r w:rsidRPr="009F1B7E">
        <w:rPr>
          <w:sz w:val="21"/>
          <w:szCs w:val="21"/>
          <w:lang w:val="es-CO"/>
        </w:rPr>
        <w:t xml:space="preserve"> (Anexos). Dicho informe de fondo </w:t>
      </w:r>
      <w:r w:rsidRPr="009F1B7E">
        <w:rPr>
          <w:sz w:val="21"/>
          <w:szCs w:val="21"/>
          <w:lang w:val="es-AR"/>
        </w:rPr>
        <w:t xml:space="preserve">fue notificado al Estado de </w:t>
      </w:r>
      <w:r w:rsidR="009E6A20" w:rsidRPr="009F1B7E">
        <w:rPr>
          <w:sz w:val="21"/>
          <w:szCs w:val="21"/>
          <w:lang w:val="es-AR"/>
        </w:rPr>
        <w:t>Argentina</w:t>
      </w:r>
      <w:r w:rsidRPr="009F1B7E">
        <w:rPr>
          <w:sz w:val="21"/>
          <w:szCs w:val="21"/>
          <w:lang w:val="es-AR"/>
        </w:rPr>
        <w:t xml:space="preserve"> mediante comunicación de </w:t>
      </w:r>
      <w:r w:rsidR="002001A8" w:rsidRPr="009F1B7E">
        <w:rPr>
          <w:sz w:val="21"/>
          <w:szCs w:val="21"/>
          <w:lang w:val="es-AR"/>
        </w:rPr>
        <w:t>8 de noviembre de 2017</w:t>
      </w:r>
      <w:r w:rsidRPr="009F1B7E">
        <w:rPr>
          <w:sz w:val="21"/>
          <w:szCs w:val="21"/>
          <w:lang w:val="es-AR"/>
        </w:rPr>
        <w:t xml:space="preserve">, otorgándole un plazo de dos meses para informar sobre el cumplimiento de las recomendaciones. </w:t>
      </w:r>
      <w:r w:rsidR="002001A8" w:rsidRPr="009F1B7E">
        <w:rPr>
          <w:sz w:val="21"/>
          <w:szCs w:val="21"/>
          <w:lang w:val="es-AR"/>
        </w:rPr>
        <w:t>El Estado de Argentina no presentó información alguna sobre cumplimiento de las recomendaciones</w:t>
      </w:r>
      <w:r w:rsidR="00623C17">
        <w:rPr>
          <w:sz w:val="21"/>
          <w:szCs w:val="21"/>
          <w:lang w:val="es-AR"/>
        </w:rPr>
        <w:t>,</w:t>
      </w:r>
      <w:r w:rsidR="002001A8" w:rsidRPr="009F1B7E">
        <w:rPr>
          <w:sz w:val="21"/>
          <w:szCs w:val="21"/>
          <w:lang w:val="es-AR"/>
        </w:rPr>
        <w:t xml:space="preserve"> </w:t>
      </w:r>
      <w:r w:rsidR="00623C17">
        <w:rPr>
          <w:sz w:val="21"/>
          <w:szCs w:val="21"/>
          <w:lang w:val="es-AR"/>
        </w:rPr>
        <w:t>y la solicitud de prórroga presentada para informar al respecto no cumplió con el requerimiento del Artículo 46 del Reglamento de la CIDH de indicar que el Estado “acepte en forma expresa e irrevocable la suspensión del plazo previsto” para el sometimiento del caso ante la Corte Interamericana</w:t>
      </w:r>
      <w:r w:rsidR="002001A8" w:rsidRPr="009F1B7E">
        <w:rPr>
          <w:sz w:val="21"/>
          <w:szCs w:val="21"/>
          <w:lang w:val="es-AR"/>
        </w:rPr>
        <w:t xml:space="preserve">. </w:t>
      </w:r>
    </w:p>
    <w:p w:rsidR="004A15CD" w:rsidRPr="009F1B7E" w:rsidRDefault="004A15CD" w:rsidP="00BD4CB6">
      <w:pPr>
        <w:spacing w:after="0" w:line="240" w:lineRule="auto"/>
        <w:ind w:firstLine="720"/>
        <w:jc w:val="both"/>
        <w:rPr>
          <w:sz w:val="21"/>
          <w:szCs w:val="21"/>
          <w:lang w:val="es-AR"/>
        </w:rPr>
      </w:pPr>
    </w:p>
    <w:p w:rsidR="00546170" w:rsidRPr="009F1B7E" w:rsidRDefault="004A15CD" w:rsidP="00227D99">
      <w:pPr>
        <w:spacing w:after="0" w:line="240" w:lineRule="auto"/>
        <w:ind w:firstLine="720"/>
        <w:jc w:val="both"/>
        <w:rPr>
          <w:rFonts w:cs="Arial"/>
          <w:sz w:val="21"/>
          <w:szCs w:val="21"/>
          <w:lang w:val="es-CL"/>
        </w:rPr>
      </w:pPr>
      <w:r w:rsidRPr="009F1B7E">
        <w:rPr>
          <w:sz w:val="21"/>
          <w:szCs w:val="21"/>
          <w:lang w:val="es-AR"/>
        </w:rPr>
        <w:t>En virtud de lo anterior, l</w:t>
      </w:r>
      <w:r w:rsidRPr="009F1B7E">
        <w:rPr>
          <w:sz w:val="21"/>
          <w:szCs w:val="21"/>
          <w:lang w:val="es-CO"/>
        </w:rPr>
        <w:t xml:space="preserve">a Comisión Interamericana somete a la jurisdicción de la Corte la </w:t>
      </w:r>
      <w:r w:rsidRPr="009F1B7E">
        <w:rPr>
          <w:sz w:val="21"/>
          <w:szCs w:val="21"/>
          <w:lang w:val="es-ES"/>
        </w:rPr>
        <w:t>totalidad</w:t>
      </w:r>
      <w:r w:rsidRPr="009F1B7E">
        <w:rPr>
          <w:sz w:val="21"/>
          <w:szCs w:val="21"/>
          <w:lang w:val="es-CO"/>
        </w:rPr>
        <w:t xml:space="preserve"> de los hechos y violaciones de derechos humanos descritos en el informe de fondo </w:t>
      </w:r>
      <w:r w:rsidR="002001A8" w:rsidRPr="009F1B7E">
        <w:rPr>
          <w:sz w:val="21"/>
          <w:szCs w:val="21"/>
          <w:lang w:val="es-CO"/>
        </w:rPr>
        <w:t>96/17</w:t>
      </w:r>
      <w:r w:rsidR="005216CD" w:rsidRPr="009F1B7E">
        <w:rPr>
          <w:sz w:val="21"/>
          <w:szCs w:val="21"/>
          <w:lang w:val="es-CO"/>
        </w:rPr>
        <w:t xml:space="preserve">, por la necesidad de justicia y reparación a favor de José Luis Hernández. </w:t>
      </w:r>
      <w:r w:rsidRPr="009F1B7E">
        <w:rPr>
          <w:sz w:val="21"/>
          <w:szCs w:val="21"/>
          <w:lang w:val="es-CO"/>
        </w:rPr>
        <w:t>En ese sentido, la Comisión solicita a la Corte que concluya y declare la responsabilidad internacional del</w:t>
      </w:r>
      <w:r w:rsidRPr="009F1B7E">
        <w:rPr>
          <w:rFonts w:cs="Arial"/>
          <w:sz w:val="21"/>
          <w:szCs w:val="21"/>
          <w:lang w:val="es-CL"/>
        </w:rPr>
        <w:t xml:space="preserve"> Estado de</w:t>
      </w:r>
      <w:r w:rsidR="001D30F4" w:rsidRPr="009F1B7E">
        <w:rPr>
          <w:rFonts w:cs="Arial"/>
          <w:sz w:val="21"/>
          <w:szCs w:val="21"/>
          <w:lang w:val="es-CL"/>
        </w:rPr>
        <w:t xml:space="preserve"> Argentina por </w:t>
      </w:r>
      <w:r w:rsidR="00227D99" w:rsidRPr="009F1B7E">
        <w:rPr>
          <w:rFonts w:cs="Arial"/>
          <w:sz w:val="21"/>
          <w:szCs w:val="21"/>
          <w:lang w:val="es-CL"/>
        </w:rPr>
        <w:t xml:space="preserve"> </w:t>
      </w:r>
      <w:r w:rsidR="00227D99" w:rsidRPr="009F1B7E">
        <w:rPr>
          <w:sz w:val="21"/>
          <w:szCs w:val="21"/>
          <w:lang w:val="es-ES_tradnl"/>
        </w:rPr>
        <w:t>la violación de los derechos establecidos en los artículos 5.1, 5.2, 7.1, 7.3, 8.1, 8.2 y 25.1 de la Convención Americana, en relación con las obligaciones establecidas en los artículos 1.1 y 2 del mismo instrumento, en perjuicio de José Luis Hernández</w:t>
      </w:r>
      <w:r w:rsidR="00227D99" w:rsidRPr="009F1B7E">
        <w:rPr>
          <w:sz w:val="21"/>
          <w:szCs w:val="21"/>
          <w:lang w:val="es-VE"/>
        </w:rPr>
        <w:t>. Además, la CIDH solicita a la Corte que concluya y declare que el Estado violó el artículo 5.1 en perjuicio de Raquel San Martín de Hernández.</w:t>
      </w:r>
    </w:p>
    <w:p w:rsidR="00546170" w:rsidRPr="009F1B7E" w:rsidRDefault="00546170" w:rsidP="00546170">
      <w:pPr>
        <w:spacing w:after="0" w:line="240" w:lineRule="auto"/>
        <w:ind w:firstLine="720"/>
        <w:jc w:val="both"/>
        <w:rPr>
          <w:sz w:val="21"/>
          <w:szCs w:val="21"/>
          <w:lang w:val="es-CO"/>
        </w:rPr>
      </w:pPr>
    </w:p>
    <w:p w:rsidR="000C4855" w:rsidRPr="009F1B7E" w:rsidRDefault="004A15CD" w:rsidP="000C4855">
      <w:pPr>
        <w:spacing w:after="0" w:line="240" w:lineRule="auto"/>
        <w:ind w:firstLine="720"/>
        <w:jc w:val="both"/>
        <w:rPr>
          <w:sz w:val="21"/>
          <w:szCs w:val="21"/>
          <w:lang w:val="es-CO"/>
        </w:rPr>
      </w:pPr>
      <w:r w:rsidRPr="009F1B7E">
        <w:rPr>
          <w:sz w:val="21"/>
          <w:szCs w:val="21"/>
          <w:lang w:val="es-CO"/>
        </w:rPr>
        <w:t xml:space="preserve">En consecuencia, la Comisión solicita a la Corte que establezca las siguientes medidas de </w:t>
      </w:r>
      <w:r w:rsidRPr="009F1B7E">
        <w:rPr>
          <w:sz w:val="21"/>
          <w:szCs w:val="21"/>
          <w:lang w:val="es-ES_tradnl"/>
        </w:rPr>
        <w:t>reparación</w:t>
      </w:r>
      <w:r w:rsidRPr="009F1B7E">
        <w:rPr>
          <w:sz w:val="21"/>
          <w:szCs w:val="21"/>
          <w:lang w:val="es-CO"/>
        </w:rPr>
        <w:t>:</w:t>
      </w:r>
    </w:p>
    <w:p w:rsidR="000C4855" w:rsidRPr="009F1B7E" w:rsidRDefault="000C4855" w:rsidP="000C4855">
      <w:pPr>
        <w:spacing w:after="0" w:line="240" w:lineRule="auto"/>
        <w:ind w:firstLine="720"/>
        <w:jc w:val="both"/>
        <w:rPr>
          <w:sz w:val="21"/>
          <w:szCs w:val="21"/>
          <w:lang w:val="es-CO"/>
        </w:rPr>
      </w:pPr>
    </w:p>
    <w:p w:rsidR="00227D99" w:rsidRPr="009F1B7E" w:rsidRDefault="00227D99" w:rsidP="00227D99">
      <w:pPr>
        <w:numPr>
          <w:ilvl w:val="0"/>
          <w:numId w:val="2"/>
        </w:numPr>
        <w:spacing w:after="0" w:line="240" w:lineRule="auto"/>
        <w:jc w:val="both"/>
        <w:rPr>
          <w:sz w:val="21"/>
          <w:szCs w:val="21"/>
          <w:lang w:val="es-ES"/>
        </w:rPr>
      </w:pPr>
      <w:r w:rsidRPr="009F1B7E">
        <w:rPr>
          <w:sz w:val="21"/>
          <w:szCs w:val="21"/>
          <w:lang w:val="es-ES"/>
        </w:rPr>
        <w:t xml:space="preserve">Reparar integralmente a la víctima del presente caso mediante medidas de compensación pecuniaria y de satisfacción que incluyan el daño material e inmaterial ocasionado a la víctima como consecuencia de las violaciones declaradas en el informe de fondo. </w:t>
      </w:r>
    </w:p>
    <w:p w:rsidR="00227D99" w:rsidRPr="009F1B7E" w:rsidRDefault="00227D99" w:rsidP="00227D99">
      <w:pPr>
        <w:spacing w:after="0" w:line="240" w:lineRule="auto"/>
        <w:ind w:left="720"/>
        <w:jc w:val="both"/>
        <w:rPr>
          <w:sz w:val="21"/>
          <w:szCs w:val="21"/>
          <w:lang w:val="es-ES"/>
        </w:rPr>
      </w:pPr>
    </w:p>
    <w:p w:rsidR="00227D99" w:rsidRPr="009F1B7E" w:rsidRDefault="00227D99" w:rsidP="00227D99">
      <w:pPr>
        <w:numPr>
          <w:ilvl w:val="0"/>
          <w:numId w:val="2"/>
        </w:numPr>
        <w:spacing w:after="0" w:line="240" w:lineRule="auto"/>
        <w:jc w:val="both"/>
        <w:rPr>
          <w:rFonts w:eastAsia="Times New Roman"/>
          <w:sz w:val="21"/>
          <w:szCs w:val="21"/>
          <w:lang w:val="es-ES" w:eastAsia="es-ES"/>
        </w:rPr>
      </w:pPr>
      <w:r w:rsidRPr="009F1B7E">
        <w:rPr>
          <w:rFonts w:cs="Times-Roman"/>
          <w:sz w:val="21"/>
          <w:szCs w:val="21"/>
          <w:lang w:val="es-ES" w:bidi="en-US"/>
        </w:rPr>
        <w:t xml:space="preserve">Brindar de forma gratuita, inmediata y por el tiempo que sea necesario, el tratamiento de salud física o mental a la víctima del presente caso siempre que así lo solicite y de manera concertada con él. </w:t>
      </w:r>
    </w:p>
    <w:p w:rsidR="00227D99" w:rsidRPr="009F1B7E" w:rsidRDefault="00227D99" w:rsidP="00227D99">
      <w:pPr>
        <w:spacing w:after="0" w:line="240" w:lineRule="auto"/>
        <w:ind w:left="720"/>
        <w:jc w:val="both"/>
        <w:rPr>
          <w:sz w:val="21"/>
          <w:szCs w:val="21"/>
          <w:lang w:val="es-ES"/>
        </w:rPr>
      </w:pPr>
    </w:p>
    <w:p w:rsidR="009E3717" w:rsidRPr="009F1B7E" w:rsidRDefault="009E3717" w:rsidP="00227D99">
      <w:pPr>
        <w:spacing w:after="0" w:line="240" w:lineRule="auto"/>
        <w:ind w:left="720"/>
        <w:jc w:val="both"/>
        <w:rPr>
          <w:sz w:val="21"/>
          <w:szCs w:val="21"/>
          <w:lang w:val="es-ES"/>
        </w:rPr>
      </w:pPr>
    </w:p>
    <w:p w:rsidR="008A026E" w:rsidRPr="009F1B7E" w:rsidRDefault="00227D99" w:rsidP="008A026E">
      <w:pPr>
        <w:numPr>
          <w:ilvl w:val="0"/>
          <w:numId w:val="2"/>
        </w:numPr>
        <w:spacing w:after="0" w:line="240" w:lineRule="auto"/>
        <w:jc w:val="both"/>
        <w:rPr>
          <w:sz w:val="21"/>
          <w:szCs w:val="21"/>
          <w:lang w:val="es-ES"/>
        </w:rPr>
      </w:pPr>
      <w:r w:rsidRPr="009F1B7E">
        <w:rPr>
          <w:sz w:val="21"/>
          <w:szCs w:val="21"/>
          <w:lang w:val="es-ES"/>
        </w:rPr>
        <w:lastRenderedPageBreak/>
        <w:t xml:space="preserve">Disponer las medidas de no repetición necesarias para asegurar que las personas privadas de libertad en la Provincia de Buenos Aires cuenten con diagnósticos oportunos de su situación de salud, así como los tratamientos y atención especializada que requieran, conforme a los estándares establecidos en el informe de fondo, en particular, el principio de equivalencia. </w:t>
      </w:r>
    </w:p>
    <w:p w:rsidR="009E3717" w:rsidRPr="009F1B7E" w:rsidRDefault="009E3717" w:rsidP="008A026E">
      <w:pPr>
        <w:tabs>
          <w:tab w:val="left" w:pos="720"/>
        </w:tabs>
        <w:spacing w:after="0" w:line="240" w:lineRule="auto"/>
        <w:jc w:val="both"/>
        <w:rPr>
          <w:rFonts w:cs="Arial"/>
          <w:sz w:val="21"/>
          <w:szCs w:val="21"/>
          <w:lang w:val="es-CL"/>
        </w:rPr>
      </w:pPr>
    </w:p>
    <w:p w:rsidR="00A2360A" w:rsidRPr="009F1B7E" w:rsidRDefault="008A026E" w:rsidP="00A2360A">
      <w:pPr>
        <w:tabs>
          <w:tab w:val="left" w:pos="720"/>
        </w:tabs>
        <w:spacing w:after="0" w:line="240" w:lineRule="auto"/>
        <w:jc w:val="both"/>
        <w:rPr>
          <w:sz w:val="21"/>
          <w:szCs w:val="21"/>
          <w:lang w:val="es-ES"/>
        </w:rPr>
      </w:pPr>
      <w:r w:rsidRPr="009F1B7E">
        <w:rPr>
          <w:rFonts w:cs="Arial"/>
          <w:sz w:val="21"/>
          <w:szCs w:val="21"/>
          <w:lang w:val="es-CL"/>
        </w:rPr>
        <w:tab/>
        <w:t>A</w:t>
      </w:r>
      <w:r w:rsidR="004A15CD" w:rsidRPr="009F1B7E">
        <w:rPr>
          <w:rFonts w:cs="Arial"/>
          <w:sz w:val="21"/>
          <w:szCs w:val="21"/>
          <w:lang w:val="es-CL"/>
        </w:rPr>
        <w:t>demás de la necesidad de obtención de</w:t>
      </w:r>
      <w:r w:rsidR="002811EE" w:rsidRPr="009F1B7E">
        <w:rPr>
          <w:rFonts w:cs="Arial"/>
          <w:sz w:val="21"/>
          <w:szCs w:val="21"/>
          <w:lang w:val="es-CL"/>
        </w:rPr>
        <w:t xml:space="preserve"> </w:t>
      </w:r>
      <w:r w:rsidR="00A2360A" w:rsidRPr="009F1B7E">
        <w:rPr>
          <w:rFonts w:cs="Arial"/>
          <w:sz w:val="21"/>
          <w:szCs w:val="21"/>
          <w:lang w:val="es-CL"/>
        </w:rPr>
        <w:t xml:space="preserve">justicia y reparación para la víctima, </w:t>
      </w:r>
      <w:r w:rsidRPr="009F1B7E">
        <w:rPr>
          <w:rFonts w:cs="Arial"/>
          <w:sz w:val="21"/>
          <w:szCs w:val="21"/>
          <w:lang w:val="es-CL"/>
        </w:rPr>
        <w:t xml:space="preserve">la Comisión destaca que </w:t>
      </w:r>
      <w:r w:rsidR="003C41EF" w:rsidRPr="009F1B7E">
        <w:rPr>
          <w:rFonts w:cs="Arial"/>
          <w:sz w:val="21"/>
          <w:szCs w:val="21"/>
          <w:lang w:val="es-CL"/>
        </w:rPr>
        <w:t>el p</w:t>
      </w:r>
      <w:r w:rsidR="004A15CD" w:rsidRPr="009F1B7E">
        <w:rPr>
          <w:rFonts w:cs="Arial"/>
          <w:sz w:val="21"/>
          <w:szCs w:val="21"/>
          <w:lang w:val="es-CL"/>
        </w:rPr>
        <w:t xml:space="preserve">resente caso involucra cuestiones de orden público interamericano. Específicamente, </w:t>
      </w:r>
      <w:r w:rsidR="001E50AC" w:rsidRPr="009F1B7E">
        <w:rPr>
          <w:rFonts w:cs="Arial"/>
          <w:sz w:val="21"/>
          <w:szCs w:val="21"/>
          <w:lang w:val="es-CL"/>
        </w:rPr>
        <w:t xml:space="preserve">el caso le permitirá a la </w:t>
      </w:r>
      <w:r w:rsidR="001E50AC" w:rsidRPr="009F1B7E">
        <w:rPr>
          <w:rFonts w:cs="Arial"/>
          <w:sz w:val="21"/>
          <w:szCs w:val="21"/>
          <w:lang w:val="es-AR"/>
        </w:rPr>
        <w:t xml:space="preserve">Corte </w:t>
      </w:r>
      <w:r w:rsidR="00A2360A" w:rsidRPr="009F1B7E">
        <w:rPr>
          <w:rFonts w:eastAsia="Times New Roman" w:cs="Cambria"/>
          <w:sz w:val="21"/>
          <w:szCs w:val="21"/>
          <w:lang w:val="es-CO"/>
        </w:rPr>
        <w:t xml:space="preserve">desarrollar y consolidar su jurisprudencia </w:t>
      </w:r>
      <w:r w:rsidR="00F21ECB" w:rsidRPr="009F1B7E">
        <w:rPr>
          <w:rFonts w:eastAsia="Times New Roman" w:cs="Cambria"/>
          <w:sz w:val="21"/>
          <w:szCs w:val="21"/>
          <w:lang w:val="es-CO"/>
        </w:rPr>
        <w:t xml:space="preserve">sobre </w:t>
      </w:r>
      <w:r w:rsidR="00A2360A" w:rsidRPr="009F1B7E">
        <w:rPr>
          <w:rFonts w:eastAsia="Times New Roman" w:cs="Cambria"/>
          <w:sz w:val="21"/>
          <w:szCs w:val="21"/>
          <w:lang w:val="es-CO"/>
        </w:rPr>
        <w:t>el derecho a la atención médica adecuada y sus alcances respecto de personas privadas de libertad, en relación con el principio de equivalencia</w:t>
      </w:r>
      <w:r w:rsidR="00F21ECB" w:rsidRPr="009F1B7E">
        <w:rPr>
          <w:rFonts w:eastAsia="Times New Roman" w:cs="Cambria"/>
          <w:sz w:val="21"/>
          <w:szCs w:val="21"/>
          <w:lang w:val="es-CO"/>
        </w:rPr>
        <w:t>, particularme</w:t>
      </w:r>
      <w:r w:rsidR="00AE442A" w:rsidRPr="009F1B7E">
        <w:rPr>
          <w:rFonts w:eastAsia="Times New Roman" w:cs="Cambria"/>
          <w:sz w:val="21"/>
          <w:szCs w:val="21"/>
          <w:lang w:val="es-CO"/>
        </w:rPr>
        <w:t>nte en</w:t>
      </w:r>
      <w:r w:rsidR="00F21ECB" w:rsidRPr="009F1B7E">
        <w:rPr>
          <w:rFonts w:eastAsia="Times New Roman" w:cs="Cambria"/>
          <w:sz w:val="21"/>
          <w:szCs w:val="21"/>
          <w:lang w:val="es-CO"/>
        </w:rPr>
        <w:t xml:space="preserve"> circunstancias</w:t>
      </w:r>
      <w:r w:rsidR="00A2360A" w:rsidRPr="009F1B7E">
        <w:rPr>
          <w:rFonts w:eastAsia="Times New Roman" w:cs="Cambria"/>
          <w:sz w:val="21"/>
          <w:szCs w:val="21"/>
          <w:lang w:val="es-CO"/>
        </w:rPr>
        <w:t xml:space="preserve"> </w:t>
      </w:r>
      <w:r w:rsidR="00F21ECB" w:rsidRPr="009F1B7E">
        <w:rPr>
          <w:rFonts w:eastAsia="Times New Roman" w:cs="Cambria"/>
          <w:sz w:val="21"/>
          <w:szCs w:val="21"/>
          <w:lang w:val="es-CO"/>
        </w:rPr>
        <w:t>en las cuales existen</w:t>
      </w:r>
      <w:r w:rsidR="00A2360A" w:rsidRPr="009F1B7E">
        <w:rPr>
          <w:rFonts w:eastAsia="Times New Roman" w:cs="Cambria"/>
          <w:sz w:val="21"/>
          <w:szCs w:val="21"/>
          <w:lang w:val="es-CO"/>
        </w:rPr>
        <w:t xml:space="preserve"> una secuencia de omisiones de parte del Estado respecto de una persona bajo su custodia, las cuales culminaron con </w:t>
      </w:r>
      <w:r w:rsidR="00F21ECB" w:rsidRPr="009F1B7E">
        <w:rPr>
          <w:rFonts w:eastAsia="Times New Roman" w:cs="Cambria"/>
          <w:sz w:val="21"/>
          <w:szCs w:val="21"/>
          <w:lang w:val="es-CO"/>
        </w:rPr>
        <w:t xml:space="preserve">efectos irreversibles que, por la naturaleza de la enfermedad contraída, eran prevenibles. </w:t>
      </w:r>
    </w:p>
    <w:p w:rsidR="00A2360A" w:rsidRPr="009F1B7E" w:rsidRDefault="00A2360A" w:rsidP="00BD4CB6">
      <w:pPr>
        <w:tabs>
          <w:tab w:val="left" w:pos="720"/>
          <w:tab w:val="left" w:pos="9214"/>
        </w:tabs>
        <w:spacing w:after="0" w:line="240" w:lineRule="auto"/>
        <w:jc w:val="both"/>
        <w:rPr>
          <w:rFonts w:cs="Arial"/>
          <w:sz w:val="21"/>
          <w:szCs w:val="21"/>
          <w:lang w:val="es-CL"/>
        </w:rPr>
      </w:pPr>
    </w:p>
    <w:p w:rsidR="004A15CD" w:rsidRPr="009F1B7E" w:rsidRDefault="004A15CD" w:rsidP="00BD4CB6">
      <w:pPr>
        <w:tabs>
          <w:tab w:val="left" w:pos="720"/>
          <w:tab w:val="left" w:pos="9214"/>
        </w:tabs>
        <w:spacing w:after="0" w:line="240" w:lineRule="auto"/>
        <w:jc w:val="both"/>
        <w:rPr>
          <w:rFonts w:cs="Arial"/>
          <w:sz w:val="21"/>
          <w:szCs w:val="21"/>
          <w:lang w:val="es-CL"/>
        </w:rPr>
      </w:pPr>
      <w:r w:rsidRPr="009F1B7E">
        <w:rPr>
          <w:rFonts w:cs="Arial"/>
          <w:sz w:val="21"/>
          <w:szCs w:val="21"/>
          <w:lang w:val="es-CL"/>
        </w:rPr>
        <w:tab/>
        <w:t xml:space="preserve">En virtud de que estas cuestiones afectan de manera relevante el orden público </w:t>
      </w:r>
      <w:r w:rsidRPr="009F1B7E">
        <w:rPr>
          <w:rFonts w:eastAsia="Times New Roman" w:cs="Courier New"/>
          <w:sz w:val="21"/>
          <w:szCs w:val="21"/>
          <w:lang w:val="es-ES_tradnl"/>
        </w:rPr>
        <w:t>interamericano</w:t>
      </w:r>
      <w:r w:rsidRPr="009F1B7E">
        <w:rPr>
          <w:rFonts w:cs="Arial"/>
          <w:sz w:val="21"/>
          <w:szCs w:val="21"/>
          <w:lang w:val="es-CL"/>
        </w:rPr>
        <w:t>, de conformidad con el artículo 35.1 f) del Reglamento de la Corte Interamericana, la Comisión se permite ofrecer la</w:t>
      </w:r>
      <w:r w:rsidR="005A4BE7" w:rsidRPr="009F1B7E">
        <w:rPr>
          <w:rFonts w:cs="Arial"/>
          <w:sz w:val="21"/>
          <w:szCs w:val="21"/>
          <w:lang w:val="es-CL"/>
        </w:rPr>
        <w:t>s</w:t>
      </w:r>
      <w:r w:rsidRPr="009F1B7E">
        <w:rPr>
          <w:rFonts w:cs="Arial"/>
          <w:sz w:val="21"/>
          <w:szCs w:val="21"/>
          <w:lang w:val="es-CL"/>
        </w:rPr>
        <w:t xml:space="preserve"> siguiente</w:t>
      </w:r>
      <w:r w:rsidR="005A4BE7" w:rsidRPr="009F1B7E">
        <w:rPr>
          <w:rFonts w:cs="Arial"/>
          <w:sz w:val="21"/>
          <w:szCs w:val="21"/>
          <w:lang w:val="es-CL"/>
        </w:rPr>
        <w:t>s</w:t>
      </w:r>
      <w:r w:rsidRPr="009F1B7E">
        <w:rPr>
          <w:rFonts w:cs="Arial"/>
          <w:sz w:val="21"/>
          <w:szCs w:val="21"/>
          <w:lang w:val="es-CL"/>
        </w:rPr>
        <w:t xml:space="preserve"> declaraci</w:t>
      </w:r>
      <w:r w:rsidR="005A4BE7" w:rsidRPr="009F1B7E">
        <w:rPr>
          <w:rFonts w:cs="Arial"/>
          <w:sz w:val="21"/>
          <w:szCs w:val="21"/>
          <w:lang w:val="es-CL"/>
        </w:rPr>
        <w:t>ones</w:t>
      </w:r>
      <w:r w:rsidRPr="009F1B7E">
        <w:rPr>
          <w:rFonts w:cs="Arial"/>
          <w:sz w:val="21"/>
          <w:szCs w:val="21"/>
          <w:lang w:val="es-CL"/>
        </w:rPr>
        <w:t xml:space="preserve"> pericial</w:t>
      </w:r>
      <w:r w:rsidR="005A4BE7" w:rsidRPr="009F1B7E">
        <w:rPr>
          <w:rFonts w:cs="Arial"/>
          <w:sz w:val="21"/>
          <w:szCs w:val="21"/>
          <w:lang w:val="es-CL"/>
        </w:rPr>
        <w:t>es</w:t>
      </w:r>
      <w:r w:rsidRPr="009F1B7E">
        <w:rPr>
          <w:rFonts w:cs="Arial"/>
          <w:sz w:val="21"/>
          <w:szCs w:val="21"/>
          <w:lang w:val="es-CL"/>
        </w:rPr>
        <w:t>:</w:t>
      </w:r>
    </w:p>
    <w:p w:rsidR="004A15CD" w:rsidRPr="009F1B7E" w:rsidRDefault="004A15CD" w:rsidP="00BD4CB6">
      <w:pPr>
        <w:tabs>
          <w:tab w:val="left" w:pos="0"/>
        </w:tabs>
        <w:spacing w:after="0" w:line="240" w:lineRule="auto"/>
        <w:ind w:firstLine="720"/>
        <w:jc w:val="both"/>
        <w:rPr>
          <w:rFonts w:cs="Courier New"/>
          <w:b/>
          <w:sz w:val="21"/>
          <w:szCs w:val="21"/>
          <w:lang w:val="es-ES_tradnl"/>
        </w:rPr>
      </w:pPr>
    </w:p>
    <w:p w:rsidR="004A15CD" w:rsidRPr="009F1B7E" w:rsidRDefault="00CD11CC" w:rsidP="00BD4CB6">
      <w:pPr>
        <w:tabs>
          <w:tab w:val="left" w:pos="720"/>
          <w:tab w:val="left" w:pos="9214"/>
        </w:tabs>
        <w:spacing w:after="0" w:line="240" w:lineRule="auto"/>
        <w:jc w:val="both"/>
        <w:rPr>
          <w:rFonts w:eastAsia="Times New Roman" w:cs="Courier New"/>
          <w:sz w:val="21"/>
          <w:szCs w:val="21"/>
          <w:lang w:val="es-ES_tradnl"/>
        </w:rPr>
      </w:pPr>
      <w:r w:rsidRPr="009F1B7E">
        <w:rPr>
          <w:rFonts w:eastAsia="Times New Roman" w:cs="Courier New"/>
          <w:sz w:val="21"/>
          <w:szCs w:val="21"/>
          <w:lang w:val="es-ES_tradnl"/>
        </w:rPr>
        <w:tab/>
      </w:r>
      <w:r w:rsidR="004A15CD" w:rsidRPr="009F1B7E">
        <w:rPr>
          <w:rFonts w:eastAsia="Times New Roman" w:cs="Courier New"/>
          <w:b/>
          <w:sz w:val="21"/>
          <w:szCs w:val="21"/>
          <w:lang w:val="es-ES_tradnl"/>
        </w:rPr>
        <w:t>Perito/a cuyo nombre será informado a la brevedad</w:t>
      </w:r>
      <w:r w:rsidR="004A15CD" w:rsidRPr="009F1B7E">
        <w:rPr>
          <w:rFonts w:eastAsia="Times New Roman" w:cs="Courier New"/>
          <w:sz w:val="21"/>
          <w:szCs w:val="21"/>
          <w:lang w:val="es-ES_tradnl"/>
        </w:rPr>
        <w:t xml:space="preserve">, quien declarará sobre </w:t>
      </w:r>
      <w:r w:rsidR="00BF3E67" w:rsidRPr="009F1B7E">
        <w:rPr>
          <w:rFonts w:eastAsia="Times New Roman" w:cs="Courier New"/>
          <w:sz w:val="21"/>
          <w:szCs w:val="21"/>
          <w:lang w:val="es-ES_tradnl"/>
        </w:rPr>
        <w:t>lo</w:t>
      </w:r>
      <w:r w:rsidR="00E672A7" w:rsidRPr="009F1B7E">
        <w:rPr>
          <w:rFonts w:eastAsia="Times New Roman" w:cs="Courier New"/>
          <w:sz w:val="21"/>
          <w:szCs w:val="21"/>
          <w:lang w:val="es-ES_tradnl"/>
        </w:rPr>
        <w:t>s estándares internacionales en materia de</w:t>
      </w:r>
      <w:r w:rsidR="00BF3E67" w:rsidRPr="009F1B7E">
        <w:rPr>
          <w:rFonts w:eastAsia="Times New Roman" w:cs="Courier New"/>
          <w:sz w:val="21"/>
          <w:szCs w:val="21"/>
          <w:lang w:val="es-ES_tradnl"/>
        </w:rPr>
        <w:t xml:space="preserve"> los derechos de las personas privadas de libertad y la especial posición de</w:t>
      </w:r>
      <w:r w:rsidR="00CA74A3" w:rsidRPr="009F1B7E">
        <w:rPr>
          <w:rFonts w:eastAsia="Times New Roman" w:cs="Courier New"/>
          <w:sz w:val="21"/>
          <w:szCs w:val="21"/>
          <w:lang w:val="es-ES_tradnl"/>
        </w:rPr>
        <w:t xml:space="preserve"> garante de los Estados,</w:t>
      </w:r>
      <w:r w:rsidR="00BF3E67" w:rsidRPr="009F1B7E">
        <w:rPr>
          <w:rFonts w:eastAsia="Times New Roman" w:cs="Courier New"/>
          <w:sz w:val="21"/>
          <w:szCs w:val="21"/>
          <w:lang w:val="es-ES_tradnl"/>
        </w:rPr>
        <w:t xml:space="preserve"> en particular, el derecho a una atención médica adecuada a la luz del principio de equivalencia.</w:t>
      </w:r>
      <w:r w:rsidR="00E672A7" w:rsidRPr="009F1B7E">
        <w:rPr>
          <w:rFonts w:eastAsia="Times New Roman" w:cs="Courier New"/>
          <w:sz w:val="21"/>
          <w:szCs w:val="21"/>
          <w:lang w:val="es-ES_tradnl"/>
        </w:rPr>
        <w:t xml:space="preserve"> </w:t>
      </w:r>
      <w:r w:rsidR="00CA74A3" w:rsidRPr="009F1B7E">
        <w:rPr>
          <w:rFonts w:eastAsia="Times New Roman" w:cs="Courier New"/>
          <w:sz w:val="21"/>
          <w:szCs w:val="21"/>
          <w:lang w:val="es-ES_tradnl"/>
        </w:rPr>
        <w:t>El/la perito/a se referirá especialmente al alcance de la responsabil</w:t>
      </w:r>
      <w:r w:rsidR="00C5047D" w:rsidRPr="009F1B7E">
        <w:rPr>
          <w:rFonts w:eastAsia="Times New Roman" w:cs="Courier New"/>
          <w:sz w:val="21"/>
          <w:szCs w:val="21"/>
          <w:lang w:val="es-ES_tradnl"/>
        </w:rPr>
        <w:t xml:space="preserve">idad internacional de un Estado por los efectos irreversibles en la salud física y mental de las personas privadas de libertad como consecuencia de una falta de atención médica frente a una enfermedad cuyos impactos duraderos pudieron prevenirse. El/la perito/a podrá referirse a los hechos del caso. </w:t>
      </w:r>
      <w:r w:rsidR="00562D5E" w:rsidRPr="009F1B7E">
        <w:rPr>
          <w:rFonts w:eastAsia="Times New Roman" w:cs="Courier New"/>
          <w:sz w:val="21"/>
          <w:szCs w:val="21"/>
          <w:lang w:val="es-ES_tradnl"/>
        </w:rPr>
        <w:t xml:space="preserve"> </w:t>
      </w:r>
    </w:p>
    <w:p w:rsidR="004A15CD" w:rsidRPr="009F1B7E" w:rsidRDefault="004A15CD" w:rsidP="006F1329">
      <w:pPr>
        <w:tabs>
          <w:tab w:val="left" w:pos="720"/>
          <w:tab w:val="left" w:pos="9214"/>
        </w:tabs>
        <w:spacing w:after="0" w:line="240" w:lineRule="auto"/>
        <w:jc w:val="both"/>
        <w:rPr>
          <w:sz w:val="21"/>
          <w:szCs w:val="21"/>
          <w:lang w:val="es-ES_tradnl" w:eastAsia="ar-SA"/>
        </w:rPr>
      </w:pPr>
      <w:r w:rsidRPr="009F1B7E">
        <w:rPr>
          <w:rFonts w:eastAsia="Times New Roman" w:cs="Courier New"/>
          <w:sz w:val="21"/>
          <w:szCs w:val="21"/>
          <w:lang w:val="es-ES_tradnl"/>
        </w:rPr>
        <w:tab/>
      </w:r>
      <w:r w:rsidRPr="009F1B7E">
        <w:rPr>
          <w:sz w:val="21"/>
          <w:szCs w:val="21"/>
          <w:lang w:val="es-ES_tradnl" w:eastAsia="ar-SA"/>
        </w:rPr>
        <w:t xml:space="preserve"> </w:t>
      </w:r>
    </w:p>
    <w:p w:rsidR="005A4BE7" w:rsidRPr="009F1B7E" w:rsidRDefault="005A4BE7" w:rsidP="006F1329">
      <w:pPr>
        <w:tabs>
          <w:tab w:val="left" w:pos="720"/>
          <w:tab w:val="left" w:pos="9214"/>
        </w:tabs>
        <w:spacing w:after="0" w:line="240" w:lineRule="auto"/>
        <w:jc w:val="both"/>
        <w:rPr>
          <w:sz w:val="21"/>
          <w:szCs w:val="21"/>
          <w:lang w:val="es-ES_tradnl" w:eastAsia="ar-SA"/>
        </w:rPr>
      </w:pPr>
      <w:r w:rsidRPr="009F1B7E">
        <w:rPr>
          <w:rFonts w:eastAsia="Times New Roman" w:cs="Courier New"/>
          <w:b/>
          <w:sz w:val="21"/>
          <w:szCs w:val="21"/>
          <w:lang w:val="es-ES_tradnl"/>
        </w:rPr>
        <w:tab/>
        <w:t>Perito/a cuyo nombre será informado a la brevedad</w:t>
      </w:r>
      <w:r w:rsidRPr="009F1B7E">
        <w:rPr>
          <w:rFonts w:eastAsia="Times New Roman" w:cs="Courier New"/>
          <w:sz w:val="21"/>
          <w:szCs w:val="21"/>
          <w:lang w:val="es-ES_tradnl"/>
        </w:rPr>
        <w:t xml:space="preserve">, quien declarará sobre la enfermedad de que trata el presente caso, incluyendo las especificidades del tratamiento médico requerido, sus posibles implicaciones y secuelas, así como las posibilidades de prevención de las mismas. </w:t>
      </w:r>
    </w:p>
    <w:p w:rsidR="005A4BE7" w:rsidRPr="009F1B7E" w:rsidRDefault="005A4BE7" w:rsidP="006F1329">
      <w:pPr>
        <w:tabs>
          <w:tab w:val="left" w:pos="720"/>
          <w:tab w:val="left" w:pos="9214"/>
        </w:tabs>
        <w:spacing w:after="0" w:line="240" w:lineRule="auto"/>
        <w:jc w:val="both"/>
        <w:rPr>
          <w:rFonts w:cs="Courier New"/>
          <w:b/>
          <w:sz w:val="21"/>
          <w:szCs w:val="21"/>
          <w:lang w:val="es-ES_tradnl"/>
        </w:rPr>
      </w:pPr>
    </w:p>
    <w:p w:rsidR="004A15CD" w:rsidRPr="009F1B7E" w:rsidRDefault="001C5582" w:rsidP="00BD4CB6">
      <w:pPr>
        <w:tabs>
          <w:tab w:val="left" w:pos="0"/>
        </w:tabs>
        <w:spacing w:after="0" w:line="240" w:lineRule="auto"/>
        <w:ind w:firstLine="720"/>
        <w:jc w:val="both"/>
        <w:rPr>
          <w:sz w:val="21"/>
          <w:szCs w:val="21"/>
          <w:lang w:val="es-CO"/>
        </w:rPr>
      </w:pPr>
      <w:r w:rsidRPr="009F1B7E">
        <w:rPr>
          <w:rFonts w:cs="Courier New"/>
          <w:sz w:val="21"/>
          <w:szCs w:val="21"/>
          <w:lang w:val="es-ES_tradnl"/>
        </w:rPr>
        <w:t>Los</w:t>
      </w:r>
      <w:r w:rsidR="00EC24DE" w:rsidRPr="009F1B7E">
        <w:rPr>
          <w:rFonts w:cs="Courier New"/>
          <w:sz w:val="21"/>
          <w:szCs w:val="21"/>
          <w:lang w:val="es-ES_tradnl"/>
        </w:rPr>
        <w:t xml:space="preserve"> CV</w:t>
      </w:r>
      <w:r w:rsidRPr="009F1B7E">
        <w:rPr>
          <w:rFonts w:cs="Courier New"/>
          <w:sz w:val="21"/>
          <w:szCs w:val="21"/>
          <w:lang w:val="es-ES_tradnl"/>
        </w:rPr>
        <w:t xml:space="preserve">’s </w:t>
      </w:r>
      <w:r w:rsidR="00EC24DE" w:rsidRPr="009F1B7E">
        <w:rPr>
          <w:rFonts w:cs="Courier New"/>
          <w:sz w:val="21"/>
          <w:szCs w:val="21"/>
          <w:lang w:val="es-ES_tradnl"/>
        </w:rPr>
        <w:t>de</w:t>
      </w:r>
      <w:r w:rsidRPr="009F1B7E">
        <w:rPr>
          <w:rFonts w:cs="Courier New"/>
          <w:sz w:val="21"/>
          <w:szCs w:val="21"/>
          <w:lang w:val="es-ES_tradnl"/>
        </w:rPr>
        <w:t xml:space="preserve"> los/as</w:t>
      </w:r>
      <w:r w:rsidR="008C021C" w:rsidRPr="009F1B7E">
        <w:rPr>
          <w:rFonts w:cs="Courier New"/>
          <w:sz w:val="21"/>
          <w:szCs w:val="21"/>
          <w:lang w:val="es-ES_tradnl"/>
        </w:rPr>
        <w:t xml:space="preserve"> </w:t>
      </w:r>
      <w:r w:rsidRPr="009F1B7E">
        <w:rPr>
          <w:sz w:val="21"/>
          <w:szCs w:val="21"/>
          <w:lang w:val="es-AR"/>
        </w:rPr>
        <w:t>peritos</w:t>
      </w:r>
      <w:r w:rsidR="004A15CD" w:rsidRPr="009F1B7E">
        <w:rPr>
          <w:sz w:val="21"/>
          <w:szCs w:val="21"/>
          <w:lang w:val="es-AR"/>
        </w:rPr>
        <w:t>/a</w:t>
      </w:r>
      <w:r w:rsidRPr="009F1B7E">
        <w:rPr>
          <w:sz w:val="21"/>
          <w:szCs w:val="21"/>
          <w:lang w:val="es-AR"/>
        </w:rPr>
        <w:t>s</w:t>
      </w:r>
      <w:r w:rsidR="004A15CD" w:rsidRPr="009F1B7E">
        <w:rPr>
          <w:sz w:val="21"/>
          <w:szCs w:val="21"/>
          <w:lang w:val="es-AR"/>
        </w:rPr>
        <w:t xml:space="preserve"> ofrecido</w:t>
      </w:r>
      <w:r w:rsidRPr="009F1B7E">
        <w:rPr>
          <w:sz w:val="21"/>
          <w:szCs w:val="21"/>
          <w:lang w:val="es-AR"/>
        </w:rPr>
        <w:t>s</w:t>
      </w:r>
      <w:r w:rsidR="004A15CD" w:rsidRPr="009F1B7E">
        <w:rPr>
          <w:sz w:val="21"/>
          <w:szCs w:val="21"/>
          <w:lang w:val="es-AR"/>
        </w:rPr>
        <w:t>/a</w:t>
      </w:r>
      <w:r w:rsidRPr="009F1B7E">
        <w:rPr>
          <w:sz w:val="21"/>
          <w:szCs w:val="21"/>
          <w:lang w:val="es-AR"/>
        </w:rPr>
        <w:t>s</w:t>
      </w:r>
      <w:r w:rsidR="004A15CD" w:rsidRPr="009F1B7E">
        <w:rPr>
          <w:sz w:val="21"/>
          <w:szCs w:val="21"/>
          <w:lang w:val="es-AR"/>
        </w:rPr>
        <w:t xml:space="preserve"> </w:t>
      </w:r>
      <w:r w:rsidR="004A15CD" w:rsidRPr="009F1B7E">
        <w:rPr>
          <w:sz w:val="21"/>
          <w:szCs w:val="21"/>
          <w:lang w:val="es-CO"/>
        </w:rPr>
        <w:t>será</w:t>
      </w:r>
      <w:r w:rsidRPr="009F1B7E">
        <w:rPr>
          <w:sz w:val="21"/>
          <w:szCs w:val="21"/>
          <w:lang w:val="es-CO"/>
        </w:rPr>
        <w:t>n</w:t>
      </w:r>
      <w:r w:rsidR="004A15CD" w:rsidRPr="009F1B7E">
        <w:rPr>
          <w:sz w:val="21"/>
          <w:szCs w:val="21"/>
          <w:lang w:val="es-CO"/>
        </w:rPr>
        <w:t xml:space="preserve"> inc</w:t>
      </w:r>
      <w:r w:rsidR="00EC24DE" w:rsidRPr="009F1B7E">
        <w:rPr>
          <w:sz w:val="21"/>
          <w:szCs w:val="21"/>
          <w:lang w:val="es-CO"/>
        </w:rPr>
        <w:t>luido en los anexos al informe de fondo.</w:t>
      </w:r>
      <w:r w:rsidR="004A15CD" w:rsidRPr="009F1B7E">
        <w:rPr>
          <w:sz w:val="21"/>
          <w:szCs w:val="21"/>
          <w:lang w:val="es-CO"/>
        </w:rPr>
        <w:t xml:space="preserve"> </w:t>
      </w:r>
    </w:p>
    <w:p w:rsidR="004A15CD" w:rsidRPr="009F1B7E" w:rsidRDefault="004A15CD" w:rsidP="00BD4CB6">
      <w:pPr>
        <w:tabs>
          <w:tab w:val="left" w:pos="0"/>
        </w:tabs>
        <w:spacing w:after="0" w:line="240" w:lineRule="auto"/>
        <w:ind w:firstLine="720"/>
        <w:jc w:val="both"/>
        <w:rPr>
          <w:sz w:val="21"/>
          <w:szCs w:val="21"/>
          <w:lang w:val="es-CO"/>
        </w:rPr>
      </w:pPr>
    </w:p>
    <w:p w:rsidR="004A15CD" w:rsidRPr="009F1B7E" w:rsidRDefault="004A15CD" w:rsidP="00BD4CB6">
      <w:pPr>
        <w:tabs>
          <w:tab w:val="left" w:pos="720"/>
          <w:tab w:val="left" w:pos="9214"/>
        </w:tabs>
        <w:spacing w:after="0" w:line="240" w:lineRule="auto"/>
        <w:jc w:val="both"/>
        <w:rPr>
          <w:sz w:val="21"/>
          <w:szCs w:val="21"/>
          <w:lang w:val="es-ES_tradnl"/>
        </w:rPr>
      </w:pPr>
      <w:r w:rsidRPr="009F1B7E">
        <w:rPr>
          <w:sz w:val="21"/>
          <w:szCs w:val="21"/>
          <w:lang w:val="es-ES_tradnl"/>
        </w:rPr>
        <w:tab/>
        <w:t xml:space="preserve">La Comisión pone en conocimiento de la Corte la siguiente información sobre quienes actuaron </w:t>
      </w:r>
      <w:r w:rsidRPr="009F1B7E">
        <w:rPr>
          <w:color w:val="000000"/>
          <w:sz w:val="21"/>
          <w:szCs w:val="21"/>
          <w:lang w:val="es-ES" w:eastAsia="ar-SA"/>
        </w:rPr>
        <w:t>como</w:t>
      </w:r>
      <w:r w:rsidRPr="009F1B7E">
        <w:rPr>
          <w:sz w:val="21"/>
          <w:szCs w:val="21"/>
          <w:lang w:val="es-ES_tradnl"/>
        </w:rPr>
        <w:t xml:space="preserve"> peticionarios a lo largo del trámite del caso: </w:t>
      </w:r>
    </w:p>
    <w:p w:rsidR="005A4BE7" w:rsidRPr="009F1B7E" w:rsidRDefault="005A4BE7" w:rsidP="005A4BE7">
      <w:pPr>
        <w:spacing w:after="0" w:line="240" w:lineRule="auto"/>
        <w:jc w:val="center"/>
        <w:rPr>
          <w:rFonts w:eastAsia="Times New Roman"/>
          <w:color w:val="000000"/>
          <w:sz w:val="21"/>
          <w:szCs w:val="21"/>
          <w:lang w:val="es-VE"/>
        </w:rPr>
      </w:pPr>
      <w:r w:rsidRPr="009F1B7E">
        <w:rPr>
          <w:rFonts w:eastAsia="Times New Roman"/>
          <w:color w:val="000000"/>
          <w:sz w:val="21"/>
          <w:szCs w:val="21"/>
          <w:lang w:val="es-ES"/>
        </w:rPr>
        <w:t>Señores</w:t>
      </w:r>
    </w:p>
    <w:p w:rsidR="005A4BE7" w:rsidRPr="009F1B7E" w:rsidRDefault="005A4BE7" w:rsidP="005A4BE7">
      <w:pPr>
        <w:spacing w:after="0" w:line="240" w:lineRule="auto"/>
        <w:jc w:val="center"/>
        <w:rPr>
          <w:rFonts w:eastAsia="Times New Roman"/>
          <w:color w:val="000000"/>
          <w:sz w:val="21"/>
          <w:szCs w:val="21"/>
          <w:lang w:val="es-VE"/>
        </w:rPr>
      </w:pPr>
      <w:r w:rsidRPr="009F1B7E">
        <w:rPr>
          <w:rFonts w:eastAsia="Times New Roman"/>
          <w:color w:val="000000"/>
          <w:sz w:val="21"/>
          <w:szCs w:val="21"/>
          <w:lang w:val="es-ES"/>
        </w:rPr>
        <w:t>Rodolfo Ojea Quintana y</w:t>
      </w:r>
    </w:p>
    <w:p w:rsidR="005A4BE7" w:rsidRPr="009F1B7E" w:rsidRDefault="005A4BE7" w:rsidP="005A4BE7">
      <w:pPr>
        <w:spacing w:after="0" w:line="240" w:lineRule="auto"/>
        <w:jc w:val="center"/>
        <w:rPr>
          <w:rFonts w:eastAsia="Times New Roman"/>
          <w:color w:val="000000"/>
          <w:sz w:val="21"/>
          <w:szCs w:val="21"/>
          <w:lang w:val="es-VE"/>
        </w:rPr>
      </w:pPr>
      <w:r w:rsidRPr="009F1B7E">
        <w:rPr>
          <w:rFonts w:eastAsia="Times New Roman"/>
          <w:color w:val="000000"/>
          <w:sz w:val="21"/>
          <w:szCs w:val="21"/>
          <w:lang w:val="es-ES"/>
        </w:rPr>
        <w:t>Tomás Ojea Quintana</w:t>
      </w:r>
    </w:p>
    <w:p w:rsidR="00677707" w:rsidRPr="00677707" w:rsidRDefault="00677707" w:rsidP="005A4BE7">
      <w:pPr>
        <w:spacing w:after="0" w:line="240" w:lineRule="auto"/>
        <w:jc w:val="center"/>
        <w:rPr>
          <w:rFonts w:eastAsia="Times New Roman"/>
          <w:color w:val="000000"/>
          <w:sz w:val="21"/>
          <w:szCs w:val="21"/>
          <w:highlight w:val="black"/>
          <w:lang w:val="es-ES"/>
        </w:rPr>
      </w:pPr>
      <w:proofErr w:type="gramStart"/>
      <w:r w:rsidRPr="00677707">
        <w:rPr>
          <w:rFonts w:eastAsia="Times New Roman"/>
          <w:color w:val="000000"/>
          <w:sz w:val="21"/>
          <w:szCs w:val="21"/>
          <w:highlight w:val="black"/>
          <w:lang w:val="es-ES"/>
        </w:rPr>
        <w:t>xxxxxxxxxxxxxxxxxxxxxxxxxxx</w:t>
      </w:r>
      <w:proofErr w:type="gramEnd"/>
    </w:p>
    <w:p w:rsidR="005A4BE7" w:rsidRPr="00677707" w:rsidRDefault="00677707" w:rsidP="005A4BE7">
      <w:pPr>
        <w:spacing w:after="0" w:line="240" w:lineRule="auto"/>
        <w:jc w:val="center"/>
        <w:rPr>
          <w:rFonts w:eastAsia="Times New Roman"/>
          <w:color w:val="000000"/>
          <w:sz w:val="21"/>
          <w:szCs w:val="21"/>
          <w:highlight w:val="black"/>
          <w:lang w:val="es-VE"/>
        </w:rPr>
      </w:pPr>
      <w:proofErr w:type="gramStart"/>
      <w:r w:rsidRPr="00677707">
        <w:rPr>
          <w:rFonts w:eastAsia="Times New Roman"/>
          <w:color w:val="000000"/>
          <w:sz w:val="21"/>
          <w:szCs w:val="21"/>
          <w:highlight w:val="black"/>
          <w:lang w:val="es-ES"/>
        </w:rPr>
        <w:t>xxxxxxxxxxxxxxxxxxxxxxxxxx</w:t>
      </w:r>
      <w:proofErr w:type="gramEnd"/>
    </w:p>
    <w:p w:rsidR="005050A2" w:rsidRPr="005050A2" w:rsidRDefault="00677707" w:rsidP="005050A2">
      <w:pPr>
        <w:spacing w:after="0" w:line="240" w:lineRule="auto"/>
        <w:jc w:val="center"/>
        <w:rPr>
          <w:bCs/>
          <w:iCs/>
          <w:sz w:val="21"/>
          <w:szCs w:val="21"/>
          <w:lang w:val="es-ES"/>
        </w:rPr>
      </w:pPr>
      <w:proofErr w:type="gramStart"/>
      <w:r w:rsidRPr="00677707">
        <w:rPr>
          <w:bCs/>
          <w:iCs/>
          <w:sz w:val="21"/>
          <w:szCs w:val="21"/>
          <w:highlight w:val="black"/>
          <w:lang w:val="es-ES"/>
        </w:rPr>
        <w:t>xxxxxxxxxxxxxxxxxxxxxxxxxxxxxxx</w:t>
      </w:r>
      <w:proofErr w:type="gramEnd"/>
    </w:p>
    <w:p w:rsidR="005A4BE7" w:rsidRPr="009F1B7E" w:rsidRDefault="005A4BE7" w:rsidP="00BD4CB6">
      <w:pPr>
        <w:autoSpaceDE w:val="0"/>
        <w:autoSpaceDN w:val="0"/>
        <w:adjustRightInd w:val="0"/>
        <w:spacing w:after="0" w:line="240" w:lineRule="auto"/>
        <w:jc w:val="center"/>
        <w:rPr>
          <w:rFonts w:cs="Arial"/>
          <w:sz w:val="24"/>
          <w:szCs w:val="24"/>
          <w:lang w:val="es-ES_tradnl"/>
        </w:rPr>
      </w:pPr>
    </w:p>
    <w:p w:rsidR="004A15CD" w:rsidRPr="009F1B7E" w:rsidRDefault="004A15CD" w:rsidP="00BD4CB6">
      <w:pPr>
        <w:tabs>
          <w:tab w:val="left" w:pos="0"/>
        </w:tabs>
        <w:spacing w:after="0" w:line="240" w:lineRule="auto"/>
        <w:ind w:firstLine="720"/>
        <w:jc w:val="both"/>
        <w:rPr>
          <w:rFonts w:cs="Arial"/>
          <w:sz w:val="21"/>
          <w:szCs w:val="21"/>
          <w:lang w:val="es-CO"/>
        </w:rPr>
      </w:pPr>
      <w:r w:rsidRPr="009F1B7E">
        <w:rPr>
          <w:rFonts w:cs="Arial"/>
          <w:sz w:val="21"/>
          <w:szCs w:val="21"/>
          <w:lang w:val="es-CO"/>
        </w:rPr>
        <w:t>Aprovecho la oportunidad para saludar a usted muy atentamente,</w:t>
      </w:r>
    </w:p>
    <w:p w:rsidR="004A15CD" w:rsidRPr="009F1B7E" w:rsidRDefault="004A15CD" w:rsidP="00BD4CB6">
      <w:pPr>
        <w:suppressAutoHyphens/>
        <w:spacing w:after="0" w:line="240" w:lineRule="auto"/>
        <w:rPr>
          <w:rFonts w:cs="Arial"/>
          <w:snapToGrid w:val="0"/>
          <w:sz w:val="21"/>
          <w:szCs w:val="21"/>
          <w:lang w:val="es-CO"/>
        </w:rPr>
      </w:pPr>
    </w:p>
    <w:p w:rsidR="009E3717" w:rsidRPr="009F1B7E" w:rsidRDefault="009E3717" w:rsidP="00BD4CB6">
      <w:pPr>
        <w:suppressAutoHyphens/>
        <w:spacing w:after="0" w:line="240" w:lineRule="auto"/>
        <w:rPr>
          <w:rFonts w:cs="Arial"/>
          <w:snapToGrid w:val="0"/>
          <w:sz w:val="21"/>
          <w:szCs w:val="21"/>
          <w:lang w:val="es-CO"/>
        </w:rPr>
      </w:pPr>
    </w:p>
    <w:p w:rsidR="009E3717" w:rsidRPr="009F1B7E" w:rsidRDefault="009E3717" w:rsidP="00BD4CB6">
      <w:pPr>
        <w:suppressAutoHyphens/>
        <w:spacing w:after="0" w:line="240" w:lineRule="auto"/>
        <w:rPr>
          <w:rFonts w:cs="Arial"/>
          <w:snapToGrid w:val="0"/>
          <w:sz w:val="21"/>
          <w:szCs w:val="21"/>
          <w:lang w:val="es-CO"/>
        </w:rPr>
      </w:pPr>
    </w:p>
    <w:p w:rsidR="009E3717" w:rsidRPr="00F66400" w:rsidRDefault="00677707" w:rsidP="00677707">
      <w:pPr>
        <w:suppressAutoHyphens/>
        <w:spacing w:after="0" w:line="240" w:lineRule="auto"/>
        <w:ind w:left="4320" w:firstLine="720"/>
        <w:rPr>
          <w:rFonts w:cs="Arial"/>
          <w:snapToGrid w:val="0"/>
          <w:color w:val="808080"/>
          <w:sz w:val="20"/>
          <w:szCs w:val="21"/>
          <w:lang w:val="es-CO"/>
        </w:rPr>
      </w:pPr>
      <w:r w:rsidRPr="00F66400">
        <w:rPr>
          <w:rFonts w:cs="Arial"/>
          <w:snapToGrid w:val="0"/>
          <w:color w:val="808080"/>
          <w:sz w:val="20"/>
          <w:szCs w:val="21"/>
          <w:lang w:val="es-CO"/>
        </w:rPr>
        <w:t xml:space="preserve">         Firmado en el original</w:t>
      </w:r>
    </w:p>
    <w:p w:rsidR="004A15CD" w:rsidRPr="009F1B7E" w:rsidRDefault="00973473" w:rsidP="00973473">
      <w:pPr>
        <w:suppressAutoHyphens/>
        <w:spacing w:after="0" w:line="240" w:lineRule="auto"/>
        <w:ind w:left="5040"/>
        <w:rPr>
          <w:rFonts w:cs="Arial"/>
          <w:snapToGrid w:val="0"/>
          <w:sz w:val="21"/>
          <w:szCs w:val="21"/>
          <w:lang w:val="es-CO"/>
        </w:rPr>
      </w:pPr>
      <w:r w:rsidRPr="009F1B7E">
        <w:rPr>
          <w:rFonts w:cs="Arial"/>
          <w:snapToGrid w:val="0"/>
          <w:sz w:val="21"/>
          <w:szCs w:val="21"/>
          <w:lang w:val="es-CO"/>
        </w:rPr>
        <w:t xml:space="preserve">      </w:t>
      </w:r>
      <w:r w:rsidR="004A15CD" w:rsidRPr="009F1B7E">
        <w:rPr>
          <w:rFonts w:cs="Arial"/>
          <w:snapToGrid w:val="0"/>
          <w:sz w:val="21"/>
          <w:szCs w:val="21"/>
          <w:lang w:val="es-CO"/>
        </w:rPr>
        <w:t xml:space="preserve">Elizabeth Abi-Mershed </w:t>
      </w:r>
    </w:p>
    <w:p w:rsidR="004A15CD" w:rsidRPr="009F1B7E" w:rsidRDefault="004A15CD" w:rsidP="00BD4CB6">
      <w:pPr>
        <w:suppressAutoHyphens/>
        <w:spacing w:after="0" w:line="240" w:lineRule="auto"/>
        <w:ind w:left="4320"/>
        <w:rPr>
          <w:sz w:val="21"/>
          <w:szCs w:val="21"/>
          <w:lang w:val="es-CO"/>
        </w:rPr>
      </w:pPr>
      <w:r w:rsidRPr="009F1B7E">
        <w:rPr>
          <w:rFonts w:cs="Arial"/>
          <w:snapToGrid w:val="0"/>
          <w:sz w:val="21"/>
          <w:szCs w:val="21"/>
          <w:lang w:val="es-CO"/>
        </w:rPr>
        <w:t xml:space="preserve">    </w:t>
      </w:r>
      <w:r w:rsidR="00975FD5" w:rsidRPr="009F1B7E">
        <w:rPr>
          <w:rFonts w:cs="Arial"/>
          <w:snapToGrid w:val="0"/>
          <w:sz w:val="21"/>
          <w:szCs w:val="21"/>
          <w:lang w:val="es-CO"/>
        </w:rPr>
        <w:t xml:space="preserve">    </w:t>
      </w:r>
      <w:r w:rsidRPr="009F1B7E">
        <w:rPr>
          <w:rFonts w:cs="Arial"/>
          <w:snapToGrid w:val="0"/>
          <w:sz w:val="21"/>
          <w:szCs w:val="21"/>
          <w:lang w:val="es-CO"/>
        </w:rPr>
        <w:t xml:space="preserve">         </w:t>
      </w:r>
      <w:r w:rsidR="009E3717" w:rsidRPr="009F1B7E">
        <w:rPr>
          <w:rFonts w:cs="Arial"/>
          <w:snapToGrid w:val="0"/>
          <w:sz w:val="21"/>
          <w:szCs w:val="21"/>
          <w:lang w:val="es-CO"/>
        </w:rPr>
        <w:t>Secretaria Ejecutiva Adjunta</w:t>
      </w:r>
    </w:p>
    <w:p w:rsidR="00F403FA" w:rsidRPr="00677707" w:rsidRDefault="009E3717" w:rsidP="00BD4CB6">
      <w:pPr>
        <w:spacing w:after="0" w:line="240" w:lineRule="auto"/>
        <w:rPr>
          <w:sz w:val="21"/>
          <w:szCs w:val="21"/>
          <w:lang w:val="es-UY"/>
        </w:rPr>
      </w:pPr>
      <w:r w:rsidRPr="00677707">
        <w:rPr>
          <w:sz w:val="21"/>
          <w:szCs w:val="21"/>
          <w:lang w:val="es-UY"/>
        </w:rPr>
        <w:t>Anexo</w:t>
      </w:r>
    </w:p>
    <w:sectPr w:rsidR="00F403FA" w:rsidRPr="00677707" w:rsidSect="00E40E1E">
      <w:headerReference w:type="default" r:id="rId8"/>
      <w:footerReference w:type="default" r:id="rId9"/>
      <w:headerReference w:type="first" r:id="rId10"/>
      <w:footerReference w:type="first" r:id="rId11"/>
      <w:pgSz w:w="12240" w:h="15840"/>
      <w:pgMar w:top="1260" w:right="1440" w:bottom="630" w:left="126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DBB" w:rsidRDefault="00743DBB">
      <w:pPr>
        <w:spacing w:after="0" w:line="240" w:lineRule="auto"/>
      </w:pPr>
      <w:r>
        <w:separator/>
      </w:r>
    </w:p>
  </w:endnote>
  <w:endnote w:type="continuationSeparator" w:id="0">
    <w:p w:rsidR="00743DBB" w:rsidRDefault="00743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imes-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1E" w:rsidRPr="00A72869" w:rsidRDefault="00E40E1E">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1D0CC9">
      <w:rPr>
        <w:noProof/>
        <w:color w:val="7F7F7F"/>
        <w:sz w:val="16"/>
      </w:rPr>
      <w:t>3</w:t>
    </w:r>
    <w:r w:rsidRPr="00A72869">
      <w:rPr>
        <w:noProof/>
        <w:color w:val="7F7F7F"/>
        <w:sz w:val="16"/>
      </w:rPr>
      <w:fldChar w:fldCharType="end"/>
    </w:r>
  </w:p>
  <w:p w:rsidR="009E3717" w:rsidRDefault="009E3717" w:rsidP="009E3717">
    <w:pPr>
      <w:pStyle w:val="Piedepgina"/>
      <w:spacing w:line="360" w:lineRule="auto"/>
    </w:pPr>
    <w:r>
      <w:pict>
        <v:rect id="_x0000_i1028" style="width:0;height:1.5pt" o:hralign="center" o:hrstd="t" o:hr="t" fillcolor="#a0a0a0" stroked="f"/>
      </w:pict>
    </w:r>
  </w:p>
  <w:p w:rsidR="009E3717" w:rsidRDefault="009E3717" w:rsidP="009E3717">
    <w:pPr>
      <w:pStyle w:val="Piedepgin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1E" w:rsidRDefault="00E40E1E" w:rsidP="00E40E1E">
    <w:pPr>
      <w:pStyle w:val="Piedepgina"/>
      <w:spacing w:line="360" w:lineRule="auto"/>
    </w:pPr>
    <w:r>
      <w:pict>
        <v:rect id="_x0000_i1026" style="width:0;height:1.5pt" o:hralign="center" o:hrstd="t" o:hr="t" fillcolor="#a0a0a0" stroked="f"/>
      </w:pict>
    </w:r>
  </w:p>
  <w:p w:rsidR="00E40E1E" w:rsidRDefault="00E40E1E" w:rsidP="00E40E1E">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2" type="#_x0000_t75" style="width:403.2pt;height:25.35pt;visibility:visible">
          <v:imagedata r:id="rId1" o:title="footer-es"/>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DBB" w:rsidRDefault="00743DBB">
      <w:pPr>
        <w:spacing w:after="0" w:line="240" w:lineRule="auto"/>
      </w:pPr>
      <w:r>
        <w:separator/>
      </w:r>
    </w:p>
  </w:footnote>
  <w:footnote w:type="continuationSeparator" w:id="0">
    <w:p w:rsidR="00743DBB" w:rsidRDefault="00743D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1E" w:rsidRPr="0058688A" w:rsidRDefault="00E40E1E" w:rsidP="00E40E1E">
    <w:pPr>
      <w:pStyle w:val="Encabezado"/>
      <w:jc w:val="center"/>
      <w:rPr>
        <w:lang w:val="es-ES_tradnl"/>
      </w:rPr>
    </w:pPr>
    <w:r>
      <w:rPr>
        <w:lang w:val="es-ES_tradn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80.3pt;height:9.8pt">
          <v:imagedata r:id="rId1" o:title="cidh-peq"/>
        </v:shape>
      </w:pict>
    </w:r>
  </w:p>
  <w:p w:rsidR="00E40E1E" w:rsidRDefault="00E40E1E">
    <w:pPr>
      <w:pStyle w:val="Encabezado"/>
    </w:pPr>
    <w:r>
      <w:pict>
        <v:rect id="_x0000_i1027"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0E1E" w:rsidRDefault="00E40E1E" w:rsidP="00E40E1E">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30" type="#_x0000_t75" style="width:184.9pt;height:35.7pt;visibility:visible">
          <v:imagedata r:id="rId1" o:title="cidh-es"/>
        </v:shape>
      </w:pict>
    </w:r>
    <w:r>
      <w:tab/>
    </w:r>
    <w:r>
      <w:tab/>
    </w:r>
    <w:r w:rsidRPr="008A5CB5">
      <w:rPr>
        <w:noProof/>
      </w:rPr>
      <w:pict>
        <v:shape id="Picture 2" o:spid="_x0000_i1031" type="#_x0000_t75" style="width:129.6pt;height:37.45pt;visibility:visible">
          <v:imagedata r:id="rId2" o:title="oea-es"/>
        </v:shape>
      </w:pict>
    </w:r>
  </w:p>
  <w:p w:rsidR="00E40E1E" w:rsidRDefault="00E40E1E" w:rsidP="00E40E1E">
    <w:pPr>
      <w:pStyle w:val="Encabezado"/>
    </w:pPr>
    <w:r>
      <w:pict>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4CC5D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ABD2F3C"/>
    <w:multiLevelType w:val="hybridMultilevel"/>
    <w:tmpl w:val="A02A1258"/>
    <w:lvl w:ilvl="0" w:tplc="8DF6973A">
      <w:start w:val="1"/>
      <w:numFmt w:val="decimal"/>
      <w:lvlText w:val="%1."/>
      <w:lvlJc w:val="left"/>
      <w:pPr>
        <w:tabs>
          <w:tab w:val="num" w:pos="2160"/>
        </w:tabs>
        <w:ind w:left="2160" w:hanging="1440"/>
      </w:pPr>
      <w:rPr>
        <w:rFonts w:ascii="Cambria" w:hAnsi="Cambria" w:hint="default"/>
        <w:b w:val="0"/>
        <w:i w:val="0"/>
        <w:color w:val="auto"/>
        <w:sz w:val="20"/>
        <w:szCs w:val="20"/>
      </w:rPr>
    </w:lvl>
    <w:lvl w:ilvl="1" w:tplc="8818AAE4">
      <w:start w:val="4"/>
      <w:numFmt w:val="upperRoman"/>
      <w:lvlText w:val="%2."/>
      <w:lvlJc w:val="left"/>
      <w:pPr>
        <w:tabs>
          <w:tab w:val="num" w:pos="2160"/>
        </w:tabs>
        <w:ind w:left="2160" w:hanging="720"/>
      </w:pPr>
      <w:rPr>
        <w:rFonts w:hint="default"/>
        <w:b/>
      </w:rPr>
    </w:lvl>
    <w:lvl w:ilvl="2" w:tplc="ECA8A366">
      <w:start w:val="1"/>
      <w:numFmt w:val="upperLetter"/>
      <w:lvlText w:val="%3."/>
      <w:lvlJc w:val="left"/>
      <w:pPr>
        <w:tabs>
          <w:tab w:val="num" w:pos="3060"/>
        </w:tabs>
        <w:ind w:left="3060" w:hanging="720"/>
      </w:pPr>
      <w:rPr>
        <w:rFonts w:hint="default"/>
        <w:b/>
      </w:rPr>
    </w:lvl>
    <w:lvl w:ilvl="3" w:tplc="CFE897F8">
      <w:start w:val="1"/>
      <w:numFmt w:val="lowerLetter"/>
      <w:lvlText w:val="%4."/>
      <w:lvlJc w:val="left"/>
      <w:pPr>
        <w:tabs>
          <w:tab w:val="num" w:pos="3240"/>
        </w:tabs>
        <w:ind w:left="3240" w:hanging="360"/>
      </w:pPr>
      <w:rPr>
        <w:rFonts w:hint="default"/>
      </w:rPr>
    </w:lvl>
    <w:lvl w:ilvl="4" w:tplc="1D229B08">
      <w:start w:val="9"/>
      <w:numFmt w:val="bullet"/>
      <w:lvlText w:val="-"/>
      <w:lvlJc w:val="left"/>
      <w:pPr>
        <w:tabs>
          <w:tab w:val="num" w:pos="3960"/>
        </w:tabs>
        <w:ind w:left="3960" w:hanging="360"/>
      </w:pPr>
      <w:rPr>
        <w:rFonts w:ascii="Univers" w:eastAsia="Times New Roman" w:hAnsi="Univer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3A870DDA"/>
    <w:multiLevelType w:val="hybridMultilevel"/>
    <w:tmpl w:val="590440B6"/>
    <w:lvl w:ilvl="0" w:tplc="F4E6C440">
      <w:start w:val="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5F26EEC"/>
    <w:multiLevelType w:val="hybridMultilevel"/>
    <w:tmpl w:val="BE927AB4"/>
    <w:lvl w:ilvl="0" w:tplc="C9D0D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5CD"/>
    <w:rsid w:val="00037CE6"/>
    <w:rsid w:val="000420B6"/>
    <w:rsid w:val="000C39DF"/>
    <w:rsid w:val="000C4855"/>
    <w:rsid w:val="000E0C45"/>
    <w:rsid w:val="0012059A"/>
    <w:rsid w:val="00142188"/>
    <w:rsid w:val="00142442"/>
    <w:rsid w:val="001C5582"/>
    <w:rsid w:val="001D0CC9"/>
    <w:rsid w:val="001D30F4"/>
    <w:rsid w:val="001E50AC"/>
    <w:rsid w:val="002001A8"/>
    <w:rsid w:val="00227D99"/>
    <w:rsid w:val="002811EE"/>
    <w:rsid w:val="002939C7"/>
    <w:rsid w:val="003934D3"/>
    <w:rsid w:val="003A259F"/>
    <w:rsid w:val="003C41EF"/>
    <w:rsid w:val="003D3114"/>
    <w:rsid w:val="003E640A"/>
    <w:rsid w:val="00400C45"/>
    <w:rsid w:val="00447991"/>
    <w:rsid w:val="004665A5"/>
    <w:rsid w:val="004A15CD"/>
    <w:rsid w:val="004A5F26"/>
    <w:rsid w:val="004B24F2"/>
    <w:rsid w:val="004E45CE"/>
    <w:rsid w:val="005050A2"/>
    <w:rsid w:val="005216CD"/>
    <w:rsid w:val="00546170"/>
    <w:rsid w:val="00562D5E"/>
    <w:rsid w:val="005850FA"/>
    <w:rsid w:val="005A4BE7"/>
    <w:rsid w:val="005C0BD8"/>
    <w:rsid w:val="00623C17"/>
    <w:rsid w:val="00646D49"/>
    <w:rsid w:val="00677707"/>
    <w:rsid w:val="00690393"/>
    <w:rsid w:val="006E0B4C"/>
    <w:rsid w:val="006F1329"/>
    <w:rsid w:val="0070710A"/>
    <w:rsid w:val="00726844"/>
    <w:rsid w:val="00734F20"/>
    <w:rsid w:val="00742D00"/>
    <w:rsid w:val="00743DBB"/>
    <w:rsid w:val="0076597C"/>
    <w:rsid w:val="00774D60"/>
    <w:rsid w:val="007A16DB"/>
    <w:rsid w:val="0081405B"/>
    <w:rsid w:val="008434AC"/>
    <w:rsid w:val="008704D3"/>
    <w:rsid w:val="008A026E"/>
    <w:rsid w:val="008B166C"/>
    <w:rsid w:val="008C021C"/>
    <w:rsid w:val="008C4A81"/>
    <w:rsid w:val="009022B5"/>
    <w:rsid w:val="009153C2"/>
    <w:rsid w:val="00916365"/>
    <w:rsid w:val="00973473"/>
    <w:rsid w:val="00975FD5"/>
    <w:rsid w:val="009E3717"/>
    <w:rsid w:val="009E6A20"/>
    <w:rsid w:val="009F1B7E"/>
    <w:rsid w:val="00A2360A"/>
    <w:rsid w:val="00A2553C"/>
    <w:rsid w:val="00A8537C"/>
    <w:rsid w:val="00A87C79"/>
    <w:rsid w:val="00AA0157"/>
    <w:rsid w:val="00AB045D"/>
    <w:rsid w:val="00AB0D51"/>
    <w:rsid w:val="00AE442A"/>
    <w:rsid w:val="00B27284"/>
    <w:rsid w:val="00B5000A"/>
    <w:rsid w:val="00B77EA0"/>
    <w:rsid w:val="00BB1B49"/>
    <w:rsid w:val="00BD4CB6"/>
    <w:rsid w:val="00BF3E67"/>
    <w:rsid w:val="00C10128"/>
    <w:rsid w:val="00C2213A"/>
    <w:rsid w:val="00C5047D"/>
    <w:rsid w:val="00C7295A"/>
    <w:rsid w:val="00C810B0"/>
    <w:rsid w:val="00C83D56"/>
    <w:rsid w:val="00C91D99"/>
    <w:rsid w:val="00CA4FFF"/>
    <w:rsid w:val="00CA74A3"/>
    <w:rsid w:val="00CC30CB"/>
    <w:rsid w:val="00CD11CC"/>
    <w:rsid w:val="00CE74D0"/>
    <w:rsid w:val="00CF67F0"/>
    <w:rsid w:val="00D060B5"/>
    <w:rsid w:val="00D46238"/>
    <w:rsid w:val="00D90B90"/>
    <w:rsid w:val="00D924BA"/>
    <w:rsid w:val="00E05845"/>
    <w:rsid w:val="00E40E1E"/>
    <w:rsid w:val="00E672A7"/>
    <w:rsid w:val="00EB43D0"/>
    <w:rsid w:val="00EB5C60"/>
    <w:rsid w:val="00EC24DE"/>
    <w:rsid w:val="00F0155C"/>
    <w:rsid w:val="00F21ECB"/>
    <w:rsid w:val="00F25499"/>
    <w:rsid w:val="00F403FA"/>
    <w:rsid w:val="00F63ED6"/>
    <w:rsid w:val="00F66400"/>
    <w:rsid w:val="00F732DB"/>
    <w:rsid w:val="00F80E0B"/>
    <w:rsid w:val="00F844B8"/>
    <w:rsid w:val="00F877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4A15CD"/>
    <w:pPr>
      <w:tabs>
        <w:tab w:val="center" w:pos="4680"/>
        <w:tab w:val="right" w:pos="9360"/>
      </w:tabs>
      <w:spacing w:after="0" w:line="240" w:lineRule="auto"/>
    </w:pPr>
    <w:rPr>
      <w:rFonts w:eastAsia="MS Mincho"/>
    </w:rPr>
  </w:style>
  <w:style w:type="character" w:customStyle="1" w:styleId="EncabezadoCar">
    <w:name w:val="Encabezado Car"/>
    <w:link w:val="Encabezado"/>
    <w:rsid w:val="004A15CD"/>
    <w:rPr>
      <w:rFonts w:eastAsia="MS Mincho"/>
      <w:sz w:val="22"/>
      <w:szCs w:val="22"/>
    </w:rPr>
  </w:style>
  <w:style w:type="paragraph" w:styleId="Piedepgina">
    <w:name w:val="footer"/>
    <w:basedOn w:val="Normal"/>
    <w:link w:val="PiedepginaCar"/>
    <w:uiPriority w:val="99"/>
    <w:unhideWhenUsed/>
    <w:rsid w:val="004A15CD"/>
    <w:pPr>
      <w:tabs>
        <w:tab w:val="center" w:pos="4680"/>
        <w:tab w:val="right" w:pos="9360"/>
      </w:tabs>
      <w:spacing w:after="0" w:line="240" w:lineRule="auto"/>
    </w:pPr>
    <w:rPr>
      <w:rFonts w:eastAsia="MS Mincho"/>
    </w:rPr>
  </w:style>
  <w:style w:type="character" w:customStyle="1" w:styleId="PiedepginaCar">
    <w:name w:val="Pie de página Car"/>
    <w:link w:val="Piedepgina"/>
    <w:uiPriority w:val="99"/>
    <w:rsid w:val="004A15CD"/>
    <w:rPr>
      <w:rFonts w:eastAsia="MS Mincho"/>
      <w:sz w:val="22"/>
      <w:szCs w:val="22"/>
    </w:rPr>
  </w:style>
  <w:style w:type="character" w:styleId="Hipervnculo">
    <w:name w:val="Hyperlink"/>
    <w:uiPriority w:val="99"/>
    <w:unhideWhenUsed/>
    <w:rsid w:val="008140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473182">
      <w:bodyDiv w:val="1"/>
      <w:marLeft w:val="0"/>
      <w:marRight w:val="0"/>
      <w:marTop w:val="0"/>
      <w:marBottom w:val="0"/>
      <w:divBdr>
        <w:top w:val="none" w:sz="0" w:space="0" w:color="auto"/>
        <w:left w:val="none" w:sz="0" w:space="0" w:color="auto"/>
        <w:bottom w:val="none" w:sz="0" w:space="0" w:color="auto"/>
        <w:right w:val="none" w:sz="0" w:space="0" w:color="auto"/>
      </w:divBdr>
      <w:divsChild>
        <w:div w:id="372928619">
          <w:marLeft w:val="0"/>
          <w:marRight w:val="0"/>
          <w:marTop w:val="0"/>
          <w:marBottom w:val="0"/>
          <w:divBdr>
            <w:top w:val="none" w:sz="0" w:space="0" w:color="auto"/>
            <w:left w:val="none" w:sz="0" w:space="0" w:color="auto"/>
            <w:bottom w:val="none" w:sz="0" w:space="0" w:color="auto"/>
            <w:right w:val="none" w:sz="0" w:space="0" w:color="auto"/>
          </w:divBdr>
        </w:div>
        <w:div w:id="833376125">
          <w:marLeft w:val="0"/>
          <w:marRight w:val="0"/>
          <w:marTop w:val="0"/>
          <w:marBottom w:val="0"/>
          <w:divBdr>
            <w:top w:val="none" w:sz="0" w:space="0" w:color="auto"/>
            <w:left w:val="none" w:sz="0" w:space="0" w:color="auto"/>
            <w:bottom w:val="none" w:sz="0" w:space="0" w:color="auto"/>
            <w:right w:val="none" w:sz="0" w:space="0" w:color="auto"/>
          </w:divBdr>
        </w:div>
        <w:div w:id="1259410084">
          <w:marLeft w:val="0"/>
          <w:marRight w:val="0"/>
          <w:marTop w:val="0"/>
          <w:marBottom w:val="0"/>
          <w:divBdr>
            <w:top w:val="none" w:sz="0" w:space="0" w:color="auto"/>
            <w:left w:val="none" w:sz="0" w:space="0" w:color="auto"/>
            <w:bottom w:val="none" w:sz="0" w:space="0" w:color="auto"/>
            <w:right w:val="none" w:sz="0" w:space="0" w:color="auto"/>
          </w:divBdr>
        </w:div>
        <w:div w:id="1593976684">
          <w:marLeft w:val="0"/>
          <w:marRight w:val="0"/>
          <w:marTop w:val="0"/>
          <w:marBottom w:val="0"/>
          <w:divBdr>
            <w:top w:val="none" w:sz="0" w:space="0" w:color="auto"/>
            <w:left w:val="none" w:sz="0" w:space="0" w:color="auto"/>
            <w:bottom w:val="none" w:sz="0" w:space="0" w:color="auto"/>
            <w:right w:val="none" w:sz="0" w:space="0" w:color="auto"/>
          </w:divBdr>
        </w:div>
        <w:div w:id="1802770057">
          <w:marLeft w:val="0"/>
          <w:marRight w:val="0"/>
          <w:marTop w:val="0"/>
          <w:marBottom w:val="0"/>
          <w:divBdr>
            <w:top w:val="none" w:sz="0" w:space="0" w:color="auto"/>
            <w:left w:val="none" w:sz="0" w:space="0" w:color="auto"/>
            <w:bottom w:val="none" w:sz="0" w:space="0" w:color="auto"/>
            <w:right w:val="none" w:sz="0" w:space="0" w:color="auto"/>
          </w:divBdr>
        </w:div>
        <w:div w:id="1813213481">
          <w:marLeft w:val="0"/>
          <w:marRight w:val="0"/>
          <w:marTop w:val="0"/>
          <w:marBottom w:val="0"/>
          <w:divBdr>
            <w:top w:val="none" w:sz="0" w:space="0" w:color="auto"/>
            <w:left w:val="none" w:sz="0" w:space="0" w:color="auto"/>
            <w:bottom w:val="none" w:sz="0" w:space="0" w:color="auto"/>
            <w:right w:val="none" w:sz="0" w:space="0" w:color="auto"/>
          </w:divBdr>
        </w:div>
      </w:divsChild>
    </w:div>
    <w:div w:id="53886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8B0F41-E760-4AAF-AEB3-06A5A971E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1525</Words>
  <Characters>8388</Characters>
  <Application>Microsoft Office Word</Application>
  <DocSecurity>0</DocSecurity>
  <Lines>69</Lines>
  <Paragraphs>19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9894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2018-09-19T16:17:00Z</cp:lastPrinted>
  <dcterms:created xsi:type="dcterms:W3CDTF">2018-09-19T16:16:00Z</dcterms:created>
  <dcterms:modified xsi:type="dcterms:W3CDTF">2018-09-19T16:17:00Z</dcterms:modified>
</cp:coreProperties>
</file>