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856" w:rsidRPr="004B4F45" w:rsidRDefault="00DF2348" w:rsidP="00136D63">
      <w:pPr>
        <w:suppressAutoHyphens/>
        <w:spacing w:after="0" w:line="240" w:lineRule="auto"/>
        <w:ind w:left="7200"/>
        <w:jc w:val="right"/>
        <w:rPr>
          <w:rFonts w:cs="Arial"/>
          <w:b/>
          <w:sz w:val="21"/>
          <w:szCs w:val="21"/>
          <w:lang w:val="es-CO"/>
        </w:rPr>
      </w:pPr>
      <w:bookmarkStart w:id="0" w:name="_GoBack"/>
      <w:bookmarkEnd w:id="0"/>
      <w:r w:rsidRPr="004B4F45">
        <w:rPr>
          <w:rFonts w:cs="Arial"/>
          <w:sz w:val="21"/>
          <w:szCs w:val="21"/>
          <w:lang w:val="es-CO"/>
        </w:rPr>
        <w:t>19</w:t>
      </w:r>
      <w:r w:rsidR="00B94856" w:rsidRPr="004B4F45">
        <w:rPr>
          <w:rFonts w:cs="Arial"/>
          <w:sz w:val="21"/>
          <w:szCs w:val="21"/>
          <w:lang w:val="es-CO"/>
        </w:rPr>
        <w:t xml:space="preserve"> de</w:t>
      </w:r>
      <w:r w:rsidRPr="004B4F45">
        <w:rPr>
          <w:rFonts w:cs="Arial"/>
          <w:sz w:val="21"/>
          <w:szCs w:val="21"/>
          <w:lang w:val="es-CO"/>
        </w:rPr>
        <w:t xml:space="preserve"> abril de 2018</w:t>
      </w:r>
    </w:p>
    <w:p w:rsidR="00B94856" w:rsidRPr="004B4F45" w:rsidRDefault="00E42E84" w:rsidP="00B94856">
      <w:pPr>
        <w:tabs>
          <w:tab w:val="left" w:pos="720"/>
          <w:tab w:val="center" w:pos="6480"/>
        </w:tabs>
        <w:spacing w:after="0" w:line="240" w:lineRule="auto"/>
        <w:jc w:val="both"/>
        <w:rPr>
          <w:rFonts w:cs="Arial"/>
          <w:b/>
          <w:sz w:val="21"/>
          <w:szCs w:val="21"/>
          <w:lang w:val="pt-BR"/>
        </w:rPr>
      </w:pPr>
      <w:r w:rsidRPr="004B4F45">
        <w:rPr>
          <w:rFonts w:cs="Arial"/>
          <w:b/>
          <w:sz w:val="21"/>
          <w:szCs w:val="21"/>
          <w:lang w:val="pt-BR"/>
        </w:rPr>
        <w:t>REF</w:t>
      </w:r>
      <w:r w:rsidR="00B94856" w:rsidRPr="004B4F45">
        <w:rPr>
          <w:rFonts w:cs="Arial"/>
          <w:b/>
          <w:sz w:val="21"/>
          <w:szCs w:val="21"/>
          <w:lang w:val="pt-BR"/>
        </w:rPr>
        <w:t>.:</w:t>
      </w:r>
      <w:bookmarkStart w:id="1" w:name="Peticion_n"/>
      <w:bookmarkEnd w:id="1"/>
      <w:r w:rsidR="00136D63" w:rsidRPr="004B4F45">
        <w:rPr>
          <w:rFonts w:cs="Arial"/>
          <w:b/>
          <w:sz w:val="21"/>
          <w:szCs w:val="21"/>
          <w:lang w:val="pt-BR"/>
        </w:rPr>
        <w:tab/>
        <w:t>Caso Nº</w:t>
      </w:r>
      <w:r w:rsidR="00B94856" w:rsidRPr="004B4F45">
        <w:rPr>
          <w:rFonts w:cs="Arial"/>
          <w:b/>
          <w:sz w:val="21"/>
          <w:szCs w:val="21"/>
          <w:lang w:val="pt-BR"/>
        </w:rPr>
        <w:t xml:space="preserve"> </w:t>
      </w:r>
      <w:r w:rsidR="00B94856" w:rsidRPr="004B4F45">
        <w:rPr>
          <w:b/>
          <w:sz w:val="21"/>
          <w:szCs w:val="21"/>
          <w:lang w:val="pt-BR"/>
        </w:rPr>
        <w:t>12.</w:t>
      </w:r>
      <w:r w:rsidR="00701DBA" w:rsidRPr="004B4F45">
        <w:rPr>
          <w:b/>
          <w:sz w:val="21"/>
          <w:szCs w:val="21"/>
          <w:lang w:val="pt-BR"/>
        </w:rPr>
        <w:t>452</w:t>
      </w:r>
    </w:p>
    <w:p w:rsidR="00B94856" w:rsidRPr="004B4F45" w:rsidRDefault="0053064C" w:rsidP="00B94856">
      <w:pPr>
        <w:tabs>
          <w:tab w:val="left" w:pos="720"/>
          <w:tab w:val="center" w:pos="6480"/>
        </w:tabs>
        <w:spacing w:after="0" w:line="240" w:lineRule="auto"/>
        <w:ind w:left="720"/>
        <w:jc w:val="both"/>
        <w:rPr>
          <w:rFonts w:cs="Arial"/>
          <w:b/>
          <w:sz w:val="21"/>
          <w:szCs w:val="21"/>
          <w:lang w:val="pt-BR"/>
        </w:rPr>
      </w:pPr>
      <w:r w:rsidRPr="004B4F45">
        <w:rPr>
          <w:rFonts w:cs="Arial"/>
          <w:b/>
          <w:sz w:val="21"/>
          <w:szCs w:val="21"/>
          <w:lang w:val="pt-BR"/>
        </w:rPr>
        <w:t xml:space="preserve">Tirso Román Valenzuela </w:t>
      </w:r>
      <w:r w:rsidRPr="004B4F45">
        <w:rPr>
          <w:b/>
          <w:sz w:val="21"/>
          <w:szCs w:val="21"/>
          <w:lang w:val="pt-BR"/>
        </w:rPr>
        <w:t>Ávila</w:t>
      </w:r>
      <w:r w:rsidR="00D7714E" w:rsidRPr="004B4F45">
        <w:rPr>
          <w:b/>
          <w:sz w:val="21"/>
          <w:szCs w:val="21"/>
          <w:lang w:val="pt-BR"/>
        </w:rPr>
        <w:t xml:space="preserve"> y familiares</w:t>
      </w:r>
    </w:p>
    <w:p w:rsidR="00B94856" w:rsidRPr="004B4F45" w:rsidRDefault="00B94856" w:rsidP="00B94856">
      <w:pPr>
        <w:tabs>
          <w:tab w:val="left" w:pos="720"/>
          <w:tab w:val="center" w:pos="6480"/>
        </w:tabs>
        <w:spacing w:after="0" w:line="240" w:lineRule="auto"/>
        <w:ind w:left="720"/>
        <w:jc w:val="both"/>
        <w:rPr>
          <w:rFonts w:cs="Arial"/>
          <w:b/>
          <w:sz w:val="21"/>
          <w:szCs w:val="21"/>
          <w:lang w:val="es-ES_tradnl"/>
        </w:rPr>
      </w:pPr>
      <w:r w:rsidRPr="004B4F45">
        <w:rPr>
          <w:rFonts w:cs="Arial"/>
          <w:b/>
          <w:sz w:val="21"/>
          <w:szCs w:val="21"/>
          <w:lang w:val="es-ES_tradnl"/>
        </w:rPr>
        <w:t>Guatemala</w:t>
      </w:r>
    </w:p>
    <w:p w:rsidR="00B94856" w:rsidRPr="004B4F45" w:rsidRDefault="00B94856" w:rsidP="00B94856">
      <w:pPr>
        <w:tabs>
          <w:tab w:val="left" w:pos="720"/>
          <w:tab w:val="center" w:pos="6480"/>
        </w:tabs>
        <w:spacing w:after="0" w:line="240" w:lineRule="auto"/>
        <w:jc w:val="both"/>
        <w:rPr>
          <w:rFonts w:cs="Arial"/>
          <w:sz w:val="21"/>
          <w:szCs w:val="21"/>
          <w:lang w:val="es-PE"/>
        </w:rPr>
      </w:pPr>
    </w:p>
    <w:p w:rsidR="00B94856" w:rsidRPr="004B4F45" w:rsidRDefault="00B94856" w:rsidP="00B94856">
      <w:pPr>
        <w:tabs>
          <w:tab w:val="left" w:pos="720"/>
          <w:tab w:val="center" w:pos="6480"/>
        </w:tabs>
        <w:spacing w:after="0" w:line="240" w:lineRule="auto"/>
        <w:jc w:val="both"/>
        <w:rPr>
          <w:rFonts w:cs="Arial"/>
          <w:sz w:val="21"/>
          <w:szCs w:val="21"/>
          <w:lang w:val="es-PE"/>
        </w:rPr>
      </w:pPr>
      <w:r w:rsidRPr="004B4F45">
        <w:rPr>
          <w:rFonts w:cs="Arial"/>
          <w:sz w:val="21"/>
          <w:szCs w:val="21"/>
          <w:lang w:val="es-PE"/>
        </w:rPr>
        <w:t>Señor Secretario:</w:t>
      </w:r>
    </w:p>
    <w:p w:rsidR="00B94856" w:rsidRPr="004B4F45" w:rsidRDefault="00B94856" w:rsidP="00B94856">
      <w:pPr>
        <w:spacing w:after="0" w:line="240" w:lineRule="auto"/>
        <w:rPr>
          <w:rFonts w:cs="Arial"/>
          <w:sz w:val="21"/>
          <w:szCs w:val="21"/>
          <w:lang w:val="es-CO"/>
        </w:rPr>
      </w:pPr>
    </w:p>
    <w:p w:rsidR="00B84C21" w:rsidRPr="004B4F45" w:rsidRDefault="00B94856" w:rsidP="00B3658F">
      <w:pPr>
        <w:widowControl w:val="0"/>
        <w:autoSpaceDE w:val="0"/>
        <w:autoSpaceDN w:val="0"/>
        <w:adjustRightInd w:val="0"/>
        <w:spacing w:after="0" w:line="240" w:lineRule="auto"/>
        <w:ind w:firstLine="720"/>
        <w:jc w:val="both"/>
        <w:rPr>
          <w:rFonts w:cs="Arial"/>
          <w:sz w:val="21"/>
          <w:szCs w:val="21"/>
          <w:lang w:val="es-CO"/>
        </w:rPr>
      </w:pPr>
      <w:r w:rsidRPr="004B4F45">
        <w:rPr>
          <w:sz w:val="21"/>
          <w:szCs w:val="21"/>
          <w:lang w:val="es-CO"/>
        </w:rPr>
        <w:t>Tengo el agrado de dirigirme a usted, en nombre de la Comisión Interamericana de Derechos Humanos, con el objeto</w:t>
      </w:r>
      <w:r w:rsidRPr="004B4F45">
        <w:rPr>
          <w:rFonts w:cs="Arial"/>
          <w:sz w:val="21"/>
          <w:szCs w:val="21"/>
          <w:lang w:val="es-CO"/>
        </w:rPr>
        <w:t xml:space="preserve"> de someter a la jurisdicción de la Honorable Corte Interamericana de Derechos Humanos, el Caso Nº 12.</w:t>
      </w:r>
      <w:r w:rsidR="005E5369" w:rsidRPr="004B4F45">
        <w:rPr>
          <w:rFonts w:cs="Arial"/>
          <w:sz w:val="21"/>
          <w:szCs w:val="21"/>
          <w:lang w:val="es-CO"/>
        </w:rPr>
        <w:t>452</w:t>
      </w:r>
      <w:r w:rsidRPr="004B4F45">
        <w:rPr>
          <w:rFonts w:cs="Arial"/>
          <w:sz w:val="21"/>
          <w:szCs w:val="21"/>
          <w:lang w:val="es-CO"/>
        </w:rPr>
        <w:t xml:space="preserve"> – </w:t>
      </w:r>
      <w:r w:rsidR="005E5369" w:rsidRPr="004B4F45">
        <w:rPr>
          <w:rFonts w:cs="Arial"/>
          <w:sz w:val="21"/>
          <w:szCs w:val="21"/>
          <w:lang w:val="es-CO"/>
        </w:rPr>
        <w:t xml:space="preserve">Tirso Román Valenzuela </w:t>
      </w:r>
      <w:r w:rsidR="005E5369" w:rsidRPr="004B4F45">
        <w:rPr>
          <w:sz w:val="21"/>
          <w:szCs w:val="21"/>
          <w:lang w:val="es-CO"/>
        </w:rPr>
        <w:t>Ávila</w:t>
      </w:r>
      <w:r w:rsidRPr="004B4F45">
        <w:rPr>
          <w:rFonts w:cs="Arial"/>
          <w:sz w:val="21"/>
          <w:szCs w:val="21"/>
          <w:lang w:val="es-CO"/>
        </w:rPr>
        <w:t xml:space="preserve"> respecto de la República de Guatemala (en adelante “el Estado”, “el Estado guatemalteco” o “</w:t>
      </w:r>
      <w:r w:rsidR="00B3658F" w:rsidRPr="004B4F45">
        <w:rPr>
          <w:rFonts w:cs="Arial"/>
          <w:sz w:val="21"/>
          <w:szCs w:val="21"/>
          <w:lang w:val="es-CO"/>
        </w:rPr>
        <w:t xml:space="preserve">Guatemala”), relacionado </w:t>
      </w:r>
      <w:r w:rsidR="00CC4204" w:rsidRPr="004B4F45">
        <w:rPr>
          <w:sz w:val="21"/>
          <w:szCs w:val="21"/>
          <w:lang w:val="es-ES"/>
        </w:rPr>
        <w:t>con una serie de violaciones al debido proceso cometidas en el marco del proceso penal contra la víctima por el delito de asesinato, que culminó en su condena a la pena de muerte, así como con torturas perpetradas en el momento de la detención, tras ser recapturado luego de su primer fuga de la cárcel en junio de 1998,  y nuevamente tras ser recapturado luego de su segunda fuga de la cárcel en junio de 2001.  El caso también se relaciona con la ejecución extrajudicial de la v</w:t>
      </w:r>
      <w:r w:rsidR="005D2C2D" w:rsidRPr="004B4F45">
        <w:rPr>
          <w:sz w:val="21"/>
          <w:szCs w:val="21"/>
          <w:lang w:val="es-ES"/>
        </w:rPr>
        <w:t>í</w:t>
      </w:r>
      <w:r w:rsidR="00CC4204" w:rsidRPr="004B4F45">
        <w:rPr>
          <w:sz w:val="21"/>
          <w:szCs w:val="21"/>
          <w:lang w:val="es-ES"/>
        </w:rPr>
        <w:t xml:space="preserve">ctima luego que se fugó de la cárcel por tercera vez, en 2005. </w:t>
      </w:r>
    </w:p>
    <w:p w:rsidR="00B84C21" w:rsidRPr="004B4F45" w:rsidRDefault="00B84C21" w:rsidP="00B84C21">
      <w:pPr>
        <w:tabs>
          <w:tab w:val="num" w:pos="720"/>
        </w:tabs>
        <w:spacing w:after="0" w:line="240" w:lineRule="auto"/>
        <w:jc w:val="both"/>
        <w:rPr>
          <w:sz w:val="21"/>
          <w:szCs w:val="21"/>
          <w:lang w:val="es-ES"/>
        </w:rPr>
      </w:pPr>
    </w:p>
    <w:p w:rsidR="00CC4204" w:rsidRPr="004B4F45" w:rsidRDefault="00B84C21" w:rsidP="00B84C21">
      <w:pPr>
        <w:tabs>
          <w:tab w:val="num" w:pos="720"/>
        </w:tabs>
        <w:spacing w:after="0" w:line="240" w:lineRule="auto"/>
        <w:jc w:val="both"/>
        <w:rPr>
          <w:sz w:val="21"/>
          <w:szCs w:val="21"/>
          <w:lang w:val="es-ES"/>
        </w:rPr>
      </w:pPr>
      <w:r w:rsidRPr="004B4F45">
        <w:rPr>
          <w:sz w:val="21"/>
          <w:szCs w:val="21"/>
          <w:lang w:val="es-ES"/>
        </w:rPr>
        <w:tab/>
      </w:r>
      <w:r w:rsidR="00CC4204" w:rsidRPr="004B4F45">
        <w:rPr>
          <w:sz w:val="21"/>
          <w:szCs w:val="21"/>
          <w:lang w:val="es-ES"/>
        </w:rPr>
        <w:t>En cuanto a las violaciones al debido proceso en el marco del proceso penal, la CIDH determinó que el Estado de Guatemala violó el principio de legalidad en relación con el principio de presunción de inocencia</w:t>
      </w:r>
      <w:r w:rsidR="00136D63" w:rsidRPr="004B4F45">
        <w:rPr>
          <w:sz w:val="21"/>
          <w:szCs w:val="21"/>
          <w:lang w:val="es-ES"/>
        </w:rPr>
        <w:t>,</w:t>
      </w:r>
      <w:r w:rsidR="00CC4204" w:rsidRPr="004B4F45">
        <w:rPr>
          <w:sz w:val="21"/>
          <w:szCs w:val="21"/>
          <w:lang w:val="es-ES"/>
        </w:rPr>
        <w:t xml:space="preserve"> ya que el señor Valenzuela Ávila fue encontrado responsable penalmente por el delito de asesinato y condenado a la pena de muerte con base en </w:t>
      </w:r>
      <w:r w:rsidR="00136D63" w:rsidRPr="004B4F45">
        <w:rPr>
          <w:sz w:val="21"/>
          <w:szCs w:val="21"/>
          <w:lang w:val="es-ES"/>
        </w:rPr>
        <w:t xml:space="preserve">la figura de la “peligrosidad” </w:t>
      </w:r>
      <w:r w:rsidR="00E87AF3" w:rsidRPr="004B4F45">
        <w:rPr>
          <w:sz w:val="21"/>
          <w:szCs w:val="21"/>
          <w:lang w:val="es-ES"/>
        </w:rPr>
        <w:t>respecto de la cual los órganos del s</w:t>
      </w:r>
      <w:r w:rsidR="00CC4204" w:rsidRPr="004B4F45">
        <w:rPr>
          <w:sz w:val="21"/>
          <w:szCs w:val="21"/>
          <w:lang w:val="es-ES"/>
        </w:rPr>
        <w:t xml:space="preserve">istema </w:t>
      </w:r>
      <w:r w:rsidR="00E87AF3" w:rsidRPr="004B4F45">
        <w:rPr>
          <w:sz w:val="21"/>
          <w:szCs w:val="21"/>
          <w:lang w:val="es-ES"/>
        </w:rPr>
        <w:t>i</w:t>
      </w:r>
      <w:r w:rsidR="00CC4204" w:rsidRPr="004B4F45">
        <w:rPr>
          <w:sz w:val="21"/>
          <w:szCs w:val="21"/>
          <w:lang w:val="es-ES"/>
        </w:rPr>
        <w:t>nteramericano ya ha</w:t>
      </w:r>
      <w:r w:rsidR="00E87AF3" w:rsidRPr="004B4F45">
        <w:rPr>
          <w:sz w:val="21"/>
          <w:szCs w:val="21"/>
          <w:lang w:val="es-ES"/>
        </w:rPr>
        <w:t>n</w:t>
      </w:r>
      <w:r w:rsidR="00CC4204" w:rsidRPr="004B4F45">
        <w:rPr>
          <w:sz w:val="21"/>
          <w:szCs w:val="21"/>
          <w:lang w:val="es-ES"/>
        </w:rPr>
        <w:t xml:space="preserve"> determinado que resulta incompatible con el principio de legalidad</w:t>
      </w:r>
      <w:r w:rsidR="00136D63" w:rsidRPr="004B4F45">
        <w:rPr>
          <w:sz w:val="21"/>
          <w:szCs w:val="21"/>
          <w:lang w:val="es-ES"/>
        </w:rPr>
        <w:t>,</w:t>
      </w:r>
      <w:r w:rsidR="00CC4204" w:rsidRPr="004B4F45">
        <w:rPr>
          <w:sz w:val="21"/>
          <w:szCs w:val="21"/>
          <w:lang w:val="es-ES"/>
        </w:rPr>
        <w:t xml:space="preserve"> por ser manifestación de un derecho penal de autor y no de hechos. </w:t>
      </w:r>
      <w:r w:rsidR="00136D63" w:rsidRPr="004B4F45">
        <w:rPr>
          <w:sz w:val="21"/>
          <w:szCs w:val="21"/>
          <w:lang w:val="es-ES"/>
        </w:rPr>
        <w:t xml:space="preserve"> </w:t>
      </w:r>
      <w:r w:rsidR="00CC4204" w:rsidRPr="004B4F45">
        <w:rPr>
          <w:sz w:val="21"/>
          <w:szCs w:val="21"/>
          <w:lang w:val="es-ES"/>
        </w:rPr>
        <w:t>La CIDH también determinó que el Estado violó el derecho de recurrir el fallo y a la protección judicial</w:t>
      </w:r>
      <w:r w:rsidR="00136D63" w:rsidRPr="004B4F45">
        <w:rPr>
          <w:sz w:val="21"/>
          <w:szCs w:val="21"/>
          <w:lang w:val="es-ES"/>
        </w:rPr>
        <w:t>,</w:t>
      </w:r>
      <w:r w:rsidR="00CC4204" w:rsidRPr="004B4F45">
        <w:rPr>
          <w:sz w:val="21"/>
          <w:szCs w:val="21"/>
          <w:lang w:val="es-ES"/>
        </w:rPr>
        <w:t xml:space="preserve"> porque la Sala de Apelaciones rechazó el recurso de apelación especial interpuesto por la víctima de manera contraria a los estándares interamericanos que exigen una revisión integral</w:t>
      </w:r>
      <w:r w:rsidR="005B78FE" w:rsidRPr="004B4F45">
        <w:rPr>
          <w:sz w:val="21"/>
          <w:szCs w:val="21"/>
          <w:lang w:val="es-ES"/>
        </w:rPr>
        <w:t xml:space="preserve"> sin exclusión del análisis de los hechos y la valoración probatoria</w:t>
      </w:r>
      <w:r w:rsidR="00CC4204" w:rsidRPr="004B4F45">
        <w:rPr>
          <w:sz w:val="21"/>
          <w:szCs w:val="21"/>
          <w:lang w:val="es-ES"/>
        </w:rPr>
        <w:t xml:space="preserve">. </w:t>
      </w:r>
      <w:r w:rsidR="00136D63" w:rsidRPr="004B4F45">
        <w:rPr>
          <w:sz w:val="21"/>
          <w:szCs w:val="21"/>
          <w:lang w:val="es-ES"/>
        </w:rPr>
        <w:t xml:space="preserve"> </w:t>
      </w:r>
      <w:r w:rsidR="00CC4204" w:rsidRPr="004B4F45">
        <w:rPr>
          <w:sz w:val="21"/>
          <w:szCs w:val="21"/>
          <w:lang w:val="es-ES"/>
        </w:rPr>
        <w:t>La Comisión determinó que el Estado violó el derecho a la vida por imponer la pena de muerte</w:t>
      </w:r>
      <w:r w:rsidR="00136D63" w:rsidRPr="004B4F45">
        <w:rPr>
          <w:sz w:val="21"/>
          <w:szCs w:val="21"/>
          <w:lang w:val="es-ES"/>
        </w:rPr>
        <w:t>,</w:t>
      </w:r>
      <w:r w:rsidR="00CC4204" w:rsidRPr="004B4F45">
        <w:rPr>
          <w:sz w:val="21"/>
          <w:szCs w:val="21"/>
          <w:lang w:val="es-ES"/>
        </w:rPr>
        <w:t xml:space="preserve"> con base en una norma incompatible con el principio de legalidad penal y presunción de inocencia y en violación del derecho a recurrir el fallo. </w:t>
      </w:r>
    </w:p>
    <w:p w:rsidR="00CC4204" w:rsidRPr="004B4F45" w:rsidRDefault="00CC4204" w:rsidP="00CC4204">
      <w:pPr>
        <w:tabs>
          <w:tab w:val="num" w:pos="2040"/>
        </w:tabs>
        <w:spacing w:after="0" w:line="240" w:lineRule="auto"/>
        <w:jc w:val="both"/>
        <w:rPr>
          <w:sz w:val="21"/>
          <w:szCs w:val="21"/>
          <w:lang w:val="es-ES"/>
        </w:rPr>
      </w:pPr>
    </w:p>
    <w:p w:rsidR="00CC4204" w:rsidRPr="004B4F45" w:rsidRDefault="001D1BF0" w:rsidP="001D1BF0">
      <w:pPr>
        <w:tabs>
          <w:tab w:val="left" w:pos="720"/>
          <w:tab w:val="num" w:pos="2040"/>
        </w:tabs>
        <w:spacing w:after="0" w:line="240" w:lineRule="auto"/>
        <w:jc w:val="both"/>
        <w:rPr>
          <w:sz w:val="21"/>
          <w:szCs w:val="21"/>
          <w:lang w:val="es-ES"/>
        </w:rPr>
      </w:pPr>
      <w:r w:rsidRPr="004B4F45">
        <w:rPr>
          <w:sz w:val="21"/>
          <w:szCs w:val="21"/>
          <w:lang w:val="es-ES"/>
        </w:rPr>
        <w:tab/>
      </w:r>
      <w:r w:rsidR="00CC4204" w:rsidRPr="004B4F45">
        <w:rPr>
          <w:sz w:val="21"/>
          <w:szCs w:val="21"/>
          <w:lang w:val="es-ES"/>
        </w:rPr>
        <w:t xml:space="preserve">Adicionalmente, </w:t>
      </w:r>
      <w:r w:rsidR="00CC4204" w:rsidRPr="004B4F45">
        <w:rPr>
          <w:sz w:val="21"/>
          <w:szCs w:val="21"/>
          <w:lang w:val="es-VE"/>
        </w:rPr>
        <w:t>l</w:t>
      </w:r>
      <w:r w:rsidR="00CC4204" w:rsidRPr="004B4F45">
        <w:rPr>
          <w:sz w:val="21"/>
          <w:szCs w:val="21"/>
          <w:lang w:val="es-ES"/>
        </w:rPr>
        <w:t xml:space="preserve">a Comisión concluyó que el Estado cometió tratos crueles, inhumanos y degradantes en contra de la víctima porque permaneció por más de 6 años a la espera de que se ejecutara su condena, configurándose el fenómeno de “corredor de la muerte”. </w:t>
      </w:r>
      <w:r w:rsidR="00136D63" w:rsidRPr="004B4F45">
        <w:rPr>
          <w:sz w:val="21"/>
          <w:szCs w:val="21"/>
          <w:lang w:val="es-ES"/>
        </w:rPr>
        <w:t xml:space="preserve"> </w:t>
      </w:r>
      <w:r w:rsidR="00CC4204" w:rsidRPr="004B4F45">
        <w:rPr>
          <w:sz w:val="21"/>
          <w:szCs w:val="21"/>
          <w:lang w:val="es-ES"/>
        </w:rPr>
        <w:t>Por otra parte, la CIDH determinó que agentes estatales cometieron violencia física, psicológica y sexual contra la víctima</w:t>
      </w:r>
      <w:r w:rsidR="003C552E" w:rsidRPr="004B4F45">
        <w:rPr>
          <w:sz w:val="21"/>
          <w:szCs w:val="21"/>
          <w:lang w:val="es-ES"/>
        </w:rPr>
        <w:t xml:space="preserve">, alcanzando </w:t>
      </w:r>
      <w:r w:rsidR="00CC4204" w:rsidRPr="004B4F45">
        <w:rPr>
          <w:sz w:val="21"/>
          <w:szCs w:val="21"/>
          <w:lang w:val="es-ES"/>
        </w:rPr>
        <w:t>el grado de tortura</w:t>
      </w:r>
      <w:r w:rsidR="003C552E" w:rsidRPr="004B4F45">
        <w:rPr>
          <w:sz w:val="21"/>
          <w:szCs w:val="21"/>
          <w:lang w:val="es-ES"/>
        </w:rPr>
        <w:t>;</w:t>
      </w:r>
      <w:r w:rsidR="00CC4204" w:rsidRPr="004B4F45">
        <w:rPr>
          <w:sz w:val="21"/>
          <w:szCs w:val="21"/>
          <w:lang w:val="es-ES"/>
        </w:rPr>
        <w:t xml:space="preserve"> y que</w:t>
      </w:r>
      <w:r w:rsidRPr="004B4F45">
        <w:rPr>
          <w:sz w:val="21"/>
          <w:szCs w:val="21"/>
          <w:lang w:val="es-ES"/>
        </w:rPr>
        <w:t xml:space="preserve"> hasta la fecha </w:t>
      </w:r>
      <w:r w:rsidR="00CC4204" w:rsidRPr="004B4F45">
        <w:rPr>
          <w:sz w:val="21"/>
          <w:szCs w:val="21"/>
          <w:lang w:val="es-ES"/>
        </w:rPr>
        <w:t>el Estado guatemalteco no ha realizado una investigación al respecto.</w:t>
      </w:r>
      <w:r w:rsidR="00FA5D9F" w:rsidRPr="004B4F45">
        <w:rPr>
          <w:sz w:val="21"/>
          <w:szCs w:val="21"/>
          <w:lang w:val="es-ES"/>
        </w:rPr>
        <w:t xml:space="preserve"> En ese sentido y derivado de lo anterior, </w:t>
      </w:r>
      <w:r w:rsidR="00FA5D9F" w:rsidRPr="004B4F45">
        <w:rPr>
          <w:sz w:val="21"/>
          <w:szCs w:val="21"/>
          <w:lang w:val="es-US"/>
        </w:rPr>
        <w:t xml:space="preserve">el Estado también se abstuvo de excluir la confesión del señor Valenzuela Ávila, no obstante en el juicio denunció la tortura. </w:t>
      </w:r>
      <w:r w:rsidR="00CC4204" w:rsidRPr="004B4F45">
        <w:rPr>
          <w:sz w:val="21"/>
          <w:szCs w:val="21"/>
          <w:lang w:val="es-ES"/>
        </w:rPr>
        <w:t xml:space="preserve"> </w:t>
      </w:r>
      <w:r w:rsidR="004A107C" w:rsidRPr="004B4F45">
        <w:rPr>
          <w:sz w:val="21"/>
          <w:szCs w:val="21"/>
          <w:lang w:val="es-ES"/>
        </w:rPr>
        <w:t xml:space="preserve"> </w:t>
      </w:r>
      <w:r w:rsidR="00CC4204" w:rsidRPr="004B4F45">
        <w:rPr>
          <w:sz w:val="21"/>
          <w:szCs w:val="21"/>
          <w:lang w:val="es-ES"/>
        </w:rPr>
        <w:t>Finalmente la CIDH determinó que existen elementos suficientes para acreditar que luego de su fuga de prisión en 2005, la víctima fue ejecutada extrajudicialmente en diciembre de 2006, por lo que el Estado violó el derecho a la vida</w:t>
      </w:r>
      <w:r w:rsidR="003A190A" w:rsidRPr="004B4F45">
        <w:rPr>
          <w:sz w:val="21"/>
          <w:szCs w:val="21"/>
          <w:lang w:val="es-ES"/>
        </w:rPr>
        <w:t>.</w:t>
      </w:r>
      <w:r w:rsidR="004A107C" w:rsidRPr="004B4F45">
        <w:rPr>
          <w:sz w:val="21"/>
          <w:szCs w:val="21"/>
          <w:lang w:val="es-ES"/>
        </w:rPr>
        <w:t xml:space="preserve"> </w:t>
      </w:r>
      <w:r w:rsidR="003A190A" w:rsidRPr="004B4F45">
        <w:rPr>
          <w:sz w:val="21"/>
          <w:szCs w:val="21"/>
          <w:lang w:val="es-ES"/>
        </w:rPr>
        <w:t xml:space="preserve"> Además, </w:t>
      </w:r>
      <w:r w:rsidR="00CC4204" w:rsidRPr="004B4F45">
        <w:rPr>
          <w:sz w:val="21"/>
          <w:szCs w:val="21"/>
          <w:lang w:val="es-ES"/>
        </w:rPr>
        <w:t xml:space="preserve">la investigación penal por la muerte de la víctima no ha sido diligente ni efectiva para esclarecer los hechos en un plazo razonable. </w:t>
      </w:r>
    </w:p>
    <w:p w:rsidR="00B94856" w:rsidRPr="004B4F45" w:rsidRDefault="00B94856" w:rsidP="00B94856">
      <w:pPr>
        <w:spacing w:after="0" w:line="240" w:lineRule="auto"/>
        <w:ind w:firstLine="720"/>
        <w:jc w:val="both"/>
        <w:rPr>
          <w:sz w:val="21"/>
          <w:szCs w:val="21"/>
          <w:lang w:val="es-ES"/>
        </w:rPr>
      </w:pPr>
    </w:p>
    <w:p w:rsidR="00E42E84" w:rsidRPr="004B4F45" w:rsidRDefault="00E42E84" w:rsidP="00B94856">
      <w:pPr>
        <w:spacing w:after="0" w:line="240" w:lineRule="auto"/>
        <w:ind w:firstLine="720"/>
        <w:jc w:val="both"/>
        <w:rPr>
          <w:sz w:val="21"/>
          <w:szCs w:val="21"/>
          <w:lang w:val="es-ES"/>
        </w:rPr>
      </w:pPr>
    </w:p>
    <w:p w:rsidR="00B94856" w:rsidRPr="004B4F45" w:rsidRDefault="00B94856" w:rsidP="00B94856">
      <w:pPr>
        <w:spacing w:after="0" w:line="240" w:lineRule="auto"/>
        <w:jc w:val="both"/>
        <w:rPr>
          <w:rFonts w:cs="Arial"/>
          <w:snapToGrid w:val="0"/>
          <w:sz w:val="21"/>
          <w:szCs w:val="21"/>
          <w:lang w:val="es-CO"/>
        </w:rPr>
      </w:pPr>
      <w:r w:rsidRPr="004B4F45">
        <w:rPr>
          <w:rFonts w:cs="Arial"/>
          <w:snapToGrid w:val="0"/>
          <w:sz w:val="21"/>
          <w:szCs w:val="21"/>
          <w:lang w:val="es-CO"/>
        </w:rPr>
        <w:t>Señor</w:t>
      </w:r>
    </w:p>
    <w:p w:rsidR="00B94856" w:rsidRPr="004B4F45" w:rsidRDefault="00B94856" w:rsidP="00B94856">
      <w:pPr>
        <w:suppressAutoHyphens/>
        <w:spacing w:after="0" w:line="240" w:lineRule="auto"/>
        <w:rPr>
          <w:rFonts w:cs="Arial"/>
          <w:snapToGrid w:val="0"/>
          <w:sz w:val="21"/>
          <w:szCs w:val="21"/>
          <w:lang w:val="es-CO"/>
        </w:rPr>
      </w:pPr>
      <w:r w:rsidRPr="004B4F45">
        <w:rPr>
          <w:rFonts w:cs="Arial"/>
          <w:snapToGrid w:val="0"/>
          <w:sz w:val="21"/>
          <w:szCs w:val="21"/>
          <w:lang w:val="es-CO"/>
        </w:rPr>
        <w:t>Pablo Saavedra Alessandri, Secretario</w:t>
      </w:r>
    </w:p>
    <w:p w:rsidR="00B94856" w:rsidRPr="004B4F45" w:rsidRDefault="00B94856" w:rsidP="00B94856">
      <w:pPr>
        <w:suppressAutoHyphens/>
        <w:spacing w:after="0" w:line="240" w:lineRule="auto"/>
        <w:rPr>
          <w:rFonts w:cs="Arial"/>
          <w:snapToGrid w:val="0"/>
          <w:sz w:val="21"/>
          <w:szCs w:val="21"/>
          <w:lang w:val="es-ES_tradnl"/>
        </w:rPr>
      </w:pPr>
      <w:r w:rsidRPr="004B4F45">
        <w:rPr>
          <w:rFonts w:cs="Arial"/>
          <w:snapToGrid w:val="0"/>
          <w:sz w:val="21"/>
          <w:szCs w:val="21"/>
          <w:lang w:val="es-ES_tradnl"/>
        </w:rPr>
        <w:t>Corte Interamericana de Derechos Humanos</w:t>
      </w:r>
    </w:p>
    <w:p w:rsidR="00B94856" w:rsidRPr="004B4F45" w:rsidRDefault="00B94856" w:rsidP="00B94856">
      <w:pPr>
        <w:suppressAutoHyphens/>
        <w:spacing w:after="0" w:line="240" w:lineRule="auto"/>
        <w:rPr>
          <w:rFonts w:cs="Arial"/>
          <w:snapToGrid w:val="0"/>
          <w:sz w:val="21"/>
          <w:szCs w:val="21"/>
          <w:lang w:val="es-ES_tradnl"/>
        </w:rPr>
      </w:pPr>
      <w:r w:rsidRPr="004B4F45">
        <w:rPr>
          <w:rFonts w:cs="Arial"/>
          <w:snapToGrid w:val="0"/>
          <w:sz w:val="21"/>
          <w:szCs w:val="21"/>
          <w:lang w:val="es-ES_tradnl"/>
        </w:rPr>
        <w:t>Apartado 6906-1000</w:t>
      </w:r>
      <w:r w:rsidR="000847A1" w:rsidRPr="004B4F45">
        <w:rPr>
          <w:rFonts w:cs="Arial"/>
          <w:snapToGrid w:val="0"/>
          <w:sz w:val="21"/>
          <w:szCs w:val="21"/>
          <w:lang w:val="es-ES_tradnl"/>
        </w:rPr>
        <w:t xml:space="preserve">, </w:t>
      </w:r>
      <w:r w:rsidRPr="004B4F45">
        <w:rPr>
          <w:rFonts w:cs="Arial"/>
          <w:snapToGrid w:val="0"/>
          <w:sz w:val="21"/>
          <w:szCs w:val="21"/>
          <w:lang w:val="es-ES_tradnl"/>
        </w:rPr>
        <w:t>San José, Costa Rica</w:t>
      </w:r>
    </w:p>
    <w:p w:rsidR="00E42E84" w:rsidRPr="004B4F45" w:rsidRDefault="00E42E84" w:rsidP="00B94856">
      <w:pPr>
        <w:widowControl w:val="0"/>
        <w:autoSpaceDE w:val="0"/>
        <w:autoSpaceDN w:val="0"/>
        <w:adjustRightInd w:val="0"/>
        <w:spacing w:after="0" w:line="240" w:lineRule="auto"/>
        <w:ind w:firstLine="720"/>
        <w:jc w:val="both"/>
        <w:rPr>
          <w:rFonts w:cs="Arial"/>
          <w:sz w:val="21"/>
          <w:szCs w:val="21"/>
          <w:lang w:val="es-CO"/>
        </w:rPr>
      </w:pPr>
    </w:p>
    <w:p w:rsidR="00B94856" w:rsidRPr="004B4F45" w:rsidRDefault="00B94856" w:rsidP="00B94856">
      <w:pPr>
        <w:widowControl w:val="0"/>
        <w:autoSpaceDE w:val="0"/>
        <w:autoSpaceDN w:val="0"/>
        <w:adjustRightInd w:val="0"/>
        <w:spacing w:after="0" w:line="240" w:lineRule="auto"/>
        <w:ind w:firstLine="720"/>
        <w:jc w:val="both"/>
        <w:rPr>
          <w:rFonts w:cs="Arial"/>
          <w:sz w:val="21"/>
          <w:szCs w:val="21"/>
          <w:lang w:val="es-CO"/>
        </w:rPr>
      </w:pPr>
      <w:r w:rsidRPr="004B4F45">
        <w:rPr>
          <w:rFonts w:cs="Arial"/>
          <w:sz w:val="21"/>
          <w:szCs w:val="21"/>
          <w:lang w:val="es-CO"/>
        </w:rPr>
        <w:t xml:space="preserve">El Estado guatemalteco ratificó la Convención Americana sobre Derechos Humanos el 25 de mayo de 1978 y aceptó la competencia contenciosa de la Corte Interamericana el 9 de marzo de 1987.  </w:t>
      </w:r>
    </w:p>
    <w:p w:rsidR="00B94856" w:rsidRPr="004B4F45" w:rsidRDefault="00B94856" w:rsidP="00B94856">
      <w:pPr>
        <w:spacing w:after="0" w:line="240" w:lineRule="auto"/>
        <w:jc w:val="both"/>
        <w:rPr>
          <w:rFonts w:cs="Arial"/>
          <w:snapToGrid w:val="0"/>
          <w:sz w:val="21"/>
          <w:szCs w:val="21"/>
          <w:lang w:val="es-CO"/>
        </w:rPr>
      </w:pPr>
    </w:p>
    <w:p w:rsidR="00B94856" w:rsidRPr="004B4F45" w:rsidRDefault="00B94856" w:rsidP="00B94856">
      <w:pPr>
        <w:widowControl w:val="0"/>
        <w:autoSpaceDE w:val="0"/>
        <w:autoSpaceDN w:val="0"/>
        <w:adjustRightInd w:val="0"/>
        <w:spacing w:after="0" w:line="240" w:lineRule="auto"/>
        <w:ind w:firstLine="720"/>
        <w:jc w:val="both"/>
        <w:rPr>
          <w:rFonts w:cs="Arial"/>
          <w:sz w:val="21"/>
          <w:szCs w:val="21"/>
          <w:lang w:val="es-CO"/>
        </w:rPr>
      </w:pPr>
      <w:r w:rsidRPr="004B4F45">
        <w:rPr>
          <w:sz w:val="21"/>
          <w:szCs w:val="21"/>
          <w:lang w:val="es-CO"/>
        </w:rPr>
        <w:t>La Comisión ha designado a</w:t>
      </w:r>
      <w:r w:rsidR="000B1C4E" w:rsidRPr="004B4F45">
        <w:rPr>
          <w:sz w:val="21"/>
          <w:szCs w:val="21"/>
          <w:lang w:val="es-CO"/>
        </w:rPr>
        <w:t xml:space="preserve"> </w:t>
      </w:r>
      <w:r w:rsidRPr="004B4F45">
        <w:rPr>
          <w:sz w:val="21"/>
          <w:szCs w:val="21"/>
          <w:lang w:val="es-CO"/>
        </w:rPr>
        <w:t>l</w:t>
      </w:r>
      <w:r w:rsidR="000B1C4E" w:rsidRPr="004B4F45">
        <w:rPr>
          <w:sz w:val="21"/>
          <w:szCs w:val="21"/>
          <w:lang w:val="es-CO"/>
        </w:rPr>
        <w:t>a</w:t>
      </w:r>
      <w:r w:rsidRPr="004B4F45">
        <w:rPr>
          <w:sz w:val="21"/>
          <w:szCs w:val="21"/>
          <w:lang w:val="es-CO"/>
        </w:rPr>
        <w:t xml:space="preserve"> </w:t>
      </w:r>
      <w:r w:rsidR="004A107C" w:rsidRPr="004B4F45">
        <w:rPr>
          <w:sz w:val="21"/>
          <w:szCs w:val="21"/>
          <w:lang w:val="es-CO"/>
        </w:rPr>
        <w:t>Primera Vice-Presidenta</w:t>
      </w:r>
      <w:r w:rsidR="000B1C4E" w:rsidRPr="004B4F45">
        <w:rPr>
          <w:sz w:val="21"/>
          <w:szCs w:val="21"/>
          <w:lang w:val="es-CO"/>
        </w:rPr>
        <w:t xml:space="preserve"> Esmeralda Arosemena de </w:t>
      </w:r>
      <w:proofErr w:type="spellStart"/>
      <w:r w:rsidR="000B1C4E" w:rsidRPr="004B4F45">
        <w:rPr>
          <w:sz w:val="21"/>
          <w:szCs w:val="21"/>
          <w:lang w:val="es-CO"/>
        </w:rPr>
        <w:t>Troitiño</w:t>
      </w:r>
      <w:proofErr w:type="spellEnd"/>
      <w:r w:rsidRPr="004B4F45">
        <w:rPr>
          <w:sz w:val="21"/>
          <w:szCs w:val="21"/>
          <w:lang w:val="es-CO"/>
        </w:rPr>
        <w:t xml:space="preserve"> y al Secretario Ejecutivo Paulo Abrão, como </w:t>
      </w:r>
      <w:r w:rsidRPr="004B4F45">
        <w:rPr>
          <w:rFonts w:cs="Arial"/>
          <w:sz w:val="21"/>
          <w:szCs w:val="21"/>
          <w:lang w:val="es-CO"/>
        </w:rPr>
        <w:t>sus</w:t>
      </w:r>
      <w:r w:rsidR="004A107C" w:rsidRPr="004B4F45">
        <w:rPr>
          <w:sz w:val="21"/>
          <w:szCs w:val="21"/>
          <w:lang w:val="es-CO"/>
        </w:rPr>
        <w:t xml:space="preserve"> D</w:t>
      </w:r>
      <w:r w:rsidRPr="004B4F45">
        <w:rPr>
          <w:sz w:val="21"/>
          <w:szCs w:val="21"/>
          <w:lang w:val="es-CO"/>
        </w:rPr>
        <w:t>elegados.</w:t>
      </w:r>
      <w:r w:rsidR="004A107C" w:rsidRPr="004B4F45">
        <w:rPr>
          <w:sz w:val="21"/>
          <w:szCs w:val="21"/>
          <w:lang w:val="es-CO"/>
        </w:rPr>
        <w:t xml:space="preserve"> </w:t>
      </w:r>
      <w:r w:rsidRPr="004B4F45">
        <w:rPr>
          <w:sz w:val="21"/>
          <w:szCs w:val="21"/>
          <w:lang w:val="es-CO"/>
        </w:rPr>
        <w:t xml:space="preserve"> Asimismo, Elizabeth Abi-Mershed</w:t>
      </w:r>
      <w:r w:rsidR="004A107C" w:rsidRPr="004B4F45">
        <w:rPr>
          <w:sz w:val="21"/>
          <w:szCs w:val="21"/>
          <w:lang w:val="es-CO"/>
        </w:rPr>
        <w:t>, Secretaria Ejecutiva Adjunta,</w:t>
      </w:r>
      <w:r w:rsidRPr="004B4F45">
        <w:rPr>
          <w:sz w:val="21"/>
          <w:szCs w:val="21"/>
          <w:lang w:val="es-CO"/>
        </w:rPr>
        <w:t xml:space="preserve"> Silvia Serrano Guzmán</w:t>
      </w:r>
      <w:r w:rsidR="00291A70" w:rsidRPr="004B4F45">
        <w:rPr>
          <w:sz w:val="21"/>
          <w:szCs w:val="21"/>
          <w:lang w:val="es-CO"/>
        </w:rPr>
        <w:t xml:space="preserve"> y Christian González Chacón, </w:t>
      </w:r>
      <w:r w:rsidRPr="004B4F45">
        <w:rPr>
          <w:sz w:val="21"/>
          <w:szCs w:val="21"/>
          <w:lang w:val="es-CO"/>
        </w:rPr>
        <w:t>abogada</w:t>
      </w:r>
      <w:r w:rsidR="00291A70" w:rsidRPr="004B4F45">
        <w:rPr>
          <w:sz w:val="21"/>
          <w:szCs w:val="21"/>
          <w:lang w:val="es-CO"/>
        </w:rPr>
        <w:t xml:space="preserve"> y abogado</w:t>
      </w:r>
      <w:r w:rsidRPr="004B4F45">
        <w:rPr>
          <w:sz w:val="21"/>
          <w:szCs w:val="21"/>
          <w:lang w:val="es-CO"/>
        </w:rPr>
        <w:t xml:space="preserve"> de la Secretaría Ejecu</w:t>
      </w:r>
      <w:r w:rsidR="004A107C" w:rsidRPr="004B4F45">
        <w:rPr>
          <w:sz w:val="21"/>
          <w:szCs w:val="21"/>
          <w:lang w:val="es-CO"/>
        </w:rPr>
        <w:t>tiva de la CIDH, actuarán como A</w:t>
      </w:r>
      <w:r w:rsidRPr="004B4F45">
        <w:rPr>
          <w:sz w:val="21"/>
          <w:szCs w:val="21"/>
          <w:lang w:val="es-CO"/>
        </w:rPr>
        <w:t>sesora</w:t>
      </w:r>
      <w:r w:rsidR="004A107C" w:rsidRPr="004B4F45">
        <w:rPr>
          <w:sz w:val="21"/>
          <w:szCs w:val="21"/>
          <w:lang w:val="es-CO"/>
        </w:rPr>
        <w:t>s y A</w:t>
      </w:r>
      <w:r w:rsidR="00291A70" w:rsidRPr="004B4F45">
        <w:rPr>
          <w:sz w:val="21"/>
          <w:szCs w:val="21"/>
          <w:lang w:val="es-CO"/>
        </w:rPr>
        <w:t>sesor</w:t>
      </w:r>
      <w:r w:rsidRPr="004B4F45">
        <w:rPr>
          <w:sz w:val="21"/>
          <w:szCs w:val="21"/>
          <w:lang w:val="es-CO"/>
        </w:rPr>
        <w:t xml:space="preserve"> </w:t>
      </w:r>
      <w:r w:rsidR="004A107C" w:rsidRPr="004B4F45">
        <w:rPr>
          <w:sz w:val="21"/>
          <w:szCs w:val="21"/>
          <w:lang w:val="es-CO"/>
        </w:rPr>
        <w:t>L</w:t>
      </w:r>
      <w:r w:rsidRPr="004B4F45">
        <w:rPr>
          <w:sz w:val="21"/>
          <w:szCs w:val="21"/>
          <w:lang w:val="es-CO"/>
        </w:rPr>
        <w:t>egales.</w:t>
      </w:r>
    </w:p>
    <w:p w:rsidR="00B94856" w:rsidRPr="004B4F45" w:rsidRDefault="00B94856" w:rsidP="00B94856">
      <w:pPr>
        <w:autoSpaceDE w:val="0"/>
        <w:autoSpaceDN w:val="0"/>
        <w:adjustRightInd w:val="0"/>
        <w:spacing w:after="0" w:line="240" w:lineRule="auto"/>
        <w:ind w:right="480"/>
        <w:jc w:val="both"/>
        <w:rPr>
          <w:b/>
          <w:sz w:val="21"/>
          <w:szCs w:val="21"/>
          <w:lang w:val="es-CO"/>
        </w:rPr>
      </w:pPr>
    </w:p>
    <w:p w:rsidR="00B94856" w:rsidRPr="004B4F45" w:rsidRDefault="00B94856" w:rsidP="00B94856">
      <w:pPr>
        <w:widowControl w:val="0"/>
        <w:autoSpaceDE w:val="0"/>
        <w:autoSpaceDN w:val="0"/>
        <w:adjustRightInd w:val="0"/>
        <w:spacing w:after="0" w:line="240" w:lineRule="auto"/>
        <w:ind w:firstLine="720"/>
        <w:jc w:val="both"/>
        <w:rPr>
          <w:sz w:val="21"/>
          <w:szCs w:val="21"/>
          <w:lang w:val="es-AR"/>
        </w:rPr>
      </w:pPr>
      <w:r w:rsidRPr="004B4F45">
        <w:rPr>
          <w:rFonts w:cs="Arial"/>
          <w:sz w:val="21"/>
          <w:szCs w:val="21"/>
          <w:lang w:val="es-CO"/>
        </w:rPr>
        <w:t xml:space="preserve">De conformidad con el artículo 35 del Reglamento de la Corte Interamericana, la Comisión adjunta </w:t>
      </w:r>
      <w:r w:rsidR="004A107C" w:rsidRPr="004B4F45">
        <w:rPr>
          <w:sz w:val="21"/>
          <w:szCs w:val="21"/>
          <w:lang w:val="es-CO"/>
        </w:rPr>
        <w:t>copia del I</w:t>
      </w:r>
      <w:r w:rsidRPr="004B4F45">
        <w:rPr>
          <w:sz w:val="21"/>
          <w:szCs w:val="21"/>
          <w:lang w:val="es-CO"/>
        </w:rPr>
        <w:t>nform</w:t>
      </w:r>
      <w:r w:rsidR="00A721E2" w:rsidRPr="004B4F45">
        <w:rPr>
          <w:sz w:val="21"/>
          <w:szCs w:val="21"/>
          <w:lang w:val="es-CO"/>
        </w:rPr>
        <w:t xml:space="preserve">e </w:t>
      </w:r>
      <w:r w:rsidR="004A107C" w:rsidRPr="004B4F45">
        <w:rPr>
          <w:sz w:val="21"/>
          <w:szCs w:val="21"/>
          <w:lang w:val="es-CO"/>
        </w:rPr>
        <w:t xml:space="preserve">Nº </w:t>
      </w:r>
      <w:r w:rsidR="00A721E2" w:rsidRPr="004B4F45">
        <w:rPr>
          <w:sz w:val="21"/>
          <w:szCs w:val="21"/>
          <w:lang w:val="es-CO"/>
        </w:rPr>
        <w:t>132</w:t>
      </w:r>
      <w:r w:rsidRPr="004B4F45">
        <w:rPr>
          <w:sz w:val="21"/>
          <w:szCs w:val="21"/>
          <w:lang w:val="es-CO"/>
        </w:rPr>
        <w:t>/17 elaborado en observancia del artículo 50 de la Convención, así como copia de la totalidad del expediente ante la Comisión Interamericana (Apéndice I) y los anexos ut</w:t>
      </w:r>
      <w:r w:rsidR="004A107C" w:rsidRPr="004B4F45">
        <w:rPr>
          <w:sz w:val="21"/>
          <w:szCs w:val="21"/>
          <w:lang w:val="es-CO"/>
        </w:rPr>
        <w:t>ilizados en la elaboración del I</w:t>
      </w:r>
      <w:r w:rsidRPr="004B4F45">
        <w:rPr>
          <w:sz w:val="21"/>
          <w:szCs w:val="21"/>
          <w:lang w:val="es-CO"/>
        </w:rPr>
        <w:t xml:space="preserve">nforme </w:t>
      </w:r>
      <w:r w:rsidR="004A107C" w:rsidRPr="004B4F45">
        <w:rPr>
          <w:sz w:val="21"/>
          <w:szCs w:val="21"/>
          <w:lang w:val="es-CO"/>
        </w:rPr>
        <w:t xml:space="preserve">Nº </w:t>
      </w:r>
      <w:r w:rsidR="009C0EA8" w:rsidRPr="004B4F45">
        <w:rPr>
          <w:sz w:val="21"/>
          <w:szCs w:val="21"/>
          <w:lang w:val="es-CO"/>
        </w:rPr>
        <w:t>132</w:t>
      </w:r>
      <w:r w:rsidRPr="004B4F45">
        <w:rPr>
          <w:sz w:val="21"/>
          <w:szCs w:val="21"/>
          <w:lang w:val="es-CO"/>
        </w:rPr>
        <w:t xml:space="preserve">/17 (Anexos). </w:t>
      </w:r>
      <w:r w:rsidR="004A107C" w:rsidRPr="004B4F45">
        <w:rPr>
          <w:sz w:val="21"/>
          <w:szCs w:val="21"/>
          <w:lang w:val="es-CO"/>
        </w:rPr>
        <w:t xml:space="preserve"> </w:t>
      </w:r>
      <w:r w:rsidRPr="004B4F45">
        <w:rPr>
          <w:sz w:val="21"/>
          <w:szCs w:val="21"/>
          <w:lang w:val="es-CO"/>
        </w:rPr>
        <w:t xml:space="preserve">Dicho informe de fondo </w:t>
      </w:r>
      <w:r w:rsidRPr="004B4F45">
        <w:rPr>
          <w:sz w:val="21"/>
          <w:szCs w:val="21"/>
          <w:lang w:val="es-AR"/>
        </w:rPr>
        <w:t xml:space="preserve">fue notificado al Estado de Guatemala mediante comunicación de </w:t>
      </w:r>
      <w:r w:rsidR="00CB0EFA" w:rsidRPr="004B4F45">
        <w:rPr>
          <w:sz w:val="21"/>
          <w:szCs w:val="21"/>
          <w:lang w:val="es-AR"/>
        </w:rPr>
        <w:t>19</w:t>
      </w:r>
      <w:r w:rsidRPr="004B4F45">
        <w:rPr>
          <w:sz w:val="21"/>
          <w:szCs w:val="21"/>
          <w:lang w:val="es-AR"/>
        </w:rPr>
        <w:t xml:space="preserve"> de </w:t>
      </w:r>
      <w:r w:rsidR="00CB0EFA" w:rsidRPr="004B4F45">
        <w:rPr>
          <w:sz w:val="21"/>
          <w:szCs w:val="21"/>
          <w:lang w:val="es-AR"/>
        </w:rPr>
        <w:t xml:space="preserve">abril </w:t>
      </w:r>
      <w:r w:rsidRPr="004B4F45">
        <w:rPr>
          <w:sz w:val="21"/>
          <w:szCs w:val="21"/>
          <w:lang w:val="es-AR"/>
        </w:rPr>
        <w:t>de 201</w:t>
      </w:r>
      <w:r w:rsidR="000E2EFD" w:rsidRPr="004B4F45">
        <w:rPr>
          <w:sz w:val="21"/>
          <w:szCs w:val="21"/>
          <w:lang w:val="es-AR"/>
        </w:rPr>
        <w:t>8</w:t>
      </w:r>
      <w:r w:rsidRPr="004B4F45">
        <w:rPr>
          <w:sz w:val="21"/>
          <w:szCs w:val="21"/>
          <w:lang w:val="es-AR"/>
        </w:rPr>
        <w:t xml:space="preserve">, otorgándole un plazo de dos meses para informar sobre el cumplimiento de las </w:t>
      </w:r>
      <w:r w:rsidRPr="004B4F45">
        <w:rPr>
          <w:rFonts w:cs="Arial"/>
          <w:sz w:val="21"/>
          <w:szCs w:val="21"/>
          <w:lang w:val="es-CO"/>
        </w:rPr>
        <w:t>recomendaciones</w:t>
      </w:r>
      <w:r w:rsidRPr="004B4F45">
        <w:rPr>
          <w:sz w:val="21"/>
          <w:szCs w:val="21"/>
          <w:lang w:val="es-AR"/>
        </w:rPr>
        <w:t xml:space="preserve">. </w:t>
      </w:r>
      <w:r w:rsidR="004A107C" w:rsidRPr="004B4F45">
        <w:rPr>
          <w:sz w:val="21"/>
          <w:szCs w:val="21"/>
          <w:lang w:val="es-AR"/>
        </w:rPr>
        <w:t xml:space="preserve"> </w:t>
      </w:r>
      <w:r w:rsidRPr="004B4F45">
        <w:rPr>
          <w:sz w:val="21"/>
          <w:szCs w:val="21"/>
          <w:lang w:val="es-AR"/>
        </w:rPr>
        <w:t xml:space="preserve">El Estado guatemalteco </w:t>
      </w:r>
      <w:r w:rsidR="00EF1781" w:rsidRPr="004B4F45">
        <w:rPr>
          <w:sz w:val="21"/>
          <w:szCs w:val="21"/>
          <w:lang w:val="es-AR"/>
        </w:rPr>
        <w:t>presentó un escrito en el cual rechazó las conclusiones y recome</w:t>
      </w:r>
      <w:r w:rsidR="00582E48" w:rsidRPr="004B4F45">
        <w:rPr>
          <w:sz w:val="21"/>
          <w:szCs w:val="21"/>
          <w:lang w:val="es-AR"/>
        </w:rPr>
        <w:t xml:space="preserve">ndaciones del </w:t>
      </w:r>
      <w:r w:rsidR="004A107C" w:rsidRPr="004B4F45">
        <w:rPr>
          <w:sz w:val="21"/>
          <w:szCs w:val="21"/>
          <w:lang w:val="es-AR"/>
        </w:rPr>
        <w:t>I</w:t>
      </w:r>
      <w:r w:rsidR="00582E48" w:rsidRPr="004B4F45">
        <w:rPr>
          <w:sz w:val="21"/>
          <w:szCs w:val="21"/>
          <w:lang w:val="es-AR"/>
        </w:rPr>
        <w:t xml:space="preserve">nforme </w:t>
      </w:r>
      <w:r w:rsidR="004A107C" w:rsidRPr="004B4F45">
        <w:rPr>
          <w:sz w:val="21"/>
          <w:szCs w:val="21"/>
          <w:lang w:val="es-AR"/>
        </w:rPr>
        <w:t xml:space="preserve">Nº </w:t>
      </w:r>
      <w:r w:rsidR="00582E48" w:rsidRPr="004B4F45">
        <w:rPr>
          <w:sz w:val="21"/>
          <w:szCs w:val="21"/>
          <w:lang w:val="es-AR"/>
        </w:rPr>
        <w:t>132/1</w:t>
      </w:r>
      <w:r w:rsidR="00E44A9F" w:rsidRPr="004B4F45">
        <w:rPr>
          <w:sz w:val="21"/>
          <w:szCs w:val="21"/>
          <w:lang w:val="es-AR"/>
        </w:rPr>
        <w:t>7</w:t>
      </w:r>
      <w:r w:rsidRPr="004B4F45">
        <w:rPr>
          <w:sz w:val="21"/>
          <w:szCs w:val="21"/>
          <w:lang w:val="es-AR"/>
        </w:rPr>
        <w:t xml:space="preserve">. </w:t>
      </w:r>
    </w:p>
    <w:p w:rsidR="00B94856" w:rsidRPr="004B4F45" w:rsidRDefault="00B94856" w:rsidP="00B94856">
      <w:pPr>
        <w:widowControl w:val="0"/>
        <w:autoSpaceDE w:val="0"/>
        <w:autoSpaceDN w:val="0"/>
        <w:adjustRightInd w:val="0"/>
        <w:spacing w:after="0" w:line="240" w:lineRule="auto"/>
        <w:ind w:firstLine="720"/>
        <w:jc w:val="both"/>
        <w:rPr>
          <w:sz w:val="21"/>
          <w:szCs w:val="21"/>
          <w:lang w:val="es-AR"/>
        </w:rPr>
      </w:pPr>
    </w:p>
    <w:p w:rsidR="00F42B6F" w:rsidRPr="004B4F45" w:rsidRDefault="00B94856" w:rsidP="00F42B6F">
      <w:pPr>
        <w:widowControl w:val="0"/>
        <w:autoSpaceDE w:val="0"/>
        <w:autoSpaceDN w:val="0"/>
        <w:adjustRightInd w:val="0"/>
        <w:spacing w:after="0" w:line="240" w:lineRule="auto"/>
        <w:ind w:firstLine="720"/>
        <w:jc w:val="both"/>
        <w:rPr>
          <w:sz w:val="21"/>
          <w:szCs w:val="21"/>
          <w:lang w:val="es-AR"/>
        </w:rPr>
      </w:pPr>
      <w:r w:rsidRPr="004B4F45">
        <w:rPr>
          <w:sz w:val="21"/>
          <w:szCs w:val="21"/>
          <w:lang w:val="es-AR"/>
        </w:rPr>
        <w:t xml:space="preserve">En consecuencia, la Comisión decidió someter el presente caso a la jurisdicción de la Corte Interamericana por la </w:t>
      </w:r>
      <w:r w:rsidRPr="004B4F45">
        <w:rPr>
          <w:rFonts w:cs="Arial"/>
          <w:sz w:val="21"/>
          <w:szCs w:val="21"/>
          <w:lang w:val="es-CO"/>
        </w:rPr>
        <w:t>necesidad</w:t>
      </w:r>
      <w:r w:rsidRPr="004B4F45">
        <w:rPr>
          <w:sz w:val="21"/>
          <w:szCs w:val="21"/>
          <w:lang w:val="es-AR"/>
        </w:rPr>
        <w:t xml:space="preserve"> de obtención de justicia y reparación. </w:t>
      </w:r>
      <w:r w:rsidR="00847AB8" w:rsidRPr="004B4F45">
        <w:rPr>
          <w:sz w:val="21"/>
          <w:szCs w:val="21"/>
          <w:lang w:val="es-AR"/>
        </w:rPr>
        <w:t xml:space="preserve"> </w:t>
      </w:r>
      <w:r w:rsidRPr="004B4F45">
        <w:rPr>
          <w:sz w:val="21"/>
          <w:szCs w:val="21"/>
          <w:lang w:val="es-CO"/>
        </w:rPr>
        <w:t>La Comisión Interamericana somete a la jurisdicción de la Corte la totalidad de los hechos y violaciones de derechos humano</w:t>
      </w:r>
      <w:r w:rsidR="00847AB8" w:rsidRPr="004B4F45">
        <w:rPr>
          <w:sz w:val="21"/>
          <w:szCs w:val="21"/>
          <w:lang w:val="es-CO"/>
        </w:rPr>
        <w:t>s descritos en el I</w:t>
      </w:r>
      <w:r w:rsidRPr="004B4F45">
        <w:rPr>
          <w:sz w:val="21"/>
          <w:szCs w:val="21"/>
          <w:lang w:val="es-CO"/>
        </w:rPr>
        <w:t>nforme de</w:t>
      </w:r>
      <w:r w:rsidR="00847AB8" w:rsidRPr="004B4F45">
        <w:rPr>
          <w:sz w:val="21"/>
          <w:szCs w:val="21"/>
          <w:lang w:val="es-CO"/>
        </w:rPr>
        <w:t xml:space="preserve"> A</w:t>
      </w:r>
      <w:r w:rsidR="00F12379" w:rsidRPr="004B4F45">
        <w:rPr>
          <w:sz w:val="21"/>
          <w:szCs w:val="21"/>
          <w:lang w:val="es-CO"/>
        </w:rPr>
        <w:t>dmisibilidad y</w:t>
      </w:r>
      <w:r w:rsidR="00847AB8" w:rsidRPr="004B4F45">
        <w:rPr>
          <w:sz w:val="21"/>
          <w:szCs w:val="21"/>
          <w:lang w:val="es-CO"/>
        </w:rPr>
        <w:t xml:space="preserve"> F</w:t>
      </w:r>
      <w:r w:rsidRPr="004B4F45">
        <w:rPr>
          <w:sz w:val="21"/>
          <w:szCs w:val="21"/>
          <w:lang w:val="es-CO"/>
        </w:rPr>
        <w:t xml:space="preserve">ondo </w:t>
      </w:r>
      <w:r w:rsidR="00847AB8" w:rsidRPr="004B4F45">
        <w:rPr>
          <w:sz w:val="21"/>
          <w:szCs w:val="21"/>
          <w:lang w:val="es-CO"/>
        </w:rPr>
        <w:t xml:space="preserve">Nº </w:t>
      </w:r>
      <w:r w:rsidR="00F12379" w:rsidRPr="004B4F45">
        <w:rPr>
          <w:sz w:val="21"/>
          <w:szCs w:val="21"/>
          <w:lang w:val="es-CO"/>
        </w:rPr>
        <w:t>132</w:t>
      </w:r>
      <w:r w:rsidRPr="004B4F45">
        <w:rPr>
          <w:sz w:val="21"/>
          <w:szCs w:val="21"/>
          <w:lang w:val="es-CO"/>
        </w:rPr>
        <w:t xml:space="preserve">/17. </w:t>
      </w:r>
    </w:p>
    <w:p w:rsidR="00F42B6F" w:rsidRPr="004B4F45" w:rsidRDefault="00F42B6F" w:rsidP="00F42B6F">
      <w:pPr>
        <w:widowControl w:val="0"/>
        <w:autoSpaceDE w:val="0"/>
        <w:autoSpaceDN w:val="0"/>
        <w:adjustRightInd w:val="0"/>
        <w:spacing w:after="0" w:line="240" w:lineRule="auto"/>
        <w:ind w:firstLine="720"/>
        <w:jc w:val="both"/>
        <w:rPr>
          <w:sz w:val="21"/>
          <w:szCs w:val="21"/>
          <w:lang w:val="es-AR"/>
        </w:rPr>
      </w:pPr>
    </w:p>
    <w:p w:rsidR="00F42B6F" w:rsidRPr="004B4F45" w:rsidRDefault="00B94856" w:rsidP="00F42B6F">
      <w:pPr>
        <w:widowControl w:val="0"/>
        <w:autoSpaceDE w:val="0"/>
        <w:autoSpaceDN w:val="0"/>
        <w:adjustRightInd w:val="0"/>
        <w:spacing w:after="0" w:line="240" w:lineRule="auto"/>
        <w:ind w:firstLine="720"/>
        <w:jc w:val="both"/>
        <w:rPr>
          <w:sz w:val="21"/>
          <w:szCs w:val="21"/>
          <w:lang w:val="es-AR"/>
        </w:rPr>
      </w:pPr>
      <w:r w:rsidRPr="004B4F45">
        <w:rPr>
          <w:sz w:val="21"/>
          <w:szCs w:val="21"/>
          <w:lang w:val="es-CO"/>
        </w:rPr>
        <w:t>En ese sentido, la Comisión solicita a la Corte que concluya y declare la responsabilidad internacional del</w:t>
      </w:r>
      <w:r w:rsidRPr="004B4F45">
        <w:rPr>
          <w:rFonts w:cs="Arial"/>
          <w:sz w:val="21"/>
          <w:szCs w:val="21"/>
          <w:lang w:val="es-CL"/>
        </w:rPr>
        <w:t xml:space="preserve"> Estado de </w:t>
      </w:r>
      <w:r w:rsidRPr="004B4F45">
        <w:rPr>
          <w:rFonts w:cs="Arial"/>
          <w:sz w:val="21"/>
          <w:szCs w:val="21"/>
          <w:lang w:val="es-CO"/>
        </w:rPr>
        <w:t xml:space="preserve">Guatemala </w:t>
      </w:r>
      <w:r w:rsidR="00F42B6F" w:rsidRPr="004B4F45">
        <w:rPr>
          <w:sz w:val="21"/>
          <w:szCs w:val="21"/>
          <w:lang w:val="es-MX"/>
        </w:rPr>
        <w:t xml:space="preserve">por la violación de los derechos a la </w:t>
      </w:r>
      <w:r w:rsidR="00F42B6F" w:rsidRPr="004B4F45">
        <w:rPr>
          <w:sz w:val="21"/>
          <w:szCs w:val="21"/>
          <w:lang w:val="es-ES_tradnl"/>
        </w:rPr>
        <w:t>vida</w:t>
      </w:r>
      <w:r w:rsidR="00F42B6F" w:rsidRPr="004B4F45">
        <w:rPr>
          <w:sz w:val="21"/>
          <w:szCs w:val="21"/>
          <w:lang w:val="es-MX"/>
        </w:rPr>
        <w:t xml:space="preserve">, a la integridad personal, a las garantías judiciales, al principio de legalidad y a la protección judicial establecidos en los artículos 4.1, 4.2, 5.1, 5.2, 8.1, 8.2 g), h), 8.3, 9, 11 y 25.1 de la Convención Americana en relación con las obligaciones establecidas en los artículos 1.1 y 2 del mismo instrumento, en perjuicio de Tirso Román Valenzuela Ávila. </w:t>
      </w:r>
      <w:r w:rsidR="004A107C" w:rsidRPr="004B4F45">
        <w:rPr>
          <w:sz w:val="21"/>
          <w:szCs w:val="21"/>
          <w:lang w:val="es-MX"/>
        </w:rPr>
        <w:t xml:space="preserve"> </w:t>
      </w:r>
      <w:r w:rsidR="00F42B6F" w:rsidRPr="004B4F45">
        <w:rPr>
          <w:sz w:val="21"/>
          <w:szCs w:val="21"/>
          <w:lang w:val="es-MX"/>
        </w:rPr>
        <w:t>La Comisión también</w:t>
      </w:r>
      <w:r w:rsidR="00A858AD" w:rsidRPr="004B4F45">
        <w:rPr>
          <w:sz w:val="21"/>
          <w:szCs w:val="21"/>
          <w:lang w:val="es-MX"/>
        </w:rPr>
        <w:t xml:space="preserve"> solicita a la Corte que concluya y declare </w:t>
      </w:r>
      <w:r w:rsidR="00F42B6F" w:rsidRPr="004B4F45">
        <w:rPr>
          <w:sz w:val="21"/>
          <w:szCs w:val="21"/>
          <w:lang w:val="es-MX"/>
        </w:rPr>
        <w:t xml:space="preserve">que el Estado de Guatemala es responsable por la violación de los derechos a la integridad personal, garantías judiciales y protección judicial establecidos en los artículos 5.1, 8.1 y 25.1 de la Convención Americana en relación con las obligaciones establecidas en el artículo 1.1 del mismo instrumento, en perjuicio de los familiares de Tirso Román Valenzuela Ávila. </w:t>
      </w:r>
      <w:r w:rsidR="004A107C" w:rsidRPr="004B4F45">
        <w:rPr>
          <w:sz w:val="21"/>
          <w:szCs w:val="21"/>
          <w:lang w:val="es-MX"/>
        </w:rPr>
        <w:t xml:space="preserve"> </w:t>
      </w:r>
      <w:r w:rsidR="00F42B6F" w:rsidRPr="004B4F45">
        <w:rPr>
          <w:sz w:val="21"/>
          <w:szCs w:val="21"/>
          <w:lang w:val="es-MX"/>
        </w:rPr>
        <w:t xml:space="preserve">Finalmente, </w:t>
      </w:r>
      <w:r w:rsidR="005E6260" w:rsidRPr="004B4F45">
        <w:rPr>
          <w:sz w:val="21"/>
          <w:szCs w:val="21"/>
          <w:lang w:val="es-MX"/>
        </w:rPr>
        <w:t xml:space="preserve">la CIDH solicita a la Corte que concluya y declare </w:t>
      </w:r>
      <w:r w:rsidR="00F42B6F" w:rsidRPr="004B4F45">
        <w:rPr>
          <w:sz w:val="21"/>
          <w:szCs w:val="21"/>
          <w:lang w:val="es-MX"/>
        </w:rPr>
        <w:t>que el Estado de Guatemala violó los artículos 1</w:t>
      </w:r>
      <w:r w:rsidR="007A52D2" w:rsidRPr="004B4F45">
        <w:rPr>
          <w:sz w:val="21"/>
          <w:szCs w:val="21"/>
          <w:lang w:val="es-MX"/>
        </w:rPr>
        <w:t>, 6,</w:t>
      </w:r>
      <w:r w:rsidR="00FA5D9F" w:rsidRPr="004B4F45">
        <w:rPr>
          <w:sz w:val="21"/>
          <w:szCs w:val="21"/>
          <w:lang w:val="es-MX"/>
        </w:rPr>
        <w:t xml:space="preserve"> </w:t>
      </w:r>
      <w:r w:rsidR="00F42B6F" w:rsidRPr="004B4F45">
        <w:rPr>
          <w:sz w:val="21"/>
          <w:szCs w:val="21"/>
          <w:lang w:val="es-MX"/>
        </w:rPr>
        <w:t xml:space="preserve">8 y 10 de la Convención Interamericana para Prevenir y Sancionar la Tortura. </w:t>
      </w:r>
    </w:p>
    <w:p w:rsidR="007A52D2" w:rsidRPr="004B4F45" w:rsidRDefault="007A52D2" w:rsidP="00B94856">
      <w:pPr>
        <w:autoSpaceDE w:val="0"/>
        <w:autoSpaceDN w:val="0"/>
        <w:adjustRightInd w:val="0"/>
        <w:spacing w:after="0" w:line="240" w:lineRule="auto"/>
        <w:ind w:left="720" w:right="480"/>
        <w:jc w:val="both"/>
        <w:rPr>
          <w:sz w:val="21"/>
          <w:szCs w:val="21"/>
          <w:lang w:val="es-CO"/>
        </w:rPr>
      </w:pPr>
    </w:p>
    <w:p w:rsidR="00B94856" w:rsidRPr="004B4F45" w:rsidRDefault="00B94856" w:rsidP="00B94856">
      <w:pPr>
        <w:autoSpaceDE w:val="0"/>
        <w:autoSpaceDN w:val="0"/>
        <w:adjustRightInd w:val="0"/>
        <w:spacing w:after="0" w:line="240" w:lineRule="auto"/>
        <w:ind w:left="720" w:right="480"/>
        <w:jc w:val="both"/>
        <w:rPr>
          <w:sz w:val="21"/>
          <w:szCs w:val="21"/>
          <w:lang w:val="es-CO"/>
        </w:rPr>
      </w:pPr>
      <w:r w:rsidRPr="004B4F45">
        <w:rPr>
          <w:sz w:val="21"/>
          <w:szCs w:val="21"/>
          <w:lang w:val="es-CO"/>
        </w:rPr>
        <w:t>Asimismo, la Comisión solicita a la Corte que establezca las siguientes medidas de reparación:</w:t>
      </w:r>
    </w:p>
    <w:p w:rsidR="00B94856" w:rsidRPr="004B4F45" w:rsidRDefault="00B94856" w:rsidP="00BC4F6D">
      <w:pPr>
        <w:widowControl w:val="0"/>
        <w:tabs>
          <w:tab w:val="left" w:pos="1350"/>
          <w:tab w:val="left" w:pos="1800"/>
        </w:tabs>
        <w:autoSpaceDE w:val="0"/>
        <w:autoSpaceDN w:val="0"/>
        <w:adjustRightInd w:val="0"/>
        <w:spacing w:after="0" w:line="240" w:lineRule="auto"/>
        <w:ind w:left="720"/>
        <w:jc w:val="both"/>
        <w:rPr>
          <w:rFonts w:cs="Arial"/>
          <w:sz w:val="21"/>
          <w:szCs w:val="21"/>
          <w:lang w:val="es-CL"/>
        </w:rPr>
      </w:pPr>
    </w:p>
    <w:p w:rsidR="00BB7525" w:rsidRPr="004B4F45" w:rsidRDefault="00BB7525" w:rsidP="00BC4F6D">
      <w:pPr>
        <w:pStyle w:val="Textoindependiente3"/>
        <w:numPr>
          <w:ilvl w:val="0"/>
          <w:numId w:val="1"/>
        </w:numPr>
        <w:tabs>
          <w:tab w:val="clear" w:pos="1860"/>
          <w:tab w:val="num" w:pos="0"/>
          <w:tab w:val="left" w:pos="720"/>
          <w:tab w:val="left" w:pos="1350"/>
          <w:tab w:val="left" w:pos="1440"/>
          <w:tab w:val="left" w:pos="1800"/>
          <w:tab w:val="left" w:pos="9360"/>
        </w:tabs>
        <w:spacing w:after="0" w:line="240" w:lineRule="auto"/>
        <w:ind w:left="720" w:firstLine="720"/>
        <w:jc w:val="both"/>
        <w:rPr>
          <w:sz w:val="21"/>
          <w:szCs w:val="21"/>
          <w:lang w:val="es-VE"/>
        </w:rPr>
      </w:pPr>
      <w:r w:rsidRPr="004B4F45">
        <w:rPr>
          <w:sz w:val="21"/>
          <w:szCs w:val="21"/>
          <w:lang w:val="es-VE"/>
        </w:rPr>
        <w:t>Reparar integralmente las violaciones de derechos humanos declaradas en el informe tanto en el aspecto material como inmaterial. Las medidas de reparación deberán incluir una justa compensación</w:t>
      </w:r>
      <w:r w:rsidR="004A107C" w:rsidRPr="004B4F45">
        <w:rPr>
          <w:sz w:val="21"/>
          <w:szCs w:val="21"/>
          <w:lang w:val="es-VE"/>
        </w:rPr>
        <w:t>,</w:t>
      </w:r>
      <w:r w:rsidRPr="004B4F45">
        <w:rPr>
          <w:sz w:val="21"/>
          <w:szCs w:val="21"/>
          <w:lang w:val="es-VE"/>
        </w:rPr>
        <w:t xml:space="preserve"> así como medidas de satisfacción y rehabilitación, de ser pertinentes, en consulta con los familiares del señor Valenzuela Ávila. </w:t>
      </w:r>
    </w:p>
    <w:p w:rsidR="00BB7525" w:rsidRPr="004B4F45" w:rsidRDefault="00BB7525" w:rsidP="00BC4F6D">
      <w:pPr>
        <w:pStyle w:val="Textoindependiente3"/>
        <w:tabs>
          <w:tab w:val="left" w:pos="720"/>
          <w:tab w:val="left" w:pos="1350"/>
          <w:tab w:val="left" w:pos="1440"/>
          <w:tab w:val="left" w:pos="1800"/>
          <w:tab w:val="left" w:pos="9360"/>
        </w:tabs>
        <w:spacing w:after="0" w:line="240" w:lineRule="auto"/>
        <w:ind w:left="720"/>
        <w:jc w:val="both"/>
        <w:rPr>
          <w:sz w:val="21"/>
          <w:szCs w:val="21"/>
          <w:lang w:val="es-VE"/>
        </w:rPr>
      </w:pPr>
    </w:p>
    <w:p w:rsidR="00BB7525" w:rsidRPr="004B4F45" w:rsidRDefault="00BB7525" w:rsidP="00BC4F6D">
      <w:pPr>
        <w:pStyle w:val="Textoindependiente3"/>
        <w:numPr>
          <w:ilvl w:val="0"/>
          <w:numId w:val="1"/>
        </w:numPr>
        <w:tabs>
          <w:tab w:val="clear" w:pos="1860"/>
          <w:tab w:val="num" w:pos="0"/>
          <w:tab w:val="left" w:pos="720"/>
          <w:tab w:val="left" w:pos="1350"/>
          <w:tab w:val="left" w:pos="1440"/>
          <w:tab w:val="left" w:pos="1800"/>
          <w:tab w:val="left" w:pos="9360"/>
        </w:tabs>
        <w:spacing w:after="0" w:line="240" w:lineRule="auto"/>
        <w:ind w:left="720" w:firstLine="720"/>
        <w:jc w:val="both"/>
        <w:rPr>
          <w:sz w:val="21"/>
          <w:szCs w:val="21"/>
          <w:lang w:val="es-VE"/>
        </w:rPr>
      </w:pPr>
      <w:r w:rsidRPr="004B4F45">
        <w:rPr>
          <w:sz w:val="21"/>
          <w:szCs w:val="21"/>
          <w:lang w:val="es-VE"/>
        </w:rPr>
        <w:t xml:space="preserve">Investigar los actos de tortura sufridos por el señor Valenzuela Ávila de manera diligente, efectiva y en un plazo razonable con el objeto de esclarecer los hechos en forma completa, identificar a los autores e imponer las sanciones que correspondan. </w:t>
      </w:r>
    </w:p>
    <w:p w:rsidR="00BB7525" w:rsidRPr="004B4F45" w:rsidRDefault="00BB7525" w:rsidP="00BC4F6D">
      <w:pPr>
        <w:pStyle w:val="Textoindependiente3"/>
        <w:tabs>
          <w:tab w:val="num" w:pos="0"/>
          <w:tab w:val="left" w:pos="720"/>
          <w:tab w:val="left" w:pos="1350"/>
          <w:tab w:val="left" w:pos="1440"/>
          <w:tab w:val="left" w:pos="1800"/>
          <w:tab w:val="left" w:pos="9360"/>
        </w:tabs>
        <w:spacing w:after="0"/>
        <w:ind w:left="720" w:firstLine="720"/>
        <w:jc w:val="both"/>
        <w:rPr>
          <w:sz w:val="21"/>
          <w:szCs w:val="21"/>
          <w:lang w:val="es-VE"/>
        </w:rPr>
      </w:pPr>
    </w:p>
    <w:p w:rsidR="00E42E84" w:rsidRPr="004B4F45" w:rsidRDefault="00E42E84" w:rsidP="00BC4F6D">
      <w:pPr>
        <w:pStyle w:val="Textoindependiente3"/>
        <w:tabs>
          <w:tab w:val="num" w:pos="0"/>
          <w:tab w:val="left" w:pos="720"/>
          <w:tab w:val="left" w:pos="1350"/>
          <w:tab w:val="left" w:pos="1440"/>
          <w:tab w:val="left" w:pos="1800"/>
          <w:tab w:val="left" w:pos="9360"/>
        </w:tabs>
        <w:spacing w:after="0"/>
        <w:ind w:left="720" w:firstLine="720"/>
        <w:jc w:val="both"/>
        <w:rPr>
          <w:sz w:val="21"/>
          <w:szCs w:val="21"/>
          <w:lang w:val="es-VE"/>
        </w:rPr>
      </w:pPr>
    </w:p>
    <w:p w:rsidR="00E42E84" w:rsidRPr="004B4F45" w:rsidRDefault="00E42E84" w:rsidP="00BC4F6D">
      <w:pPr>
        <w:pStyle w:val="Textoindependiente3"/>
        <w:tabs>
          <w:tab w:val="num" w:pos="0"/>
          <w:tab w:val="left" w:pos="720"/>
          <w:tab w:val="left" w:pos="1350"/>
          <w:tab w:val="left" w:pos="1440"/>
          <w:tab w:val="left" w:pos="1800"/>
          <w:tab w:val="left" w:pos="9360"/>
        </w:tabs>
        <w:spacing w:after="0"/>
        <w:ind w:left="720" w:firstLine="720"/>
        <w:jc w:val="both"/>
        <w:rPr>
          <w:sz w:val="21"/>
          <w:szCs w:val="21"/>
          <w:lang w:val="es-VE"/>
        </w:rPr>
      </w:pPr>
    </w:p>
    <w:p w:rsidR="00E42E84" w:rsidRPr="004B4F45" w:rsidRDefault="00E42E84" w:rsidP="00BC4F6D">
      <w:pPr>
        <w:pStyle w:val="Textoindependiente3"/>
        <w:tabs>
          <w:tab w:val="num" w:pos="0"/>
          <w:tab w:val="left" w:pos="720"/>
          <w:tab w:val="left" w:pos="1350"/>
          <w:tab w:val="left" w:pos="1440"/>
          <w:tab w:val="left" w:pos="1800"/>
          <w:tab w:val="left" w:pos="9360"/>
        </w:tabs>
        <w:spacing w:after="0"/>
        <w:ind w:left="720" w:firstLine="720"/>
        <w:jc w:val="both"/>
        <w:rPr>
          <w:sz w:val="21"/>
          <w:szCs w:val="21"/>
          <w:lang w:val="es-VE"/>
        </w:rPr>
      </w:pPr>
    </w:p>
    <w:p w:rsidR="00BB7525" w:rsidRPr="004B4F45" w:rsidRDefault="00BB7525" w:rsidP="00BC4F6D">
      <w:pPr>
        <w:pStyle w:val="Textoindependiente3"/>
        <w:numPr>
          <w:ilvl w:val="0"/>
          <w:numId w:val="1"/>
        </w:numPr>
        <w:tabs>
          <w:tab w:val="clear" w:pos="1860"/>
          <w:tab w:val="num" w:pos="0"/>
          <w:tab w:val="left" w:pos="720"/>
          <w:tab w:val="left" w:pos="1350"/>
          <w:tab w:val="left" w:pos="1440"/>
          <w:tab w:val="left" w:pos="1800"/>
          <w:tab w:val="left" w:pos="9360"/>
        </w:tabs>
        <w:spacing w:after="0" w:line="240" w:lineRule="auto"/>
        <w:ind w:left="720" w:firstLine="720"/>
        <w:jc w:val="both"/>
        <w:rPr>
          <w:sz w:val="21"/>
          <w:szCs w:val="21"/>
          <w:lang w:val="es-VE"/>
        </w:rPr>
      </w:pPr>
      <w:r w:rsidRPr="004B4F45">
        <w:rPr>
          <w:sz w:val="21"/>
          <w:szCs w:val="21"/>
          <w:lang w:val="es-VE"/>
        </w:rPr>
        <w:t>Investigar</w:t>
      </w:r>
      <w:r w:rsidR="00CD500B" w:rsidRPr="004B4F45">
        <w:rPr>
          <w:sz w:val="21"/>
          <w:szCs w:val="21"/>
          <w:lang w:val="es-VE"/>
        </w:rPr>
        <w:t>,</w:t>
      </w:r>
      <w:r w:rsidRPr="004B4F45">
        <w:rPr>
          <w:sz w:val="21"/>
          <w:szCs w:val="21"/>
          <w:lang w:val="es-VE"/>
        </w:rPr>
        <w:t xml:space="preserve"> </w:t>
      </w:r>
      <w:r w:rsidR="00CD500B" w:rsidRPr="004B4F45">
        <w:rPr>
          <w:sz w:val="21"/>
          <w:szCs w:val="21"/>
          <w:lang w:val="es-VE"/>
        </w:rPr>
        <w:t xml:space="preserve">de manera diligente, efectiva y en un plazo razonable, </w:t>
      </w:r>
      <w:r w:rsidRPr="004B4F45">
        <w:rPr>
          <w:sz w:val="21"/>
          <w:szCs w:val="21"/>
          <w:lang w:val="es-VE"/>
        </w:rPr>
        <w:t xml:space="preserve">la ejecución extrajudicial sufrida por el señor Valenzuela Ávila con el objeto de esclarecer los hechos en forma completa, identificar a los autores e imponer las sanciones que correspondan. </w:t>
      </w:r>
    </w:p>
    <w:p w:rsidR="00BB7525" w:rsidRPr="004B4F45" w:rsidRDefault="00BB7525" w:rsidP="00BC4F6D">
      <w:pPr>
        <w:pStyle w:val="Textoindependiente3"/>
        <w:tabs>
          <w:tab w:val="left" w:pos="720"/>
          <w:tab w:val="left" w:pos="1350"/>
          <w:tab w:val="left" w:pos="1800"/>
        </w:tabs>
        <w:spacing w:after="0" w:line="240" w:lineRule="auto"/>
        <w:ind w:left="720"/>
        <w:jc w:val="both"/>
        <w:rPr>
          <w:sz w:val="21"/>
          <w:szCs w:val="21"/>
          <w:lang w:val="es-VE"/>
        </w:rPr>
      </w:pPr>
    </w:p>
    <w:p w:rsidR="00B94856" w:rsidRPr="004B4F45" w:rsidRDefault="00B94856" w:rsidP="00BC4F6D">
      <w:pPr>
        <w:pStyle w:val="Textoindependiente3"/>
        <w:numPr>
          <w:ilvl w:val="0"/>
          <w:numId w:val="1"/>
        </w:numPr>
        <w:tabs>
          <w:tab w:val="clear" w:pos="1860"/>
          <w:tab w:val="left" w:pos="720"/>
          <w:tab w:val="left" w:pos="1350"/>
          <w:tab w:val="left" w:pos="1800"/>
        </w:tabs>
        <w:spacing w:after="0" w:line="240" w:lineRule="auto"/>
        <w:ind w:left="720" w:firstLine="720"/>
        <w:jc w:val="both"/>
        <w:rPr>
          <w:sz w:val="21"/>
          <w:szCs w:val="21"/>
          <w:lang w:val="es-VE"/>
        </w:rPr>
      </w:pPr>
      <w:r w:rsidRPr="004B4F45">
        <w:rPr>
          <w:sz w:val="21"/>
          <w:szCs w:val="21"/>
          <w:lang w:val="es-VE"/>
        </w:rPr>
        <w:t xml:space="preserve">La Comisión tomó nota y valoró positivamente que desde hace 17 años la pena de muerte no ha sido impuesta por las autoridades judiciales y que también se ha dispuesto la conmutación de la pena desde hace más de una década frente a personas ya condenadas. </w:t>
      </w:r>
      <w:r w:rsidR="00CD500B" w:rsidRPr="004B4F45">
        <w:rPr>
          <w:sz w:val="21"/>
          <w:szCs w:val="21"/>
          <w:lang w:val="es-VE"/>
        </w:rPr>
        <w:t xml:space="preserve"> </w:t>
      </w:r>
      <w:r w:rsidRPr="004B4F45">
        <w:rPr>
          <w:sz w:val="21"/>
          <w:szCs w:val="21"/>
          <w:lang w:val="es-VE"/>
        </w:rPr>
        <w:t xml:space="preserve">Asimismo, la Comisión tomó nota y valoró positivamente que el Poder Ejecutivo durante años hubiese adoptado medidas para evitar la reactivación de la pena de muerte en Guatemala. </w:t>
      </w:r>
      <w:r w:rsidR="00CD500B" w:rsidRPr="004B4F45">
        <w:rPr>
          <w:sz w:val="21"/>
          <w:szCs w:val="21"/>
          <w:lang w:val="es-VE"/>
        </w:rPr>
        <w:t xml:space="preserve"> </w:t>
      </w:r>
      <w:r w:rsidRPr="004B4F45">
        <w:rPr>
          <w:sz w:val="21"/>
          <w:szCs w:val="21"/>
          <w:lang w:val="es-VE"/>
        </w:rPr>
        <w:t xml:space="preserve">En ese sentido, la Comisión observó que como consecuencia de acciones tanto del Poder Ejecutivo como del Poder Judicial, han pasado 17 años sin imposición ni ejecución de la pena de muerte en Guatemala. </w:t>
      </w:r>
      <w:r w:rsidR="00CD500B" w:rsidRPr="004B4F45">
        <w:rPr>
          <w:sz w:val="21"/>
          <w:szCs w:val="21"/>
          <w:lang w:val="es-VE"/>
        </w:rPr>
        <w:t xml:space="preserve"> </w:t>
      </w:r>
      <w:r w:rsidRPr="004B4F45">
        <w:rPr>
          <w:sz w:val="21"/>
          <w:szCs w:val="21"/>
          <w:lang w:val="es-VE"/>
        </w:rPr>
        <w:t xml:space="preserve">La Comisión entiende que, en la práctica, el Estado guatemalteco ha avanzado en una tendencia hacia la abolición de la pena de muerte, lo que resulta consistente con el espíritu de la Convención Americana en la materia. Por lo anterior, tomando en cuenta la práctica de ya casi dos décadas, y lo indicado por la CIDH en su Informe </w:t>
      </w:r>
      <w:r w:rsidRPr="004B4F45">
        <w:rPr>
          <w:i/>
          <w:sz w:val="21"/>
          <w:szCs w:val="21"/>
          <w:lang w:val="es-VE"/>
        </w:rPr>
        <w:t xml:space="preserve">“La Pena de muerte en el Sistema Interamericano de Derechos Humanos: de restricciones a abolición” </w:t>
      </w:r>
      <w:r w:rsidR="00CD500B" w:rsidRPr="004B4F45">
        <w:rPr>
          <w:sz w:val="21"/>
          <w:szCs w:val="21"/>
          <w:lang w:val="es-VE"/>
        </w:rPr>
        <w:t>respecto a que los Estados M</w:t>
      </w:r>
      <w:r w:rsidRPr="004B4F45">
        <w:rPr>
          <w:sz w:val="21"/>
          <w:szCs w:val="21"/>
          <w:lang w:val="es-VE"/>
        </w:rPr>
        <w:t>iembros de la OEA deben eliminar gradualmente la pena de muerte, la Comisión solicita a la Corte Interamericana que ordene al Estado de Guatemala adoptar las medidas necesarias para que la legislación interna sea consistente con dicha práctica y así continuar en el camino hacia la abolición de la pena de muerte.</w:t>
      </w:r>
    </w:p>
    <w:p w:rsidR="00B40A0C" w:rsidRPr="004B4F45" w:rsidRDefault="00B40A0C" w:rsidP="00BC4F6D">
      <w:pPr>
        <w:pStyle w:val="Textoindependiente3"/>
        <w:tabs>
          <w:tab w:val="left" w:pos="720"/>
          <w:tab w:val="left" w:pos="1350"/>
          <w:tab w:val="left" w:pos="1440"/>
          <w:tab w:val="left" w:pos="1800"/>
          <w:tab w:val="left" w:pos="9360"/>
        </w:tabs>
        <w:spacing w:after="0" w:line="240" w:lineRule="auto"/>
        <w:ind w:left="720"/>
        <w:jc w:val="both"/>
        <w:rPr>
          <w:sz w:val="21"/>
          <w:szCs w:val="21"/>
          <w:lang w:val="es-VE"/>
        </w:rPr>
      </w:pPr>
    </w:p>
    <w:p w:rsidR="00B40A0C" w:rsidRPr="004B4F45" w:rsidRDefault="00B40A0C" w:rsidP="00BC4F6D">
      <w:pPr>
        <w:pStyle w:val="Textoindependiente3"/>
        <w:numPr>
          <w:ilvl w:val="0"/>
          <w:numId w:val="1"/>
        </w:numPr>
        <w:tabs>
          <w:tab w:val="clear" w:pos="1860"/>
          <w:tab w:val="num" w:pos="0"/>
          <w:tab w:val="left" w:pos="720"/>
          <w:tab w:val="left" w:pos="1350"/>
          <w:tab w:val="left" w:pos="1440"/>
          <w:tab w:val="left" w:pos="1800"/>
          <w:tab w:val="left" w:pos="9360"/>
        </w:tabs>
        <w:spacing w:after="0" w:line="240" w:lineRule="auto"/>
        <w:ind w:left="720" w:firstLine="720"/>
        <w:jc w:val="both"/>
        <w:rPr>
          <w:sz w:val="21"/>
          <w:szCs w:val="21"/>
          <w:lang w:val="es-VE"/>
        </w:rPr>
      </w:pPr>
      <w:r w:rsidRPr="004B4F45">
        <w:rPr>
          <w:sz w:val="21"/>
          <w:szCs w:val="21"/>
          <w:lang w:val="es-VE"/>
        </w:rPr>
        <w:t xml:space="preserve">Adoptar las medidas legislativas, administrativas y de </w:t>
      </w:r>
      <w:proofErr w:type="gramStart"/>
      <w:r w:rsidRPr="004B4F45">
        <w:rPr>
          <w:sz w:val="21"/>
          <w:szCs w:val="21"/>
          <w:lang w:val="es-VE"/>
        </w:rPr>
        <w:t>otra índole necesarias</w:t>
      </w:r>
      <w:proofErr w:type="gramEnd"/>
      <w:r w:rsidRPr="004B4F45">
        <w:rPr>
          <w:sz w:val="21"/>
          <w:szCs w:val="21"/>
          <w:lang w:val="es-VE"/>
        </w:rPr>
        <w:t xml:space="preserve"> para asegurar que</w:t>
      </w:r>
      <w:r w:rsidR="00E44A9F" w:rsidRPr="004B4F45">
        <w:rPr>
          <w:sz w:val="21"/>
          <w:szCs w:val="21"/>
          <w:lang w:val="es-VE"/>
        </w:rPr>
        <w:t>,</w:t>
      </w:r>
      <w:r w:rsidRPr="004B4F45">
        <w:rPr>
          <w:sz w:val="21"/>
          <w:szCs w:val="21"/>
          <w:lang w:val="es-VE"/>
        </w:rPr>
        <w:t xml:space="preserve"> en</w:t>
      </w:r>
      <w:r w:rsidR="00E44A9F" w:rsidRPr="004B4F45">
        <w:rPr>
          <w:sz w:val="21"/>
          <w:szCs w:val="21"/>
          <w:lang w:val="es-VE"/>
        </w:rPr>
        <w:t xml:space="preserve"> la regulación y en la práctica,</w:t>
      </w:r>
      <w:r w:rsidRPr="004B4F45">
        <w:rPr>
          <w:sz w:val="21"/>
          <w:szCs w:val="21"/>
          <w:lang w:val="es-VE"/>
        </w:rPr>
        <w:t xml:space="preserve"> las personas condenadas penalmente cuenten con un recurso ante autoridad jerárquica que permita una revisión integral del fallo condenatorio.</w:t>
      </w:r>
    </w:p>
    <w:p w:rsidR="00B40A0C" w:rsidRPr="004B4F45" w:rsidRDefault="00B40A0C" w:rsidP="00BC4F6D">
      <w:pPr>
        <w:pStyle w:val="Textoindependiente3"/>
        <w:tabs>
          <w:tab w:val="num" w:pos="0"/>
          <w:tab w:val="left" w:pos="720"/>
          <w:tab w:val="left" w:pos="1350"/>
          <w:tab w:val="left" w:pos="1440"/>
          <w:tab w:val="left" w:pos="1800"/>
          <w:tab w:val="left" w:pos="9360"/>
        </w:tabs>
        <w:spacing w:after="0"/>
        <w:ind w:left="720" w:firstLine="720"/>
        <w:jc w:val="both"/>
        <w:rPr>
          <w:sz w:val="21"/>
          <w:szCs w:val="21"/>
          <w:lang w:val="es-VE"/>
        </w:rPr>
      </w:pPr>
    </w:p>
    <w:p w:rsidR="00B40A0C" w:rsidRPr="004B4F45" w:rsidRDefault="00B40A0C" w:rsidP="00BC4F6D">
      <w:pPr>
        <w:pStyle w:val="Textoindependiente3"/>
        <w:numPr>
          <w:ilvl w:val="0"/>
          <w:numId w:val="1"/>
        </w:numPr>
        <w:tabs>
          <w:tab w:val="clear" w:pos="1860"/>
          <w:tab w:val="num" w:pos="0"/>
          <w:tab w:val="left" w:pos="720"/>
          <w:tab w:val="left" w:pos="1350"/>
          <w:tab w:val="left" w:pos="1440"/>
          <w:tab w:val="left" w:pos="1800"/>
          <w:tab w:val="left" w:pos="9360"/>
        </w:tabs>
        <w:spacing w:after="0" w:line="240" w:lineRule="auto"/>
        <w:ind w:left="720" w:firstLine="720"/>
        <w:jc w:val="both"/>
        <w:rPr>
          <w:sz w:val="21"/>
          <w:szCs w:val="21"/>
          <w:lang w:val="es-VE"/>
        </w:rPr>
      </w:pPr>
      <w:r w:rsidRPr="004B4F45">
        <w:rPr>
          <w:sz w:val="21"/>
          <w:szCs w:val="21"/>
          <w:lang w:val="es-CO"/>
        </w:rPr>
        <w:t xml:space="preserve">Adoptar medidas administrativas y de otra índole dirigidas a capacitar a los cuerpos de seguridad en la prohibición absoluta de la tortura. </w:t>
      </w:r>
      <w:r w:rsidR="00CD500B" w:rsidRPr="004B4F45">
        <w:rPr>
          <w:sz w:val="21"/>
          <w:szCs w:val="21"/>
          <w:lang w:val="es-CO"/>
        </w:rPr>
        <w:t xml:space="preserve"> </w:t>
      </w:r>
      <w:r w:rsidRPr="004B4F45">
        <w:rPr>
          <w:sz w:val="21"/>
          <w:szCs w:val="21"/>
          <w:lang w:val="es-CO"/>
        </w:rPr>
        <w:t>Asimismo, el Estado deberá realizar capacitaciones sobre el uso de la fuerza</w:t>
      </w:r>
      <w:r w:rsidR="00CD500B" w:rsidRPr="004B4F45">
        <w:rPr>
          <w:sz w:val="21"/>
          <w:szCs w:val="21"/>
          <w:lang w:val="es-CO"/>
        </w:rPr>
        <w:t>,</w:t>
      </w:r>
      <w:r w:rsidRPr="004B4F45">
        <w:rPr>
          <w:sz w:val="21"/>
          <w:szCs w:val="21"/>
          <w:lang w:val="es-CO"/>
        </w:rPr>
        <w:t xml:space="preserve"> conforme a los estándares internacionales en el marco de operativos de captura de personas privadas de libertad que se hayan dado a la fuga de los centros de detención.</w:t>
      </w:r>
      <w:r w:rsidR="00CD500B" w:rsidRPr="004B4F45">
        <w:rPr>
          <w:sz w:val="21"/>
          <w:szCs w:val="21"/>
          <w:lang w:val="es-CO"/>
        </w:rPr>
        <w:t xml:space="preserve"> </w:t>
      </w:r>
      <w:r w:rsidRPr="004B4F45">
        <w:rPr>
          <w:sz w:val="21"/>
          <w:szCs w:val="21"/>
          <w:lang w:val="es-CO"/>
        </w:rPr>
        <w:t xml:space="preserve"> Finalmente, el Estado debe adoptar medidas para fortalecer los procesos para investigar, enjuiciar y sancionar a agentes estatales involucrados en actos de tortura o en violaciones de derechos humanos en el contexto de operativos de captura de personas fugadas. </w:t>
      </w:r>
    </w:p>
    <w:p w:rsidR="00B94856" w:rsidRPr="004B4F45" w:rsidRDefault="00B94856" w:rsidP="00B94856">
      <w:pPr>
        <w:widowControl w:val="0"/>
        <w:autoSpaceDE w:val="0"/>
        <w:autoSpaceDN w:val="0"/>
        <w:adjustRightInd w:val="0"/>
        <w:spacing w:after="0" w:line="240" w:lineRule="auto"/>
        <w:jc w:val="both"/>
        <w:rPr>
          <w:rFonts w:cs="Arial"/>
          <w:sz w:val="21"/>
          <w:szCs w:val="21"/>
          <w:lang w:val="es-CL"/>
        </w:rPr>
      </w:pPr>
    </w:p>
    <w:p w:rsidR="008E312F" w:rsidRPr="004B4F45" w:rsidRDefault="008E312F" w:rsidP="008E312F">
      <w:pPr>
        <w:tabs>
          <w:tab w:val="left" w:pos="720"/>
          <w:tab w:val="left" w:pos="2880"/>
        </w:tabs>
        <w:spacing w:after="0" w:line="240" w:lineRule="auto"/>
        <w:jc w:val="both"/>
        <w:rPr>
          <w:sz w:val="21"/>
          <w:szCs w:val="21"/>
          <w:lang w:val="es-CO"/>
        </w:rPr>
      </w:pPr>
      <w:r w:rsidRPr="004B4F45">
        <w:rPr>
          <w:sz w:val="21"/>
          <w:szCs w:val="21"/>
          <w:lang w:val="es-VE"/>
        </w:rPr>
        <w:tab/>
        <w:t xml:space="preserve">Asimismo, la Comisión destaca que el presente caso incorpora cuestiones de orden público interamericano. </w:t>
      </w:r>
      <w:r w:rsidR="00E42E84" w:rsidRPr="004B4F45">
        <w:rPr>
          <w:sz w:val="21"/>
          <w:szCs w:val="21"/>
          <w:lang w:val="es-VE"/>
        </w:rPr>
        <w:t xml:space="preserve"> </w:t>
      </w:r>
      <w:r w:rsidRPr="004B4F45">
        <w:rPr>
          <w:sz w:val="21"/>
          <w:szCs w:val="21"/>
          <w:lang w:val="es-VE"/>
        </w:rPr>
        <w:t xml:space="preserve">Específicamente, el caso </w:t>
      </w:r>
      <w:r w:rsidRPr="004B4F45">
        <w:rPr>
          <w:sz w:val="21"/>
          <w:szCs w:val="21"/>
          <w:lang w:val="es-CO"/>
        </w:rPr>
        <w:t xml:space="preserve">permitirá a la Honorable Corte profundizar su jurisprudencia en materia de pena de muerte, específicamente en lo relativo a la prohibición de utilizar la noción de peligrosidad de una persona, como expresión del derecho penal de autor, para imponer la pena de muerte. </w:t>
      </w:r>
      <w:r w:rsidR="00E42E84" w:rsidRPr="004B4F45">
        <w:rPr>
          <w:sz w:val="21"/>
          <w:szCs w:val="21"/>
          <w:lang w:val="es-CO"/>
        </w:rPr>
        <w:t xml:space="preserve"> </w:t>
      </w:r>
      <w:r w:rsidR="00803837" w:rsidRPr="004B4F45">
        <w:rPr>
          <w:sz w:val="21"/>
          <w:szCs w:val="21"/>
          <w:lang w:val="es-CO"/>
        </w:rPr>
        <w:t xml:space="preserve">El caso contribuirá a visibilizar esta temática y apoyar el proceso ya iniciado por diversas autoridades estatales por largos años hacia la abolición de la pena de muerte en Guatemala.  </w:t>
      </w:r>
      <w:r w:rsidRPr="004B4F45">
        <w:rPr>
          <w:sz w:val="21"/>
          <w:szCs w:val="21"/>
          <w:lang w:val="es-CO"/>
        </w:rPr>
        <w:t>Asimismo, este caso permitirá a la Corte consolidar sus estándares en materia de debido proceso penal,</w:t>
      </w:r>
      <w:r w:rsidR="00803837" w:rsidRPr="004B4F45">
        <w:rPr>
          <w:sz w:val="21"/>
          <w:szCs w:val="21"/>
          <w:lang w:val="es-CO"/>
        </w:rPr>
        <w:t xml:space="preserve"> en particular el derecho a recurrir el fallo mediante un mecanismo que permita una revisión integral. </w:t>
      </w:r>
      <w:r w:rsidR="00E42E84" w:rsidRPr="004B4F45">
        <w:rPr>
          <w:sz w:val="21"/>
          <w:szCs w:val="21"/>
          <w:lang w:val="es-CO"/>
        </w:rPr>
        <w:t xml:space="preserve"> </w:t>
      </w:r>
      <w:r w:rsidR="00803837" w:rsidRPr="004B4F45">
        <w:rPr>
          <w:sz w:val="21"/>
          <w:szCs w:val="21"/>
          <w:lang w:val="es-CO"/>
        </w:rPr>
        <w:t xml:space="preserve">La Corte también podrá profundizar su jurisprudencia en materia de tortura sexual y ejecuciones extrajudiciales. </w:t>
      </w:r>
    </w:p>
    <w:p w:rsidR="008E312F" w:rsidRPr="004B4F45" w:rsidRDefault="008E312F" w:rsidP="008E312F">
      <w:pPr>
        <w:widowControl w:val="0"/>
        <w:autoSpaceDE w:val="0"/>
        <w:autoSpaceDN w:val="0"/>
        <w:adjustRightInd w:val="0"/>
        <w:spacing w:after="0" w:line="240" w:lineRule="auto"/>
        <w:jc w:val="both"/>
        <w:rPr>
          <w:rFonts w:cs="Arial"/>
          <w:sz w:val="21"/>
          <w:szCs w:val="21"/>
          <w:lang w:val="es-CO"/>
        </w:rPr>
      </w:pPr>
    </w:p>
    <w:p w:rsidR="008E312F" w:rsidRPr="004B4F45" w:rsidRDefault="00467C22" w:rsidP="008E312F">
      <w:pPr>
        <w:widowControl w:val="0"/>
        <w:autoSpaceDE w:val="0"/>
        <w:autoSpaceDN w:val="0"/>
        <w:adjustRightInd w:val="0"/>
        <w:spacing w:after="0" w:line="240" w:lineRule="auto"/>
        <w:ind w:firstLine="720"/>
        <w:jc w:val="both"/>
        <w:rPr>
          <w:sz w:val="21"/>
          <w:szCs w:val="21"/>
          <w:lang w:val="es-ES_tradnl"/>
        </w:rPr>
      </w:pPr>
      <w:r w:rsidRPr="004B4F45">
        <w:rPr>
          <w:rFonts w:cs="Arial"/>
          <w:sz w:val="21"/>
          <w:szCs w:val="21"/>
          <w:lang w:val="es-CL"/>
        </w:rPr>
        <w:t>L</w:t>
      </w:r>
      <w:r w:rsidR="008E312F" w:rsidRPr="004B4F45">
        <w:rPr>
          <w:rFonts w:cs="Arial"/>
          <w:sz w:val="21"/>
          <w:szCs w:val="21"/>
          <w:lang w:val="es-CL"/>
        </w:rPr>
        <w:t xml:space="preserve">a Comisión se permite solicitar que la declaración pericial ofrecida en los casos </w:t>
      </w:r>
      <w:r w:rsidR="008E312F" w:rsidRPr="004B4F45">
        <w:rPr>
          <w:rFonts w:cs="Arial"/>
          <w:i/>
          <w:sz w:val="21"/>
          <w:szCs w:val="21"/>
          <w:lang w:val="es-CL"/>
        </w:rPr>
        <w:t>Girón</w:t>
      </w:r>
      <w:r w:rsidR="00096EE3" w:rsidRPr="004B4F45">
        <w:rPr>
          <w:rFonts w:cs="Arial"/>
          <w:i/>
          <w:sz w:val="21"/>
          <w:szCs w:val="21"/>
          <w:lang w:val="es-CL"/>
        </w:rPr>
        <w:t xml:space="preserve"> y Castillo, Martínez Coronado, Ruí</w:t>
      </w:r>
      <w:r w:rsidR="00BF266C" w:rsidRPr="004B4F45">
        <w:rPr>
          <w:rFonts w:cs="Arial"/>
          <w:i/>
          <w:sz w:val="21"/>
          <w:szCs w:val="21"/>
          <w:lang w:val="es-CL"/>
        </w:rPr>
        <w:t xml:space="preserve">z Fuentes y Rodríguez </w:t>
      </w:r>
      <w:proofErr w:type="spellStart"/>
      <w:r w:rsidR="00BF266C" w:rsidRPr="004B4F45">
        <w:rPr>
          <w:rFonts w:cs="Arial"/>
          <w:i/>
          <w:sz w:val="21"/>
          <w:szCs w:val="21"/>
          <w:lang w:val="es-CL"/>
        </w:rPr>
        <w:t>Revolorio</w:t>
      </w:r>
      <w:proofErr w:type="spellEnd"/>
      <w:r w:rsidR="00BF266C" w:rsidRPr="004B4F45">
        <w:rPr>
          <w:rFonts w:cs="Arial"/>
          <w:i/>
          <w:sz w:val="21"/>
          <w:szCs w:val="21"/>
          <w:lang w:val="es-CL"/>
        </w:rPr>
        <w:t xml:space="preserve"> y otros,</w:t>
      </w:r>
      <w:r w:rsidR="008E312F" w:rsidRPr="004B4F45">
        <w:rPr>
          <w:rFonts w:cs="Arial"/>
          <w:i/>
          <w:sz w:val="21"/>
          <w:szCs w:val="21"/>
          <w:lang w:val="es-CL"/>
        </w:rPr>
        <w:t xml:space="preserve"> </w:t>
      </w:r>
      <w:r w:rsidR="008E312F" w:rsidRPr="004B4F45">
        <w:rPr>
          <w:rFonts w:cs="Arial"/>
          <w:sz w:val="21"/>
          <w:szCs w:val="21"/>
          <w:lang w:val="es-CL"/>
        </w:rPr>
        <w:t xml:space="preserve">todos respecto de Guatemala, sea trasladada al presente caso. </w:t>
      </w:r>
    </w:p>
    <w:p w:rsidR="008E312F" w:rsidRPr="004B4F45" w:rsidRDefault="008E312F" w:rsidP="00B94856">
      <w:pPr>
        <w:widowControl w:val="0"/>
        <w:autoSpaceDE w:val="0"/>
        <w:autoSpaceDN w:val="0"/>
        <w:adjustRightInd w:val="0"/>
        <w:spacing w:after="0" w:line="240" w:lineRule="auto"/>
        <w:ind w:firstLine="720"/>
        <w:jc w:val="both"/>
        <w:rPr>
          <w:rFonts w:cs="Arial"/>
          <w:sz w:val="21"/>
          <w:szCs w:val="21"/>
          <w:lang w:val="es-ES_tradnl"/>
        </w:rPr>
      </w:pPr>
    </w:p>
    <w:p w:rsidR="00E42E84" w:rsidRPr="004B4F45" w:rsidRDefault="00E42E84" w:rsidP="00B94856">
      <w:pPr>
        <w:widowControl w:val="0"/>
        <w:autoSpaceDE w:val="0"/>
        <w:autoSpaceDN w:val="0"/>
        <w:adjustRightInd w:val="0"/>
        <w:spacing w:after="0" w:line="240" w:lineRule="auto"/>
        <w:ind w:firstLine="720"/>
        <w:jc w:val="both"/>
        <w:rPr>
          <w:rFonts w:cs="Arial"/>
          <w:sz w:val="21"/>
          <w:szCs w:val="21"/>
          <w:lang w:val="es-ES_tradnl"/>
        </w:rPr>
      </w:pPr>
    </w:p>
    <w:p w:rsidR="00B94856" w:rsidRPr="004B4F45" w:rsidRDefault="00B94856" w:rsidP="00B94856">
      <w:pPr>
        <w:widowControl w:val="0"/>
        <w:autoSpaceDE w:val="0"/>
        <w:autoSpaceDN w:val="0"/>
        <w:adjustRightInd w:val="0"/>
        <w:spacing w:after="0" w:line="240" w:lineRule="auto"/>
        <w:ind w:firstLine="720"/>
        <w:jc w:val="both"/>
        <w:rPr>
          <w:sz w:val="21"/>
          <w:szCs w:val="21"/>
          <w:lang w:val="es-ES_tradnl"/>
        </w:rPr>
      </w:pPr>
      <w:r w:rsidRPr="004B4F45">
        <w:rPr>
          <w:sz w:val="21"/>
          <w:szCs w:val="21"/>
          <w:lang w:val="es-ES_tradnl"/>
        </w:rPr>
        <w:t xml:space="preserve">La Comisión pone en conocimiento de la Corte los siguientes datos de quienes han actuado como peticionarios a lo largo del trámite interamericano: </w:t>
      </w:r>
    </w:p>
    <w:p w:rsidR="00B94856" w:rsidRPr="004B4F45" w:rsidRDefault="00B94856" w:rsidP="00B94856">
      <w:pPr>
        <w:widowControl w:val="0"/>
        <w:autoSpaceDE w:val="0"/>
        <w:autoSpaceDN w:val="0"/>
        <w:adjustRightInd w:val="0"/>
        <w:spacing w:after="0" w:line="240" w:lineRule="auto"/>
        <w:ind w:firstLine="720"/>
        <w:jc w:val="both"/>
        <w:rPr>
          <w:sz w:val="21"/>
          <w:szCs w:val="21"/>
          <w:lang w:val="es-ES_tradnl"/>
        </w:rPr>
      </w:pPr>
    </w:p>
    <w:tbl>
      <w:tblPr>
        <w:tblW w:w="14883" w:type="dxa"/>
        <w:tblCellMar>
          <w:left w:w="0" w:type="dxa"/>
          <w:right w:w="0" w:type="dxa"/>
        </w:tblCellMar>
        <w:tblLook w:val="04A0" w:firstRow="1" w:lastRow="0" w:firstColumn="1" w:lastColumn="0" w:noHBand="0" w:noVBand="1"/>
      </w:tblPr>
      <w:tblGrid>
        <w:gridCol w:w="11268"/>
        <w:gridCol w:w="3615"/>
      </w:tblGrid>
      <w:tr w:rsidR="0077442A" w:rsidRPr="00FC3F3A" w:rsidTr="0077442A">
        <w:trPr>
          <w:trHeight w:val="427"/>
        </w:trPr>
        <w:tc>
          <w:tcPr>
            <w:tcW w:w="11268" w:type="dxa"/>
            <w:tcMar>
              <w:top w:w="0" w:type="dxa"/>
              <w:left w:w="108" w:type="dxa"/>
              <w:bottom w:w="0" w:type="dxa"/>
              <w:right w:w="108" w:type="dxa"/>
            </w:tcMar>
            <w:hideMark/>
          </w:tcPr>
          <w:p w:rsidR="0077442A" w:rsidRPr="004B4F45" w:rsidRDefault="0077442A" w:rsidP="0077442A">
            <w:pPr>
              <w:spacing w:after="0" w:line="240" w:lineRule="auto"/>
              <w:jc w:val="center"/>
              <w:rPr>
                <w:sz w:val="21"/>
                <w:szCs w:val="21"/>
                <w:lang w:val="es-ES"/>
              </w:rPr>
            </w:pPr>
            <w:bookmarkStart w:id="2" w:name="peticionarioD"/>
            <w:bookmarkEnd w:id="2"/>
            <w:r w:rsidRPr="004B4F45">
              <w:rPr>
                <w:sz w:val="21"/>
                <w:szCs w:val="21"/>
                <w:lang w:val="es-ES"/>
              </w:rPr>
              <w:t>Instituto de la Defensa Pública Penal</w:t>
            </w:r>
          </w:p>
          <w:p w:rsidR="0077442A" w:rsidRPr="004B4F45" w:rsidRDefault="0077442A" w:rsidP="0077442A">
            <w:pPr>
              <w:spacing w:after="0" w:line="240" w:lineRule="auto"/>
              <w:jc w:val="center"/>
              <w:rPr>
                <w:sz w:val="21"/>
                <w:szCs w:val="21"/>
                <w:lang w:val="es-ES"/>
              </w:rPr>
            </w:pPr>
            <w:r w:rsidRPr="004B4F45">
              <w:rPr>
                <w:sz w:val="21"/>
                <w:szCs w:val="21"/>
                <w:lang w:val="es-ES"/>
              </w:rPr>
              <w:t>Instituto de Estudios Comparados en</w:t>
            </w:r>
          </w:p>
          <w:p w:rsidR="0077442A" w:rsidRPr="004B4F45" w:rsidRDefault="0077442A" w:rsidP="0077442A">
            <w:pPr>
              <w:spacing w:after="0" w:line="240" w:lineRule="auto"/>
              <w:jc w:val="center"/>
              <w:rPr>
                <w:sz w:val="21"/>
                <w:szCs w:val="21"/>
                <w:lang w:val="es-ES"/>
              </w:rPr>
            </w:pPr>
            <w:r w:rsidRPr="004B4F45">
              <w:rPr>
                <w:sz w:val="21"/>
                <w:szCs w:val="21"/>
                <w:lang w:val="es-ES"/>
              </w:rPr>
              <w:t>Ciencias Penales de Guatemala</w:t>
            </w:r>
          </w:p>
          <w:p w:rsidR="0077442A" w:rsidRPr="004B4F45" w:rsidRDefault="00FC3F3A" w:rsidP="0077442A">
            <w:pPr>
              <w:spacing w:after="0" w:line="240" w:lineRule="auto"/>
              <w:jc w:val="center"/>
              <w:rPr>
                <w:sz w:val="21"/>
                <w:szCs w:val="21"/>
                <w:lang w:val="es-ES"/>
              </w:rPr>
            </w:pPr>
            <w:bookmarkStart w:id="3" w:name="email"/>
            <w:bookmarkEnd w:id="3"/>
            <w:proofErr w:type="spellStart"/>
            <w:r w:rsidRPr="00FC3F3A">
              <w:rPr>
                <w:sz w:val="21"/>
                <w:szCs w:val="21"/>
                <w:highlight w:val="black"/>
                <w:lang w:val="es-ES"/>
              </w:rPr>
              <w:t>xxxxxxxxxxxxxxxxxxxxxx</w:t>
            </w:r>
            <w:proofErr w:type="spellEnd"/>
          </w:p>
        </w:tc>
        <w:tc>
          <w:tcPr>
            <w:tcW w:w="3615" w:type="dxa"/>
            <w:tcMar>
              <w:top w:w="0" w:type="dxa"/>
              <w:left w:w="108" w:type="dxa"/>
              <w:bottom w:w="0" w:type="dxa"/>
              <w:right w:w="108" w:type="dxa"/>
            </w:tcMar>
          </w:tcPr>
          <w:p w:rsidR="0077442A" w:rsidRPr="004B4F45" w:rsidRDefault="0077442A">
            <w:pPr>
              <w:spacing w:after="0" w:line="240" w:lineRule="auto"/>
              <w:rPr>
                <w:sz w:val="21"/>
                <w:szCs w:val="21"/>
                <w:lang w:val="es-ES"/>
              </w:rPr>
            </w:pPr>
          </w:p>
        </w:tc>
      </w:tr>
    </w:tbl>
    <w:p w:rsidR="0077442A" w:rsidRPr="004B4F45" w:rsidRDefault="0077442A" w:rsidP="0077442A">
      <w:pPr>
        <w:spacing w:after="0" w:line="240" w:lineRule="auto"/>
        <w:jc w:val="both"/>
        <w:rPr>
          <w:sz w:val="21"/>
          <w:szCs w:val="21"/>
          <w:lang w:val="es-CO"/>
        </w:rPr>
      </w:pPr>
    </w:p>
    <w:p w:rsidR="00B94856" w:rsidRPr="004B4F45" w:rsidRDefault="00B94856" w:rsidP="00B94856">
      <w:pPr>
        <w:tabs>
          <w:tab w:val="left" w:pos="0"/>
        </w:tabs>
        <w:spacing w:after="0" w:line="240" w:lineRule="auto"/>
        <w:ind w:firstLine="720"/>
        <w:jc w:val="both"/>
        <w:rPr>
          <w:sz w:val="21"/>
          <w:szCs w:val="21"/>
          <w:lang w:val="es-AR"/>
        </w:rPr>
      </w:pPr>
      <w:r w:rsidRPr="004B4F45">
        <w:rPr>
          <w:sz w:val="21"/>
          <w:szCs w:val="21"/>
          <w:lang w:val="es-AR"/>
        </w:rPr>
        <w:t>Aprovecho la oportunidad para saludar a usted muy atentamente,</w:t>
      </w:r>
    </w:p>
    <w:p w:rsidR="00B94856" w:rsidRPr="004B4F45" w:rsidRDefault="00B94856" w:rsidP="00B94856">
      <w:pPr>
        <w:suppressAutoHyphens/>
        <w:spacing w:after="0" w:line="240" w:lineRule="auto"/>
        <w:rPr>
          <w:rFonts w:cs="Arial"/>
          <w:snapToGrid w:val="0"/>
          <w:sz w:val="21"/>
          <w:szCs w:val="21"/>
          <w:lang w:val="es-CO"/>
        </w:rPr>
      </w:pPr>
    </w:p>
    <w:p w:rsidR="00B94856" w:rsidRPr="004B4F45" w:rsidRDefault="00B94856" w:rsidP="00B94856">
      <w:pPr>
        <w:suppressAutoHyphens/>
        <w:spacing w:after="0" w:line="240" w:lineRule="auto"/>
        <w:rPr>
          <w:rFonts w:cs="Arial"/>
          <w:snapToGrid w:val="0"/>
          <w:sz w:val="21"/>
          <w:szCs w:val="21"/>
          <w:lang w:val="es-CO"/>
        </w:rPr>
      </w:pPr>
    </w:p>
    <w:p w:rsidR="00B94856" w:rsidRPr="004B4F45" w:rsidRDefault="00B94856" w:rsidP="00B94856">
      <w:pPr>
        <w:suppressAutoHyphens/>
        <w:spacing w:after="0" w:line="240" w:lineRule="auto"/>
        <w:rPr>
          <w:rFonts w:cs="Arial"/>
          <w:snapToGrid w:val="0"/>
          <w:sz w:val="21"/>
          <w:szCs w:val="21"/>
          <w:lang w:val="es-CO"/>
        </w:rPr>
      </w:pPr>
    </w:p>
    <w:p w:rsidR="00B94856" w:rsidRPr="00701B9E" w:rsidRDefault="00FC3F3A" w:rsidP="00FC3F3A">
      <w:pPr>
        <w:suppressAutoHyphens/>
        <w:spacing w:after="0" w:line="240" w:lineRule="auto"/>
        <w:ind w:left="3600" w:firstLine="720"/>
        <w:rPr>
          <w:rFonts w:cs="Arial"/>
          <w:snapToGrid w:val="0"/>
          <w:color w:val="808080"/>
          <w:sz w:val="20"/>
          <w:szCs w:val="21"/>
          <w:lang w:val="es-CO"/>
        </w:rPr>
      </w:pPr>
      <w:r w:rsidRPr="00701B9E">
        <w:rPr>
          <w:rFonts w:cs="Arial"/>
          <w:snapToGrid w:val="0"/>
          <w:color w:val="808080"/>
          <w:sz w:val="21"/>
          <w:szCs w:val="21"/>
          <w:lang w:val="es-CO"/>
        </w:rPr>
        <w:t xml:space="preserve">         </w:t>
      </w:r>
      <w:r w:rsidRPr="00701B9E">
        <w:rPr>
          <w:rFonts w:cs="Arial"/>
          <w:snapToGrid w:val="0"/>
          <w:color w:val="808080"/>
          <w:sz w:val="20"/>
          <w:szCs w:val="21"/>
          <w:lang w:val="es-CO"/>
        </w:rPr>
        <w:t>Firmado en el original</w:t>
      </w:r>
    </w:p>
    <w:p w:rsidR="00B94856" w:rsidRPr="004B4F45" w:rsidRDefault="00B94856" w:rsidP="00B94856">
      <w:pPr>
        <w:suppressAutoHyphens/>
        <w:spacing w:after="0" w:line="240" w:lineRule="auto"/>
        <w:ind w:left="3600" w:firstLine="720"/>
        <w:rPr>
          <w:rFonts w:cs="Arial"/>
          <w:snapToGrid w:val="0"/>
          <w:sz w:val="21"/>
          <w:szCs w:val="21"/>
          <w:lang w:val="es-CO"/>
        </w:rPr>
      </w:pPr>
      <w:r w:rsidRPr="004B4F45">
        <w:rPr>
          <w:rFonts w:cs="Arial"/>
          <w:snapToGrid w:val="0"/>
          <w:sz w:val="21"/>
          <w:szCs w:val="21"/>
          <w:lang w:val="es-CO"/>
        </w:rPr>
        <w:t xml:space="preserve">       </w:t>
      </w:r>
      <w:r w:rsidR="00D11E09" w:rsidRPr="004B4F45">
        <w:rPr>
          <w:rFonts w:cs="Arial"/>
          <w:snapToGrid w:val="0"/>
          <w:sz w:val="21"/>
          <w:szCs w:val="21"/>
          <w:lang w:val="es-CO"/>
        </w:rPr>
        <w:t xml:space="preserve">  María Claudia Pulido</w:t>
      </w:r>
    </w:p>
    <w:p w:rsidR="00B94856" w:rsidRPr="004B4F45" w:rsidRDefault="00B94856" w:rsidP="00B94856">
      <w:pPr>
        <w:suppressAutoHyphens/>
        <w:spacing w:after="0" w:line="240" w:lineRule="auto"/>
        <w:ind w:left="3600"/>
        <w:rPr>
          <w:sz w:val="21"/>
          <w:szCs w:val="21"/>
          <w:lang w:val="es-CO"/>
        </w:rPr>
      </w:pPr>
      <w:r w:rsidRPr="004B4F45">
        <w:rPr>
          <w:rFonts w:cs="Arial"/>
          <w:snapToGrid w:val="0"/>
          <w:sz w:val="21"/>
          <w:szCs w:val="21"/>
          <w:lang w:val="es-CO"/>
        </w:rPr>
        <w:t xml:space="preserve">                 Secretaria Ejecutiva Adjunta </w:t>
      </w:r>
    </w:p>
    <w:p w:rsidR="00B94856" w:rsidRPr="004B4F45" w:rsidRDefault="00B94856" w:rsidP="00B94856">
      <w:pPr>
        <w:spacing w:after="0" w:line="240" w:lineRule="auto"/>
        <w:rPr>
          <w:sz w:val="21"/>
          <w:szCs w:val="21"/>
          <w:lang w:val="es-CO"/>
        </w:rPr>
      </w:pPr>
    </w:p>
    <w:p w:rsidR="00B94856" w:rsidRPr="004B4F45" w:rsidRDefault="00B94856" w:rsidP="00B94856">
      <w:pPr>
        <w:spacing w:after="0" w:line="240" w:lineRule="auto"/>
        <w:rPr>
          <w:sz w:val="21"/>
          <w:szCs w:val="21"/>
          <w:lang w:val="es-CO"/>
        </w:rPr>
      </w:pPr>
    </w:p>
    <w:p w:rsidR="00B94856" w:rsidRPr="004B4F45" w:rsidRDefault="00B94856" w:rsidP="00B94856">
      <w:pPr>
        <w:spacing w:after="0" w:line="240" w:lineRule="auto"/>
        <w:rPr>
          <w:sz w:val="21"/>
          <w:szCs w:val="21"/>
          <w:lang w:val="es-CO"/>
        </w:rPr>
      </w:pPr>
    </w:p>
    <w:p w:rsidR="00B94856" w:rsidRPr="004B4F45" w:rsidRDefault="00B94856" w:rsidP="00B94856">
      <w:pPr>
        <w:spacing w:after="0" w:line="240" w:lineRule="auto"/>
        <w:rPr>
          <w:sz w:val="21"/>
          <w:szCs w:val="21"/>
          <w:lang w:val="es-CO"/>
        </w:rPr>
      </w:pPr>
    </w:p>
    <w:p w:rsidR="00B94856" w:rsidRPr="004B4F45" w:rsidRDefault="00B94856" w:rsidP="00B94856">
      <w:pPr>
        <w:spacing w:after="0" w:line="240" w:lineRule="auto"/>
        <w:rPr>
          <w:sz w:val="21"/>
          <w:szCs w:val="21"/>
          <w:lang w:val="es-CO"/>
        </w:rPr>
      </w:pPr>
    </w:p>
    <w:p w:rsidR="00B94856" w:rsidRPr="004B4F45" w:rsidRDefault="00B94856" w:rsidP="00B94856">
      <w:pPr>
        <w:spacing w:after="0" w:line="240" w:lineRule="auto"/>
        <w:rPr>
          <w:sz w:val="21"/>
          <w:szCs w:val="21"/>
          <w:lang w:val="es-CO"/>
        </w:rPr>
      </w:pPr>
    </w:p>
    <w:p w:rsidR="00B94856" w:rsidRPr="004B4F45" w:rsidRDefault="00B94856" w:rsidP="00B94856">
      <w:pPr>
        <w:spacing w:after="0" w:line="240" w:lineRule="auto"/>
        <w:rPr>
          <w:sz w:val="21"/>
          <w:szCs w:val="21"/>
          <w:lang w:val="es-CO"/>
        </w:rPr>
      </w:pPr>
    </w:p>
    <w:p w:rsidR="00B94856" w:rsidRPr="004B4F45" w:rsidRDefault="00B94856" w:rsidP="00B94856">
      <w:pPr>
        <w:rPr>
          <w:sz w:val="21"/>
          <w:szCs w:val="21"/>
          <w:lang w:val="es-VE"/>
        </w:rPr>
      </w:pPr>
    </w:p>
    <w:p w:rsidR="00F24818" w:rsidRPr="004B4F45" w:rsidRDefault="00F24818">
      <w:pPr>
        <w:rPr>
          <w:sz w:val="21"/>
          <w:szCs w:val="21"/>
          <w:lang w:val="es-PE"/>
        </w:rPr>
      </w:pPr>
    </w:p>
    <w:sectPr w:rsidR="00F24818" w:rsidRPr="004B4F45" w:rsidSect="000847A1">
      <w:headerReference w:type="default" r:id="rId8"/>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C2B" w:rsidRDefault="00B72C2B">
      <w:pPr>
        <w:spacing w:after="0" w:line="240" w:lineRule="auto"/>
      </w:pPr>
      <w:r>
        <w:separator/>
      </w:r>
    </w:p>
  </w:endnote>
  <w:endnote w:type="continuationSeparator" w:id="0">
    <w:p w:rsidR="00B72C2B" w:rsidRDefault="00B72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8E1" w:rsidRDefault="00D858E1" w:rsidP="00D858E1">
    <w:pPr>
      <w:pStyle w:val="Piedepgina"/>
      <w:spacing w:line="360" w:lineRule="auto"/>
    </w:pPr>
    <w:r>
      <w:pict>
        <v:rect id="_x0000_i1026" style="width:0;height:1.5pt" o:hralign="center" o:hrstd="t" o:hr="t" fillcolor="#a0a0a0" stroked="f"/>
      </w:pict>
    </w:r>
  </w:p>
  <w:p w:rsidR="00D858E1" w:rsidRDefault="00D858E1" w:rsidP="00D858E1">
    <w:pPr>
      <w:pStyle w:val="Piedepgina"/>
      <w:jc w:val="center"/>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29" type="#_x0000_t75" style="width:403.2pt;height:24.95pt;visibility:visible">
          <v:imagedata r:id="rId1" o:title="footer-es"/>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C2B" w:rsidRDefault="00B72C2B">
      <w:pPr>
        <w:spacing w:after="0" w:line="240" w:lineRule="auto"/>
      </w:pPr>
      <w:r>
        <w:separator/>
      </w:r>
    </w:p>
  </w:footnote>
  <w:footnote w:type="continuationSeparator" w:id="0">
    <w:p w:rsidR="00B72C2B" w:rsidRDefault="00B72C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8E1" w:rsidRDefault="00D858E1" w:rsidP="00D858E1">
    <w:pPr>
      <w:pStyle w:val="Encabezado"/>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7" type="#_x0000_t75" style="width:185.3pt;height:35.5pt;visibility:visible">
          <v:imagedata r:id="rId1" o:title="cidh-es"/>
        </v:shape>
      </w:pict>
    </w:r>
    <w:r>
      <w:tab/>
      <w:t xml:space="preserve">    </w:t>
    </w:r>
    <w:r w:rsidR="000847A1">
      <w:t xml:space="preserve"> </w:t>
    </w:r>
    <w:r>
      <w:t xml:space="preserve">                                                        </w:t>
    </w:r>
    <w:r w:rsidRPr="008A5CB5">
      <w:rPr>
        <w:noProof/>
      </w:rPr>
      <w:pict>
        <v:shape id="Picture 2" o:spid="_x0000_i1028" type="#_x0000_t75" style="width:129.6pt;height:37.45pt;visibility:visible">
          <v:imagedata r:id="rId2" o:title="oea-es"/>
        </v:shape>
      </w:pict>
    </w:r>
  </w:p>
  <w:p w:rsidR="00D858E1" w:rsidRDefault="00D858E1" w:rsidP="00D858E1">
    <w:pPr>
      <w:pStyle w:val="Encabezado"/>
    </w:pPr>
    <w:r>
      <w:pict>
        <v:rect id="_x0000_i1025" style="width:0;height:1.5pt" o:hralign="center" o:hrstd="t" o:hr="t" fillcolor="#a0a0a0" stroked="f"/>
      </w:pict>
    </w:r>
  </w:p>
  <w:p w:rsidR="00D858E1" w:rsidRDefault="00D858E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61D90"/>
    <w:multiLevelType w:val="hybridMultilevel"/>
    <w:tmpl w:val="3C9A35F2"/>
    <w:lvl w:ilvl="0" w:tplc="FCB4136E">
      <w:start w:val="1"/>
      <w:numFmt w:val="decimal"/>
      <w:lvlText w:val="%1."/>
      <w:lvlJc w:val="left"/>
      <w:pPr>
        <w:tabs>
          <w:tab w:val="num" w:pos="1260"/>
        </w:tabs>
        <w:ind w:left="1260" w:hanging="360"/>
      </w:pPr>
      <w:rPr>
        <w:rFonts w:ascii="Cambria" w:hAnsi="Cambria" w:cs="Times New Roman" w:hint="default"/>
        <w:b w:val="0"/>
        <w:i w:val="0"/>
        <w:sz w:val="20"/>
        <w:szCs w:val="20"/>
        <w:lang w:val="es-ES_tradn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94856"/>
    <w:rsid w:val="000071FF"/>
    <w:rsid w:val="00057EB6"/>
    <w:rsid w:val="00075471"/>
    <w:rsid w:val="000847A1"/>
    <w:rsid w:val="00096EE3"/>
    <w:rsid w:val="000A77C8"/>
    <w:rsid w:val="000B1C4E"/>
    <w:rsid w:val="000E2EFD"/>
    <w:rsid w:val="00136D63"/>
    <w:rsid w:val="001D1BF0"/>
    <w:rsid w:val="00291A70"/>
    <w:rsid w:val="003A190A"/>
    <w:rsid w:val="003C552E"/>
    <w:rsid w:val="003C7949"/>
    <w:rsid w:val="00453D60"/>
    <w:rsid w:val="00467C22"/>
    <w:rsid w:val="004A107C"/>
    <w:rsid w:val="004B4F45"/>
    <w:rsid w:val="004E4899"/>
    <w:rsid w:val="0053064C"/>
    <w:rsid w:val="00582E48"/>
    <w:rsid w:val="005B78FE"/>
    <w:rsid w:val="005D2C2D"/>
    <w:rsid w:val="005D63B2"/>
    <w:rsid w:val="005E5369"/>
    <w:rsid w:val="005E6260"/>
    <w:rsid w:val="0066775C"/>
    <w:rsid w:val="00701B9E"/>
    <w:rsid w:val="00701DBA"/>
    <w:rsid w:val="0077442A"/>
    <w:rsid w:val="007A52D2"/>
    <w:rsid w:val="007B4EF0"/>
    <w:rsid w:val="007D30E0"/>
    <w:rsid w:val="00803837"/>
    <w:rsid w:val="00847AB8"/>
    <w:rsid w:val="00887646"/>
    <w:rsid w:val="00890917"/>
    <w:rsid w:val="008E312F"/>
    <w:rsid w:val="00907AC5"/>
    <w:rsid w:val="009C0EA8"/>
    <w:rsid w:val="009D146A"/>
    <w:rsid w:val="00A721E2"/>
    <w:rsid w:val="00A858AD"/>
    <w:rsid w:val="00B06845"/>
    <w:rsid w:val="00B3658F"/>
    <w:rsid w:val="00B40A0C"/>
    <w:rsid w:val="00B72C2B"/>
    <w:rsid w:val="00B84C21"/>
    <w:rsid w:val="00B94856"/>
    <w:rsid w:val="00BB7525"/>
    <w:rsid w:val="00BC4F6D"/>
    <w:rsid w:val="00BF266C"/>
    <w:rsid w:val="00CB0EFA"/>
    <w:rsid w:val="00CC4204"/>
    <w:rsid w:val="00CD500B"/>
    <w:rsid w:val="00D11E09"/>
    <w:rsid w:val="00D7714E"/>
    <w:rsid w:val="00D858E1"/>
    <w:rsid w:val="00DF2348"/>
    <w:rsid w:val="00E42E84"/>
    <w:rsid w:val="00E44A9F"/>
    <w:rsid w:val="00E87AF3"/>
    <w:rsid w:val="00E96A1D"/>
    <w:rsid w:val="00ED514E"/>
    <w:rsid w:val="00EF1781"/>
    <w:rsid w:val="00F12379"/>
    <w:rsid w:val="00F1329E"/>
    <w:rsid w:val="00F24818"/>
    <w:rsid w:val="00F42B6F"/>
    <w:rsid w:val="00FA5D9F"/>
    <w:rsid w:val="00FC3F3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94856"/>
    <w:pPr>
      <w:tabs>
        <w:tab w:val="center" w:pos="4680"/>
        <w:tab w:val="right" w:pos="9360"/>
      </w:tabs>
      <w:spacing w:after="0" w:line="240" w:lineRule="auto"/>
    </w:pPr>
    <w:rPr>
      <w:rFonts w:eastAsia="Batang"/>
    </w:rPr>
  </w:style>
  <w:style w:type="character" w:customStyle="1" w:styleId="EncabezadoCar">
    <w:name w:val="Encabezado Car"/>
    <w:link w:val="Encabezado"/>
    <w:uiPriority w:val="99"/>
    <w:rsid w:val="00B94856"/>
    <w:rPr>
      <w:rFonts w:eastAsia="Batang"/>
      <w:sz w:val="22"/>
      <w:szCs w:val="22"/>
    </w:rPr>
  </w:style>
  <w:style w:type="paragraph" w:styleId="Piedepgina">
    <w:name w:val="footer"/>
    <w:basedOn w:val="Normal"/>
    <w:link w:val="PiedepginaCar"/>
    <w:rsid w:val="00B94856"/>
    <w:pPr>
      <w:tabs>
        <w:tab w:val="center" w:pos="4320"/>
        <w:tab w:val="right" w:pos="8640"/>
      </w:tabs>
      <w:spacing w:after="0" w:line="240" w:lineRule="auto"/>
    </w:pPr>
    <w:rPr>
      <w:rFonts w:ascii="Times New Roman" w:eastAsia="Times New Roman" w:hAnsi="Times New Roman"/>
      <w:sz w:val="24"/>
      <w:szCs w:val="24"/>
      <w:lang w:val="es-ES" w:eastAsia="es-ES"/>
    </w:rPr>
  </w:style>
  <w:style w:type="character" w:customStyle="1" w:styleId="PiedepginaCar">
    <w:name w:val="Pie de página Car"/>
    <w:link w:val="Piedepgina"/>
    <w:rsid w:val="00B94856"/>
    <w:rPr>
      <w:rFonts w:ascii="Times New Roman" w:eastAsia="Times New Roman" w:hAnsi="Times New Roman"/>
      <w:sz w:val="24"/>
      <w:szCs w:val="24"/>
      <w:lang w:val="es-ES" w:eastAsia="es-ES"/>
    </w:rPr>
  </w:style>
  <w:style w:type="paragraph" w:styleId="Textoindependiente3">
    <w:name w:val="Body Text 3"/>
    <w:basedOn w:val="Normal"/>
    <w:link w:val="Textoindependiente3Car"/>
    <w:uiPriority w:val="99"/>
    <w:unhideWhenUsed/>
    <w:rsid w:val="00B94856"/>
    <w:pPr>
      <w:spacing w:after="120"/>
    </w:pPr>
    <w:rPr>
      <w:sz w:val="16"/>
      <w:szCs w:val="16"/>
    </w:rPr>
  </w:style>
  <w:style w:type="character" w:customStyle="1" w:styleId="Textoindependiente3Car">
    <w:name w:val="Texto independiente 3 Car"/>
    <w:link w:val="Textoindependiente3"/>
    <w:uiPriority w:val="99"/>
    <w:rsid w:val="00B94856"/>
    <w:rPr>
      <w:sz w:val="16"/>
      <w:szCs w:val="16"/>
    </w:rPr>
  </w:style>
  <w:style w:type="character" w:styleId="Hipervnculo">
    <w:name w:val="Hyperlink"/>
    <w:uiPriority w:val="99"/>
    <w:semiHidden/>
    <w:unhideWhenUsed/>
    <w:rsid w:val="0077442A"/>
    <w:rPr>
      <w:color w:val="0000FF"/>
      <w:u w:val="single"/>
    </w:rPr>
  </w:style>
  <w:style w:type="paragraph" w:styleId="Prrafodelista">
    <w:name w:val="List Paragraph"/>
    <w:basedOn w:val="Normal"/>
    <w:uiPriority w:val="34"/>
    <w:qFormat/>
    <w:rsid w:val="00CD500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98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649B8-D262-4CB1-BF19-CB7D03107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1694</Words>
  <Characters>9319</Characters>
  <Application>Microsoft Office Word</Application>
  <DocSecurity>0</DocSecurity>
  <Lines>77</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10992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2018-09-19T15:38:00Z</cp:lastPrinted>
  <dcterms:created xsi:type="dcterms:W3CDTF">2018-09-19T15:37:00Z</dcterms:created>
  <dcterms:modified xsi:type="dcterms:W3CDTF">2018-09-19T15:38:00Z</dcterms:modified>
</cp:coreProperties>
</file>