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866" w:rsidRPr="0009481B" w:rsidRDefault="00161866" w:rsidP="00E97A0E">
      <w:pPr>
        <w:suppressAutoHyphens/>
        <w:spacing w:after="0" w:line="240" w:lineRule="auto"/>
        <w:ind w:left="7200"/>
        <w:rPr>
          <w:rFonts w:cs="Arial"/>
          <w:lang w:val="es-CO"/>
        </w:rPr>
      </w:pPr>
      <w:bookmarkStart w:id="0" w:name="_GoBack"/>
      <w:bookmarkEnd w:id="0"/>
    </w:p>
    <w:p w:rsidR="00D44CFB" w:rsidRPr="0009481B" w:rsidRDefault="00D44CFB" w:rsidP="00E97A0E">
      <w:pPr>
        <w:suppressAutoHyphens/>
        <w:spacing w:after="0" w:line="240" w:lineRule="auto"/>
        <w:ind w:left="7200"/>
        <w:rPr>
          <w:rFonts w:cs="Arial"/>
          <w:lang w:val="es-CO"/>
        </w:rPr>
      </w:pPr>
    </w:p>
    <w:p w:rsidR="00F00C1F" w:rsidRPr="0009481B" w:rsidRDefault="00945416" w:rsidP="00E97A0E">
      <w:pPr>
        <w:suppressAutoHyphens/>
        <w:spacing w:after="0" w:line="240" w:lineRule="auto"/>
        <w:ind w:left="7200"/>
        <w:rPr>
          <w:rFonts w:cs="Arial"/>
          <w:b/>
          <w:lang w:val="es-CO"/>
        </w:rPr>
      </w:pPr>
      <w:r w:rsidRPr="0009481B">
        <w:rPr>
          <w:rFonts w:cs="Arial"/>
          <w:lang w:val="es-CO"/>
        </w:rPr>
        <w:t xml:space="preserve">22 </w:t>
      </w:r>
      <w:r w:rsidR="00F00C1F" w:rsidRPr="0009481B">
        <w:rPr>
          <w:rFonts w:cs="Arial"/>
          <w:lang w:val="es-CO"/>
        </w:rPr>
        <w:t xml:space="preserve">de </w:t>
      </w:r>
      <w:r w:rsidRPr="0009481B">
        <w:rPr>
          <w:rFonts w:cs="Arial"/>
          <w:lang w:val="es-CO"/>
        </w:rPr>
        <w:t>septiembre</w:t>
      </w:r>
      <w:r w:rsidR="00F00C1F" w:rsidRPr="0009481B">
        <w:rPr>
          <w:rFonts w:cs="Arial"/>
          <w:lang w:val="es-CO"/>
        </w:rPr>
        <w:t xml:space="preserve"> de 2017</w:t>
      </w:r>
    </w:p>
    <w:p w:rsidR="00D44CFB" w:rsidRPr="0009481B" w:rsidRDefault="00D44CFB" w:rsidP="00F00C1F">
      <w:pPr>
        <w:tabs>
          <w:tab w:val="left" w:pos="720"/>
          <w:tab w:val="center" w:pos="6480"/>
        </w:tabs>
        <w:spacing w:after="0" w:line="240" w:lineRule="auto"/>
        <w:jc w:val="both"/>
        <w:rPr>
          <w:rFonts w:cs="Arial"/>
          <w:b/>
          <w:lang w:val="es-CO"/>
        </w:rPr>
      </w:pPr>
    </w:p>
    <w:p w:rsidR="00F00C1F" w:rsidRPr="0009481B" w:rsidRDefault="00161866" w:rsidP="00F00C1F">
      <w:pPr>
        <w:tabs>
          <w:tab w:val="left" w:pos="720"/>
          <w:tab w:val="center" w:pos="6480"/>
        </w:tabs>
        <w:spacing w:after="0" w:line="240" w:lineRule="auto"/>
        <w:jc w:val="both"/>
        <w:rPr>
          <w:rFonts w:cs="Arial"/>
          <w:b/>
          <w:lang w:val="es-CO"/>
        </w:rPr>
      </w:pPr>
      <w:r w:rsidRPr="0009481B">
        <w:rPr>
          <w:rFonts w:cs="Arial"/>
          <w:b/>
          <w:lang w:val="es-CO"/>
        </w:rPr>
        <w:t>REF</w:t>
      </w:r>
      <w:r w:rsidR="00F00C1F" w:rsidRPr="0009481B">
        <w:rPr>
          <w:rFonts w:cs="Arial"/>
          <w:b/>
          <w:lang w:val="es-CO"/>
        </w:rPr>
        <w:t>.:</w:t>
      </w:r>
      <w:bookmarkStart w:id="1" w:name="Peticion_n"/>
      <w:bookmarkEnd w:id="1"/>
      <w:r w:rsidRPr="0009481B">
        <w:rPr>
          <w:rFonts w:cs="Arial"/>
          <w:b/>
          <w:lang w:val="es-CO"/>
        </w:rPr>
        <w:tab/>
        <w:t>Caso Nº</w:t>
      </w:r>
      <w:r w:rsidR="00F00C1F" w:rsidRPr="0009481B">
        <w:rPr>
          <w:rFonts w:cs="Arial"/>
          <w:b/>
          <w:lang w:val="es-CO"/>
        </w:rPr>
        <w:t xml:space="preserve"> </w:t>
      </w:r>
      <w:r w:rsidR="00F00C1F" w:rsidRPr="0009481B">
        <w:rPr>
          <w:b/>
          <w:lang w:val="es-CO"/>
        </w:rPr>
        <w:t>12.</w:t>
      </w:r>
      <w:r w:rsidR="00D4271A" w:rsidRPr="0009481B">
        <w:rPr>
          <w:b/>
          <w:lang w:val="es-CO"/>
        </w:rPr>
        <w:t>031</w:t>
      </w:r>
    </w:p>
    <w:p w:rsidR="00F00C1F" w:rsidRPr="0009481B" w:rsidRDefault="00D4271A" w:rsidP="00F00C1F">
      <w:pPr>
        <w:tabs>
          <w:tab w:val="left" w:pos="720"/>
          <w:tab w:val="center" w:pos="6480"/>
        </w:tabs>
        <w:spacing w:after="0" w:line="240" w:lineRule="auto"/>
        <w:ind w:left="720"/>
        <w:jc w:val="both"/>
        <w:rPr>
          <w:rFonts w:cs="Arial"/>
          <w:b/>
          <w:lang w:val="pt-BR"/>
        </w:rPr>
      </w:pPr>
      <w:r w:rsidRPr="0009481B">
        <w:rPr>
          <w:rFonts w:cs="Arial"/>
          <w:b/>
          <w:lang w:val="pt-BR"/>
        </w:rPr>
        <w:t>Jorge Rosadio Villavicencio</w:t>
      </w:r>
      <w:r w:rsidR="00F00C1F" w:rsidRPr="0009481B">
        <w:rPr>
          <w:rFonts w:cs="Arial"/>
          <w:b/>
          <w:lang w:val="pt-BR"/>
        </w:rPr>
        <w:t xml:space="preserve"> </w:t>
      </w:r>
    </w:p>
    <w:p w:rsidR="00F00C1F" w:rsidRPr="0009481B" w:rsidRDefault="00F00C1F" w:rsidP="00F00C1F">
      <w:pPr>
        <w:tabs>
          <w:tab w:val="left" w:pos="720"/>
          <w:tab w:val="center" w:pos="6480"/>
        </w:tabs>
        <w:spacing w:after="0" w:line="240" w:lineRule="auto"/>
        <w:ind w:left="720"/>
        <w:jc w:val="both"/>
        <w:rPr>
          <w:rFonts w:cs="Arial"/>
          <w:b/>
          <w:lang w:val="es-ES_tradnl"/>
        </w:rPr>
      </w:pPr>
      <w:r w:rsidRPr="0009481B">
        <w:rPr>
          <w:rFonts w:cs="Arial"/>
          <w:b/>
          <w:lang w:val="es-ES_tradnl"/>
        </w:rPr>
        <w:t xml:space="preserve">Perú </w:t>
      </w:r>
    </w:p>
    <w:p w:rsidR="00F00C1F" w:rsidRPr="0009481B" w:rsidRDefault="00F00C1F" w:rsidP="00F00C1F">
      <w:pPr>
        <w:tabs>
          <w:tab w:val="left" w:pos="720"/>
          <w:tab w:val="center" w:pos="6480"/>
        </w:tabs>
        <w:spacing w:after="0" w:line="240" w:lineRule="auto"/>
        <w:jc w:val="both"/>
        <w:rPr>
          <w:rFonts w:cs="Arial"/>
          <w:lang w:val="es-PE"/>
        </w:rPr>
      </w:pPr>
    </w:p>
    <w:p w:rsidR="00161866" w:rsidRPr="0009481B" w:rsidRDefault="00161866" w:rsidP="00F00C1F">
      <w:pPr>
        <w:tabs>
          <w:tab w:val="left" w:pos="720"/>
          <w:tab w:val="center" w:pos="6480"/>
        </w:tabs>
        <w:spacing w:after="0" w:line="240" w:lineRule="auto"/>
        <w:jc w:val="both"/>
        <w:rPr>
          <w:rFonts w:cs="Arial"/>
          <w:lang w:val="es-PE"/>
        </w:rPr>
      </w:pPr>
    </w:p>
    <w:p w:rsidR="00F00C1F" w:rsidRPr="0009481B" w:rsidRDefault="00F00C1F" w:rsidP="00F00C1F">
      <w:pPr>
        <w:tabs>
          <w:tab w:val="left" w:pos="720"/>
          <w:tab w:val="center" w:pos="6480"/>
        </w:tabs>
        <w:spacing w:after="0" w:line="240" w:lineRule="auto"/>
        <w:jc w:val="both"/>
        <w:rPr>
          <w:rFonts w:cs="Arial"/>
          <w:lang w:val="es-PE"/>
        </w:rPr>
      </w:pPr>
      <w:r w:rsidRPr="0009481B">
        <w:rPr>
          <w:rFonts w:cs="Arial"/>
          <w:lang w:val="es-PE"/>
        </w:rPr>
        <w:t>Señor Secretario:</w:t>
      </w:r>
    </w:p>
    <w:p w:rsidR="00F00C1F" w:rsidRPr="0009481B" w:rsidRDefault="00F00C1F" w:rsidP="00F00C1F">
      <w:pPr>
        <w:spacing w:after="0" w:line="240" w:lineRule="auto"/>
        <w:rPr>
          <w:rFonts w:cs="Arial"/>
          <w:lang w:val="es-CO"/>
        </w:rPr>
      </w:pPr>
    </w:p>
    <w:p w:rsidR="00F00C1F" w:rsidRPr="0009481B" w:rsidRDefault="00F00C1F" w:rsidP="00F00C1F">
      <w:pPr>
        <w:widowControl w:val="0"/>
        <w:autoSpaceDE w:val="0"/>
        <w:autoSpaceDN w:val="0"/>
        <w:adjustRightInd w:val="0"/>
        <w:spacing w:after="0" w:line="240" w:lineRule="auto"/>
        <w:ind w:firstLine="720"/>
        <w:jc w:val="both"/>
        <w:rPr>
          <w:rFonts w:cs="Arial"/>
          <w:lang w:val="es-CO"/>
        </w:rPr>
      </w:pPr>
      <w:r w:rsidRPr="0009481B">
        <w:rPr>
          <w:lang w:val="es-CO"/>
        </w:rPr>
        <w:t>Tengo el agrado de dirigirme a usted, en nombre de la Comisión Interamericana de Derechos Humanos, con el objeto</w:t>
      </w:r>
      <w:r w:rsidRPr="0009481B">
        <w:rPr>
          <w:rFonts w:cs="Arial"/>
          <w:lang w:val="es-CO"/>
        </w:rPr>
        <w:t xml:space="preserve"> de someter a la jurisdicción de la Honorable Corte Interamericana de Derechos Humanos, el Caso Nº 12.</w:t>
      </w:r>
      <w:r w:rsidR="009E0566" w:rsidRPr="0009481B">
        <w:rPr>
          <w:rFonts w:cs="Arial"/>
          <w:lang w:val="es-CO"/>
        </w:rPr>
        <w:t>031</w:t>
      </w:r>
      <w:r w:rsidRPr="0009481B">
        <w:rPr>
          <w:rFonts w:cs="Arial"/>
          <w:lang w:val="es-CO"/>
        </w:rPr>
        <w:t xml:space="preserve"> – </w:t>
      </w:r>
      <w:r w:rsidR="009E0566" w:rsidRPr="0009481B">
        <w:rPr>
          <w:rFonts w:cs="Arial"/>
          <w:lang w:val="es-CO"/>
        </w:rPr>
        <w:t xml:space="preserve">Jorge </w:t>
      </w:r>
      <w:proofErr w:type="spellStart"/>
      <w:r w:rsidR="009E0566" w:rsidRPr="0009481B">
        <w:rPr>
          <w:rFonts w:cs="Arial"/>
          <w:lang w:val="es-CO"/>
        </w:rPr>
        <w:t>Rosadio</w:t>
      </w:r>
      <w:proofErr w:type="spellEnd"/>
      <w:r w:rsidR="009E0566" w:rsidRPr="0009481B">
        <w:rPr>
          <w:rFonts w:cs="Arial"/>
          <w:lang w:val="es-CO"/>
        </w:rPr>
        <w:t xml:space="preserve"> Villavicencio</w:t>
      </w:r>
      <w:r w:rsidRPr="0009481B">
        <w:rPr>
          <w:rFonts w:cs="Arial"/>
          <w:lang w:val="es-CO"/>
        </w:rPr>
        <w:t xml:space="preserve"> respecto de la República de Perú (en adelante “el Estado”, “el Estado peruano” o “Perú”). </w:t>
      </w:r>
    </w:p>
    <w:p w:rsidR="00F00C1F" w:rsidRPr="0009481B" w:rsidRDefault="00F00C1F" w:rsidP="00F00C1F">
      <w:pPr>
        <w:spacing w:after="0" w:line="240" w:lineRule="auto"/>
        <w:jc w:val="both"/>
        <w:rPr>
          <w:rFonts w:cs="Arial"/>
          <w:lang w:val="es-CO"/>
        </w:rPr>
      </w:pPr>
    </w:p>
    <w:p w:rsidR="003F1706" w:rsidRPr="0009481B" w:rsidRDefault="00F00C1F" w:rsidP="003F1706">
      <w:pPr>
        <w:spacing w:after="0" w:line="240" w:lineRule="auto"/>
        <w:ind w:firstLine="720"/>
        <w:jc w:val="both"/>
        <w:rPr>
          <w:lang w:val="es-CO"/>
        </w:rPr>
      </w:pPr>
      <w:r w:rsidRPr="0009481B">
        <w:rPr>
          <w:lang w:val="es-ES"/>
        </w:rPr>
        <w:t xml:space="preserve">El presente caso se relaciona con </w:t>
      </w:r>
      <w:r w:rsidR="00F1278D" w:rsidRPr="0009481B">
        <w:rPr>
          <w:lang w:val="es-CO"/>
        </w:rPr>
        <w:t xml:space="preserve">diversas violaciones al debido proceso que se cometieron en los tres procesos, administrativo disciplinario, penal y penal militar que se le iniciaron a Jorge </w:t>
      </w:r>
      <w:proofErr w:type="spellStart"/>
      <w:r w:rsidR="00F1278D" w:rsidRPr="0009481B">
        <w:rPr>
          <w:lang w:val="es-CO"/>
        </w:rPr>
        <w:t>Rosadio</w:t>
      </w:r>
      <w:proofErr w:type="spellEnd"/>
      <w:r w:rsidR="00F1278D" w:rsidRPr="0009481B">
        <w:rPr>
          <w:lang w:val="es-CO"/>
        </w:rPr>
        <w:t xml:space="preserve"> Villavicencio, </w:t>
      </w:r>
      <w:r w:rsidR="00DF016C" w:rsidRPr="0009481B">
        <w:rPr>
          <w:lang w:val="es-CO"/>
        </w:rPr>
        <w:t xml:space="preserve">por su actuación en </w:t>
      </w:r>
      <w:r w:rsidR="00F1278D" w:rsidRPr="0009481B">
        <w:rPr>
          <w:lang w:val="es-CO"/>
        </w:rPr>
        <w:t>una operación de inteligencia en la que debía infiltrarse en grupos de narcotráfico en la zona de Sion en Perú</w:t>
      </w:r>
      <w:r w:rsidR="00DF016C" w:rsidRPr="0009481B">
        <w:rPr>
          <w:lang w:val="es-CO"/>
        </w:rPr>
        <w:t xml:space="preserve"> a fin de</w:t>
      </w:r>
      <w:r w:rsidR="00F1278D" w:rsidRPr="0009481B">
        <w:rPr>
          <w:lang w:val="es-CO"/>
        </w:rPr>
        <w:t xml:space="preserve"> proceder a la captura de </w:t>
      </w:r>
      <w:r w:rsidR="004B7896" w:rsidRPr="0009481B">
        <w:rPr>
          <w:lang w:val="es-CO"/>
        </w:rPr>
        <w:t xml:space="preserve">los </w:t>
      </w:r>
      <w:r w:rsidR="00F1278D" w:rsidRPr="0009481B">
        <w:rPr>
          <w:lang w:val="es-CO"/>
        </w:rPr>
        <w:t xml:space="preserve">narcotraficantes. </w:t>
      </w:r>
    </w:p>
    <w:p w:rsidR="003F1706" w:rsidRPr="0009481B" w:rsidRDefault="003F1706" w:rsidP="003F1706">
      <w:pPr>
        <w:spacing w:after="0" w:line="240" w:lineRule="auto"/>
        <w:ind w:firstLine="720"/>
        <w:jc w:val="both"/>
        <w:rPr>
          <w:lang w:val="es-CO"/>
        </w:rPr>
      </w:pPr>
    </w:p>
    <w:p w:rsidR="00F1278D" w:rsidRPr="0009481B" w:rsidRDefault="00F1278D" w:rsidP="00E97A0E">
      <w:pPr>
        <w:spacing w:after="0" w:line="240" w:lineRule="auto"/>
        <w:ind w:firstLine="720"/>
        <w:jc w:val="both"/>
        <w:rPr>
          <w:lang w:val="es-CO"/>
        </w:rPr>
      </w:pPr>
      <w:r w:rsidRPr="0009481B">
        <w:rPr>
          <w:lang w:val="es-CO"/>
        </w:rPr>
        <w:t xml:space="preserve">La Comisión consideró que en el marco del proceso administrativo disciplinario, el Estado incumplió su obligación de comunicar previa y detalladamente los hechos </w:t>
      </w:r>
      <w:r w:rsidR="004B7896" w:rsidRPr="0009481B">
        <w:rPr>
          <w:lang w:val="es-CO"/>
        </w:rPr>
        <w:t>y causales que se le imputaron</w:t>
      </w:r>
      <w:r w:rsidRPr="0009481B">
        <w:rPr>
          <w:lang w:val="es-CO"/>
        </w:rPr>
        <w:t>.</w:t>
      </w:r>
      <w:r w:rsidR="00161866" w:rsidRPr="0009481B">
        <w:rPr>
          <w:lang w:val="es-CO"/>
        </w:rPr>
        <w:t xml:space="preserve"> </w:t>
      </w:r>
      <w:r w:rsidRPr="0009481B">
        <w:rPr>
          <w:lang w:val="es-CO"/>
        </w:rPr>
        <w:t xml:space="preserve"> Asimismo, estimó que el Estado violó el derecho de defensa de la víctima ya que tuvo una defensa </w:t>
      </w:r>
      <w:r w:rsidR="004B7896" w:rsidRPr="0009481B">
        <w:rPr>
          <w:lang w:val="es-CO"/>
        </w:rPr>
        <w:t>de oficio que</w:t>
      </w:r>
      <w:r w:rsidRPr="0009481B">
        <w:rPr>
          <w:lang w:val="es-CO"/>
        </w:rPr>
        <w:t xml:space="preserve"> compartió con su acusador y con posterioridad su asesor legal fue el Juez Militar a cargo del proceso ante la jurisdicción militar. Asimismo, a la víctima no se le permitió comparecer en la audiencia ante el Consejo de Investigación, órgano que debía r</w:t>
      </w:r>
      <w:r w:rsidR="00E97A0E" w:rsidRPr="0009481B">
        <w:rPr>
          <w:lang w:val="es-CO"/>
        </w:rPr>
        <w:t>ecomendar pasarlo a retiro o no</w:t>
      </w:r>
      <w:r w:rsidRPr="0009481B">
        <w:rPr>
          <w:lang w:val="es-CO"/>
        </w:rPr>
        <w:t xml:space="preserve">. </w:t>
      </w:r>
      <w:r w:rsidR="00161866" w:rsidRPr="0009481B">
        <w:rPr>
          <w:lang w:val="es-CO"/>
        </w:rPr>
        <w:t xml:space="preserve"> </w:t>
      </w:r>
      <w:r w:rsidR="00E97A0E" w:rsidRPr="0009481B">
        <w:rPr>
          <w:lang w:val="es-CO"/>
        </w:rPr>
        <w:t>L</w:t>
      </w:r>
      <w:r w:rsidRPr="0009481B">
        <w:rPr>
          <w:lang w:val="es-CO"/>
        </w:rPr>
        <w:t>a CIDH</w:t>
      </w:r>
      <w:r w:rsidR="00E97A0E" w:rsidRPr="0009481B">
        <w:rPr>
          <w:lang w:val="es-CO"/>
        </w:rPr>
        <w:t xml:space="preserve"> también</w:t>
      </w:r>
      <w:r w:rsidRPr="0009481B">
        <w:rPr>
          <w:lang w:val="es-CO"/>
        </w:rPr>
        <w:t xml:space="preserve"> concluyó que en la jurisdicción disciplinaria se violó el derecho a la presunción de inocencia</w:t>
      </w:r>
      <w:r w:rsidR="00161866" w:rsidRPr="0009481B">
        <w:rPr>
          <w:lang w:val="es-CO"/>
        </w:rPr>
        <w:t>,</w:t>
      </w:r>
      <w:r w:rsidRPr="0009481B">
        <w:rPr>
          <w:lang w:val="es-CO"/>
        </w:rPr>
        <w:t xml:space="preserve"> porque en la decisión de pase a retiro se dio por probado como elemento relevante de análisis que la víctima fue denunciada ante la justicia penal militar y ordinaria. Finalmente, la CIDH concluyó que la decisión de la Comandancia General del Ejército y la recomen</w:t>
      </w:r>
      <w:r w:rsidR="00E97A0E" w:rsidRPr="0009481B">
        <w:rPr>
          <w:lang w:val="es-CO"/>
        </w:rPr>
        <w:t>dación de pase a retiro, carecieron</w:t>
      </w:r>
      <w:r w:rsidRPr="0009481B">
        <w:rPr>
          <w:lang w:val="es-CO"/>
        </w:rPr>
        <w:t xml:space="preserve"> </w:t>
      </w:r>
      <w:r w:rsidR="00E97A0E" w:rsidRPr="0009481B">
        <w:rPr>
          <w:lang w:val="es-CO"/>
        </w:rPr>
        <w:t>d</w:t>
      </w:r>
      <w:r w:rsidRPr="0009481B">
        <w:rPr>
          <w:lang w:val="es-CO"/>
        </w:rPr>
        <w:t xml:space="preserve">e una motivación adecuada y vulneraron el principio de legalidad ya que no se refiere la manera en que la conducta de la víctima se subsumía en una causal disciplinaria. </w:t>
      </w:r>
    </w:p>
    <w:p w:rsidR="003F1706" w:rsidRPr="0009481B" w:rsidRDefault="003F1706" w:rsidP="003F1706">
      <w:pPr>
        <w:spacing w:after="0" w:line="240" w:lineRule="auto"/>
        <w:jc w:val="both"/>
        <w:rPr>
          <w:rFonts w:cs="Arial"/>
          <w:snapToGrid w:val="0"/>
          <w:lang w:val="es-CO"/>
        </w:rPr>
      </w:pPr>
    </w:p>
    <w:p w:rsidR="00D44CFB" w:rsidRPr="0009481B" w:rsidRDefault="00D44CFB" w:rsidP="003F1706">
      <w:pPr>
        <w:spacing w:after="0" w:line="240" w:lineRule="auto"/>
        <w:jc w:val="both"/>
        <w:rPr>
          <w:rFonts w:cs="Arial"/>
          <w:snapToGrid w:val="0"/>
          <w:lang w:val="es-CO"/>
        </w:rPr>
      </w:pPr>
    </w:p>
    <w:p w:rsidR="00D44CFB" w:rsidRPr="0009481B" w:rsidRDefault="00D44CFB" w:rsidP="003F1706">
      <w:pPr>
        <w:spacing w:after="0" w:line="240" w:lineRule="auto"/>
        <w:jc w:val="both"/>
        <w:rPr>
          <w:rFonts w:cs="Arial"/>
          <w:snapToGrid w:val="0"/>
          <w:lang w:val="es-CO"/>
        </w:rPr>
      </w:pPr>
    </w:p>
    <w:p w:rsidR="00D44CFB" w:rsidRPr="00D44CFB" w:rsidRDefault="00D44CFB" w:rsidP="00D44CFB">
      <w:pPr>
        <w:spacing w:after="0" w:line="240" w:lineRule="auto"/>
        <w:jc w:val="both"/>
        <w:rPr>
          <w:rFonts w:cs="Arial"/>
          <w:snapToGrid w:val="0"/>
          <w:lang w:val="es-CO"/>
        </w:rPr>
      </w:pPr>
    </w:p>
    <w:p w:rsidR="00D44CFB" w:rsidRPr="00D44CFB" w:rsidRDefault="00D44CFB" w:rsidP="00D44CFB">
      <w:pPr>
        <w:spacing w:after="0" w:line="240" w:lineRule="auto"/>
        <w:jc w:val="both"/>
        <w:rPr>
          <w:rFonts w:cs="Arial"/>
          <w:snapToGrid w:val="0"/>
          <w:lang w:val="es-CO"/>
        </w:rPr>
      </w:pPr>
      <w:r w:rsidRPr="00D44CFB">
        <w:rPr>
          <w:rFonts w:cs="Arial"/>
          <w:snapToGrid w:val="0"/>
          <w:lang w:val="es-CO"/>
        </w:rPr>
        <w:t>Señor</w:t>
      </w:r>
    </w:p>
    <w:p w:rsidR="00D44CFB" w:rsidRPr="00D44CFB" w:rsidRDefault="00D44CFB" w:rsidP="00D44CFB">
      <w:pPr>
        <w:suppressAutoHyphens/>
        <w:spacing w:after="0" w:line="240" w:lineRule="auto"/>
        <w:rPr>
          <w:rFonts w:cs="Arial"/>
          <w:snapToGrid w:val="0"/>
          <w:lang w:val="es-CO"/>
        </w:rPr>
      </w:pPr>
      <w:r w:rsidRPr="00D44CFB">
        <w:rPr>
          <w:rFonts w:cs="Arial"/>
          <w:snapToGrid w:val="0"/>
          <w:lang w:val="es-CO"/>
        </w:rPr>
        <w:t>Pablo Saavedra Alessandri, Secretario</w:t>
      </w:r>
    </w:p>
    <w:p w:rsidR="00D44CFB" w:rsidRPr="00D44CFB" w:rsidRDefault="00D44CFB" w:rsidP="00D44CFB">
      <w:pPr>
        <w:suppressAutoHyphens/>
        <w:spacing w:after="0" w:line="240" w:lineRule="auto"/>
        <w:rPr>
          <w:rFonts w:cs="Arial"/>
          <w:snapToGrid w:val="0"/>
          <w:lang w:val="es-ES_tradnl"/>
        </w:rPr>
      </w:pPr>
      <w:r w:rsidRPr="00D44CFB">
        <w:rPr>
          <w:rFonts w:cs="Arial"/>
          <w:snapToGrid w:val="0"/>
          <w:lang w:val="es-ES_tradnl"/>
        </w:rPr>
        <w:t>Corte Interamericana de Derechos Humanos</w:t>
      </w:r>
    </w:p>
    <w:p w:rsidR="00D44CFB" w:rsidRPr="00D44CFB" w:rsidRDefault="00D44CFB" w:rsidP="00D44CFB">
      <w:pPr>
        <w:suppressAutoHyphens/>
        <w:spacing w:after="0" w:line="240" w:lineRule="auto"/>
        <w:rPr>
          <w:rFonts w:cs="Arial"/>
          <w:snapToGrid w:val="0"/>
          <w:lang w:val="es-ES_tradnl"/>
        </w:rPr>
      </w:pPr>
      <w:r w:rsidRPr="00D44CFB">
        <w:rPr>
          <w:rFonts w:cs="Arial"/>
          <w:snapToGrid w:val="0"/>
          <w:lang w:val="es-ES_tradnl"/>
        </w:rPr>
        <w:t>Apartado 6906-1000</w:t>
      </w:r>
    </w:p>
    <w:p w:rsidR="00D44CFB" w:rsidRPr="00D44CFB" w:rsidRDefault="00D44CFB" w:rsidP="00D44CFB">
      <w:pPr>
        <w:suppressAutoHyphens/>
        <w:spacing w:after="0" w:line="240" w:lineRule="auto"/>
        <w:rPr>
          <w:rFonts w:cs="Arial"/>
          <w:snapToGrid w:val="0"/>
          <w:lang w:val="es-ES_tradnl"/>
        </w:rPr>
      </w:pPr>
      <w:r w:rsidRPr="00D44CFB">
        <w:rPr>
          <w:rFonts w:cs="Arial"/>
          <w:snapToGrid w:val="0"/>
          <w:lang w:val="es-ES_tradnl"/>
        </w:rPr>
        <w:t>San José, Costa Rica</w:t>
      </w:r>
    </w:p>
    <w:p w:rsidR="00D44CFB" w:rsidRPr="00D44CFB" w:rsidRDefault="00D44CFB" w:rsidP="00D44CFB">
      <w:pPr>
        <w:spacing w:after="0" w:line="240" w:lineRule="auto"/>
        <w:jc w:val="both"/>
        <w:rPr>
          <w:lang w:val="es-CO"/>
        </w:rPr>
      </w:pPr>
    </w:p>
    <w:p w:rsidR="00D44CFB" w:rsidRPr="0009481B" w:rsidRDefault="00D44CFB" w:rsidP="003F1706">
      <w:pPr>
        <w:spacing w:after="0" w:line="240" w:lineRule="auto"/>
        <w:jc w:val="both"/>
        <w:rPr>
          <w:rFonts w:cs="Arial"/>
          <w:snapToGrid w:val="0"/>
          <w:lang w:val="es-CO"/>
        </w:rPr>
      </w:pPr>
    </w:p>
    <w:p w:rsidR="00D44CFB" w:rsidRPr="0009481B" w:rsidRDefault="00D44CFB" w:rsidP="003F1706">
      <w:pPr>
        <w:spacing w:after="0" w:line="240" w:lineRule="auto"/>
        <w:jc w:val="both"/>
        <w:rPr>
          <w:rFonts w:cs="Arial"/>
          <w:snapToGrid w:val="0"/>
          <w:lang w:val="es-CO"/>
        </w:rPr>
      </w:pPr>
    </w:p>
    <w:p w:rsidR="00D44CFB" w:rsidRPr="0009481B" w:rsidRDefault="00D44CFB" w:rsidP="003F1706">
      <w:pPr>
        <w:spacing w:after="0" w:line="240" w:lineRule="auto"/>
        <w:jc w:val="both"/>
        <w:rPr>
          <w:rFonts w:cs="Arial"/>
          <w:snapToGrid w:val="0"/>
          <w:lang w:val="es-CO"/>
        </w:rPr>
      </w:pPr>
    </w:p>
    <w:p w:rsidR="00AE62F6" w:rsidRPr="0009481B" w:rsidRDefault="00AE62F6" w:rsidP="00AE62F6">
      <w:pPr>
        <w:spacing w:after="0" w:line="240" w:lineRule="auto"/>
        <w:ind w:firstLine="720"/>
        <w:jc w:val="both"/>
        <w:rPr>
          <w:lang w:val="es-CO"/>
        </w:rPr>
      </w:pPr>
      <w:r w:rsidRPr="0009481B">
        <w:rPr>
          <w:lang w:val="es-CO"/>
        </w:rPr>
        <w:t xml:space="preserve">Por otra parte, en cuanto a la jurisdicción penal militar la Comisión concluyó que el Estado violó el derecho a contar con un juez independiente e imparcial ya que el proceso estuvo a cargo de quien fungió como su abogado defensor en el proceso </w:t>
      </w:r>
      <w:r w:rsidR="003E2E3A" w:rsidRPr="0009481B">
        <w:rPr>
          <w:lang w:val="es-CO"/>
        </w:rPr>
        <w:t xml:space="preserve">administrativo </w:t>
      </w:r>
      <w:r w:rsidRPr="0009481B">
        <w:rPr>
          <w:lang w:val="es-CO"/>
        </w:rPr>
        <w:t xml:space="preserve">disciplinario. </w:t>
      </w:r>
      <w:r w:rsidR="0077652D" w:rsidRPr="0009481B">
        <w:rPr>
          <w:lang w:val="es-CO"/>
        </w:rPr>
        <w:t xml:space="preserve"> </w:t>
      </w:r>
      <w:r w:rsidRPr="0009481B">
        <w:rPr>
          <w:lang w:val="es-CO"/>
        </w:rPr>
        <w:t xml:space="preserve">Asimismo, estimó que el Estado incumplió </w:t>
      </w:r>
      <w:r w:rsidR="00352E44" w:rsidRPr="0009481B">
        <w:rPr>
          <w:lang w:val="es-CO"/>
        </w:rPr>
        <w:t>su</w:t>
      </w:r>
      <w:r w:rsidRPr="0009481B">
        <w:rPr>
          <w:lang w:val="es-CO"/>
        </w:rPr>
        <w:t xml:space="preserve"> deber de comunicar previa y detalladamente a la víctima la acusación formulada. </w:t>
      </w:r>
      <w:r w:rsidR="0077652D" w:rsidRPr="0009481B">
        <w:rPr>
          <w:lang w:val="es-CO"/>
        </w:rPr>
        <w:t xml:space="preserve"> </w:t>
      </w:r>
      <w:r w:rsidRPr="0009481B">
        <w:rPr>
          <w:lang w:val="es-CO"/>
        </w:rPr>
        <w:t xml:space="preserve">Por último, concluyó que se violó el derecho de defensa debido a que el 16 de septiembre de 1997 el Consejo Supremo de Justicia Militar declaró nula la sentencia dictada en contra de la víctima y el 15 de septiembre de 1997 se dictó una nueva sentencia por el delito de desobediencia tras volver a calificar los hechos, pese a que este delito no estaba contenido ni en la acusación formulada por la Fiscalía Militar ni en el informe final del Juez Militar. </w:t>
      </w:r>
      <w:r w:rsidR="0077652D" w:rsidRPr="0009481B">
        <w:rPr>
          <w:lang w:val="es-CO"/>
        </w:rPr>
        <w:t xml:space="preserve"> </w:t>
      </w:r>
      <w:r w:rsidRPr="0009481B">
        <w:rPr>
          <w:lang w:val="es-VE"/>
        </w:rPr>
        <w:t xml:space="preserve">En cuanto a la jurisdicción penal ordinaria, la CIDH concluyó que el Estado violó el derecho a contar con una motivación suficiente respecto del aumento de la pena que sufrió la víctima, ya que el 17 de abril de 1996 fue condenada a </w:t>
      </w:r>
      <w:r w:rsidR="00EE0672" w:rsidRPr="0009481B">
        <w:rPr>
          <w:lang w:val="es-VE"/>
        </w:rPr>
        <w:t>la pena de seis años de prisión y</w:t>
      </w:r>
      <w:r w:rsidRPr="0009481B">
        <w:rPr>
          <w:lang w:val="es-VE"/>
        </w:rPr>
        <w:t xml:space="preserve"> el 19 de junio de 1997</w:t>
      </w:r>
      <w:r w:rsidR="00FB7D4F" w:rsidRPr="0009481B">
        <w:rPr>
          <w:lang w:val="es-VE"/>
        </w:rPr>
        <w:t>,</w:t>
      </w:r>
      <w:r w:rsidRPr="0009481B">
        <w:rPr>
          <w:lang w:val="es-VE"/>
        </w:rPr>
        <w:t xml:space="preserve"> tras resolver un recurso de nulidad</w:t>
      </w:r>
      <w:r w:rsidR="00FB7D4F" w:rsidRPr="0009481B">
        <w:rPr>
          <w:lang w:val="es-VE"/>
        </w:rPr>
        <w:t>,</w:t>
      </w:r>
      <w:r w:rsidRPr="0009481B">
        <w:rPr>
          <w:lang w:val="es-VE"/>
        </w:rPr>
        <w:t xml:space="preserve"> el tribunal aumentó la pena de la víctima de 6 a 15 años sin motivar suficientemente dicha decisión. </w:t>
      </w:r>
    </w:p>
    <w:p w:rsidR="003F1706" w:rsidRPr="0009481B" w:rsidRDefault="003F1706" w:rsidP="003F1706">
      <w:pPr>
        <w:spacing w:after="0" w:line="240" w:lineRule="auto"/>
        <w:jc w:val="both"/>
        <w:rPr>
          <w:rFonts w:cs="Arial"/>
          <w:snapToGrid w:val="0"/>
          <w:lang w:val="es-CO"/>
        </w:rPr>
      </w:pPr>
    </w:p>
    <w:p w:rsidR="00F1278D" w:rsidRPr="0009481B" w:rsidRDefault="00F1278D" w:rsidP="0067040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libri" w:hAnsi="Calibri"/>
          <w:color w:val="auto"/>
          <w:sz w:val="22"/>
          <w:szCs w:val="22"/>
          <w:lang w:val="es-VE"/>
        </w:rPr>
      </w:pPr>
      <w:r w:rsidRPr="0009481B">
        <w:rPr>
          <w:rFonts w:ascii="Calibri" w:hAnsi="Calibri"/>
          <w:color w:val="auto"/>
          <w:sz w:val="22"/>
          <w:szCs w:val="22"/>
          <w:lang w:val="es-VE"/>
        </w:rPr>
        <w:t xml:space="preserve">La CIDH concluyó además que el Estado violó el principio de </w:t>
      </w:r>
      <w:r w:rsidRPr="0009481B">
        <w:rPr>
          <w:rFonts w:ascii="Calibri" w:hAnsi="Calibri"/>
          <w:i/>
          <w:color w:val="auto"/>
          <w:sz w:val="22"/>
          <w:szCs w:val="22"/>
          <w:lang w:val="es-VE"/>
        </w:rPr>
        <w:t xml:space="preserve">non bis in </w:t>
      </w:r>
      <w:proofErr w:type="spellStart"/>
      <w:r w:rsidR="00EF31E9" w:rsidRPr="0009481B">
        <w:rPr>
          <w:rFonts w:ascii="Calibri" w:hAnsi="Calibri"/>
          <w:i/>
          <w:color w:val="auto"/>
          <w:sz w:val="22"/>
          <w:szCs w:val="22"/>
          <w:lang w:val="es-VE"/>
        </w:rPr>
        <w:t>i</w:t>
      </w:r>
      <w:r w:rsidRPr="0009481B">
        <w:rPr>
          <w:rFonts w:ascii="Calibri" w:hAnsi="Calibri"/>
          <w:i/>
          <w:color w:val="auto"/>
          <w:sz w:val="22"/>
          <w:szCs w:val="22"/>
          <w:lang w:val="es-VE"/>
        </w:rPr>
        <w:t>dem</w:t>
      </w:r>
      <w:proofErr w:type="spellEnd"/>
      <w:r w:rsidRPr="0009481B">
        <w:rPr>
          <w:rFonts w:ascii="Calibri" w:hAnsi="Calibri"/>
          <w:i/>
          <w:color w:val="auto"/>
          <w:sz w:val="22"/>
          <w:szCs w:val="22"/>
          <w:lang w:val="es-VE"/>
        </w:rPr>
        <w:t xml:space="preserve"> </w:t>
      </w:r>
      <w:r w:rsidRPr="0009481B">
        <w:rPr>
          <w:rFonts w:ascii="Calibri" w:hAnsi="Calibri"/>
          <w:color w:val="auto"/>
          <w:sz w:val="22"/>
          <w:szCs w:val="22"/>
          <w:lang w:val="es-VE"/>
        </w:rPr>
        <w:t xml:space="preserve">ya que se </w:t>
      </w:r>
      <w:r w:rsidR="00EF31E9" w:rsidRPr="0009481B">
        <w:rPr>
          <w:rFonts w:ascii="Calibri" w:hAnsi="Calibri"/>
          <w:color w:val="auto"/>
          <w:sz w:val="22"/>
          <w:szCs w:val="22"/>
          <w:lang w:val="es-VE"/>
        </w:rPr>
        <w:t>profirieron</w:t>
      </w:r>
      <w:r w:rsidRPr="0009481B">
        <w:rPr>
          <w:rFonts w:ascii="Calibri" w:hAnsi="Calibri"/>
          <w:color w:val="auto"/>
          <w:sz w:val="22"/>
          <w:szCs w:val="22"/>
          <w:lang w:val="es-VE"/>
        </w:rPr>
        <w:t xml:space="preserve"> dos sentencias condenatorias que impusieron sanciones de la misma naturaleza (en la vía penal militar y penal ordinaria) sobre la base de los mismos hechos. </w:t>
      </w:r>
      <w:r w:rsidR="00CC1A2F" w:rsidRPr="0009481B">
        <w:rPr>
          <w:rFonts w:ascii="Calibri" w:hAnsi="Calibri"/>
          <w:color w:val="auto"/>
          <w:sz w:val="22"/>
          <w:szCs w:val="22"/>
          <w:lang w:val="es-VE"/>
        </w:rPr>
        <w:t xml:space="preserve"> </w:t>
      </w:r>
      <w:r w:rsidRPr="0009481B">
        <w:rPr>
          <w:rFonts w:ascii="Calibri" w:hAnsi="Calibri"/>
          <w:color w:val="auto"/>
          <w:sz w:val="22"/>
          <w:szCs w:val="22"/>
          <w:lang w:val="es-VE"/>
        </w:rPr>
        <w:t>En particular, el delito de “desobediencia” en la jurisdicción penal militar se basó parcialmente en que los hechos encuadran en el delito de tráfico ilícito de drogas que se ventiló en la vía ordinaria.  Además, en cuanto a la correlación entre la vía disciplinaria y la jurisdicción penal militar</w:t>
      </w:r>
      <w:r w:rsidR="00F56EF5" w:rsidRPr="0009481B">
        <w:rPr>
          <w:rFonts w:ascii="Calibri" w:hAnsi="Calibri"/>
          <w:color w:val="auto"/>
          <w:sz w:val="22"/>
          <w:szCs w:val="22"/>
          <w:lang w:val="es-VE"/>
        </w:rPr>
        <w:t xml:space="preserve"> y ordinaria</w:t>
      </w:r>
      <w:r w:rsidR="00CC1A2F" w:rsidRPr="0009481B">
        <w:rPr>
          <w:rFonts w:ascii="Calibri" w:hAnsi="Calibri"/>
          <w:color w:val="auto"/>
          <w:sz w:val="22"/>
          <w:szCs w:val="22"/>
          <w:lang w:val="es-VE"/>
        </w:rPr>
        <w:t>, la Comisión</w:t>
      </w:r>
      <w:r w:rsidRPr="0009481B">
        <w:rPr>
          <w:rFonts w:ascii="Calibri" w:hAnsi="Calibri"/>
          <w:color w:val="auto"/>
          <w:sz w:val="22"/>
          <w:szCs w:val="22"/>
          <w:lang w:val="es-VE"/>
        </w:rPr>
        <w:t xml:space="preserve"> concluyó que el Estado asimiló conductas penales a faltas disciplinarias, </w:t>
      </w:r>
      <w:r w:rsidR="00F56EF5" w:rsidRPr="0009481B">
        <w:rPr>
          <w:rFonts w:ascii="Calibri" w:hAnsi="Calibri"/>
          <w:color w:val="auto"/>
          <w:sz w:val="22"/>
          <w:szCs w:val="22"/>
          <w:lang w:val="es-VE"/>
        </w:rPr>
        <w:t xml:space="preserve">lo que constituyó una violación adicional al mencionado principio. </w:t>
      </w:r>
    </w:p>
    <w:p w:rsidR="00F1278D" w:rsidRPr="0009481B" w:rsidRDefault="00F1278D" w:rsidP="00F1278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libri" w:hAnsi="Calibri"/>
          <w:color w:val="auto"/>
          <w:sz w:val="22"/>
          <w:szCs w:val="22"/>
          <w:lang w:val="es-VE"/>
        </w:rPr>
      </w:pPr>
    </w:p>
    <w:p w:rsidR="00F1278D" w:rsidRPr="0009481B" w:rsidRDefault="00F1278D" w:rsidP="00670403">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720"/>
        <w:jc w:val="both"/>
        <w:rPr>
          <w:rFonts w:ascii="Calibri" w:hAnsi="Calibri"/>
          <w:color w:val="auto"/>
          <w:sz w:val="22"/>
          <w:szCs w:val="22"/>
          <w:lang w:val="es-VE"/>
        </w:rPr>
      </w:pPr>
      <w:r w:rsidRPr="0009481B">
        <w:rPr>
          <w:rFonts w:ascii="Calibri" w:hAnsi="Calibri"/>
          <w:color w:val="auto"/>
          <w:sz w:val="22"/>
          <w:szCs w:val="22"/>
          <w:lang w:val="es-VE"/>
        </w:rPr>
        <w:t xml:space="preserve">Adicionalmente, la CIDH estimó que se violó el derecho a la libertad personal porque no existió una motivación individualizada sobre los fines procesales perseguidos mediante la detención preventiva y la misma tuvo como base indicios de responsabilidad y la gravedad del delito. </w:t>
      </w:r>
      <w:r w:rsidR="00CC1A2F" w:rsidRPr="0009481B">
        <w:rPr>
          <w:rFonts w:ascii="Calibri" w:hAnsi="Calibri"/>
          <w:color w:val="auto"/>
          <w:sz w:val="22"/>
          <w:szCs w:val="22"/>
          <w:lang w:val="es-VE"/>
        </w:rPr>
        <w:t xml:space="preserve"> </w:t>
      </w:r>
      <w:r w:rsidRPr="0009481B">
        <w:rPr>
          <w:rFonts w:ascii="Calibri" w:hAnsi="Calibri"/>
          <w:color w:val="auto"/>
          <w:sz w:val="22"/>
          <w:szCs w:val="22"/>
          <w:lang w:val="es-VE"/>
        </w:rPr>
        <w:t>Aunado a ello, la C</w:t>
      </w:r>
      <w:r w:rsidR="00CC1A2F" w:rsidRPr="0009481B">
        <w:rPr>
          <w:rFonts w:ascii="Calibri" w:hAnsi="Calibri"/>
          <w:color w:val="auto"/>
          <w:sz w:val="22"/>
          <w:szCs w:val="22"/>
          <w:lang w:val="es-VE"/>
        </w:rPr>
        <w:t>omisión</w:t>
      </w:r>
      <w:r w:rsidRPr="0009481B">
        <w:rPr>
          <w:rFonts w:ascii="Calibri" w:hAnsi="Calibri"/>
          <w:color w:val="auto"/>
          <w:sz w:val="22"/>
          <w:szCs w:val="22"/>
          <w:lang w:val="es-VE"/>
        </w:rPr>
        <w:t xml:space="preserve"> estimó que la duración de la detención</w:t>
      </w:r>
      <w:r w:rsidR="003E71D9" w:rsidRPr="0009481B">
        <w:rPr>
          <w:rFonts w:ascii="Calibri" w:hAnsi="Calibri"/>
          <w:color w:val="auto"/>
          <w:sz w:val="22"/>
          <w:szCs w:val="22"/>
          <w:lang w:val="es-VE"/>
        </w:rPr>
        <w:t xml:space="preserve"> preventiva</w:t>
      </w:r>
      <w:r w:rsidRPr="0009481B">
        <w:rPr>
          <w:rFonts w:ascii="Calibri" w:hAnsi="Calibri"/>
          <w:color w:val="auto"/>
          <w:sz w:val="22"/>
          <w:szCs w:val="22"/>
          <w:lang w:val="es-VE"/>
        </w:rPr>
        <w:t xml:space="preserve"> por más de tres años y seis meses fue excesiva y no se realizó una revisión periódica de la necesidad de la misma, violando también la presunción de inocencia. </w:t>
      </w:r>
      <w:r w:rsidR="00CC1A2F" w:rsidRPr="0009481B">
        <w:rPr>
          <w:rFonts w:ascii="Calibri" w:hAnsi="Calibri"/>
          <w:color w:val="auto"/>
          <w:sz w:val="22"/>
          <w:szCs w:val="22"/>
          <w:lang w:val="es-VE"/>
        </w:rPr>
        <w:t xml:space="preserve"> </w:t>
      </w:r>
      <w:r w:rsidRPr="0009481B">
        <w:rPr>
          <w:rFonts w:ascii="Calibri" w:hAnsi="Calibri"/>
          <w:color w:val="auto"/>
          <w:sz w:val="22"/>
          <w:szCs w:val="22"/>
          <w:lang w:val="es-VE"/>
        </w:rPr>
        <w:t>Finalmente, se violó el derecho a contar con un recurso efectivo para cuestionar la privación de libertad</w:t>
      </w:r>
      <w:r w:rsidR="003E71D9" w:rsidRPr="0009481B">
        <w:rPr>
          <w:rFonts w:ascii="Calibri" w:hAnsi="Calibri"/>
          <w:color w:val="auto"/>
          <w:sz w:val="22"/>
          <w:szCs w:val="22"/>
          <w:lang w:val="es-VE"/>
        </w:rPr>
        <w:t>.</w:t>
      </w:r>
      <w:r w:rsidRPr="0009481B">
        <w:rPr>
          <w:rFonts w:ascii="Calibri" w:hAnsi="Calibri"/>
          <w:color w:val="auto"/>
          <w:sz w:val="22"/>
          <w:szCs w:val="22"/>
          <w:lang w:val="es-VE"/>
        </w:rPr>
        <w:t xml:space="preserve"> </w:t>
      </w:r>
    </w:p>
    <w:p w:rsidR="00F00C1F" w:rsidRPr="0009481B" w:rsidRDefault="00F00C1F" w:rsidP="009E0566">
      <w:pPr>
        <w:widowControl w:val="0"/>
        <w:autoSpaceDE w:val="0"/>
        <w:autoSpaceDN w:val="0"/>
        <w:adjustRightInd w:val="0"/>
        <w:spacing w:after="0" w:line="240" w:lineRule="auto"/>
        <w:ind w:firstLine="720"/>
        <w:jc w:val="both"/>
        <w:rPr>
          <w:rFonts w:eastAsia="Times New Roman"/>
          <w:color w:val="000000"/>
          <w:u w:color="000000"/>
          <w:lang w:val="es-VE" w:eastAsia="es-ES"/>
        </w:rPr>
      </w:pPr>
    </w:p>
    <w:p w:rsidR="00F00C1F" w:rsidRPr="0009481B" w:rsidRDefault="00F00C1F" w:rsidP="00F00C1F">
      <w:pPr>
        <w:widowControl w:val="0"/>
        <w:autoSpaceDE w:val="0"/>
        <w:autoSpaceDN w:val="0"/>
        <w:adjustRightInd w:val="0"/>
        <w:spacing w:after="0" w:line="240" w:lineRule="auto"/>
        <w:ind w:firstLine="720"/>
        <w:jc w:val="both"/>
        <w:rPr>
          <w:rFonts w:cs="Arial"/>
          <w:lang w:val="es-CO"/>
        </w:rPr>
      </w:pPr>
      <w:r w:rsidRPr="0009481B">
        <w:rPr>
          <w:rFonts w:cs="Arial"/>
          <w:lang w:val="es-CO"/>
        </w:rPr>
        <w:t>El Estado ratificó la Convención Americana sobre Derechos Humanos el 12 de julio de 1978 y aceptó la competencia contenciosa de la Corte el 21 de enero de 1981.</w:t>
      </w:r>
    </w:p>
    <w:p w:rsidR="00F00C1F" w:rsidRPr="0009481B" w:rsidRDefault="00F00C1F" w:rsidP="00F00C1F">
      <w:pPr>
        <w:spacing w:after="0" w:line="240" w:lineRule="auto"/>
        <w:jc w:val="both"/>
        <w:rPr>
          <w:rFonts w:cs="Arial"/>
          <w:snapToGrid w:val="0"/>
          <w:lang w:val="es-CO"/>
        </w:rPr>
      </w:pPr>
    </w:p>
    <w:p w:rsidR="00F00C1F" w:rsidRPr="0009481B" w:rsidRDefault="00CC1A2F" w:rsidP="00F00C1F">
      <w:pPr>
        <w:widowControl w:val="0"/>
        <w:autoSpaceDE w:val="0"/>
        <w:autoSpaceDN w:val="0"/>
        <w:adjustRightInd w:val="0"/>
        <w:spacing w:after="0" w:line="240" w:lineRule="auto"/>
        <w:ind w:firstLine="720"/>
        <w:jc w:val="both"/>
        <w:rPr>
          <w:rFonts w:cs="Arial"/>
          <w:lang w:val="es-CO"/>
        </w:rPr>
      </w:pPr>
      <w:r w:rsidRPr="0009481B">
        <w:rPr>
          <w:lang w:val="es-CO"/>
        </w:rPr>
        <w:t>La CIDH</w:t>
      </w:r>
      <w:r w:rsidR="00F00C1F" w:rsidRPr="0009481B">
        <w:rPr>
          <w:lang w:val="es-CO"/>
        </w:rPr>
        <w:t xml:space="preserve"> ha designado al Comisionado Paulo Vannuchi y al Secretario Ejecutivo Paulo Abrão, como </w:t>
      </w:r>
      <w:r w:rsidR="00F00C1F" w:rsidRPr="0009481B">
        <w:rPr>
          <w:rFonts w:cs="Arial"/>
          <w:lang w:val="es-CO"/>
        </w:rPr>
        <w:t>sus</w:t>
      </w:r>
      <w:r w:rsidR="00F00C1F" w:rsidRPr="0009481B">
        <w:rPr>
          <w:lang w:val="es-CO"/>
        </w:rPr>
        <w:t xml:space="preserve"> delegados. Asimismo, Elizabeth Abi-Mershed, Secretaria Ejecutiva Adjunta y Silvia Serrano Guzmán y </w:t>
      </w:r>
      <w:r w:rsidR="007F23D5" w:rsidRPr="0009481B">
        <w:rPr>
          <w:lang w:val="es-CO"/>
        </w:rPr>
        <w:t>Christian González Chacón</w:t>
      </w:r>
      <w:r w:rsidR="00F00C1F" w:rsidRPr="0009481B">
        <w:rPr>
          <w:lang w:val="es-CO"/>
        </w:rPr>
        <w:t>, abogada</w:t>
      </w:r>
      <w:r w:rsidR="007F23D5" w:rsidRPr="0009481B">
        <w:rPr>
          <w:lang w:val="es-CO"/>
        </w:rPr>
        <w:t xml:space="preserve"> y abogado </w:t>
      </w:r>
      <w:r w:rsidR="00F00C1F" w:rsidRPr="0009481B">
        <w:rPr>
          <w:lang w:val="es-CO"/>
        </w:rPr>
        <w:t>de la Secretaría Ejecutiva de la CIDH, actuarán como asesora</w:t>
      </w:r>
      <w:r w:rsidR="007F23D5" w:rsidRPr="0009481B">
        <w:rPr>
          <w:lang w:val="es-CO"/>
        </w:rPr>
        <w:t xml:space="preserve"> y asesor </w:t>
      </w:r>
      <w:r w:rsidR="00F00C1F" w:rsidRPr="0009481B">
        <w:rPr>
          <w:lang w:val="es-CO"/>
        </w:rPr>
        <w:t>legales.</w:t>
      </w:r>
    </w:p>
    <w:p w:rsidR="00F00C1F" w:rsidRPr="0009481B" w:rsidRDefault="00F00C1F" w:rsidP="00F00C1F">
      <w:pPr>
        <w:autoSpaceDE w:val="0"/>
        <w:autoSpaceDN w:val="0"/>
        <w:adjustRightInd w:val="0"/>
        <w:spacing w:after="0" w:line="240" w:lineRule="auto"/>
        <w:ind w:right="480"/>
        <w:jc w:val="both"/>
        <w:rPr>
          <w:b/>
          <w:lang w:val="es-CO"/>
        </w:rPr>
      </w:pPr>
    </w:p>
    <w:p w:rsidR="00F00C1F" w:rsidRPr="0009481B" w:rsidRDefault="00F00C1F" w:rsidP="00F00C1F">
      <w:pPr>
        <w:widowControl w:val="0"/>
        <w:autoSpaceDE w:val="0"/>
        <w:autoSpaceDN w:val="0"/>
        <w:adjustRightInd w:val="0"/>
        <w:spacing w:after="0" w:line="240" w:lineRule="auto"/>
        <w:ind w:firstLine="720"/>
        <w:jc w:val="both"/>
        <w:rPr>
          <w:lang w:val="es-AR"/>
        </w:rPr>
      </w:pPr>
      <w:r w:rsidRPr="0009481B">
        <w:rPr>
          <w:rFonts w:cs="Arial"/>
          <w:lang w:val="es-CO"/>
        </w:rPr>
        <w:t xml:space="preserve">De conformidad con el artículo 35 del Reglamento de la Corte Interamericana, la Comisión adjunta </w:t>
      </w:r>
      <w:r w:rsidR="00CC1A2F" w:rsidRPr="0009481B">
        <w:rPr>
          <w:lang w:val="es-CO"/>
        </w:rPr>
        <w:t>copia del I</w:t>
      </w:r>
      <w:r w:rsidRPr="0009481B">
        <w:rPr>
          <w:lang w:val="es-CO"/>
        </w:rPr>
        <w:t xml:space="preserve">nforme </w:t>
      </w:r>
      <w:r w:rsidR="00BC3E12" w:rsidRPr="0009481B">
        <w:rPr>
          <w:lang w:val="es-CO"/>
        </w:rPr>
        <w:t xml:space="preserve">de Fondo </w:t>
      </w:r>
      <w:r w:rsidR="00CC1A2F" w:rsidRPr="0009481B">
        <w:rPr>
          <w:lang w:val="es-CO"/>
        </w:rPr>
        <w:t xml:space="preserve">Nº </w:t>
      </w:r>
      <w:r w:rsidR="00D46312" w:rsidRPr="0009481B">
        <w:rPr>
          <w:lang w:val="es-CO"/>
        </w:rPr>
        <w:t>42</w:t>
      </w:r>
      <w:r w:rsidRPr="0009481B">
        <w:rPr>
          <w:lang w:val="es-CO"/>
        </w:rPr>
        <w:t>/1</w:t>
      </w:r>
      <w:r w:rsidR="00D46312" w:rsidRPr="0009481B">
        <w:rPr>
          <w:lang w:val="es-CO"/>
        </w:rPr>
        <w:t>7</w:t>
      </w:r>
      <w:r w:rsidRPr="0009481B">
        <w:rPr>
          <w:lang w:val="es-CO"/>
        </w:rPr>
        <w:t xml:space="preserve"> elaborado en observancia del artículo 50 de la Convención, así como copia de la totalidad del expediente ante la Comisión Interamericana (Apéndice I) y los anexos ut</w:t>
      </w:r>
      <w:r w:rsidR="00BC3E12" w:rsidRPr="0009481B">
        <w:rPr>
          <w:lang w:val="es-CO"/>
        </w:rPr>
        <w:t xml:space="preserve">ilizados en la elaboración </w:t>
      </w:r>
      <w:proofErr w:type="gramStart"/>
      <w:r w:rsidR="00BC3E12" w:rsidRPr="0009481B">
        <w:rPr>
          <w:lang w:val="es-CO"/>
        </w:rPr>
        <w:t>del</w:t>
      </w:r>
      <w:proofErr w:type="gramEnd"/>
      <w:r w:rsidR="00BC3E12" w:rsidRPr="0009481B">
        <w:rPr>
          <w:lang w:val="es-CO"/>
        </w:rPr>
        <w:t xml:space="preserve"> I</w:t>
      </w:r>
      <w:r w:rsidRPr="0009481B">
        <w:rPr>
          <w:lang w:val="es-CO"/>
        </w:rPr>
        <w:t xml:space="preserve">nforme </w:t>
      </w:r>
      <w:r w:rsidR="00BC3E12" w:rsidRPr="0009481B">
        <w:rPr>
          <w:lang w:val="es-CO"/>
        </w:rPr>
        <w:t xml:space="preserve">Nº </w:t>
      </w:r>
      <w:r w:rsidR="00D46312" w:rsidRPr="0009481B">
        <w:rPr>
          <w:lang w:val="es-CO"/>
        </w:rPr>
        <w:t>42</w:t>
      </w:r>
      <w:r w:rsidRPr="0009481B">
        <w:rPr>
          <w:lang w:val="es-CO"/>
        </w:rPr>
        <w:t>/1</w:t>
      </w:r>
      <w:r w:rsidR="00D46312" w:rsidRPr="0009481B">
        <w:rPr>
          <w:lang w:val="es-CO"/>
        </w:rPr>
        <w:t>7</w:t>
      </w:r>
      <w:r w:rsidRPr="0009481B">
        <w:rPr>
          <w:lang w:val="es-CO"/>
        </w:rPr>
        <w:t xml:space="preserve"> (Anexos). </w:t>
      </w:r>
      <w:r w:rsidR="00BC3E12" w:rsidRPr="0009481B">
        <w:rPr>
          <w:lang w:val="es-CO"/>
        </w:rPr>
        <w:t xml:space="preserve"> </w:t>
      </w:r>
      <w:r w:rsidRPr="0009481B">
        <w:rPr>
          <w:lang w:val="es-CO"/>
        </w:rPr>
        <w:t xml:space="preserve">Dicho informe de fondo </w:t>
      </w:r>
      <w:r w:rsidRPr="0009481B">
        <w:rPr>
          <w:lang w:val="es-AR"/>
        </w:rPr>
        <w:t xml:space="preserve">fue notificado al Estado de Perú mediante comunicación de </w:t>
      </w:r>
      <w:r w:rsidR="00983C7F" w:rsidRPr="0009481B">
        <w:rPr>
          <w:lang w:val="es-AR"/>
        </w:rPr>
        <w:t>23</w:t>
      </w:r>
      <w:r w:rsidRPr="0009481B">
        <w:rPr>
          <w:lang w:val="es-AR"/>
        </w:rPr>
        <w:t xml:space="preserve"> de </w:t>
      </w:r>
      <w:r w:rsidR="00983C7F" w:rsidRPr="0009481B">
        <w:rPr>
          <w:lang w:val="es-AR"/>
        </w:rPr>
        <w:t>junio</w:t>
      </w:r>
      <w:r w:rsidRPr="0009481B">
        <w:rPr>
          <w:lang w:val="es-AR"/>
        </w:rPr>
        <w:t xml:space="preserve"> de 2017, otorgándole un plazo de dos meses para informar sobre el cumplimiento de las </w:t>
      </w:r>
      <w:r w:rsidRPr="0009481B">
        <w:rPr>
          <w:rFonts w:cs="Arial"/>
          <w:lang w:val="es-CO"/>
        </w:rPr>
        <w:t>recomendaciones</w:t>
      </w:r>
      <w:r w:rsidRPr="0009481B">
        <w:rPr>
          <w:lang w:val="es-AR"/>
        </w:rPr>
        <w:t>.  El Estado de Perú</w:t>
      </w:r>
      <w:r w:rsidR="006C3715" w:rsidRPr="0009481B">
        <w:rPr>
          <w:lang w:val="es-AR"/>
        </w:rPr>
        <w:t xml:space="preserve"> presentó un escrito en el cual rechazó las conclusiones del informe de fondo e indicó que no correspondía disponer reparación alguna a favor de la víctima.</w:t>
      </w:r>
    </w:p>
    <w:p w:rsidR="006C3715" w:rsidRPr="0009481B" w:rsidRDefault="006C3715" w:rsidP="00F00C1F">
      <w:pPr>
        <w:widowControl w:val="0"/>
        <w:autoSpaceDE w:val="0"/>
        <w:autoSpaceDN w:val="0"/>
        <w:adjustRightInd w:val="0"/>
        <w:spacing w:after="0" w:line="240" w:lineRule="auto"/>
        <w:ind w:firstLine="720"/>
        <w:jc w:val="both"/>
        <w:rPr>
          <w:lang w:val="es-AR"/>
        </w:rPr>
      </w:pPr>
    </w:p>
    <w:p w:rsidR="00D44CFB" w:rsidRPr="0009481B" w:rsidRDefault="00D44CFB" w:rsidP="00F00C1F">
      <w:pPr>
        <w:widowControl w:val="0"/>
        <w:autoSpaceDE w:val="0"/>
        <w:autoSpaceDN w:val="0"/>
        <w:adjustRightInd w:val="0"/>
        <w:spacing w:after="0" w:line="240" w:lineRule="auto"/>
        <w:ind w:firstLine="720"/>
        <w:jc w:val="both"/>
        <w:rPr>
          <w:lang w:val="es-AR"/>
        </w:rPr>
      </w:pPr>
    </w:p>
    <w:p w:rsidR="00F00C1F" w:rsidRPr="0009481B" w:rsidRDefault="00BC3E12" w:rsidP="00F00C1F">
      <w:pPr>
        <w:widowControl w:val="0"/>
        <w:autoSpaceDE w:val="0"/>
        <w:autoSpaceDN w:val="0"/>
        <w:adjustRightInd w:val="0"/>
        <w:spacing w:after="0" w:line="240" w:lineRule="auto"/>
        <w:ind w:firstLine="720"/>
        <w:jc w:val="both"/>
        <w:rPr>
          <w:lang w:val="es-AR"/>
        </w:rPr>
      </w:pPr>
      <w:r w:rsidRPr="0009481B">
        <w:rPr>
          <w:lang w:val="es-AR"/>
        </w:rPr>
        <w:t>En consecuencia, la CIDH</w:t>
      </w:r>
      <w:r w:rsidR="00F00C1F" w:rsidRPr="0009481B">
        <w:rPr>
          <w:lang w:val="es-AR"/>
        </w:rPr>
        <w:t xml:space="preserve"> decidió someter el presente caso a la jurisdicción de la Corte Interamericana por la </w:t>
      </w:r>
      <w:r w:rsidR="00F00C1F" w:rsidRPr="0009481B">
        <w:rPr>
          <w:rFonts w:cs="Arial"/>
          <w:lang w:val="es-CO"/>
        </w:rPr>
        <w:t>necesidad</w:t>
      </w:r>
      <w:r w:rsidR="00F00C1F" w:rsidRPr="0009481B">
        <w:rPr>
          <w:lang w:val="es-AR"/>
        </w:rPr>
        <w:t xml:space="preserve"> de obtención de justicia para la víctima.  </w:t>
      </w:r>
      <w:r w:rsidR="00F00C1F" w:rsidRPr="0009481B">
        <w:rPr>
          <w:lang w:val="es-CO"/>
        </w:rPr>
        <w:t>La Comisión Interamericana somete a la jurisdicción de la Corte la totalidad de los hechos y violaciones de de</w:t>
      </w:r>
      <w:r w:rsidRPr="0009481B">
        <w:rPr>
          <w:lang w:val="es-CO"/>
        </w:rPr>
        <w:t>rechos humanos descritos en el Informe de F</w:t>
      </w:r>
      <w:r w:rsidR="00F00C1F" w:rsidRPr="0009481B">
        <w:rPr>
          <w:lang w:val="es-CO"/>
        </w:rPr>
        <w:t xml:space="preserve">ondo </w:t>
      </w:r>
      <w:r w:rsidRPr="0009481B">
        <w:rPr>
          <w:lang w:val="es-CO"/>
        </w:rPr>
        <w:t xml:space="preserve">Nº </w:t>
      </w:r>
      <w:r w:rsidR="00861552" w:rsidRPr="0009481B">
        <w:rPr>
          <w:lang w:val="es-CO"/>
        </w:rPr>
        <w:t>42</w:t>
      </w:r>
      <w:r w:rsidR="00F00C1F" w:rsidRPr="0009481B">
        <w:rPr>
          <w:lang w:val="es-CO"/>
        </w:rPr>
        <w:t>/1</w:t>
      </w:r>
      <w:r w:rsidR="009A0F7C" w:rsidRPr="0009481B">
        <w:rPr>
          <w:lang w:val="es-CO"/>
        </w:rPr>
        <w:t>7</w:t>
      </w:r>
      <w:r w:rsidR="00F00C1F" w:rsidRPr="0009481B">
        <w:rPr>
          <w:lang w:val="es-CO"/>
        </w:rPr>
        <w:t>.</w:t>
      </w:r>
    </w:p>
    <w:p w:rsidR="00F00C1F" w:rsidRPr="0009481B" w:rsidRDefault="00F00C1F" w:rsidP="00F00C1F">
      <w:pPr>
        <w:widowControl w:val="0"/>
        <w:autoSpaceDE w:val="0"/>
        <w:autoSpaceDN w:val="0"/>
        <w:adjustRightInd w:val="0"/>
        <w:spacing w:after="0" w:line="240" w:lineRule="auto"/>
        <w:ind w:firstLine="720"/>
        <w:jc w:val="both"/>
        <w:rPr>
          <w:lang w:val="es-AR"/>
        </w:rPr>
      </w:pPr>
    </w:p>
    <w:p w:rsidR="00ED43DF" w:rsidRPr="0009481B" w:rsidRDefault="00ED43DF" w:rsidP="00ED43DF">
      <w:pPr>
        <w:shd w:val="clear" w:color="auto" w:fill="FFFFFF"/>
        <w:tabs>
          <w:tab w:val="num" w:pos="720"/>
          <w:tab w:val="left" w:pos="1440"/>
          <w:tab w:val="num" w:pos="2040"/>
        </w:tabs>
        <w:spacing w:after="0" w:line="240" w:lineRule="auto"/>
        <w:jc w:val="both"/>
        <w:rPr>
          <w:lang w:val="es-ES_tradnl"/>
        </w:rPr>
      </w:pPr>
      <w:r w:rsidRPr="0009481B">
        <w:rPr>
          <w:lang w:val="es-AR"/>
        </w:rPr>
        <w:tab/>
      </w:r>
      <w:r w:rsidR="00F00C1F" w:rsidRPr="0009481B">
        <w:rPr>
          <w:lang w:val="es-CO"/>
        </w:rPr>
        <w:t>En ese sentido, la Comisión solicita a la Corte que concluya y declare la responsabilidad internacional del</w:t>
      </w:r>
      <w:r w:rsidR="00F00C1F" w:rsidRPr="0009481B">
        <w:rPr>
          <w:rFonts w:cs="Arial"/>
          <w:lang w:val="es-CL"/>
        </w:rPr>
        <w:t xml:space="preserve"> Estado de </w:t>
      </w:r>
      <w:r w:rsidR="00F00C1F" w:rsidRPr="0009481B">
        <w:rPr>
          <w:rFonts w:cs="Arial"/>
          <w:lang w:val="es-CO"/>
        </w:rPr>
        <w:t>Perú por</w:t>
      </w:r>
      <w:r w:rsidR="00F00C1F" w:rsidRPr="0009481B">
        <w:rPr>
          <w:rFonts w:cs="Arial"/>
          <w:lang w:val="es-CL"/>
        </w:rPr>
        <w:t xml:space="preserve"> </w:t>
      </w:r>
      <w:r w:rsidRPr="0009481B">
        <w:rPr>
          <w:rFonts w:eastAsia="Times New Roman"/>
          <w:lang w:val="es-AR"/>
        </w:rPr>
        <w:t xml:space="preserve">por la violación de los derechos a la libertad personal, garantías judiciales y protección judicial, consagrados en los artículos 7.1, 7.3, 7.5, 7.6, 8.1, 8.2, 8.2 b), c), e), 8.4, y 25.1 de la Convención Americana, en relación con el artículo 1.1 del mismo instrumento en perjuicio de Jorge </w:t>
      </w:r>
      <w:proofErr w:type="spellStart"/>
      <w:r w:rsidRPr="0009481B">
        <w:rPr>
          <w:rFonts w:eastAsia="Times New Roman"/>
          <w:lang w:val="es-AR"/>
        </w:rPr>
        <w:t>Rosadio</w:t>
      </w:r>
      <w:proofErr w:type="spellEnd"/>
      <w:r w:rsidRPr="0009481B">
        <w:rPr>
          <w:rFonts w:eastAsia="Times New Roman"/>
          <w:lang w:val="es-AR"/>
        </w:rPr>
        <w:t xml:space="preserve"> Villavicencio. </w:t>
      </w:r>
    </w:p>
    <w:p w:rsidR="00F00C1F" w:rsidRPr="0009481B" w:rsidRDefault="00F00C1F" w:rsidP="00F00C1F">
      <w:pPr>
        <w:autoSpaceDE w:val="0"/>
        <w:autoSpaceDN w:val="0"/>
        <w:adjustRightInd w:val="0"/>
        <w:spacing w:after="0" w:line="240" w:lineRule="auto"/>
        <w:ind w:left="720" w:right="480"/>
        <w:jc w:val="both"/>
        <w:rPr>
          <w:lang w:val="es-CO"/>
        </w:rPr>
      </w:pPr>
    </w:p>
    <w:p w:rsidR="00F00C1F" w:rsidRPr="0009481B" w:rsidRDefault="00F00C1F" w:rsidP="00F00C1F">
      <w:pPr>
        <w:autoSpaceDE w:val="0"/>
        <w:autoSpaceDN w:val="0"/>
        <w:adjustRightInd w:val="0"/>
        <w:spacing w:after="0" w:line="240" w:lineRule="auto"/>
        <w:ind w:left="720" w:right="480"/>
        <w:jc w:val="both"/>
        <w:rPr>
          <w:lang w:val="es-CO"/>
        </w:rPr>
      </w:pPr>
      <w:r w:rsidRPr="0009481B">
        <w:rPr>
          <w:lang w:val="es-CO"/>
        </w:rPr>
        <w:t>Asimismo, la Comisión solicita a la Corte que establezca las siguientes medidas de reparación:</w:t>
      </w:r>
    </w:p>
    <w:p w:rsidR="00F00C1F" w:rsidRPr="0009481B" w:rsidRDefault="00F00C1F" w:rsidP="00F00C1F">
      <w:pPr>
        <w:autoSpaceDE w:val="0"/>
        <w:autoSpaceDN w:val="0"/>
        <w:adjustRightInd w:val="0"/>
        <w:spacing w:after="0" w:line="240" w:lineRule="auto"/>
        <w:ind w:left="720" w:right="480"/>
        <w:jc w:val="both"/>
        <w:rPr>
          <w:lang w:val="es-CO"/>
        </w:rPr>
      </w:pPr>
    </w:p>
    <w:p w:rsidR="00067B3B" w:rsidRPr="0009481B" w:rsidRDefault="00067B3B" w:rsidP="00067B3B">
      <w:pPr>
        <w:numPr>
          <w:ilvl w:val="0"/>
          <w:numId w:val="3"/>
        </w:numPr>
        <w:tabs>
          <w:tab w:val="left" w:pos="1080"/>
        </w:tabs>
        <w:spacing w:after="0" w:line="240" w:lineRule="auto"/>
        <w:jc w:val="both"/>
        <w:rPr>
          <w:lang w:val="es-ES"/>
        </w:rPr>
      </w:pPr>
      <w:r w:rsidRPr="0009481B">
        <w:rPr>
          <w:lang w:val="es-ES"/>
        </w:rPr>
        <w:t xml:space="preserve">Reparar integralmente a la víctima del presente caso a través de medidas de compensación pecuniaria y de satisfacción que incluyan el daño material e inmaterial ocasionado a la víctima como consecuencia de las violaciones declaradas en </w:t>
      </w:r>
      <w:r w:rsidR="00345E67" w:rsidRPr="0009481B">
        <w:rPr>
          <w:lang w:val="es-ES"/>
        </w:rPr>
        <w:t xml:space="preserve">el </w:t>
      </w:r>
      <w:r w:rsidRPr="0009481B">
        <w:rPr>
          <w:lang w:val="es-ES"/>
        </w:rPr>
        <w:t xml:space="preserve">informe. </w:t>
      </w:r>
    </w:p>
    <w:p w:rsidR="00067B3B" w:rsidRPr="0009481B" w:rsidRDefault="00067B3B" w:rsidP="00067B3B">
      <w:pPr>
        <w:tabs>
          <w:tab w:val="left" w:pos="1080"/>
        </w:tabs>
        <w:spacing w:after="0" w:line="240" w:lineRule="auto"/>
        <w:ind w:left="720"/>
        <w:jc w:val="both"/>
        <w:rPr>
          <w:b/>
          <w:lang w:val="es-ES"/>
        </w:rPr>
      </w:pPr>
    </w:p>
    <w:p w:rsidR="00067B3B" w:rsidRPr="0009481B" w:rsidRDefault="00067B3B" w:rsidP="00067B3B">
      <w:pPr>
        <w:numPr>
          <w:ilvl w:val="0"/>
          <w:numId w:val="3"/>
        </w:numPr>
        <w:tabs>
          <w:tab w:val="left" w:pos="1080"/>
        </w:tabs>
        <w:spacing w:after="0" w:line="240" w:lineRule="auto"/>
        <w:jc w:val="both"/>
        <w:rPr>
          <w:b/>
          <w:lang w:val="es-ES"/>
        </w:rPr>
      </w:pPr>
      <w:r w:rsidRPr="0009481B">
        <w:rPr>
          <w:lang w:val="es-ES"/>
        </w:rPr>
        <w:t xml:space="preserve">Disponer las medidas de no repetición, legislativas, administrativas o de otra índole, para asegurar que en los procesos administrativos sancionatorios se respete estrictamente el principio de presunción de inocencia y las demás garantías del debido proceso. </w:t>
      </w:r>
      <w:r w:rsidR="00BC3E12" w:rsidRPr="0009481B">
        <w:rPr>
          <w:lang w:val="es-ES"/>
        </w:rPr>
        <w:t xml:space="preserve"> </w:t>
      </w:r>
      <w:r w:rsidRPr="0009481B">
        <w:rPr>
          <w:lang w:val="es-ES"/>
        </w:rPr>
        <w:t xml:space="preserve">Asimismo, para asegurar que en el ejercicio del poder punitivo del Estado, tanto en la vía administrativa como en la vía penal, se respete el principio de </w:t>
      </w:r>
      <w:r w:rsidRPr="0009481B">
        <w:rPr>
          <w:i/>
          <w:lang w:val="es-ES"/>
        </w:rPr>
        <w:t xml:space="preserve">non bis in </w:t>
      </w:r>
      <w:proofErr w:type="spellStart"/>
      <w:r w:rsidR="008F72EB" w:rsidRPr="0009481B">
        <w:rPr>
          <w:i/>
          <w:lang w:val="es-ES"/>
        </w:rPr>
        <w:t>i</w:t>
      </w:r>
      <w:r w:rsidRPr="0009481B">
        <w:rPr>
          <w:i/>
          <w:lang w:val="es-ES"/>
        </w:rPr>
        <w:t>dem</w:t>
      </w:r>
      <w:proofErr w:type="spellEnd"/>
      <w:r w:rsidRPr="0009481B">
        <w:rPr>
          <w:lang w:val="es-ES"/>
        </w:rPr>
        <w:t xml:space="preserve"> y se eviten múltiples juzgamientos por los mismos hechos. Finalmente, para asegurar que la aplicación de la detención preventiva se ajuste a los estándares declarados en el informe para que no se constituya en una medida punitiva, en particular, que la misma obedezca a fines procesales y que su duración sea la estrictamente necesaria para el logro de tales fines. </w:t>
      </w:r>
    </w:p>
    <w:p w:rsidR="00F00C1F" w:rsidRPr="0009481B" w:rsidRDefault="00F00C1F" w:rsidP="00F00C1F">
      <w:pPr>
        <w:widowControl w:val="0"/>
        <w:autoSpaceDE w:val="0"/>
        <w:autoSpaceDN w:val="0"/>
        <w:adjustRightInd w:val="0"/>
        <w:spacing w:after="0" w:line="240" w:lineRule="auto"/>
        <w:ind w:firstLine="720"/>
        <w:jc w:val="both"/>
        <w:rPr>
          <w:rFonts w:cs="Arial"/>
          <w:lang w:val="es-ES"/>
        </w:rPr>
      </w:pPr>
    </w:p>
    <w:p w:rsidR="008F72EB" w:rsidRPr="0009481B" w:rsidRDefault="00F00C1F" w:rsidP="008F72EB">
      <w:pPr>
        <w:widowControl w:val="0"/>
        <w:autoSpaceDE w:val="0"/>
        <w:autoSpaceDN w:val="0"/>
        <w:adjustRightInd w:val="0"/>
        <w:spacing w:after="0" w:line="240" w:lineRule="auto"/>
        <w:ind w:firstLine="720"/>
        <w:jc w:val="both"/>
        <w:rPr>
          <w:rFonts w:cs="Arial"/>
          <w:lang w:val="es-CL"/>
        </w:rPr>
      </w:pPr>
      <w:r w:rsidRPr="0009481B">
        <w:rPr>
          <w:rFonts w:cs="Arial"/>
          <w:lang w:val="es-CL"/>
        </w:rPr>
        <w:t xml:space="preserve">Además de la necesidad de obtención de justicia por la falta de cumplimiento de las recomendaciones del </w:t>
      </w:r>
      <w:r w:rsidRPr="0009481B">
        <w:rPr>
          <w:rFonts w:cs="Arial"/>
          <w:lang w:val="es-CO"/>
        </w:rPr>
        <w:t>informe</w:t>
      </w:r>
      <w:r w:rsidRPr="0009481B">
        <w:rPr>
          <w:rFonts w:cs="Arial"/>
          <w:lang w:val="es-CL"/>
        </w:rPr>
        <w:t xml:space="preserve"> de fondo, la Comisión considera que el caso presenta cuestiones de orden público interamericano. </w:t>
      </w:r>
      <w:r w:rsidR="008F72EB" w:rsidRPr="0009481B">
        <w:rPr>
          <w:rFonts w:cs="Arial"/>
          <w:lang w:val="es-CL"/>
        </w:rPr>
        <w:t xml:space="preserve">De esta manera, la Honorable Corte podrá </w:t>
      </w:r>
      <w:r w:rsidR="008F72EB" w:rsidRPr="0009481B">
        <w:rPr>
          <w:rFonts w:eastAsia="Times New Roman" w:cs="Cambria"/>
          <w:lang w:val="es-CO"/>
        </w:rPr>
        <w:t xml:space="preserve">profundizar su jurisprudencia sobre las garantías de debido proceso aplicables a procesos sancionatorios, incluyendo aquellos de carácter administrativo, así como penal y penal militar. </w:t>
      </w:r>
      <w:r w:rsidR="00BC3E12" w:rsidRPr="0009481B">
        <w:rPr>
          <w:rFonts w:eastAsia="Times New Roman" w:cs="Cambria"/>
          <w:lang w:val="es-CO"/>
        </w:rPr>
        <w:t xml:space="preserve"> </w:t>
      </w:r>
      <w:r w:rsidR="008F72EB" w:rsidRPr="0009481B">
        <w:rPr>
          <w:rFonts w:eastAsia="Times New Roman" w:cs="Cambria"/>
          <w:lang w:val="es-CO"/>
        </w:rPr>
        <w:t xml:space="preserve">En particular, el caso ofrece la oportunidad de analizar las consecuencias bajo la Convención Americana de la activación del poder punitivo del Estado, a través de diversos mecanismos o bien paralelos o bien subsiguientes el uno del otro y con base en una misma plataforma fáctica. </w:t>
      </w:r>
      <w:r w:rsidR="00B85902" w:rsidRPr="0009481B">
        <w:rPr>
          <w:rFonts w:eastAsia="Times New Roman" w:cs="Cambria"/>
          <w:lang w:val="es-CO"/>
        </w:rPr>
        <w:t xml:space="preserve"> </w:t>
      </w:r>
      <w:r w:rsidR="008F72EB" w:rsidRPr="0009481B">
        <w:rPr>
          <w:rFonts w:eastAsia="Times New Roman" w:cs="Cambria"/>
          <w:lang w:val="es-CO"/>
        </w:rPr>
        <w:t xml:space="preserve">Igualmente, el caso ofrece la posibilidad de pronunciarse sobre dicha situación a la luz del principio de </w:t>
      </w:r>
      <w:r w:rsidR="008F72EB" w:rsidRPr="0009481B">
        <w:rPr>
          <w:rFonts w:eastAsia="Times New Roman" w:cs="Cambria"/>
          <w:i/>
          <w:lang w:val="es-CO"/>
        </w:rPr>
        <w:t xml:space="preserve">non bis in </w:t>
      </w:r>
      <w:proofErr w:type="spellStart"/>
      <w:r w:rsidR="008F72EB" w:rsidRPr="0009481B">
        <w:rPr>
          <w:rFonts w:eastAsia="Times New Roman" w:cs="Cambria"/>
          <w:i/>
          <w:lang w:val="es-CO"/>
        </w:rPr>
        <w:t>idem</w:t>
      </w:r>
      <w:proofErr w:type="spellEnd"/>
      <w:r w:rsidR="008F72EB" w:rsidRPr="0009481B">
        <w:rPr>
          <w:rFonts w:eastAsia="Times New Roman" w:cs="Cambria"/>
          <w:lang w:val="es-CO"/>
        </w:rPr>
        <w:t xml:space="preserve">. </w:t>
      </w:r>
    </w:p>
    <w:p w:rsidR="008F72EB" w:rsidRPr="0009481B" w:rsidRDefault="008F72EB" w:rsidP="00F00C1F">
      <w:pPr>
        <w:widowControl w:val="0"/>
        <w:autoSpaceDE w:val="0"/>
        <w:autoSpaceDN w:val="0"/>
        <w:adjustRightInd w:val="0"/>
        <w:spacing w:after="0" w:line="240" w:lineRule="auto"/>
        <w:ind w:firstLine="720"/>
        <w:jc w:val="both"/>
        <w:rPr>
          <w:rFonts w:cs="Arial"/>
          <w:lang w:val="es-CL"/>
        </w:rPr>
      </w:pPr>
    </w:p>
    <w:p w:rsidR="00F00C1F" w:rsidRPr="0009481B" w:rsidRDefault="00F00C1F" w:rsidP="00F00C1F">
      <w:pPr>
        <w:widowControl w:val="0"/>
        <w:autoSpaceDE w:val="0"/>
        <w:autoSpaceDN w:val="0"/>
        <w:adjustRightInd w:val="0"/>
        <w:spacing w:after="0" w:line="240" w:lineRule="auto"/>
        <w:ind w:firstLine="720"/>
        <w:jc w:val="both"/>
        <w:rPr>
          <w:rFonts w:cs="Arial"/>
          <w:lang w:val="es-CL"/>
        </w:rPr>
      </w:pPr>
      <w:r w:rsidRPr="0009481B">
        <w:rPr>
          <w:rFonts w:cs="Arial"/>
          <w:lang w:val="es-CL"/>
        </w:rPr>
        <w:t xml:space="preserve">En virtud de que estas cuestiones afectan de manera relevante el orden público interamericano, de conformidad </w:t>
      </w:r>
      <w:r w:rsidRPr="0009481B">
        <w:rPr>
          <w:rFonts w:eastAsia="Times New Roman" w:cs="Cambria"/>
          <w:lang w:val="es-CO"/>
        </w:rPr>
        <w:t>con</w:t>
      </w:r>
      <w:r w:rsidRPr="0009481B">
        <w:rPr>
          <w:rFonts w:cs="Arial"/>
          <w:lang w:val="es-CL"/>
        </w:rPr>
        <w:t xml:space="preserve"> el artículo 35.1 f) del Reglamento de la Corte Interamericana, la Comisión se permite ofrecer la siguiente declaración pericial:</w:t>
      </w:r>
    </w:p>
    <w:p w:rsidR="00F00C1F" w:rsidRPr="0009481B" w:rsidRDefault="00F00C1F" w:rsidP="00F00C1F">
      <w:pPr>
        <w:autoSpaceDE w:val="0"/>
        <w:autoSpaceDN w:val="0"/>
        <w:adjustRightInd w:val="0"/>
        <w:spacing w:after="0" w:line="240" w:lineRule="auto"/>
        <w:ind w:right="480"/>
        <w:jc w:val="both"/>
        <w:rPr>
          <w:rFonts w:cs="Arial"/>
          <w:lang w:val="es-CL"/>
        </w:rPr>
      </w:pPr>
    </w:p>
    <w:p w:rsidR="00F00C1F" w:rsidRPr="0009481B" w:rsidRDefault="00F00C1F" w:rsidP="00F00C1F">
      <w:pPr>
        <w:widowControl w:val="0"/>
        <w:autoSpaceDE w:val="0"/>
        <w:autoSpaceDN w:val="0"/>
        <w:adjustRightInd w:val="0"/>
        <w:spacing w:after="0" w:line="240" w:lineRule="auto"/>
        <w:ind w:firstLine="720"/>
        <w:jc w:val="both"/>
        <w:rPr>
          <w:rFonts w:eastAsia="Times New Roman" w:cs="Cambria"/>
          <w:lang w:val="es-CO"/>
        </w:rPr>
      </w:pPr>
      <w:r w:rsidRPr="0009481B">
        <w:rPr>
          <w:rFonts w:cs="Courier New"/>
          <w:b/>
          <w:lang w:val="es-ES_tradnl"/>
        </w:rPr>
        <w:t>Perito/a cuyo nombre será informado a la brevedad</w:t>
      </w:r>
      <w:r w:rsidRPr="0009481B">
        <w:rPr>
          <w:rFonts w:cs="Courier New"/>
          <w:lang w:val="es-ES_tradnl"/>
        </w:rPr>
        <w:t xml:space="preserve">, quien declarará sobre </w:t>
      </w:r>
      <w:r w:rsidR="00E04B71" w:rsidRPr="0009481B">
        <w:rPr>
          <w:rFonts w:cs="Courier New"/>
          <w:lang w:val="es-ES_tradnl"/>
        </w:rPr>
        <w:t xml:space="preserve">la manera en que deben operar las garantías del debido proceso, en particular el derecho de defensa y el principio de presunción de inocencia, cuando se activan diversas vías sancionatorias – tanto penales como disciplinarias – paralelas o subsiguientes, sobre la base de la misma plataforma fáctica. </w:t>
      </w:r>
      <w:r w:rsidR="00B85902" w:rsidRPr="0009481B">
        <w:rPr>
          <w:rFonts w:cs="Courier New"/>
          <w:lang w:val="es-ES_tradnl"/>
        </w:rPr>
        <w:t xml:space="preserve"> </w:t>
      </w:r>
      <w:r w:rsidR="00E04B71" w:rsidRPr="0009481B">
        <w:rPr>
          <w:rFonts w:cs="Courier New"/>
          <w:lang w:val="es-ES_tradnl"/>
        </w:rPr>
        <w:t xml:space="preserve">El/la perito/a también se referirá a dicha situación </w:t>
      </w:r>
      <w:r w:rsidR="00E04B71" w:rsidRPr="0009481B">
        <w:rPr>
          <w:rFonts w:cs="Courier New"/>
          <w:lang w:val="es-ES_tradnl"/>
        </w:rPr>
        <w:lastRenderedPageBreak/>
        <w:t xml:space="preserve">a la luz del principio de </w:t>
      </w:r>
      <w:r w:rsidR="00E04B71" w:rsidRPr="0009481B">
        <w:rPr>
          <w:rFonts w:cs="Courier New"/>
          <w:i/>
          <w:lang w:val="es-ES_tradnl"/>
        </w:rPr>
        <w:t xml:space="preserve">non bis in </w:t>
      </w:r>
      <w:proofErr w:type="spellStart"/>
      <w:r w:rsidR="00392D8B" w:rsidRPr="0009481B">
        <w:rPr>
          <w:rFonts w:cs="Courier New"/>
          <w:i/>
          <w:lang w:val="es-ES_tradnl"/>
        </w:rPr>
        <w:t>idem</w:t>
      </w:r>
      <w:proofErr w:type="spellEnd"/>
      <w:r w:rsidR="00392D8B" w:rsidRPr="0009481B">
        <w:rPr>
          <w:rFonts w:cs="Courier New"/>
          <w:i/>
          <w:lang w:val="es-ES_tradnl"/>
        </w:rPr>
        <w:t>.</w:t>
      </w:r>
      <w:r w:rsidR="00EB5418" w:rsidRPr="0009481B">
        <w:rPr>
          <w:rFonts w:cs="Courier New"/>
          <w:i/>
          <w:lang w:val="es-ES_tradnl"/>
        </w:rPr>
        <w:t xml:space="preserve"> </w:t>
      </w:r>
      <w:r w:rsidR="00B85902" w:rsidRPr="0009481B">
        <w:rPr>
          <w:rFonts w:cs="Courier New"/>
          <w:i/>
          <w:lang w:val="es-ES_tradnl"/>
        </w:rPr>
        <w:t xml:space="preserve"> </w:t>
      </w:r>
      <w:r w:rsidR="00EB5418" w:rsidRPr="0009481B">
        <w:rPr>
          <w:rFonts w:cs="Courier New"/>
          <w:lang w:val="es-ES_tradnl"/>
        </w:rPr>
        <w:t>El/la perito/a tomará en cuenta los hechos del caso para desarrollar su peritaje.</w:t>
      </w:r>
    </w:p>
    <w:p w:rsidR="00F00C1F" w:rsidRPr="0009481B" w:rsidRDefault="00F00C1F" w:rsidP="00F00C1F">
      <w:pPr>
        <w:tabs>
          <w:tab w:val="left" w:pos="0"/>
        </w:tabs>
        <w:spacing w:after="0" w:line="240" w:lineRule="auto"/>
        <w:ind w:firstLine="720"/>
        <w:jc w:val="both"/>
        <w:rPr>
          <w:lang w:val="es-AR"/>
        </w:rPr>
      </w:pPr>
    </w:p>
    <w:p w:rsidR="00F00C1F" w:rsidRPr="0009481B" w:rsidRDefault="00F00C1F" w:rsidP="00F00C1F">
      <w:pPr>
        <w:widowControl w:val="0"/>
        <w:autoSpaceDE w:val="0"/>
        <w:autoSpaceDN w:val="0"/>
        <w:adjustRightInd w:val="0"/>
        <w:spacing w:after="0" w:line="240" w:lineRule="auto"/>
        <w:ind w:firstLine="720"/>
        <w:jc w:val="both"/>
        <w:rPr>
          <w:lang w:val="es-CO"/>
        </w:rPr>
      </w:pPr>
      <w:r w:rsidRPr="0009481B">
        <w:rPr>
          <w:lang w:val="es-AR"/>
        </w:rPr>
        <w:t>El CV del/la perito/</w:t>
      </w:r>
      <w:proofErr w:type="spellStart"/>
      <w:r w:rsidRPr="0009481B">
        <w:rPr>
          <w:lang w:val="es-AR"/>
        </w:rPr>
        <w:t>a</w:t>
      </w:r>
      <w:proofErr w:type="spellEnd"/>
      <w:r w:rsidRPr="0009481B">
        <w:rPr>
          <w:lang w:val="es-AR"/>
        </w:rPr>
        <w:t xml:space="preserve"> ofrecido/a </w:t>
      </w:r>
      <w:r w:rsidR="00B85902" w:rsidRPr="0009481B">
        <w:rPr>
          <w:lang w:val="es-CO"/>
        </w:rPr>
        <w:t>será incluido en los anexos al I</w:t>
      </w:r>
      <w:r w:rsidRPr="0009481B">
        <w:rPr>
          <w:lang w:val="es-CO"/>
        </w:rPr>
        <w:t xml:space="preserve">nforme de </w:t>
      </w:r>
      <w:r w:rsidR="00B85902" w:rsidRPr="0009481B">
        <w:rPr>
          <w:lang w:val="es-CO"/>
        </w:rPr>
        <w:t>F</w:t>
      </w:r>
      <w:r w:rsidRPr="0009481B">
        <w:rPr>
          <w:lang w:val="es-CO"/>
        </w:rPr>
        <w:t xml:space="preserve">ondo </w:t>
      </w:r>
      <w:r w:rsidR="00B85902" w:rsidRPr="0009481B">
        <w:rPr>
          <w:lang w:val="es-CO"/>
        </w:rPr>
        <w:t xml:space="preserve">Nº </w:t>
      </w:r>
      <w:r w:rsidR="00BB5A5E" w:rsidRPr="0009481B">
        <w:rPr>
          <w:lang w:val="es-CO"/>
        </w:rPr>
        <w:t>42</w:t>
      </w:r>
      <w:r w:rsidRPr="0009481B">
        <w:rPr>
          <w:lang w:val="es-CO"/>
        </w:rPr>
        <w:t>/1</w:t>
      </w:r>
      <w:r w:rsidR="00686199" w:rsidRPr="0009481B">
        <w:rPr>
          <w:lang w:val="es-CO"/>
        </w:rPr>
        <w:t>7</w:t>
      </w:r>
      <w:r w:rsidRPr="0009481B">
        <w:rPr>
          <w:lang w:val="es-CO"/>
        </w:rPr>
        <w:t xml:space="preserve">.  </w:t>
      </w:r>
      <w:r w:rsidRPr="0009481B">
        <w:rPr>
          <w:lang w:val="es-ES_tradnl"/>
        </w:rPr>
        <w:t xml:space="preserve">La Comisión pone en conocimiento de la Corte los siguientes datos de quienes han actuado como peticionarios a lo largo del trámite interamericano: </w:t>
      </w:r>
    </w:p>
    <w:p w:rsidR="00D80B5C" w:rsidRPr="0009481B" w:rsidRDefault="00B85902" w:rsidP="00F00C1F">
      <w:pPr>
        <w:autoSpaceDE w:val="0"/>
        <w:autoSpaceDN w:val="0"/>
        <w:adjustRightInd w:val="0"/>
        <w:spacing w:after="0" w:line="240" w:lineRule="auto"/>
        <w:jc w:val="center"/>
        <w:rPr>
          <w:rFonts w:cs="Arial"/>
          <w:lang w:val="es-ES_tradnl"/>
        </w:rPr>
      </w:pPr>
      <w:r w:rsidRPr="0009481B">
        <w:rPr>
          <w:rFonts w:cs="Arial"/>
          <w:lang w:val="es-ES_tradnl"/>
        </w:rPr>
        <w:t xml:space="preserve">César Villacorta </w:t>
      </w:r>
      <w:proofErr w:type="spellStart"/>
      <w:r w:rsidRPr="0009481B">
        <w:rPr>
          <w:rFonts w:cs="Arial"/>
          <w:lang w:val="es-ES_tradnl"/>
        </w:rPr>
        <w:t>Espinner</w:t>
      </w:r>
      <w:proofErr w:type="spellEnd"/>
    </w:p>
    <w:p w:rsidR="00B85902" w:rsidRPr="00715926" w:rsidRDefault="00715926" w:rsidP="00F00C1F">
      <w:pPr>
        <w:autoSpaceDE w:val="0"/>
        <w:autoSpaceDN w:val="0"/>
        <w:adjustRightInd w:val="0"/>
        <w:spacing w:after="0" w:line="240" w:lineRule="auto"/>
        <w:jc w:val="center"/>
        <w:rPr>
          <w:rFonts w:cs="Arial"/>
          <w:highlight w:val="black"/>
          <w:lang w:val="es-ES_tradnl"/>
        </w:rPr>
      </w:pPr>
      <w:proofErr w:type="spellStart"/>
      <w:proofErr w:type="gramStart"/>
      <w:r w:rsidRPr="00715926">
        <w:rPr>
          <w:rFonts w:cs="Arial"/>
          <w:highlight w:val="black"/>
          <w:lang w:val="es-ES_tradnl"/>
        </w:rPr>
        <w:t>xxxxxxxxxxxxxxxxxxxxxxx</w:t>
      </w:r>
      <w:proofErr w:type="spellEnd"/>
      <w:proofErr w:type="gramEnd"/>
    </w:p>
    <w:p w:rsidR="00B85902" w:rsidRPr="0009481B" w:rsidRDefault="00715926" w:rsidP="00F00C1F">
      <w:pPr>
        <w:autoSpaceDE w:val="0"/>
        <w:autoSpaceDN w:val="0"/>
        <w:adjustRightInd w:val="0"/>
        <w:spacing w:after="0" w:line="240" w:lineRule="auto"/>
        <w:jc w:val="center"/>
        <w:rPr>
          <w:rFonts w:cs="Arial"/>
          <w:lang w:val="es-ES_tradnl"/>
        </w:rPr>
      </w:pPr>
      <w:proofErr w:type="spellStart"/>
      <w:proofErr w:type="gramStart"/>
      <w:r w:rsidRPr="00715926">
        <w:rPr>
          <w:rFonts w:cs="Arial"/>
          <w:highlight w:val="black"/>
          <w:lang w:val="es-ES_tradnl"/>
        </w:rPr>
        <w:t>xxxxxxxxxxxxxxxxxxxxxxxx</w:t>
      </w:r>
      <w:proofErr w:type="spellEnd"/>
      <w:proofErr w:type="gramEnd"/>
    </w:p>
    <w:p w:rsidR="00B85902" w:rsidRPr="0009481B" w:rsidRDefault="00B85902" w:rsidP="00F00C1F">
      <w:pPr>
        <w:autoSpaceDE w:val="0"/>
        <w:autoSpaceDN w:val="0"/>
        <w:adjustRightInd w:val="0"/>
        <w:spacing w:after="0" w:line="240" w:lineRule="auto"/>
        <w:jc w:val="center"/>
        <w:rPr>
          <w:rFonts w:cs="Arial"/>
          <w:sz w:val="16"/>
          <w:szCs w:val="16"/>
          <w:lang w:val="es-ES_tradnl"/>
        </w:rPr>
      </w:pPr>
    </w:p>
    <w:p w:rsidR="00B85902" w:rsidRPr="0009481B" w:rsidRDefault="00D44CFB" w:rsidP="00F00C1F">
      <w:pPr>
        <w:autoSpaceDE w:val="0"/>
        <w:autoSpaceDN w:val="0"/>
        <w:adjustRightInd w:val="0"/>
        <w:spacing w:after="0" w:line="240" w:lineRule="auto"/>
        <w:jc w:val="center"/>
        <w:rPr>
          <w:rFonts w:cs="Arial"/>
          <w:lang w:val="es-ES_tradnl"/>
        </w:rPr>
      </w:pPr>
      <w:r w:rsidRPr="0009481B">
        <w:rPr>
          <w:rFonts w:cs="Arial"/>
          <w:lang w:val="es-ES_tradnl"/>
        </w:rPr>
        <w:t xml:space="preserve">Carlos Alfonso </w:t>
      </w:r>
      <w:proofErr w:type="spellStart"/>
      <w:r w:rsidRPr="0009481B">
        <w:rPr>
          <w:rFonts w:cs="Arial"/>
          <w:lang w:val="es-ES_tradnl"/>
        </w:rPr>
        <w:t>Rosadio</w:t>
      </w:r>
      <w:proofErr w:type="spellEnd"/>
      <w:r w:rsidRPr="0009481B">
        <w:rPr>
          <w:rFonts w:cs="Arial"/>
          <w:lang w:val="es-ES_tradnl"/>
        </w:rPr>
        <w:t xml:space="preserve"> Villavicencio</w:t>
      </w:r>
    </w:p>
    <w:p w:rsidR="00D44CFB" w:rsidRPr="0009481B" w:rsidRDefault="00715926" w:rsidP="00F00C1F">
      <w:pPr>
        <w:autoSpaceDE w:val="0"/>
        <w:autoSpaceDN w:val="0"/>
        <w:adjustRightInd w:val="0"/>
        <w:spacing w:after="0" w:line="240" w:lineRule="auto"/>
        <w:jc w:val="center"/>
        <w:rPr>
          <w:rFonts w:cs="Arial"/>
          <w:lang w:val="es-ES_tradnl"/>
        </w:rPr>
      </w:pPr>
      <w:proofErr w:type="spellStart"/>
      <w:proofErr w:type="gramStart"/>
      <w:r w:rsidRPr="00715926">
        <w:rPr>
          <w:rFonts w:cs="Arial"/>
          <w:highlight w:val="black"/>
          <w:lang w:val="es-ES_tradnl"/>
        </w:rPr>
        <w:t>xxxxxxxxxxxxxxxxxxxxxxxxxxxxxxx</w:t>
      </w:r>
      <w:proofErr w:type="spellEnd"/>
      <w:proofErr w:type="gramEnd"/>
    </w:p>
    <w:p w:rsidR="00B85902" w:rsidRPr="0009481B" w:rsidRDefault="00B85902" w:rsidP="00F00C1F">
      <w:pPr>
        <w:autoSpaceDE w:val="0"/>
        <w:autoSpaceDN w:val="0"/>
        <w:adjustRightInd w:val="0"/>
        <w:spacing w:after="0" w:line="240" w:lineRule="auto"/>
        <w:jc w:val="center"/>
        <w:rPr>
          <w:rFonts w:cs="Arial"/>
          <w:sz w:val="16"/>
          <w:szCs w:val="16"/>
          <w:lang w:val="es-ES_tradnl"/>
        </w:rPr>
      </w:pPr>
    </w:p>
    <w:p w:rsidR="00B85902" w:rsidRPr="0009481B" w:rsidRDefault="00B85902" w:rsidP="00F00C1F">
      <w:pPr>
        <w:autoSpaceDE w:val="0"/>
        <w:autoSpaceDN w:val="0"/>
        <w:adjustRightInd w:val="0"/>
        <w:spacing w:after="0" w:line="240" w:lineRule="auto"/>
        <w:jc w:val="center"/>
        <w:rPr>
          <w:rFonts w:cs="Arial"/>
          <w:lang w:val="es-ES_tradnl"/>
        </w:rPr>
      </w:pPr>
    </w:p>
    <w:p w:rsidR="00F00C1F" w:rsidRPr="0009481B" w:rsidRDefault="00F00C1F" w:rsidP="00F00C1F">
      <w:pPr>
        <w:tabs>
          <w:tab w:val="left" w:pos="0"/>
        </w:tabs>
        <w:spacing w:after="0" w:line="240" w:lineRule="auto"/>
        <w:ind w:firstLine="720"/>
        <w:jc w:val="both"/>
        <w:rPr>
          <w:rFonts w:cs="Arial"/>
          <w:lang w:val="es-CO"/>
        </w:rPr>
      </w:pPr>
      <w:r w:rsidRPr="0009481B">
        <w:rPr>
          <w:rFonts w:cs="Arial"/>
          <w:lang w:val="es-CO"/>
        </w:rPr>
        <w:t>Aprovecho la oportunidad para saludar a usted muy atentamente,</w:t>
      </w:r>
    </w:p>
    <w:p w:rsidR="00F00C1F" w:rsidRPr="0009481B" w:rsidRDefault="00F00C1F" w:rsidP="00F00C1F">
      <w:pPr>
        <w:suppressAutoHyphens/>
        <w:spacing w:after="0" w:line="240" w:lineRule="auto"/>
        <w:rPr>
          <w:rFonts w:cs="Arial"/>
          <w:snapToGrid w:val="0"/>
          <w:lang w:val="es-CO"/>
        </w:rPr>
      </w:pPr>
    </w:p>
    <w:p w:rsidR="00F00C1F" w:rsidRPr="0009481B" w:rsidRDefault="00F00C1F" w:rsidP="00F00C1F">
      <w:pPr>
        <w:suppressAutoHyphens/>
        <w:spacing w:after="0" w:line="240" w:lineRule="auto"/>
        <w:rPr>
          <w:rFonts w:cs="Arial"/>
          <w:snapToGrid w:val="0"/>
          <w:lang w:val="es-CO"/>
        </w:rPr>
      </w:pPr>
    </w:p>
    <w:p w:rsidR="00F00C1F" w:rsidRPr="0009481B" w:rsidRDefault="00F00C1F" w:rsidP="00F00C1F">
      <w:pPr>
        <w:suppressAutoHyphens/>
        <w:spacing w:after="0" w:line="240" w:lineRule="auto"/>
        <w:rPr>
          <w:rFonts w:cs="Arial"/>
          <w:snapToGrid w:val="0"/>
          <w:lang w:val="es-CO"/>
        </w:rPr>
      </w:pPr>
    </w:p>
    <w:p w:rsidR="00F00C1F" w:rsidRPr="0009481B" w:rsidRDefault="00F00C1F" w:rsidP="00F00C1F">
      <w:pPr>
        <w:suppressAutoHyphens/>
        <w:spacing w:after="0" w:line="240" w:lineRule="auto"/>
        <w:rPr>
          <w:rFonts w:cs="Arial"/>
          <w:snapToGrid w:val="0"/>
          <w:lang w:val="es-CO"/>
        </w:rPr>
      </w:pPr>
    </w:p>
    <w:p w:rsidR="00F00C1F" w:rsidRPr="00015F83" w:rsidRDefault="00715926" w:rsidP="00715926">
      <w:pPr>
        <w:suppressAutoHyphens/>
        <w:spacing w:after="0" w:line="240" w:lineRule="auto"/>
        <w:ind w:left="3600" w:firstLine="720"/>
        <w:rPr>
          <w:rFonts w:cs="Arial"/>
          <w:snapToGrid w:val="0"/>
          <w:color w:val="808080"/>
          <w:sz w:val="20"/>
          <w:lang w:val="es-CO"/>
        </w:rPr>
      </w:pPr>
      <w:r w:rsidRPr="00015F83">
        <w:rPr>
          <w:rFonts w:cs="Arial"/>
          <w:snapToGrid w:val="0"/>
          <w:color w:val="808080"/>
          <w:sz w:val="20"/>
          <w:lang w:val="es-CO"/>
        </w:rPr>
        <w:t xml:space="preserve">        Firmado en el original</w:t>
      </w:r>
    </w:p>
    <w:p w:rsidR="00F00C1F" w:rsidRPr="0009481B" w:rsidRDefault="00F00C1F" w:rsidP="00F00C1F">
      <w:pPr>
        <w:suppressAutoHyphens/>
        <w:spacing w:after="0" w:line="240" w:lineRule="auto"/>
        <w:ind w:left="3600" w:firstLine="720"/>
        <w:rPr>
          <w:rFonts w:cs="Arial"/>
          <w:snapToGrid w:val="0"/>
          <w:lang w:val="es-CO"/>
        </w:rPr>
      </w:pPr>
      <w:r w:rsidRPr="0009481B">
        <w:rPr>
          <w:rFonts w:cs="Arial"/>
          <w:snapToGrid w:val="0"/>
          <w:lang w:val="es-CO"/>
        </w:rPr>
        <w:t xml:space="preserve">    Elizabeth Abi-Mershed </w:t>
      </w:r>
    </w:p>
    <w:p w:rsidR="00F00C1F" w:rsidRPr="0009481B" w:rsidRDefault="00F00C1F" w:rsidP="00F00C1F">
      <w:pPr>
        <w:suppressAutoHyphens/>
        <w:spacing w:after="0" w:line="240" w:lineRule="auto"/>
        <w:ind w:left="3600"/>
        <w:rPr>
          <w:lang w:val="es-CO"/>
        </w:rPr>
      </w:pPr>
      <w:r w:rsidRPr="0009481B">
        <w:rPr>
          <w:rFonts w:cs="Arial"/>
          <w:snapToGrid w:val="0"/>
          <w:lang w:val="es-CO"/>
        </w:rPr>
        <w:t xml:space="preserve">              Secretaria Ejecutiva Adjunta </w:t>
      </w:r>
    </w:p>
    <w:p w:rsidR="00F00C1F" w:rsidRPr="0009481B" w:rsidRDefault="00F00C1F" w:rsidP="00F00C1F">
      <w:pPr>
        <w:spacing w:after="0" w:line="240" w:lineRule="auto"/>
        <w:rPr>
          <w:lang w:val="es-CO"/>
        </w:rPr>
      </w:pPr>
    </w:p>
    <w:p w:rsidR="00F00C1F" w:rsidRPr="0009481B" w:rsidRDefault="00F00C1F" w:rsidP="00F00C1F">
      <w:pPr>
        <w:spacing w:after="0" w:line="240" w:lineRule="auto"/>
        <w:rPr>
          <w:lang w:val="es-CO"/>
        </w:rPr>
      </w:pPr>
    </w:p>
    <w:p w:rsidR="000E1C51" w:rsidRPr="00715926" w:rsidRDefault="000E1C51">
      <w:pPr>
        <w:rPr>
          <w:lang w:val="es-UY"/>
        </w:rPr>
      </w:pPr>
    </w:p>
    <w:sectPr w:rsidR="000E1C51" w:rsidRPr="00715926" w:rsidSect="00446DBD">
      <w:headerReference w:type="default" r:id="rId7"/>
      <w:footerReference w:type="default" r:id="rId8"/>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BA1" w:rsidRDefault="004B5BA1">
      <w:pPr>
        <w:spacing w:after="0" w:line="240" w:lineRule="auto"/>
      </w:pPr>
      <w:r>
        <w:separator/>
      </w:r>
    </w:p>
  </w:endnote>
  <w:endnote w:type="continuationSeparator" w:id="0">
    <w:p w:rsidR="004B5BA1" w:rsidRDefault="004B5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DBD" w:rsidRDefault="00446DBD" w:rsidP="00446DBD">
    <w:pPr>
      <w:pStyle w:val="Piedepgina"/>
      <w:spacing w:line="360" w:lineRule="auto"/>
    </w:pPr>
    <w:r>
      <w:pict>
        <v:rect id="_x0000_i1026" style="width:0;height:1.5pt" o:hralign="center" o:hrstd="t" o:hr="t" fillcolor="#a0a0a0" stroked="f"/>
      </w:pict>
    </w:r>
  </w:p>
  <w:p w:rsidR="00446DBD" w:rsidRDefault="00446DBD" w:rsidP="00446DBD">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29" type="#_x0000_t75" style="width:403.2pt;height:24.95pt;visibility:visible">
          <v:imagedata r:id="rId1" o:title="footer-es"/>
        </v:shape>
      </w:pict>
    </w:r>
  </w:p>
  <w:p w:rsidR="00446DBD" w:rsidRDefault="00446DBD" w:rsidP="00446DBD">
    <w:pPr>
      <w:pStyle w:val="Piedepgina"/>
    </w:pPr>
  </w:p>
  <w:p w:rsidR="00446DBD" w:rsidRDefault="00446D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BA1" w:rsidRDefault="004B5BA1">
      <w:pPr>
        <w:spacing w:after="0" w:line="240" w:lineRule="auto"/>
      </w:pPr>
      <w:r>
        <w:separator/>
      </w:r>
    </w:p>
  </w:footnote>
  <w:footnote w:type="continuationSeparator" w:id="0">
    <w:p w:rsidR="004B5BA1" w:rsidRDefault="004B5B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DBD" w:rsidRDefault="00446DBD" w:rsidP="00446DBD">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185.3pt;height:35.5pt;visibility:visible">
          <v:imagedata r:id="rId1" o:title="cidh-es"/>
        </v:shape>
      </w:pict>
    </w:r>
    <w:r>
      <w:tab/>
      <w:t xml:space="preserve">                                                                            </w:t>
    </w:r>
    <w:r w:rsidRPr="008A5CB5">
      <w:rPr>
        <w:noProof/>
      </w:rPr>
      <w:pict>
        <v:shape id="Picture 2" o:spid="_x0000_i1028" type="#_x0000_t75" style="width:129.6pt;height:37.45pt;visibility:visible">
          <v:imagedata r:id="rId2" o:title="oea-es"/>
        </v:shape>
      </w:pict>
    </w:r>
  </w:p>
  <w:p w:rsidR="00446DBD" w:rsidRDefault="00446DBD" w:rsidP="00446DBD">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F60FE"/>
    <w:multiLevelType w:val="hybridMultilevel"/>
    <w:tmpl w:val="65640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C61D90"/>
    <w:multiLevelType w:val="hybridMultilevel"/>
    <w:tmpl w:val="9D80A4A8"/>
    <w:lvl w:ilvl="0" w:tplc="9A0C65BE">
      <w:start w:val="1"/>
      <w:numFmt w:val="decimal"/>
      <w:lvlText w:val="%1."/>
      <w:lvlJc w:val="left"/>
      <w:pPr>
        <w:tabs>
          <w:tab w:val="num" w:pos="1080"/>
        </w:tabs>
        <w:ind w:left="1080" w:hanging="360"/>
      </w:pPr>
      <w:rPr>
        <w:rFonts w:ascii="Cambria" w:hAnsi="Cambria" w:cs="Times New Roman" w:hint="default"/>
        <w:b w:val="0"/>
        <w:i w:val="0"/>
        <w:sz w:val="20"/>
        <w:szCs w:val="20"/>
        <w:lang w:val="es-E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BE5E6A"/>
    <w:multiLevelType w:val="hybridMultilevel"/>
    <w:tmpl w:val="05FA9F38"/>
    <w:lvl w:ilvl="0" w:tplc="D27A5198">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0C1F"/>
    <w:rsid w:val="00015F83"/>
    <w:rsid w:val="00067B3B"/>
    <w:rsid w:val="0009481B"/>
    <w:rsid w:val="000E1C51"/>
    <w:rsid w:val="0013510A"/>
    <w:rsid w:val="00161866"/>
    <w:rsid w:val="00210ECA"/>
    <w:rsid w:val="00317619"/>
    <w:rsid w:val="00345E67"/>
    <w:rsid w:val="00352E44"/>
    <w:rsid w:val="00392D8B"/>
    <w:rsid w:val="003E2E3A"/>
    <w:rsid w:val="003E71D9"/>
    <w:rsid w:val="003F1706"/>
    <w:rsid w:val="00446DBD"/>
    <w:rsid w:val="00491A9A"/>
    <w:rsid w:val="004B5BA1"/>
    <w:rsid w:val="004B7896"/>
    <w:rsid w:val="00670403"/>
    <w:rsid w:val="00686199"/>
    <w:rsid w:val="006C3715"/>
    <w:rsid w:val="00715926"/>
    <w:rsid w:val="0077652D"/>
    <w:rsid w:val="007F23D5"/>
    <w:rsid w:val="00861552"/>
    <w:rsid w:val="008D20C7"/>
    <w:rsid w:val="008F72EB"/>
    <w:rsid w:val="00945416"/>
    <w:rsid w:val="00983C7F"/>
    <w:rsid w:val="009A0F7C"/>
    <w:rsid w:val="009E0566"/>
    <w:rsid w:val="00AE62F6"/>
    <w:rsid w:val="00B239C7"/>
    <w:rsid w:val="00B85902"/>
    <w:rsid w:val="00BB5A5E"/>
    <w:rsid w:val="00BC3E12"/>
    <w:rsid w:val="00C72573"/>
    <w:rsid w:val="00CC1A2F"/>
    <w:rsid w:val="00D4271A"/>
    <w:rsid w:val="00D44CFB"/>
    <w:rsid w:val="00D46312"/>
    <w:rsid w:val="00D80B5C"/>
    <w:rsid w:val="00DC0922"/>
    <w:rsid w:val="00DF016C"/>
    <w:rsid w:val="00E04B71"/>
    <w:rsid w:val="00E21A3A"/>
    <w:rsid w:val="00E770B8"/>
    <w:rsid w:val="00E97A0E"/>
    <w:rsid w:val="00EB5418"/>
    <w:rsid w:val="00ED43DF"/>
    <w:rsid w:val="00EE0672"/>
    <w:rsid w:val="00EF31E9"/>
    <w:rsid w:val="00F00C1F"/>
    <w:rsid w:val="00F1278D"/>
    <w:rsid w:val="00F56EF5"/>
    <w:rsid w:val="00F637FC"/>
    <w:rsid w:val="00FB7D4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0C1F"/>
    <w:pPr>
      <w:tabs>
        <w:tab w:val="center" w:pos="4680"/>
        <w:tab w:val="right" w:pos="9360"/>
      </w:tabs>
      <w:spacing w:after="0" w:line="240" w:lineRule="auto"/>
    </w:pPr>
    <w:rPr>
      <w:rFonts w:eastAsia="Batang"/>
    </w:rPr>
  </w:style>
  <w:style w:type="character" w:customStyle="1" w:styleId="EncabezadoCar">
    <w:name w:val="Encabezado Car"/>
    <w:link w:val="Encabezado"/>
    <w:uiPriority w:val="99"/>
    <w:rsid w:val="00F00C1F"/>
    <w:rPr>
      <w:rFonts w:eastAsia="Batang"/>
      <w:sz w:val="22"/>
      <w:szCs w:val="22"/>
    </w:rPr>
  </w:style>
  <w:style w:type="paragraph" w:styleId="Piedepgina">
    <w:name w:val="footer"/>
    <w:basedOn w:val="Normal"/>
    <w:link w:val="PiedepginaCar"/>
    <w:rsid w:val="00F00C1F"/>
    <w:pPr>
      <w:tabs>
        <w:tab w:val="center" w:pos="4320"/>
        <w:tab w:val="right" w:pos="8640"/>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rsid w:val="00F00C1F"/>
    <w:rPr>
      <w:rFonts w:ascii="Times New Roman" w:eastAsia="Times New Roman" w:hAnsi="Times New Roman"/>
      <w:sz w:val="24"/>
      <w:szCs w:val="24"/>
      <w:lang w:val="es-ES" w:eastAsia="es-ES"/>
    </w:rPr>
  </w:style>
  <w:style w:type="paragraph" w:styleId="Sangradetextonormal">
    <w:name w:val="Body Text Indent"/>
    <w:link w:val="SangradetextonormalCar"/>
    <w:rsid w:val="00F00C1F"/>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F00C1F"/>
    <w:rPr>
      <w:rFonts w:ascii="Times New Roman" w:eastAsia="Times New Roman" w:hAnsi="Times New Roman"/>
      <w:color w:val="000000"/>
      <w:sz w:val="24"/>
      <w:szCs w:val="24"/>
      <w:u w:color="000000"/>
      <w:bdr w:val="nil"/>
      <w:lang w:val="es-ES_tradnl" w:eastAsia="es-ES"/>
    </w:rPr>
  </w:style>
  <w:style w:type="character" w:styleId="Hipervnculo">
    <w:name w:val="Hyperlink"/>
    <w:uiPriority w:val="99"/>
    <w:unhideWhenUsed/>
    <w:rsid w:val="00F00C1F"/>
    <w:rPr>
      <w:color w:val="0000FF"/>
      <w:u w:val="single"/>
    </w:rPr>
  </w:style>
  <w:style w:type="paragraph" w:styleId="Textodeglobo">
    <w:name w:val="Balloon Text"/>
    <w:basedOn w:val="Normal"/>
    <w:link w:val="TextodegloboCar"/>
    <w:uiPriority w:val="99"/>
    <w:semiHidden/>
    <w:unhideWhenUsed/>
    <w:rsid w:val="0016186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618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1559</Words>
  <Characters>8580</Characters>
  <Application>Microsoft Office Word</Application>
  <DocSecurity>0</DocSecurity>
  <Lines>71</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10119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2018-04-16T16:34:00Z</cp:lastPrinted>
  <dcterms:created xsi:type="dcterms:W3CDTF">2018-04-16T16:34:00Z</dcterms:created>
  <dcterms:modified xsi:type="dcterms:W3CDTF">2018-04-16T16:34:00Z</dcterms:modified>
</cp:coreProperties>
</file>