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bookmarkStart w:id="0" w:name="_GoBack"/>
      <w:bookmarkEnd w:id="0"/>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r w:rsidRPr="00BE133F">
        <w:rPr>
          <w:rFonts w:ascii="Verdana" w:eastAsia="Times New Roman" w:hAnsi="Verdana" w:cs="Verdana"/>
          <w:b/>
          <w:bCs/>
          <w:caps/>
          <w:snapToGrid w:val="0"/>
          <w:sz w:val="20"/>
          <w:szCs w:val="20"/>
          <w:lang w:eastAsia="es-ES"/>
        </w:rPr>
        <w:t>Corte Interamericana de Derechos Humanos</w:t>
      </w:r>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rsidR="00577097" w:rsidRPr="00BE133F" w:rsidRDefault="00577097" w:rsidP="00577097">
      <w:pPr>
        <w:spacing w:after="0" w:line="240" w:lineRule="auto"/>
        <w:jc w:val="center"/>
        <w:rPr>
          <w:rFonts w:ascii="Verdana" w:hAnsi="Verdana"/>
          <w:b/>
          <w:smallCaps/>
          <w:sz w:val="20"/>
          <w:szCs w:val="20"/>
        </w:rPr>
      </w:pPr>
      <w:r w:rsidRPr="00BE133F">
        <w:rPr>
          <w:rFonts w:ascii="Verdana" w:eastAsia="MS Mincho" w:hAnsi="Verdana"/>
          <w:b/>
          <w:sz w:val="20"/>
          <w:szCs w:val="20"/>
        </w:rPr>
        <w:t xml:space="preserve">CASO </w:t>
      </w:r>
      <w:r w:rsidR="00031F46">
        <w:rPr>
          <w:rFonts w:ascii="Verdana" w:eastAsia="MS Mincho" w:hAnsi="Verdana"/>
          <w:b/>
          <w:sz w:val="20"/>
          <w:szCs w:val="20"/>
        </w:rPr>
        <w:t>TRABAJADORES CESADOS DE PETROPERÚ Y OTROS</w:t>
      </w:r>
      <w:r w:rsidRPr="00BE133F">
        <w:rPr>
          <w:rFonts w:ascii="Verdana" w:eastAsia="MS Mincho" w:hAnsi="Verdana"/>
          <w:b/>
          <w:sz w:val="20"/>
          <w:szCs w:val="20"/>
        </w:rPr>
        <w:t xml:space="preserve"> </w:t>
      </w:r>
      <w:r w:rsidRPr="00BE133F">
        <w:rPr>
          <w:rFonts w:ascii="Verdana" w:eastAsia="MS Mincho" w:hAnsi="Verdana"/>
          <w:b/>
          <w:i/>
          <w:sz w:val="20"/>
          <w:szCs w:val="20"/>
        </w:rPr>
        <w:t>VS.</w:t>
      </w:r>
      <w:r w:rsidRPr="00BE133F">
        <w:rPr>
          <w:rFonts w:ascii="Verdana" w:eastAsia="MS Mincho" w:hAnsi="Verdana"/>
          <w:b/>
          <w:sz w:val="20"/>
          <w:szCs w:val="20"/>
        </w:rPr>
        <w:t xml:space="preserve"> PERÚ</w:t>
      </w:r>
    </w:p>
    <w:p w:rsidR="00577097" w:rsidRPr="00BE133F" w:rsidRDefault="00577097" w:rsidP="00577097">
      <w:pPr>
        <w:tabs>
          <w:tab w:val="left" w:pos="0"/>
          <w:tab w:val="left" w:pos="567"/>
        </w:tabs>
        <w:spacing w:after="0" w:line="240" w:lineRule="auto"/>
        <w:jc w:val="center"/>
        <w:rPr>
          <w:rFonts w:ascii="Verdana" w:eastAsia="Times New Roman" w:hAnsi="Verdana" w:cs="Verdana"/>
          <w:b/>
          <w:bCs/>
          <w:snapToGrid w:val="0"/>
          <w:sz w:val="20"/>
          <w:szCs w:val="20"/>
          <w:lang w:eastAsia="es-ES"/>
        </w:rPr>
      </w:pPr>
    </w:p>
    <w:p w:rsidR="00577097" w:rsidRPr="00BE133F" w:rsidRDefault="0037162C" w:rsidP="00577097">
      <w:pPr>
        <w:tabs>
          <w:tab w:val="left" w:pos="0"/>
          <w:tab w:val="left" w:pos="567"/>
        </w:tabs>
        <w:spacing w:after="0" w:line="240" w:lineRule="auto"/>
        <w:jc w:val="center"/>
        <w:rPr>
          <w:rFonts w:ascii="Verdana" w:eastAsia="Times New Roman" w:hAnsi="Verdana"/>
          <w:b/>
          <w:bCs/>
          <w:caps/>
          <w:snapToGrid w:val="0"/>
          <w:sz w:val="20"/>
          <w:szCs w:val="20"/>
          <w:lang w:eastAsia="es-ES"/>
        </w:rPr>
      </w:pPr>
      <w:r>
        <w:rPr>
          <w:rFonts w:ascii="Verdana" w:eastAsia="Times New Roman" w:hAnsi="Verdana" w:cs="Verdana"/>
          <w:b/>
          <w:bCs/>
          <w:snapToGrid w:val="0"/>
          <w:sz w:val="20"/>
          <w:szCs w:val="20"/>
          <w:lang w:eastAsia="es-ES"/>
        </w:rPr>
        <w:t xml:space="preserve">SENTENCIA DE </w:t>
      </w:r>
      <w:r w:rsidR="004D022F">
        <w:rPr>
          <w:rFonts w:ascii="Verdana" w:eastAsia="Times New Roman" w:hAnsi="Verdana" w:cs="Verdana"/>
          <w:b/>
          <w:bCs/>
          <w:snapToGrid w:val="0"/>
          <w:sz w:val="20"/>
          <w:szCs w:val="20"/>
          <w:lang w:eastAsia="es-ES"/>
        </w:rPr>
        <w:t>22</w:t>
      </w:r>
      <w:r w:rsidR="00577097" w:rsidRPr="00BE133F">
        <w:rPr>
          <w:rFonts w:ascii="Verdana" w:eastAsia="Times New Roman" w:hAnsi="Verdana" w:cs="Verdana"/>
          <w:b/>
          <w:bCs/>
          <w:snapToGrid w:val="0"/>
          <w:sz w:val="20"/>
          <w:szCs w:val="20"/>
          <w:lang w:eastAsia="es-ES"/>
        </w:rPr>
        <w:t xml:space="preserve"> DE </w:t>
      </w:r>
      <w:r w:rsidR="004D022F">
        <w:rPr>
          <w:rFonts w:ascii="Verdana" w:eastAsia="Times New Roman" w:hAnsi="Verdana" w:cs="Verdana"/>
          <w:b/>
          <w:bCs/>
          <w:snapToGrid w:val="0"/>
          <w:sz w:val="20"/>
          <w:szCs w:val="20"/>
          <w:lang w:eastAsia="es-ES"/>
        </w:rPr>
        <w:t>AGOSTO</w:t>
      </w:r>
      <w:r w:rsidR="00577097" w:rsidRPr="00BE133F">
        <w:rPr>
          <w:rFonts w:ascii="Verdana" w:eastAsia="Times New Roman" w:hAnsi="Verdana" w:cs="Verdana"/>
          <w:b/>
          <w:bCs/>
          <w:snapToGrid w:val="0"/>
          <w:sz w:val="20"/>
          <w:szCs w:val="20"/>
          <w:lang w:eastAsia="es-ES"/>
        </w:rPr>
        <w:t xml:space="preserve"> DE </w:t>
      </w:r>
      <w:r w:rsidR="00031F46">
        <w:rPr>
          <w:rFonts w:ascii="Verdana" w:eastAsia="Times New Roman" w:hAnsi="Verdana" w:cs="Verdana"/>
          <w:b/>
          <w:bCs/>
          <w:snapToGrid w:val="0"/>
          <w:sz w:val="20"/>
          <w:szCs w:val="20"/>
          <w:lang w:eastAsia="es-ES"/>
        </w:rPr>
        <w:t>2018</w:t>
      </w:r>
    </w:p>
    <w:p w:rsidR="00577097" w:rsidRPr="00BE133F" w:rsidRDefault="00577097" w:rsidP="00577097">
      <w:pPr>
        <w:tabs>
          <w:tab w:val="left" w:pos="567"/>
        </w:tabs>
        <w:spacing w:after="0" w:line="240" w:lineRule="auto"/>
        <w:jc w:val="center"/>
        <w:rPr>
          <w:rFonts w:ascii="Verdana" w:eastAsia="Times New Roman" w:hAnsi="Verdana"/>
          <w:sz w:val="20"/>
          <w:szCs w:val="20"/>
        </w:rPr>
      </w:pPr>
      <w:r w:rsidRPr="00BE133F">
        <w:rPr>
          <w:rFonts w:ascii="Verdana" w:eastAsia="Times New Roman" w:hAnsi="Verdana" w:cs="Verdana"/>
          <w:b/>
          <w:bCs/>
          <w:i/>
          <w:iCs/>
          <w:snapToGrid w:val="0"/>
          <w:sz w:val="20"/>
          <w:szCs w:val="20"/>
          <w:lang w:eastAsia="es-ES"/>
        </w:rPr>
        <w:t xml:space="preserve">(Interpretación de la Sentencia de </w:t>
      </w:r>
      <w:r w:rsidRPr="00BE133F">
        <w:rPr>
          <w:rFonts w:ascii="Verdana" w:hAnsi="Verdana"/>
          <w:b/>
          <w:i/>
          <w:sz w:val="20"/>
          <w:szCs w:val="20"/>
        </w:rPr>
        <w:t>Excepciones Preliminares, Fondo, Reparaciones y Costas</w:t>
      </w:r>
      <w:r w:rsidRPr="00BE133F">
        <w:rPr>
          <w:rFonts w:ascii="Verdana" w:hAnsi="Verdana"/>
          <w:b/>
          <w:i/>
          <w:caps/>
          <w:snapToGrid w:val="0"/>
          <w:sz w:val="20"/>
          <w:szCs w:val="20"/>
        </w:rPr>
        <w:t>)</w:t>
      </w:r>
    </w:p>
    <w:p w:rsidR="00577097" w:rsidRPr="00BE133F" w:rsidRDefault="00577097" w:rsidP="00577097">
      <w:pPr>
        <w:tabs>
          <w:tab w:val="left" w:pos="567"/>
          <w:tab w:val="left" w:pos="720"/>
        </w:tabs>
        <w:spacing w:after="0" w:line="240" w:lineRule="auto"/>
        <w:jc w:val="both"/>
        <w:rPr>
          <w:rFonts w:ascii="Verdana" w:eastAsia="Times New Roman" w:hAnsi="Verdana"/>
          <w:sz w:val="20"/>
          <w:szCs w:val="20"/>
        </w:rPr>
      </w:pPr>
    </w:p>
    <w:p w:rsidR="00577097" w:rsidRPr="00BE133F" w:rsidRDefault="00577097" w:rsidP="00577097">
      <w:pPr>
        <w:spacing w:after="0" w:line="240" w:lineRule="auto"/>
        <w:rPr>
          <w:rFonts w:ascii="Verdana" w:hAnsi="Verdana"/>
          <w:sz w:val="20"/>
          <w:szCs w:val="20"/>
          <w:highlight w:val="yellow"/>
        </w:rPr>
      </w:pPr>
    </w:p>
    <w:p w:rsidR="00577097" w:rsidRPr="00BE133F" w:rsidRDefault="00577097" w:rsidP="00577097">
      <w:pPr>
        <w:spacing w:after="0" w:line="240" w:lineRule="auto"/>
        <w:rPr>
          <w:rFonts w:ascii="Verdana" w:hAnsi="Verdana"/>
          <w:sz w:val="20"/>
          <w:szCs w:val="20"/>
          <w:highlight w:val="yellow"/>
        </w:rPr>
      </w:pPr>
    </w:p>
    <w:p w:rsidR="00577097" w:rsidRPr="00BE133F" w:rsidRDefault="00577097" w:rsidP="00577097">
      <w:pPr>
        <w:spacing w:after="0" w:line="240" w:lineRule="auto"/>
        <w:rPr>
          <w:rFonts w:ascii="Verdana" w:hAnsi="Verdana"/>
          <w:sz w:val="20"/>
          <w:szCs w:val="20"/>
        </w:rPr>
      </w:pPr>
      <w:r w:rsidRPr="00BE133F">
        <w:rPr>
          <w:rFonts w:ascii="Verdana" w:hAnsi="Verdana"/>
          <w:sz w:val="20"/>
          <w:szCs w:val="20"/>
        </w:rPr>
        <w:t xml:space="preserve">En el caso </w:t>
      </w:r>
      <w:r w:rsidR="00F5793B">
        <w:rPr>
          <w:rFonts w:ascii="Verdana" w:hAnsi="Verdana"/>
          <w:sz w:val="20"/>
          <w:szCs w:val="20"/>
        </w:rPr>
        <w:t>Trabajadores C</w:t>
      </w:r>
      <w:r w:rsidR="00031F46">
        <w:rPr>
          <w:rFonts w:ascii="Verdana" w:hAnsi="Verdana"/>
          <w:sz w:val="20"/>
          <w:szCs w:val="20"/>
        </w:rPr>
        <w:t>esados de Petroperú y otros</w:t>
      </w:r>
      <w:r w:rsidR="007D0F6B" w:rsidRPr="00BE133F">
        <w:rPr>
          <w:rFonts w:ascii="Verdana" w:hAnsi="Verdana"/>
          <w:sz w:val="20"/>
          <w:szCs w:val="20"/>
        </w:rPr>
        <w:t xml:space="preserve"> Vs Perú</w:t>
      </w:r>
      <w:r w:rsidRPr="00BE133F">
        <w:rPr>
          <w:rFonts w:ascii="Verdana" w:hAnsi="Verdana"/>
          <w:sz w:val="20"/>
          <w:szCs w:val="20"/>
        </w:rPr>
        <w:t>,</w:t>
      </w:r>
      <w:r w:rsidRPr="00BE133F">
        <w:rPr>
          <w:rFonts w:ascii="Verdana" w:hAnsi="Verdana"/>
          <w:sz w:val="20"/>
          <w:szCs w:val="20"/>
        </w:rPr>
        <w:tab/>
      </w:r>
    </w:p>
    <w:p w:rsidR="00577097" w:rsidRPr="00BE133F" w:rsidRDefault="00577097" w:rsidP="00577097">
      <w:pPr>
        <w:tabs>
          <w:tab w:val="left" w:pos="851"/>
        </w:tabs>
        <w:spacing w:after="0" w:line="240" w:lineRule="auto"/>
        <w:rPr>
          <w:rFonts w:ascii="Verdana" w:hAnsi="Verdana"/>
          <w:sz w:val="20"/>
          <w:szCs w:val="20"/>
        </w:rPr>
      </w:pPr>
    </w:p>
    <w:p w:rsidR="00577097" w:rsidRPr="00BE133F" w:rsidRDefault="00577097" w:rsidP="00577097">
      <w:pPr>
        <w:tabs>
          <w:tab w:val="left" w:pos="851"/>
        </w:tabs>
        <w:spacing w:after="0" w:line="240" w:lineRule="auto"/>
        <w:rPr>
          <w:rFonts w:ascii="Verdana" w:hAnsi="Verdana"/>
          <w:sz w:val="20"/>
          <w:szCs w:val="20"/>
        </w:rPr>
      </w:pPr>
      <w:r w:rsidRPr="00BE133F">
        <w:rPr>
          <w:rFonts w:ascii="Verdana" w:hAnsi="Verdana"/>
          <w:sz w:val="20"/>
          <w:szCs w:val="20"/>
        </w:rPr>
        <w:t>la Corte Interamericana de Derechos Humanos (en adelante “la Corte Interamericana”, “la Corte” o “el Tribunal”), integrada por los siguientes jueces</w:t>
      </w:r>
      <w:r w:rsidR="007D0F6B" w:rsidRPr="00BE133F">
        <w:rPr>
          <w:rStyle w:val="Refdenotaalpie"/>
          <w:rFonts w:ascii="Verdana" w:hAnsi="Verdana"/>
          <w:sz w:val="20"/>
          <w:szCs w:val="20"/>
        </w:rPr>
        <w:footnoteReference w:customMarkFollows="1" w:id="1"/>
        <w:t>*</w:t>
      </w:r>
      <w:r w:rsidRPr="00BE133F">
        <w:rPr>
          <w:rFonts w:ascii="Verdana" w:hAnsi="Verdana"/>
          <w:sz w:val="20"/>
          <w:szCs w:val="20"/>
        </w:rPr>
        <w:t>:</w:t>
      </w:r>
    </w:p>
    <w:p w:rsidR="00577097" w:rsidRPr="00BE133F" w:rsidRDefault="00577097" w:rsidP="00577097">
      <w:pPr>
        <w:tabs>
          <w:tab w:val="left" w:pos="851"/>
        </w:tabs>
        <w:spacing w:after="0" w:line="240" w:lineRule="auto"/>
        <w:rPr>
          <w:rFonts w:ascii="Verdana" w:hAnsi="Verdana"/>
          <w:sz w:val="20"/>
          <w:szCs w:val="20"/>
        </w:rPr>
      </w:pPr>
    </w:p>
    <w:p w:rsidR="00577097" w:rsidRPr="0089460F" w:rsidRDefault="00B00DFC" w:rsidP="00577097">
      <w:pPr>
        <w:spacing w:after="0" w:line="240" w:lineRule="auto"/>
        <w:ind w:firstLine="720"/>
        <w:jc w:val="both"/>
        <w:rPr>
          <w:rFonts w:ascii="Verdana" w:hAnsi="Verdana" w:cs="Verdana"/>
          <w:sz w:val="20"/>
          <w:szCs w:val="20"/>
          <w:lang w:val="pt-BR"/>
        </w:rPr>
      </w:pPr>
      <w:r w:rsidRPr="00B00DFC">
        <w:rPr>
          <w:rFonts w:ascii="Verdana" w:hAnsi="Verdana" w:cs="Verdana"/>
          <w:sz w:val="20"/>
          <w:szCs w:val="20"/>
          <w:lang w:val="pt-BR"/>
        </w:rPr>
        <w:t>Eduardo Ferrer Mac-Gregor Poisot</w:t>
      </w:r>
      <w:r w:rsidR="00577097" w:rsidRPr="0089460F">
        <w:rPr>
          <w:rFonts w:ascii="Verdana" w:hAnsi="Verdana" w:cs="Verdana"/>
          <w:sz w:val="20"/>
          <w:szCs w:val="20"/>
          <w:lang w:val="pt-BR"/>
        </w:rPr>
        <w:t xml:space="preserve">, </w:t>
      </w:r>
      <w:r w:rsidR="00031F46">
        <w:rPr>
          <w:rFonts w:ascii="Verdana" w:hAnsi="Verdana" w:cs="Verdana"/>
          <w:sz w:val="20"/>
          <w:szCs w:val="20"/>
          <w:lang w:val="pt-BR"/>
        </w:rPr>
        <w:t>Presidente</w:t>
      </w:r>
      <w:r w:rsidR="00577097" w:rsidRPr="0089460F">
        <w:rPr>
          <w:rFonts w:ascii="Verdana" w:hAnsi="Verdana" w:cs="Verdana"/>
          <w:sz w:val="20"/>
          <w:szCs w:val="20"/>
          <w:lang w:val="pt-BR"/>
        </w:rPr>
        <w:t>;</w:t>
      </w:r>
    </w:p>
    <w:p w:rsidR="00B00DFC" w:rsidRDefault="00B00DFC" w:rsidP="00B00DFC">
      <w:pPr>
        <w:spacing w:after="0" w:line="240" w:lineRule="auto"/>
        <w:ind w:firstLine="720"/>
        <w:jc w:val="both"/>
        <w:rPr>
          <w:rFonts w:ascii="Verdana" w:hAnsi="Verdana" w:cs="Verdana"/>
          <w:sz w:val="20"/>
          <w:szCs w:val="20"/>
          <w:lang w:val="es-ES"/>
        </w:rPr>
      </w:pPr>
      <w:r w:rsidRPr="00B00DFC">
        <w:rPr>
          <w:rFonts w:ascii="Verdana" w:hAnsi="Verdana" w:cs="Verdana"/>
          <w:sz w:val="20"/>
          <w:szCs w:val="20"/>
          <w:lang w:val="es-AR"/>
        </w:rPr>
        <w:t>Humberto Antonio Sierra Porto</w:t>
      </w:r>
      <w:r w:rsidR="00577097" w:rsidRPr="0089460F">
        <w:rPr>
          <w:rFonts w:ascii="Verdana" w:hAnsi="Verdana" w:cs="Verdana"/>
          <w:sz w:val="20"/>
          <w:szCs w:val="20"/>
          <w:lang w:val="es-ES"/>
        </w:rPr>
        <w:t>, Juez</w:t>
      </w:r>
      <w:r w:rsidR="00031F46">
        <w:rPr>
          <w:rFonts w:ascii="Verdana" w:hAnsi="Verdana" w:cs="Verdana"/>
          <w:sz w:val="20"/>
          <w:szCs w:val="20"/>
          <w:lang w:val="es-ES"/>
        </w:rPr>
        <w:t>;</w:t>
      </w:r>
    </w:p>
    <w:p w:rsidR="00031F46" w:rsidRDefault="00031F46" w:rsidP="00B00DFC">
      <w:pPr>
        <w:spacing w:after="0" w:line="240" w:lineRule="auto"/>
        <w:ind w:firstLine="720"/>
        <w:jc w:val="both"/>
        <w:rPr>
          <w:rFonts w:ascii="Verdana" w:hAnsi="Verdana" w:cs="Verdana"/>
          <w:sz w:val="20"/>
          <w:szCs w:val="20"/>
          <w:lang w:val="es-ES"/>
        </w:rPr>
      </w:pPr>
      <w:r>
        <w:rPr>
          <w:rFonts w:ascii="Verdana" w:hAnsi="Verdana" w:cs="Verdana"/>
          <w:sz w:val="20"/>
          <w:szCs w:val="20"/>
          <w:lang w:val="es-ES"/>
        </w:rPr>
        <w:t>Elizabeth Odio Benito, Jueza;</w:t>
      </w:r>
    </w:p>
    <w:p w:rsidR="00031F46" w:rsidRDefault="00031F46" w:rsidP="00031F46">
      <w:pPr>
        <w:spacing w:after="0" w:line="240" w:lineRule="auto"/>
        <w:ind w:firstLine="720"/>
        <w:jc w:val="both"/>
        <w:rPr>
          <w:rFonts w:ascii="Verdana" w:hAnsi="Verdana" w:cs="Verdana"/>
          <w:sz w:val="20"/>
          <w:szCs w:val="20"/>
          <w:lang w:val="es-ES"/>
        </w:rPr>
      </w:pPr>
      <w:r>
        <w:rPr>
          <w:rFonts w:ascii="Verdana" w:hAnsi="Verdana" w:cs="Verdana"/>
          <w:sz w:val="20"/>
          <w:szCs w:val="20"/>
          <w:lang w:val="es-ES"/>
        </w:rPr>
        <w:t>Eugenio Raúl Zaffaroni, Juez;</w:t>
      </w:r>
    </w:p>
    <w:p w:rsidR="00031F46" w:rsidRDefault="00031F46" w:rsidP="00031F46">
      <w:pPr>
        <w:spacing w:after="0" w:line="240" w:lineRule="auto"/>
        <w:ind w:firstLine="720"/>
        <w:jc w:val="both"/>
        <w:rPr>
          <w:rFonts w:ascii="Verdana" w:hAnsi="Verdana" w:cs="Verdana"/>
          <w:sz w:val="20"/>
          <w:szCs w:val="20"/>
          <w:lang w:val="es-ES"/>
        </w:rPr>
      </w:pPr>
      <w:r>
        <w:rPr>
          <w:rFonts w:ascii="Verdana" w:hAnsi="Verdana" w:cs="Verdana"/>
          <w:sz w:val="20"/>
          <w:szCs w:val="20"/>
          <w:lang w:val="es-ES"/>
        </w:rPr>
        <w:t>L. Patricio Pazmiño Freire, Juez;</w:t>
      </w:r>
    </w:p>
    <w:p w:rsidR="00031F46" w:rsidRPr="0089460F" w:rsidRDefault="00031F46" w:rsidP="00B00DFC">
      <w:pPr>
        <w:spacing w:after="0" w:line="240" w:lineRule="auto"/>
        <w:ind w:firstLine="720"/>
        <w:jc w:val="both"/>
        <w:rPr>
          <w:rFonts w:ascii="Verdana" w:hAnsi="Verdana" w:cs="Verdana"/>
          <w:sz w:val="20"/>
          <w:szCs w:val="20"/>
          <w:lang w:val="es-ES"/>
        </w:rPr>
      </w:pPr>
    </w:p>
    <w:p w:rsidR="00577097" w:rsidRPr="00E571D7" w:rsidRDefault="00577097" w:rsidP="00577097">
      <w:pPr>
        <w:tabs>
          <w:tab w:val="left" w:pos="851"/>
        </w:tabs>
        <w:spacing w:after="0" w:line="240" w:lineRule="auto"/>
        <w:rPr>
          <w:rFonts w:ascii="Verdana" w:hAnsi="Verdana"/>
          <w:sz w:val="20"/>
          <w:szCs w:val="20"/>
          <w:lang w:val="es-ES"/>
        </w:rPr>
      </w:pPr>
    </w:p>
    <w:p w:rsidR="00577097" w:rsidRPr="00BE133F" w:rsidRDefault="00F5793B" w:rsidP="00577097">
      <w:pPr>
        <w:tabs>
          <w:tab w:val="left" w:pos="851"/>
        </w:tabs>
        <w:spacing w:after="0" w:line="240" w:lineRule="auto"/>
        <w:rPr>
          <w:rFonts w:ascii="Verdana" w:hAnsi="Verdana"/>
          <w:sz w:val="20"/>
          <w:szCs w:val="20"/>
        </w:rPr>
      </w:pPr>
      <w:r w:rsidRPr="00BE133F">
        <w:rPr>
          <w:rFonts w:ascii="Verdana" w:hAnsi="Verdana"/>
          <w:sz w:val="20"/>
          <w:szCs w:val="20"/>
        </w:rPr>
        <w:t>P</w:t>
      </w:r>
      <w:r w:rsidR="00577097" w:rsidRPr="00BE133F">
        <w:rPr>
          <w:rFonts w:ascii="Verdana" w:hAnsi="Verdana"/>
          <w:sz w:val="20"/>
          <w:szCs w:val="20"/>
        </w:rPr>
        <w:t>resentes</w:t>
      </w:r>
      <w:r>
        <w:rPr>
          <w:rFonts w:ascii="Verdana" w:hAnsi="Verdana"/>
          <w:sz w:val="20"/>
          <w:szCs w:val="20"/>
        </w:rPr>
        <w:t>,</w:t>
      </w:r>
      <w:r w:rsidR="00577097" w:rsidRPr="00BE133F">
        <w:rPr>
          <w:rFonts w:ascii="Verdana" w:hAnsi="Verdana"/>
          <w:sz w:val="20"/>
          <w:szCs w:val="20"/>
        </w:rPr>
        <w:t xml:space="preserve"> además, </w:t>
      </w:r>
    </w:p>
    <w:p w:rsidR="00577097" w:rsidRPr="00BE133F" w:rsidRDefault="00577097" w:rsidP="00577097">
      <w:pPr>
        <w:tabs>
          <w:tab w:val="left" w:pos="851"/>
        </w:tabs>
        <w:spacing w:after="0" w:line="240" w:lineRule="auto"/>
        <w:rPr>
          <w:rFonts w:ascii="Verdana" w:hAnsi="Verdana"/>
          <w:sz w:val="20"/>
          <w:szCs w:val="20"/>
        </w:rPr>
      </w:pPr>
    </w:p>
    <w:p w:rsidR="00577097" w:rsidRPr="00BE133F" w:rsidRDefault="00577097" w:rsidP="00577097">
      <w:pPr>
        <w:spacing w:after="0" w:line="240" w:lineRule="auto"/>
        <w:rPr>
          <w:rFonts w:ascii="Verdana" w:hAnsi="Verdana"/>
          <w:sz w:val="20"/>
          <w:szCs w:val="20"/>
        </w:rPr>
      </w:pPr>
      <w:r w:rsidRPr="00BE133F">
        <w:rPr>
          <w:rFonts w:ascii="Verdana" w:hAnsi="Verdana"/>
          <w:sz w:val="20"/>
          <w:szCs w:val="20"/>
        </w:rPr>
        <w:t>Pablo Saavedra Alessandri, Secretario, y</w:t>
      </w:r>
    </w:p>
    <w:p w:rsidR="00577097" w:rsidRPr="00BE133F" w:rsidRDefault="00577097" w:rsidP="00577097">
      <w:pPr>
        <w:tabs>
          <w:tab w:val="left" w:pos="720"/>
          <w:tab w:val="left" w:pos="851"/>
        </w:tabs>
        <w:spacing w:after="0" w:line="240" w:lineRule="auto"/>
        <w:rPr>
          <w:rFonts w:ascii="Verdana" w:hAnsi="Verdana"/>
          <w:sz w:val="20"/>
          <w:szCs w:val="20"/>
        </w:rPr>
      </w:pPr>
      <w:r w:rsidRPr="00BE133F">
        <w:rPr>
          <w:rFonts w:ascii="Verdana" w:hAnsi="Verdana"/>
          <w:sz w:val="20"/>
          <w:szCs w:val="20"/>
        </w:rPr>
        <w:t>Emilia Segares Rodríguez, Secretaria Adjunta,</w:t>
      </w:r>
    </w:p>
    <w:p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rPr>
      </w:pPr>
      <w:r w:rsidRPr="00BE133F">
        <w:rPr>
          <w:rFonts w:ascii="Verdana" w:hAnsi="Verdana" w:cs="Verdana"/>
          <w:sz w:val="20"/>
          <w:szCs w:val="20"/>
        </w:rPr>
        <w:t>de conformidad con el artículo 67 de la Convención Americana sobre Derechos Humanos (en adelante también “la Convención Americana” o “la Convención”) y el artículo 68 del Reglamento de la Corte (en adelante “el Reglamento”), resuelve las solicitudes de interpretación de la Sentencia de E</w:t>
      </w:r>
      <w:r w:rsidR="0040422A" w:rsidRPr="00BE133F">
        <w:rPr>
          <w:rFonts w:ascii="Verdana" w:hAnsi="Verdana" w:cs="Verdana"/>
          <w:sz w:val="20"/>
          <w:szCs w:val="20"/>
        </w:rPr>
        <w:t>xcepcio</w:t>
      </w:r>
      <w:r w:rsidRPr="00BE133F">
        <w:rPr>
          <w:rFonts w:ascii="Verdana" w:hAnsi="Verdana" w:cs="Verdana"/>
          <w:sz w:val="20"/>
          <w:szCs w:val="20"/>
        </w:rPr>
        <w:t>n</w:t>
      </w:r>
      <w:r w:rsidR="0040422A" w:rsidRPr="00BE133F">
        <w:rPr>
          <w:rFonts w:ascii="Verdana" w:hAnsi="Verdana" w:cs="Verdana"/>
          <w:sz w:val="20"/>
          <w:szCs w:val="20"/>
        </w:rPr>
        <w:t>es</w:t>
      </w:r>
      <w:r w:rsidRPr="00BE133F">
        <w:rPr>
          <w:rFonts w:ascii="Verdana" w:hAnsi="Verdana" w:cs="Verdana"/>
          <w:sz w:val="20"/>
          <w:szCs w:val="20"/>
        </w:rPr>
        <w:t xml:space="preserve"> Preliminar</w:t>
      </w:r>
      <w:r w:rsidR="0040422A" w:rsidRPr="00BE133F">
        <w:rPr>
          <w:rFonts w:ascii="Verdana" w:hAnsi="Verdana" w:cs="Verdana"/>
          <w:sz w:val="20"/>
          <w:szCs w:val="20"/>
        </w:rPr>
        <w:t>es</w:t>
      </w:r>
      <w:r w:rsidRPr="00BE133F">
        <w:rPr>
          <w:rFonts w:ascii="Verdana" w:hAnsi="Verdana" w:cs="Verdana"/>
          <w:sz w:val="20"/>
          <w:szCs w:val="20"/>
        </w:rPr>
        <w:t xml:space="preserve">, Fondo, Reparaciones y Costas emitida por este Tribunal el </w:t>
      </w:r>
      <w:r w:rsidR="00031F46">
        <w:rPr>
          <w:rFonts w:ascii="Verdana" w:hAnsi="Verdana" w:cs="Verdana"/>
          <w:sz w:val="20"/>
          <w:szCs w:val="20"/>
        </w:rPr>
        <w:t>23 de noviembre de 2017</w:t>
      </w:r>
      <w:r w:rsidRPr="00BE133F">
        <w:rPr>
          <w:rFonts w:ascii="Verdana" w:hAnsi="Verdana" w:cs="Verdana"/>
          <w:sz w:val="20"/>
          <w:szCs w:val="20"/>
        </w:rPr>
        <w:t xml:space="preserve"> en el presente caso (en adelante también “la Sentencia”), interpuestas el </w:t>
      </w:r>
      <w:r w:rsidR="00031F46">
        <w:rPr>
          <w:rFonts w:ascii="Verdana" w:hAnsi="Verdana" w:cs="Verdana"/>
          <w:sz w:val="20"/>
          <w:szCs w:val="20"/>
        </w:rPr>
        <w:t>12 de marzo de 2018 por</w:t>
      </w:r>
      <w:r w:rsidR="00630E7E">
        <w:rPr>
          <w:rFonts w:ascii="Verdana" w:hAnsi="Verdana" w:cs="Verdana"/>
          <w:sz w:val="20"/>
          <w:szCs w:val="20"/>
        </w:rPr>
        <w:t xml:space="preserve"> Carolina Loayza Tamayo</w:t>
      </w:r>
      <w:r w:rsidR="00031F46">
        <w:rPr>
          <w:rFonts w:ascii="Verdana" w:hAnsi="Verdana" w:cs="Verdana"/>
          <w:sz w:val="20"/>
          <w:szCs w:val="20"/>
        </w:rPr>
        <w:t>,</w:t>
      </w:r>
      <w:r w:rsidRPr="00BE133F">
        <w:rPr>
          <w:rFonts w:ascii="Verdana" w:hAnsi="Verdana" w:cs="Verdana"/>
          <w:sz w:val="20"/>
          <w:szCs w:val="20"/>
        </w:rPr>
        <w:t xml:space="preserve"> </w:t>
      </w:r>
      <w:r w:rsidR="00031F46">
        <w:rPr>
          <w:rFonts w:ascii="Verdana" w:hAnsi="Verdana" w:cs="Verdana"/>
          <w:sz w:val="20"/>
          <w:szCs w:val="20"/>
        </w:rPr>
        <w:t>el 13 de marzo de 2018 por el señor Abraham Montero Ramírez</w:t>
      </w:r>
      <w:r w:rsidR="00D55785">
        <w:rPr>
          <w:rFonts w:ascii="Verdana" w:hAnsi="Verdana" w:cs="Verdana"/>
          <w:sz w:val="20"/>
          <w:szCs w:val="20"/>
        </w:rPr>
        <w:t>,</w:t>
      </w:r>
      <w:r w:rsidR="00630E7E">
        <w:rPr>
          <w:rFonts w:ascii="Verdana" w:hAnsi="Verdana" w:cs="Verdana"/>
          <w:sz w:val="20"/>
          <w:szCs w:val="20"/>
        </w:rPr>
        <w:t xml:space="preserve"> y</w:t>
      </w:r>
      <w:r w:rsidR="00031F46">
        <w:rPr>
          <w:rFonts w:ascii="Verdana" w:hAnsi="Verdana" w:cs="Verdana"/>
          <w:sz w:val="20"/>
          <w:szCs w:val="20"/>
        </w:rPr>
        <w:t xml:space="preserve"> </w:t>
      </w:r>
      <w:r w:rsidRPr="00BE133F">
        <w:rPr>
          <w:rFonts w:ascii="Verdana" w:hAnsi="Verdana" w:cs="Verdana"/>
          <w:sz w:val="20"/>
          <w:szCs w:val="20"/>
        </w:rPr>
        <w:t xml:space="preserve">el </w:t>
      </w:r>
      <w:r w:rsidR="00630E7E">
        <w:rPr>
          <w:rFonts w:ascii="Verdana" w:hAnsi="Verdana" w:cs="Verdana"/>
          <w:sz w:val="20"/>
          <w:szCs w:val="20"/>
        </w:rPr>
        <w:t>20</w:t>
      </w:r>
      <w:r w:rsidRPr="00BE133F">
        <w:rPr>
          <w:rFonts w:ascii="Verdana" w:hAnsi="Verdana" w:cs="Verdana"/>
          <w:sz w:val="20"/>
          <w:szCs w:val="20"/>
        </w:rPr>
        <w:t xml:space="preserve"> de </w:t>
      </w:r>
      <w:r w:rsidR="00630E7E">
        <w:rPr>
          <w:rFonts w:ascii="Verdana" w:hAnsi="Verdana" w:cs="Verdana"/>
          <w:sz w:val="20"/>
          <w:szCs w:val="20"/>
        </w:rPr>
        <w:t>marzo</w:t>
      </w:r>
      <w:r w:rsidRPr="00BE133F">
        <w:rPr>
          <w:rFonts w:ascii="Verdana" w:hAnsi="Verdana" w:cs="Verdana"/>
          <w:sz w:val="20"/>
          <w:szCs w:val="20"/>
        </w:rPr>
        <w:t xml:space="preserve"> de 201</w:t>
      </w:r>
      <w:r w:rsidR="00630E7E">
        <w:rPr>
          <w:rFonts w:ascii="Verdana" w:hAnsi="Verdana" w:cs="Verdana"/>
          <w:sz w:val="20"/>
          <w:szCs w:val="20"/>
        </w:rPr>
        <w:t>8</w:t>
      </w:r>
      <w:r w:rsidRPr="00BE133F">
        <w:rPr>
          <w:rFonts w:ascii="Verdana" w:hAnsi="Verdana" w:cs="Verdana"/>
          <w:sz w:val="20"/>
          <w:szCs w:val="20"/>
        </w:rPr>
        <w:t xml:space="preserve"> por </w:t>
      </w:r>
      <w:r w:rsidR="0040422A" w:rsidRPr="00BE133F">
        <w:rPr>
          <w:rFonts w:ascii="Verdana" w:hAnsi="Verdana" w:cs="Verdana"/>
          <w:sz w:val="20"/>
          <w:szCs w:val="20"/>
        </w:rPr>
        <w:t>el Estado del Perú</w:t>
      </w:r>
      <w:r w:rsidRPr="00BE133F">
        <w:rPr>
          <w:rFonts w:ascii="Verdana" w:hAnsi="Verdana" w:cs="Verdana"/>
          <w:sz w:val="20"/>
          <w:szCs w:val="20"/>
        </w:rPr>
        <w:t>.</w:t>
      </w:r>
    </w:p>
    <w:p w:rsidR="00577097" w:rsidRPr="00BE133F" w:rsidRDefault="00577097" w:rsidP="00577097">
      <w:pPr>
        <w:tabs>
          <w:tab w:val="left" w:pos="567"/>
        </w:tabs>
        <w:autoSpaceDE w:val="0"/>
        <w:autoSpaceDN w:val="0"/>
        <w:adjustRightInd w:val="0"/>
        <w:spacing w:after="0" w:line="240" w:lineRule="auto"/>
        <w:jc w:val="center"/>
        <w:rPr>
          <w:rFonts w:ascii="Verdana" w:hAnsi="Verdana" w:cs="Verdana"/>
          <w:sz w:val="20"/>
          <w:szCs w:val="20"/>
        </w:rPr>
      </w:pPr>
      <w:r w:rsidRPr="00BE133F">
        <w:rPr>
          <w:rFonts w:ascii="Verdana" w:hAnsi="Verdana" w:cs="Verdana"/>
          <w:sz w:val="20"/>
          <w:szCs w:val="20"/>
        </w:rPr>
        <w:br w:type="page"/>
      </w:r>
      <w:r w:rsidRPr="00BE133F">
        <w:rPr>
          <w:rFonts w:ascii="Verdana" w:eastAsia="Times New Roman" w:hAnsi="Verdana" w:cs="Verdana"/>
          <w:b/>
          <w:bCs/>
          <w:iCs/>
          <w:caps/>
          <w:snapToGrid w:val="0"/>
          <w:sz w:val="20"/>
          <w:szCs w:val="20"/>
          <w:lang w:eastAsia="es-ES"/>
        </w:rPr>
        <w:lastRenderedPageBreak/>
        <w:t>I</w:t>
      </w:r>
    </w:p>
    <w:p w:rsidR="00577097" w:rsidRPr="00BE133F" w:rsidRDefault="00577097" w:rsidP="00577097">
      <w:pPr>
        <w:tabs>
          <w:tab w:val="left" w:pos="567"/>
        </w:tabs>
        <w:autoSpaceDE w:val="0"/>
        <w:autoSpaceDN w:val="0"/>
        <w:adjustRightInd w:val="0"/>
        <w:spacing w:after="0" w:line="240" w:lineRule="auto"/>
        <w:jc w:val="center"/>
        <w:rPr>
          <w:rFonts w:ascii="Verdana" w:eastAsia="Times" w:hAnsi="Verdana"/>
          <w:sz w:val="20"/>
          <w:szCs w:val="20"/>
          <w:lang w:eastAsia="es-ES"/>
        </w:rPr>
      </w:pPr>
      <w:r w:rsidRPr="00BE133F">
        <w:rPr>
          <w:rFonts w:ascii="Verdana" w:hAnsi="Verdana" w:cs="Verdana"/>
          <w:b/>
          <w:bCs/>
          <w:sz w:val="20"/>
          <w:szCs w:val="20"/>
        </w:rPr>
        <w:t>SOLICITUD DE INTERPRETACIÓN Y PROCEDIMIENTO ANTE LA CORTE</w:t>
      </w:r>
    </w:p>
    <w:p w:rsidR="00577097" w:rsidRPr="00BE133F" w:rsidRDefault="00577097" w:rsidP="00577097">
      <w:pPr>
        <w:tabs>
          <w:tab w:val="left" w:pos="567"/>
        </w:tabs>
        <w:spacing w:after="0" w:line="240" w:lineRule="auto"/>
        <w:jc w:val="both"/>
        <w:rPr>
          <w:rFonts w:ascii="Verdana" w:eastAsia="Times" w:hAnsi="Verdana"/>
          <w:sz w:val="20"/>
          <w:szCs w:val="20"/>
        </w:rPr>
      </w:pPr>
    </w:p>
    <w:p w:rsidR="00577097" w:rsidRPr="00BE133F" w:rsidRDefault="00577097"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BE133F">
        <w:rPr>
          <w:rFonts w:ascii="Verdana" w:hAnsi="Verdana" w:cs="Verdana"/>
          <w:sz w:val="20"/>
          <w:szCs w:val="20"/>
        </w:rPr>
        <w:t xml:space="preserve">El </w:t>
      </w:r>
      <w:r w:rsidR="00630E7E">
        <w:rPr>
          <w:rFonts w:ascii="Verdana" w:hAnsi="Verdana" w:cs="Verdana"/>
          <w:sz w:val="20"/>
          <w:szCs w:val="20"/>
        </w:rPr>
        <w:t>23 de noviembre de 2017</w:t>
      </w:r>
      <w:r w:rsidRPr="00BE133F">
        <w:rPr>
          <w:rFonts w:ascii="Verdana" w:eastAsia="Times" w:hAnsi="Verdana"/>
          <w:sz w:val="20"/>
          <w:szCs w:val="20"/>
          <w:lang w:val="es-ES_tradnl"/>
        </w:rPr>
        <w:t xml:space="preserve"> la Corte emitió la Sentencia, la cual fue notificada a las partes y a la Comisión Interamericana de </w:t>
      </w:r>
      <w:r w:rsidRPr="00BE133F">
        <w:rPr>
          <w:rFonts w:ascii="Verdana" w:hAnsi="Verdana" w:cs="Verdana"/>
          <w:sz w:val="20"/>
          <w:szCs w:val="20"/>
        </w:rPr>
        <w:t xml:space="preserve">Derechos Humanos (en adelante “la Comisión Interamericana” o “la Comisión”) </w:t>
      </w:r>
      <w:r w:rsidRPr="00BE133F">
        <w:rPr>
          <w:rFonts w:ascii="Verdana" w:eastAsia="Times" w:hAnsi="Verdana"/>
          <w:sz w:val="20"/>
          <w:szCs w:val="20"/>
          <w:lang w:val="es-ES_tradnl"/>
        </w:rPr>
        <w:t xml:space="preserve">el </w:t>
      </w:r>
      <w:r w:rsidR="00630E7E">
        <w:rPr>
          <w:rFonts w:ascii="Verdana" w:eastAsia="Times" w:hAnsi="Verdana"/>
          <w:sz w:val="20"/>
          <w:szCs w:val="20"/>
          <w:lang w:val="es-ES_tradnl"/>
        </w:rPr>
        <w:t>20 de diciembre de 2017</w:t>
      </w:r>
      <w:r w:rsidRPr="00BE133F">
        <w:rPr>
          <w:rFonts w:ascii="Verdana" w:eastAsia="Times" w:hAnsi="Verdana"/>
          <w:sz w:val="20"/>
          <w:szCs w:val="20"/>
          <w:lang w:val="es-ES_tradnl"/>
        </w:rPr>
        <w:t>.</w:t>
      </w:r>
    </w:p>
    <w:p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rPr>
      </w:pPr>
    </w:p>
    <w:p w:rsidR="00577097" w:rsidRPr="00C941D7" w:rsidRDefault="00577097"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u w:val="single"/>
        </w:rPr>
      </w:pPr>
      <w:r w:rsidRPr="00C941D7">
        <w:rPr>
          <w:rFonts w:ascii="Verdana" w:hAnsi="Verdana" w:cs="Verdana"/>
          <w:sz w:val="20"/>
          <w:szCs w:val="20"/>
        </w:rPr>
        <w:t xml:space="preserve">El </w:t>
      </w:r>
      <w:r w:rsidR="00630E7E">
        <w:rPr>
          <w:rFonts w:ascii="Verdana" w:hAnsi="Verdana" w:cs="Verdana"/>
          <w:sz w:val="20"/>
          <w:szCs w:val="20"/>
        </w:rPr>
        <w:t>12 de marzo de 2018</w:t>
      </w:r>
      <w:r w:rsidRPr="00C941D7">
        <w:rPr>
          <w:rFonts w:ascii="Verdana" w:hAnsi="Verdana" w:cs="Verdana"/>
          <w:sz w:val="20"/>
          <w:szCs w:val="20"/>
        </w:rPr>
        <w:t xml:space="preserve"> </w:t>
      </w:r>
      <w:r w:rsidR="00630E7E">
        <w:rPr>
          <w:rFonts w:ascii="Verdana" w:hAnsi="Verdana" w:cs="Verdana"/>
          <w:sz w:val="20"/>
          <w:szCs w:val="20"/>
        </w:rPr>
        <w:t>la representante Carolina Loayza Tamayo</w:t>
      </w:r>
      <w:r w:rsidR="005032B9">
        <w:rPr>
          <w:rStyle w:val="Refdenotaalpie"/>
          <w:rFonts w:ascii="Verdana" w:hAnsi="Verdana" w:cs="Verdana"/>
          <w:sz w:val="20"/>
          <w:szCs w:val="20"/>
        </w:rPr>
        <w:footnoteReference w:id="2"/>
      </w:r>
      <w:r w:rsidR="000E5DE4">
        <w:rPr>
          <w:rFonts w:ascii="Verdana" w:hAnsi="Verdana" w:cs="Verdana"/>
          <w:sz w:val="20"/>
          <w:szCs w:val="20"/>
        </w:rPr>
        <w:t xml:space="preserve"> </w:t>
      </w:r>
      <w:r w:rsidR="000E5DE4" w:rsidRPr="00BE133F">
        <w:rPr>
          <w:rFonts w:ascii="Verdana" w:hAnsi="Verdana" w:cs="Verdana"/>
          <w:sz w:val="20"/>
          <w:szCs w:val="20"/>
        </w:rPr>
        <w:t>(en adelante “</w:t>
      </w:r>
      <w:r w:rsidR="00630E7E">
        <w:rPr>
          <w:rFonts w:ascii="Verdana" w:hAnsi="Verdana" w:cs="Verdana"/>
          <w:sz w:val="20"/>
          <w:szCs w:val="20"/>
        </w:rPr>
        <w:t>la</w:t>
      </w:r>
      <w:r w:rsidR="000E5DE4">
        <w:rPr>
          <w:rFonts w:ascii="Verdana" w:hAnsi="Verdana" w:cs="Verdana"/>
          <w:sz w:val="20"/>
          <w:szCs w:val="20"/>
        </w:rPr>
        <w:t xml:space="preserve"> representante</w:t>
      </w:r>
      <w:r w:rsidR="0042353D">
        <w:rPr>
          <w:rFonts w:ascii="Verdana" w:hAnsi="Verdana" w:cs="Verdana"/>
          <w:sz w:val="20"/>
          <w:szCs w:val="20"/>
        </w:rPr>
        <w:t xml:space="preserve"> Loayza</w:t>
      </w:r>
      <w:r w:rsidR="000E5DE4" w:rsidRPr="00BE133F">
        <w:rPr>
          <w:rFonts w:ascii="Verdana" w:hAnsi="Verdana" w:cs="Verdana"/>
          <w:sz w:val="20"/>
          <w:szCs w:val="20"/>
        </w:rPr>
        <w:t>”)</w:t>
      </w:r>
      <w:r w:rsidRPr="00C941D7">
        <w:rPr>
          <w:rFonts w:ascii="Verdana" w:hAnsi="Verdana" w:cs="Verdana"/>
          <w:sz w:val="20"/>
          <w:szCs w:val="20"/>
        </w:rPr>
        <w:t xml:space="preserve"> present</w:t>
      </w:r>
      <w:r w:rsidR="00CF3F01" w:rsidRPr="00C941D7">
        <w:rPr>
          <w:rFonts w:ascii="Verdana" w:hAnsi="Verdana" w:cs="Verdana"/>
          <w:sz w:val="20"/>
          <w:szCs w:val="20"/>
        </w:rPr>
        <w:t>ó</w:t>
      </w:r>
      <w:r w:rsidRPr="00C941D7">
        <w:rPr>
          <w:rFonts w:ascii="Verdana" w:hAnsi="Verdana" w:cs="Verdana"/>
          <w:sz w:val="20"/>
          <w:szCs w:val="20"/>
        </w:rPr>
        <w:t xml:space="preserve"> </w:t>
      </w:r>
      <w:bookmarkStart w:id="1" w:name="_Ref363085373"/>
      <w:r w:rsidRPr="00C941D7">
        <w:rPr>
          <w:rFonts w:ascii="Verdana" w:eastAsia="Times" w:hAnsi="Verdana"/>
          <w:bCs/>
          <w:sz w:val="20"/>
          <w:szCs w:val="20"/>
        </w:rPr>
        <w:t>una solicitud de interpretación de la Sentencia con relación a</w:t>
      </w:r>
      <w:r w:rsidR="0096392F">
        <w:rPr>
          <w:rFonts w:ascii="Verdana" w:eastAsia="Times" w:hAnsi="Verdana"/>
          <w:bCs/>
          <w:sz w:val="20"/>
          <w:szCs w:val="20"/>
        </w:rPr>
        <w:t xml:space="preserve"> </w:t>
      </w:r>
      <w:r w:rsidR="003D1781">
        <w:rPr>
          <w:rFonts w:ascii="Verdana" w:eastAsia="Times" w:hAnsi="Verdana"/>
          <w:bCs/>
          <w:sz w:val="20"/>
          <w:szCs w:val="20"/>
        </w:rPr>
        <w:t>l</w:t>
      </w:r>
      <w:r w:rsidR="0096392F">
        <w:rPr>
          <w:rFonts w:ascii="Verdana" w:eastAsia="Times" w:hAnsi="Verdana"/>
          <w:bCs/>
          <w:sz w:val="20"/>
          <w:szCs w:val="20"/>
        </w:rPr>
        <w:t>os</w:t>
      </w:r>
      <w:r w:rsidR="003D1781">
        <w:rPr>
          <w:rFonts w:ascii="Verdana" w:eastAsia="Times" w:hAnsi="Verdana"/>
          <w:bCs/>
          <w:sz w:val="20"/>
          <w:szCs w:val="20"/>
        </w:rPr>
        <w:t xml:space="preserve"> párrafo</w:t>
      </w:r>
      <w:r w:rsidR="0096392F">
        <w:rPr>
          <w:rFonts w:ascii="Verdana" w:eastAsia="Times" w:hAnsi="Verdana"/>
          <w:bCs/>
          <w:sz w:val="20"/>
          <w:szCs w:val="20"/>
        </w:rPr>
        <w:t>s</w:t>
      </w:r>
      <w:r w:rsidR="003D1781">
        <w:rPr>
          <w:rFonts w:ascii="Verdana" w:eastAsia="Times" w:hAnsi="Verdana"/>
          <w:bCs/>
          <w:sz w:val="20"/>
          <w:szCs w:val="20"/>
        </w:rPr>
        <w:t xml:space="preserve"> </w:t>
      </w:r>
      <w:r w:rsidR="0096392F">
        <w:rPr>
          <w:rFonts w:ascii="Verdana" w:eastAsia="Times" w:hAnsi="Verdana"/>
          <w:bCs/>
          <w:sz w:val="20"/>
          <w:szCs w:val="20"/>
        </w:rPr>
        <w:t>6, 13, 208, 218, y 222</w:t>
      </w:r>
      <w:r w:rsidR="003D1781">
        <w:rPr>
          <w:rFonts w:ascii="Verdana" w:eastAsia="Times" w:hAnsi="Verdana"/>
          <w:bCs/>
          <w:sz w:val="20"/>
          <w:szCs w:val="20"/>
        </w:rPr>
        <w:t xml:space="preserve"> de la </w:t>
      </w:r>
      <w:r w:rsidR="00981FD6">
        <w:rPr>
          <w:rFonts w:ascii="Verdana" w:eastAsia="Times" w:hAnsi="Verdana"/>
          <w:bCs/>
          <w:sz w:val="20"/>
          <w:szCs w:val="20"/>
        </w:rPr>
        <w:t>misma</w:t>
      </w:r>
      <w:r w:rsidR="008D02E3">
        <w:rPr>
          <w:rFonts w:ascii="Verdana" w:eastAsia="Times" w:hAnsi="Verdana"/>
          <w:bCs/>
          <w:sz w:val="20"/>
          <w:szCs w:val="20"/>
        </w:rPr>
        <w:t>,</w:t>
      </w:r>
      <w:r w:rsidR="003D1781">
        <w:rPr>
          <w:rFonts w:ascii="Verdana" w:eastAsia="Times" w:hAnsi="Verdana"/>
          <w:bCs/>
          <w:sz w:val="20"/>
          <w:szCs w:val="20"/>
        </w:rPr>
        <w:t xml:space="preserve"> en </w:t>
      </w:r>
      <w:r w:rsidR="008D02E3">
        <w:rPr>
          <w:rFonts w:ascii="Verdana" w:eastAsia="Times" w:hAnsi="Verdana"/>
          <w:bCs/>
          <w:sz w:val="20"/>
          <w:szCs w:val="20"/>
        </w:rPr>
        <w:t xml:space="preserve">lo que respecta a </w:t>
      </w:r>
      <w:r w:rsidR="003C3038">
        <w:rPr>
          <w:rFonts w:ascii="Verdana" w:eastAsia="Times" w:hAnsi="Verdana"/>
          <w:bCs/>
          <w:sz w:val="20"/>
          <w:szCs w:val="20"/>
        </w:rPr>
        <w:t>una precisión sobre</w:t>
      </w:r>
      <w:r w:rsidR="0042353D">
        <w:rPr>
          <w:rFonts w:ascii="Verdana" w:eastAsia="Times" w:hAnsi="Verdana"/>
          <w:bCs/>
          <w:sz w:val="20"/>
          <w:szCs w:val="20"/>
        </w:rPr>
        <w:t xml:space="preserve"> lo siguiente:</w:t>
      </w:r>
      <w:r w:rsidR="003C3038">
        <w:rPr>
          <w:rFonts w:ascii="Verdana" w:eastAsia="Times" w:hAnsi="Verdana"/>
          <w:bCs/>
          <w:sz w:val="20"/>
          <w:szCs w:val="20"/>
        </w:rPr>
        <w:t xml:space="preserve"> </w:t>
      </w:r>
      <w:r w:rsidR="0096392F">
        <w:rPr>
          <w:rFonts w:ascii="Verdana" w:eastAsia="Times" w:hAnsi="Verdana"/>
          <w:bCs/>
          <w:sz w:val="20"/>
          <w:szCs w:val="20"/>
        </w:rPr>
        <w:t xml:space="preserve">(i) la representación de las víctimas; (ii) </w:t>
      </w:r>
      <w:r w:rsidR="003C3038">
        <w:rPr>
          <w:rFonts w:ascii="Verdana" w:eastAsia="Times" w:hAnsi="Verdana"/>
          <w:bCs/>
          <w:sz w:val="20"/>
          <w:szCs w:val="20"/>
        </w:rPr>
        <w:t>el</w:t>
      </w:r>
      <w:r w:rsidR="0096392F">
        <w:rPr>
          <w:rFonts w:ascii="Verdana" w:eastAsia="Times" w:hAnsi="Verdana"/>
          <w:bCs/>
          <w:sz w:val="20"/>
          <w:szCs w:val="20"/>
        </w:rPr>
        <w:t xml:space="preserve"> </w:t>
      </w:r>
      <w:r w:rsidR="00994CC5">
        <w:rPr>
          <w:rFonts w:ascii="Verdana" w:eastAsia="Times" w:hAnsi="Verdana"/>
          <w:bCs/>
          <w:sz w:val="20"/>
          <w:szCs w:val="20"/>
        </w:rPr>
        <w:t>oferente</w:t>
      </w:r>
      <w:r w:rsidR="0096392F">
        <w:rPr>
          <w:rFonts w:ascii="Verdana" w:eastAsia="Times" w:hAnsi="Verdana"/>
          <w:bCs/>
          <w:sz w:val="20"/>
          <w:szCs w:val="20"/>
        </w:rPr>
        <w:t xml:space="preserve"> de prueba en el proceso; (iii) </w:t>
      </w:r>
      <w:r w:rsidR="00994CC5">
        <w:rPr>
          <w:rFonts w:ascii="Verdana" w:eastAsia="Times" w:hAnsi="Verdana"/>
          <w:bCs/>
          <w:sz w:val="20"/>
          <w:szCs w:val="20"/>
        </w:rPr>
        <w:t>los destinatarios en la aplicación de los mecanismos de la Ley 28803 y el plazo para presentar el informe de aplicación de dichos mecanismos</w:t>
      </w:r>
      <w:r w:rsidR="003C3038">
        <w:rPr>
          <w:rFonts w:ascii="Verdana" w:eastAsia="Times" w:hAnsi="Verdana"/>
          <w:bCs/>
          <w:sz w:val="20"/>
          <w:szCs w:val="20"/>
        </w:rPr>
        <w:t xml:space="preserve">; (iv) los alcances de la medida de reparación relacionada con el pago de aportaciones al sistema de pensiones; y (v) </w:t>
      </w:r>
      <w:r w:rsidR="003F6692">
        <w:rPr>
          <w:rFonts w:ascii="Verdana" w:eastAsia="Times" w:hAnsi="Verdana"/>
          <w:bCs/>
          <w:sz w:val="20"/>
          <w:szCs w:val="20"/>
        </w:rPr>
        <w:t>la compensación económica por lucro cesante.</w:t>
      </w:r>
    </w:p>
    <w:p w:rsidR="00C941D7" w:rsidRPr="00C941D7" w:rsidRDefault="00C941D7" w:rsidP="00C941D7">
      <w:pPr>
        <w:tabs>
          <w:tab w:val="left" w:pos="567"/>
        </w:tabs>
        <w:autoSpaceDE w:val="0"/>
        <w:autoSpaceDN w:val="0"/>
        <w:adjustRightInd w:val="0"/>
        <w:spacing w:after="0" w:line="240" w:lineRule="auto"/>
        <w:jc w:val="both"/>
        <w:rPr>
          <w:rFonts w:ascii="Verdana" w:hAnsi="Verdana" w:cs="Verdana"/>
          <w:sz w:val="20"/>
          <w:szCs w:val="20"/>
          <w:u w:val="single"/>
        </w:rPr>
      </w:pPr>
    </w:p>
    <w:p w:rsidR="003F6692" w:rsidRDefault="00577097" w:rsidP="003F6692">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u w:val="single"/>
        </w:rPr>
      </w:pPr>
      <w:r w:rsidRPr="00BE133F">
        <w:rPr>
          <w:rFonts w:ascii="Verdana" w:eastAsia="Times" w:hAnsi="Verdana"/>
          <w:bCs/>
          <w:sz w:val="20"/>
          <w:szCs w:val="20"/>
        </w:rPr>
        <w:t xml:space="preserve">El </w:t>
      </w:r>
      <w:r w:rsidR="003F6692">
        <w:rPr>
          <w:rFonts w:ascii="Verdana" w:eastAsia="Times" w:hAnsi="Verdana"/>
          <w:bCs/>
          <w:sz w:val="20"/>
          <w:szCs w:val="20"/>
        </w:rPr>
        <w:t>13 de marzo de 2018</w:t>
      </w:r>
      <w:r w:rsidRPr="00BE133F">
        <w:rPr>
          <w:rFonts w:ascii="Verdana" w:eastAsia="Times" w:hAnsi="Verdana"/>
          <w:bCs/>
          <w:sz w:val="20"/>
          <w:szCs w:val="20"/>
        </w:rPr>
        <w:t xml:space="preserve"> </w:t>
      </w:r>
      <w:r w:rsidR="00A820AB" w:rsidRPr="00BE133F">
        <w:rPr>
          <w:rFonts w:ascii="Verdana" w:eastAsia="Times" w:hAnsi="Verdana"/>
          <w:bCs/>
          <w:sz w:val="20"/>
          <w:szCs w:val="20"/>
        </w:rPr>
        <w:t xml:space="preserve">el </w:t>
      </w:r>
      <w:r w:rsidR="003F6692">
        <w:rPr>
          <w:rFonts w:ascii="Verdana" w:eastAsia="Times" w:hAnsi="Verdana"/>
          <w:bCs/>
          <w:sz w:val="20"/>
          <w:szCs w:val="20"/>
        </w:rPr>
        <w:t>señor Abraham Montero Ramírez</w:t>
      </w:r>
      <w:r w:rsidR="0042353D">
        <w:rPr>
          <w:rStyle w:val="Refdenotaalpie"/>
          <w:rFonts w:ascii="Verdana" w:eastAsia="Times" w:hAnsi="Verdana"/>
          <w:bCs/>
          <w:sz w:val="20"/>
          <w:szCs w:val="20"/>
        </w:rPr>
        <w:footnoteReference w:id="3"/>
      </w:r>
      <w:r w:rsidR="00A820AB" w:rsidRPr="00BE133F">
        <w:rPr>
          <w:rFonts w:ascii="Verdana" w:eastAsia="Times" w:hAnsi="Verdana"/>
          <w:bCs/>
          <w:sz w:val="20"/>
          <w:szCs w:val="20"/>
        </w:rPr>
        <w:t xml:space="preserve"> presentó</w:t>
      </w:r>
      <w:r w:rsidRPr="00BE133F">
        <w:rPr>
          <w:rFonts w:ascii="Verdana" w:eastAsia="Times" w:hAnsi="Verdana"/>
          <w:bCs/>
          <w:sz w:val="20"/>
          <w:szCs w:val="20"/>
        </w:rPr>
        <w:t xml:space="preserve"> una solicitud de interpretación</w:t>
      </w:r>
      <w:r w:rsidR="003F6692">
        <w:rPr>
          <w:rFonts w:ascii="Verdana" w:eastAsia="Times" w:hAnsi="Verdana"/>
          <w:bCs/>
          <w:sz w:val="20"/>
          <w:szCs w:val="20"/>
        </w:rPr>
        <w:t xml:space="preserve"> y reconsideración</w:t>
      </w:r>
      <w:r w:rsidRPr="00BE133F">
        <w:rPr>
          <w:rFonts w:ascii="Verdana" w:eastAsia="Times" w:hAnsi="Verdana"/>
          <w:bCs/>
          <w:sz w:val="20"/>
          <w:szCs w:val="20"/>
        </w:rPr>
        <w:t xml:space="preserve"> de la Sentencia con relación </w:t>
      </w:r>
      <w:r w:rsidR="003F6692">
        <w:rPr>
          <w:rFonts w:ascii="Verdana" w:eastAsia="Times" w:hAnsi="Verdana"/>
          <w:bCs/>
          <w:sz w:val="20"/>
          <w:szCs w:val="20"/>
        </w:rPr>
        <w:t>a los intereses de la indemnización que la Corte estableció como medida de reparación. Asimismo, solicitó a la Corte que reconsidere su condición como representante y ordene una indemnización por gastos y trámites por un monto razonable de $10,000 dólares americanos.</w:t>
      </w:r>
    </w:p>
    <w:p w:rsidR="003F6692" w:rsidRPr="003F6692" w:rsidRDefault="003F6692" w:rsidP="003F6692">
      <w:pPr>
        <w:tabs>
          <w:tab w:val="left" w:pos="567"/>
        </w:tabs>
        <w:autoSpaceDE w:val="0"/>
        <w:autoSpaceDN w:val="0"/>
        <w:adjustRightInd w:val="0"/>
        <w:spacing w:after="0" w:line="240" w:lineRule="auto"/>
        <w:jc w:val="both"/>
        <w:rPr>
          <w:rFonts w:ascii="Verdana" w:hAnsi="Verdana" w:cs="Verdana"/>
          <w:sz w:val="20"/>
          <w:szCs w:val="20"/>
          <w:u w:val="single"/>
        </w:rPr>
      </w:pPr>
    </w:p>
    <w:p w:rsidR="00577097" w:rsidRPr="00BE133F" w:rsidRDefault="0079659A"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u w:val="single"/>
        </w:rPr>
      </w:pPr>
      <w:r>
        <w:rPr>
          <w:rFonts w:ascii="Verdana" w:hAnsi="Verdana" w:cs="Verdana"/>
          <w:sz w:val="20"/>
          <w:szCs w:val="20"/>
        </w:rPr>
        <w:t xml:space="preserve">El 20 de marzo de 2018 el Estado presentó una solicitud de interpretación, en lo que respecta al pago de indemnización </w:t>
      </w:r>
      <w:r w:rsidR="009D64DE">
        <w:rPr>
          <w:rFonts w:ascii="Verdana" w:hAnsi="Verdana" w:cs="Verdana"/>
          <w:sz w:val="20"/>
          <w:szCs w:val="20"/>
        </w:rPr>
        <w:t xml:space="preserve">por daño inmaterial. </w:t>
      </w:r>
      <w:r w:rsidR="00C442FC">
        <w:rPr>
          <w:rFonts w:ascii="Verdana" w:hAnsi="Verdana" w:cs="Verdana"/>
          <w:sz w:val="20"/>
          <w:szCs w:val="20"/>
        </w:rPr>
        <w:t>Alegó</w:t>
      </w:r>
      <w:r w:rsidR="00E80F07">
        <w:rPr>
          <w:rFonts w:ascii="Verdana" w:hAnsi="Verdana" w:cs="Verdana"/>
          <w:sz w:val="20"/>
          <w:szCs w:val="20"/>
        </w:rPr>
        <w:t xml:space="preserve"> que debe entenderse que lo sostenido por la Corte en los párrafos 207, 208 y 209</w:t>
      </w:r>
      <w:r w:rsidR="0042353D">
        <w:rPr>
          <w:rFonts w:ascii="Verdana" w:hAnsi="Verdana" w:cs="Verdana"/>
          <w:sz w:val="20"/>
          <w:szCs w:val="20"/>
        </w:rPr>
        <w:t xml:space="preserve"> de la Sentencia,</w:t>
      </w:r>
      <w:r w:rsidR="00E80F07">
        <w:rPr>
          <w:rFonts w:ascii="Verdana" w:hAnsi="Verdana" w:cs="Verdana"/>
          <w:sz w:val="20"/>
          <w:szCs w:val="20"/>
        </w:rPr>
        <w:t xml:space="preserve"> respecto al pago de reparaciones pecuniarias</w:t>
      </w:r>
      <w:r w:rsidR="0042353D">
        <w:rPr>
          <w:rFonts w:ascii="Verdana" w:hAnsi="Verdana" w:cs="Verdana"/>
          <w:sz w:val="20"/>
          <w:szCs w:val="20"/>
        </w:rPr>
        <w:t>,</w:t>
      </w:r>
      <w:r w:rsidR="00E80F07">
        <w:rPr>
          <w:rFonts w:ascii="Verdana" w:hAnsi="Verdana" w:cs="Verdana"/>
          <w:sz w:val="20"/>
          <w:szCs w:val="20"/>
        </w:rPr>
        <w:t xml:space="preserve"> debe considerarse no sólo en relación con el daño material, sino también en r</w:t>
      </w:r>
      <w:r w:rsidR="0042353D">
        <w:rPr>
          <w:rFonts w:ascii="Verdana" w:hAnsi="Verdana" w:cs="Verdana"/>
          <w:sz w:val="20"/>
          <w:szCs w:val="20"/>
        </w:rPr>
        <w:t>elación con el daño inmaterial.</w:t>
      </w:r>
    </w:p>
    <w:p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u w:val="single"/>
        </w:rPr>
      </w:pPr>
    </w:p>
    <w:p w:rsidR="00577097" w:rsidRPr="00BE133F" w:rsidRDefault="00577097" w:rsidP="00577097">
      <w:pPr>
        <w:numPr>
          <w:ilvl w:val="0"/>
          <w:numId w:val="1"/>
        </w:numPr>
        <w:tabs>
          <w:tab w:val="left" w:pos="567"/>
          <w:tab w:val="num" w:pos="720"/>
        </w:tabs>
        <w:autoSpaceDE w:val="0"/>
        <w:autoSpaceDN w:val="0"/>
        <w:adjustRightInd w:val="0"/>
        <w:spacing w:after="0" w:line="240" w:lineRule="auto"/>
        <w:jc w:val="both"/>
        <w:rPr>
          <w:rFonts w:ascii="Verdana" w:eastAsia="Times" w:hAnsi="Verdana"/>
          <w:bCs/>
          <w:sz w:val="20"/>
          <w:szCs w:val="20"/>
          <w:lang w:val="es-ES_tradnl"/>
        </w:rPr>
      </w:pPr>
      <w:bookmarkStart w:id="2" w:name="_Ref324683819"/>
      <w:bookmarkStart w:id="3" w:name="_Ref364679847"/>
      <w:bookmarkEnd w:id="1"/>
      <w:r w:rsidRPr="00BE133F">
        <w:rPr>
          <w:rFonts w:ascii="Verdana" w:hAnsi="Verdana" w:cs="Verdana"/>
          <w:sz w:val="20"/>
          <w:szCs w:val="20"/>
        </w:rPr>
        <w:t xml:space="preserve">El </w:t>
      </w:r>
      <w:r w:rsidR="00E80F07">
        <w:rPr>
          <w:rFonts w:ascii="Verdana" w:hAnsi="Verdana" w:cs="Verdana"/>
          <w:sz w:val="20"/>
          <w:szCs w:val="20"/>
        </w:rPr>
        <w:t xml:space="preserve">26 de abril de 2018 la representante Loayza </w:t>
      </w:r>
      <w:r w:rsidR="003016B2" w:rsidRPr="00BE133F">
        <w:rPr>
          <w:rFonts w:ascii="Verdana" w:hAnsi="Verdana" w:cs="Verdana"/>
          <w:sz w:val="20"/>
          <w:szCs w:val="20"/>
        </w:rPr>
        <w:t>presentó sus observaciones escritas a la solicitud de interpretación</w:t>
      </w:r>
      <w:r w:rsidRPr="00BE133F">
        <w:rPr>
          <w:rFonts w:ascii="Verdana" w:hAnsi="Verdana" w:cs="Verdana"/>
          <w:sz w:val="20"/>
          <w:szCs w:val="20"/>
        </w:rPr>
        <w:t xml:space="preserve"> </w:t>
      </w:r>
      <w:r w:rsidR="003016B2" w:rsidRPr="00BE133F">
        <w:rPr>
          <w:rFonts w:ascii="Verdana" w:hAnsi="Verdana" w:cs="Verdana"/>
          <w:sz w:val="20"/>
          <w:szCs w:val="20"/>
        </w:rPr>
        <w:t>d</w:t>
      </w:r>
      <w:r w:rsidRPr="00BE133F">
        <w:rPr>
          <w:rFonts w:ascii="Verdana" w:hAnsi="Verdana" w:cs="Verdana"/>
          <w:sz w:val="20"/>
          <w:szCs w:val="20"/>
        </w:rPr>
        <w:t>el Estado</w:t>
      </w:r>
      <w:r w:rsidR="003016B2" w:rsidRPr="00BE133F">
        <w:rPr>
          <w:rFonts w:ascii="Verdana" w:hAnsi="Verdana" w:cs="Verdana"/>
          <w:sz w:val="20"/>
          <w:szCs w:val="20"/>
        </w:rPr>
        <w:t xml:space="preserve">. El </w:t>
      </w:r>
      <w:r w:rsidR="008C1317">
        <w:rPr>
          <w:rFonts w:ascii="Verdana" w:hAnsi="Verdana" w:cs="Verdana"/>
          <w:sz w:val="20"/>
          <w:szCs w:val="20"/>
        </w:rPr>
        <w:t>2 de mayo los representantes Manuel Paiba Cossios y Gregorio Paredes Chipana</w:t>
      </w:r>
      <w:r w:rsidR="008C1317">
        <w:rPr>
          <w:rStyle w:val="Refdenotaalpie"/>
          <w:rFonts w:ascii="Verdana" w:hAnsi="Verdana" w:cs="Verdana"/>
          <w:sz w:val="20"/>
          <w:szCs w:val="20"/>
        </w:rPr>
        <w:footnoteReference w:id="4"/>
      </w:r>
      <w:r w:rsidR="008C1317">
        <w:rPr>
          <w:rFonts w:ascii="Verdana" w:hAnsi="Verdana" w:cs="Verdana"/>
          <w:sz w:val="20"/>
          <w:szCs w:val="20"/>
        </w:rPr>
        <w:t xml:space="preserve"> </w:t>
      </w:r>
      <w:r w:rsidR="00D947B3" w:rsidRPr="00BE133F">
        <w:rPr>
          <w:rFonts w:ascii="Verdana" w:hAnsi="Verdana" w:cs="Verdana"/>
          <w:sz w:val="20"/>
          <w:szCs w:val="20"/>
        </w:rPr>
        <w:t>(en adelante “</w:t>
      </w:r>
      <w:r w:rsidR="00D947B3">
        <w:rPr>
          <w:rFonts w:ascii="Verdana" w:hAnsi="Verdana" w:cs="Verdana"/>
          <w:sz w:val="20"/>
          <w:szCs w:val="20"/>
        </w:rPr>
        <w:t>los representantes Paiba y Paredes</w:t>
      </w:r>
      <w:r w:rsidR="00D947B3" w:rsidRPr="00BE133F">
        <w:rPr>
          <w:rFonts w:ascii="Verdana" w:hAnsi="Verdana" w:cs="Verdana"/>
          <w:sz w:val="20"/>
          <w:szCs w:val="20"/>
        </w:rPr>
        <w:t>”)</w:t>
      </w:r>
      <w:r w:rsidR="00D947B3">
        <w:rPr>
          <w:rFonts w:ascii="Verdana" w:hAnsi="Verdana" w:cs="Verdana"/>
          <w:sz w:val="20"/>
          <w:szCs w:val="20"/>
        </w:rPr>
        <w:t xml:space="preserve"> </w:t>
      </w:r>
      <w:r w:rsidR="008C1317">
        <w:rPr>
          <w:rFonts w:ascii="Verdana" w:hAnsi="Verdana" w:cs="Verdana"/>
          <w:sz w:val="20"/>
          <w:szCs w:val="20"/>
        </w:rPr>
        <w:t xml:space="preserve">presentaron sus observaciones escritas a las solicitudes de interpretación de la representante Loayza y del Estado. El </w:t>
      </w:r>
      <w:r w:rsidR="001519BE">
        <w:rPr>
          <w:rFonts w:ascii="Verdana" w:hAnsi="Verdana" w:cs="Verdana"/>
          <w:sz w:val="20"/>
          <w:szCs w:val="20"/>
        </w:rPr>
        <w:t>3 de mayo</w:t>
      </w:r>
      <w:r w:rsidR="003016B2" w:rsidRPr="00BE133F">
        <w:rPr>
          <w:rFonts w:ascii="Verdana" w:hAnsi="Verdana" w:cs="Verdana"/>
          <w:sz w:val="20"/>
          <w:szCs w:val="20"/>
        </w:rPr>
        <w:t xml:space="preserve"> el Estado presentó sus observaciones escritas a la solicitud de interpretación de</w:t>
      </w:r>
      <w:r w:rsidR="001519BE">
        <w:rPr>
          <w:rFonts w:ascii="Verdana" w:hAnsi="Verdana" w:cs="Verdana"/>
          <w:sz w:val="20"/>
          <w:szCs w:val="20"/>
        </w:rPr>
        <w:t xml:space="preserve"> </w:t>
      </w:r>
      <w:r w:rsidR="003016B2" w:rsidRPr="00BE133F">
        <w:rPr>
          <w:rFonts w:ascii="Verdana" w:hAnsi="Verdana" w:cs="Verdana"/>
          <w:sz w:val="20"/>
          <w:szCs w:val="20"/>
        </w:rPr>
        <w:t>l</w:t>
      </w:r>
      <w:r w:rsidR="001519BE">
        <w:rPr>
          <w:rFonts w:ascii="Verdana" w:hAnsi="Verdana" w:cs="Verdana"/>
          <w:sz w:val="20"/>
          <w:szCs w:val="20"/>
        </w:rPr>
        <w:t>a</w:t>
      </w:r>
      <w:r w:rsidR="003016B2" w:rsidRPr="00BE133F">
        <w:rPr>
          <w:rFonts w:ascii="Verdana" w:hAnsi="Verdana" w:cs="Verdana"/>
          <w:sz w:val="20"/>
          <w:szCs w:val="20"/>
        </w:rPr>
        <w:t xml:space="preserve"> representante</w:t>
      </w:r>
      <w:r w:rsidR="001519BE">
        <w:rPr>
          <w:rFonts w:ascii="Verdana" w:hAnsi="Verdana" w:cs="Verdana"/>
          <w:sz w:val="20"/>
          <w:szCs w:val="20"/>
        </w:rPr>
        <w:t xml:space="preserve"> Loayza y el señor Montero Ramírez</w:t>
      </w:r>
      <w:r w:rsidR="0042353D">
        <w:rPr>
          <w:rFonts w:ascii="Verdana" w:hAnsi="Verdana" w:cs="Verdana"/>
          <w:sz w:val="20"/>
          <w:szCs w:val="20"/>
        </w:rPr>
        <w:t>. E</w:t>
      </w:r>
      <w:r w:rsidR="008500AF" w:rsidRPr="00BE133F">
        <w:rPr>
          <w:rFonts w:ascii="Verdana" w:hAnsi="Verdana" w:cs="Verdana"/>
          <w:sz w:val="20"/>
          <w:szCs w:val="20"/>
        </w:rPr>
        <w:t>n la misma fecha</w:t>
      </w:r>
      <w:r w:rsidR="001519BE">
        <w:rPr>
          <w:rFonts w:ascii="Verdana" w:hAnsi="Verdana" w:cs="Verdana"/>
          <w:sz w:val="20"/>
          <w:szCs w:val="20"/>
        </w:rPr>
        <w:t>,</w:t>
      </w:r>
      <w:r w:rsidR="008500AF" w:rsidRPr="00BE133F">
        <w:rPr>
          <w:rFonts w:ascii="Verdana" w:hAnsi="Verdana" w:cs="Verdana"/>
          <w:sz w:val="20"/>
          <w:szCs w:val="20"/>
        </w:rPr>
        <w:t xml:space="preserve"> </w:t>
      </w:r>
      <w:r w:rsidRPr="00BE133F">
        <w:rPr>
          <w:rFonts w:ascii="Verdana" w:hAnsi="Verdana" w:cs="Verdana"/>
          <w:sz w:val="20"/>
          <w:szCs w:val="20"/>
        </w:rPr>
        <w:t xml:space="preserve">la Comisión </w:t>
      </w:r>
      <w:r w:rsidR="00F56B02" w:rsidRPr="00BE133F">
        <w:rPr>
          <w:rFonts w:ascii="Verdana" w:hAnsi="Verdana" w:cs="Verdana"/>
          <w:sz w:val="20"/>
          <w:szCs w:val="20"/>
        </w:rPr>
        <w:t>presentó</w:t>
      </w:r>
      <w:r w:rsidRPr="00BE133F">
        <w:rPr>
          <w:rFonts w:ascii="Verdana" w:hAnsi="Verdana" w:cs="Verdana"/>
          <w:sz w:val="20"/>
          <w:szCs w:val="20"/>
        </w:rPr>
        <w:t xml:space="preserve"> sus observaciones escritas respecto de las referidas solicitudes de interpretación.</w:t>
      </w:r>
      <w:bookmarkEnd w:id="2"/>
      <w:bookmarkEnd w:id="3"/>
    </w:p>
    <w:p w:rsidR="00577097" w:rsidRPr="004B01A4" w:rsidRDefault="00577097" w:rsidP="00577097">
      <w:pPr>
        <w:tabs>
          <w:tab w:val="left" w:pos="567"/>
        </w:tabs>
        <w:autoSpaceDE w:val="0"/>
        <w:autoSpaceDN w:val="0"/>
        <w:adjustRightInd w:val="0"/>
        <w:spacing w:after="0" w:line="240" w:lineRule="auto"/>
        <w:jc w:val="both"/>
        <w:rPr>
          <w:rFonts w:ascii="Verdana" w:hAnsi="Verdana" w:cs="Verdana"/>
          <w:sz w:val="20"/>
          <w:szCs w:val="20"/>
        </w:rPr>
      </w:pPr>
    </w:p>
    <w:p w:rsidR="00577097" w:rsidRPr="00BE133F" w:rsidRDefault="00577097" w:rsidP="00577097">
      <w:pPr>
        <w:tabs>
          <w:tab w:val="left" w:pos="567"/>
        </w:tabs>
        <w:spacing w:after="0" w:line="240" w:lineRule="auto"/>
        <w:jc w:val="center"/>
        <w:rPr>
          <w:rFonts w:ascii="Verdana" w:eastAsia="Times" w:hAnsi="Verdana"/>
          <w:b/>
          <w:bCs/>
          <w:sz w:val="20"/>
          <w:szCs w:val="20"/>
        </w:rPr>
      </w:pPr>
      <w:r w:rsidRPr="00BE133F">
        <w:rPr>
          <w:rFonts w:ascii="Verdana" w:eastAsia="Times" w:hAnsi="Verdana"/>
          <w:b/>
          <w:bCs/>
          <w:sz w:val="20"/>
          <w:szCs w:val="20"/>
        </w:rPr>
        <w:t>II</w:t>
      </w:r>
    </w:p>
    <w:p w:rsidR="00577097" w:rsidRPr="00BE133F" w:rsidRDefault="00577097" w:rsidP="00577097">
      <w:pPr>
        <w:tabs>
          <w:tab w:val="left" w:pos="567"/>
        </w:tabs>
        <w:spacing w:after="0" w:line="240" w:lineRule="auto"/>
        <w:jc w:val="center"/>
        <w:rPr>
          <w:rFonts w:ascii="Verdana" w:eastAsia="Times" w:hAnsi="Verdana"/>
          <w:b/>
          <w:bCs/>
          <w:sz w:val="20"/>
          <w:szCs w:val="20"/>
        </w:rPr>
      </w:pPr>
      <w:r w:rsidRPr="00BE133F">
        <w:rPr>
          <w:rFonts w:ascii="Verdana" w:eastAsia="Times" w:hAnsi="Verdana"/>
          <w:b/>
          <w:bCs/>
          <w:sz w:val="20"/>
          <w:szCs w:val="20"/>
        </w:rPr>
        <w:t>COMPETENCIA</w:t>
      </w:r>
    </w:p>
    <w:p w:rsidR="00577097" w:rsidRPr="00BE133F" w:rsidRDefault="00577097" w:rsidP="00577097">
      <w:pPr>
        <w:tabs>
          <w:tab w:val="left" w:pos="567"/>
        </w:tabs>
        <w:spacing w:after="0" w:line="240" w:lineRule="auto"/>
        <w:ind w:left="720"/>
        <w:jc w:val="both"/>
        <w:rPr>
          <w:rFonts w:ascii="Verdana" w:eastAsia="Batang" w:hAnsi="Verdana"/>
          <w:sz w:val="20"/>
          <w:szCs w:val="20"/>
        </w:rPr>
      </w:pPr>
    </w:p>
    <w:p w:rsidR="00577097" w:rsidRPr="00BE133F" w:rsidRDefault="00577097" w:rsidP="00577097">
      <w:pPr>
        <w:numPr>
          <w:ilvl w:val="0"/>
          <w:numId w:val="1"/>
        </w:numPr>
        <w:tabs>
          <w:tab w:val="left" w:pos="567"/>
          <w:tab w:val="num" w:pos="720"/>
        </w:tabs>
        <w:autoSpaceDE w:val="0"/>
        <w:autoSpaceDN w:val="0"/>
        <w:adjustRightInd w:val="0"/>
        <w:spacing w:after="0" w:line="240" w:lineRule="auto"/>
        <w:jc w:val="both"/>
        <w:rPr>
          <w:rFonts w:ascii="Verdana" w:eastAsia="Times" w:hAnsi="Verdana"/>
          <w:bCs/>
          <w:sz w:val="20"/>
          <w:szCs w:val="20"/>
          <w:lang w:val="es-ES_tradnl"/>
        </w:rPr>
      </w:pPr>
      <w:bookmarkStart w:id="4" w:name="_Ref361668910"/>
      <w:r w:rsidRPr="00BE133F">
        <w:rPr>
          <w:rFonts w:ascii="Verdana" w:eastAsia="Times" w:hAnsi="Verdana"/>
          <w:sz w:val="20"/>
          <w:szCs w:val="20"/>
        </w:rPr>
        <w:t>El artículo 67 de la Convención establece que:</w:t>
      </w:r>
      <w:bookmarkEnd w:id="4"/>
    </w:p>
    <w:p w:rsidR="00577097" w:rsidRPr="00BE133F" w:rsidRDefault="00577097" w:rsidP="00577097">
      <w:pPr>
        <w:tabs>
          <w:tab w:val="left" w:pos="567"/>
        </w:tabs>
        <w:autoSpaceDE w:val="0"/>
        <w:autoSpaceDN w:val="0"/>
        <w:adjustRightInd w:val="0"/>
        <w:spacing w:after="0" w:line="240" w:lineRule="auto"/>
        <w:jc w:val="both"/>
        <w:rPr>
          <w:rFonts w:ascii="Verdana" w:eastAsia="Times" w:hAnsi="Verdana"/>
          <w:bCs/>
          <w:sz w:val="20"/>
          <w:szCs w:val="20"/>
          <w:lang w:val="es-ES_tradnl"/>
        </w:rPr>
      </w:pPr>
    </w:p>
    <w:p w:rsidR="00577097" w:rsidRPr="007274AC" w:rsidRDefault="00577097" w:rsidP="007274AC">
      <w:pPr>
        <w:pStyle w:val="Textodebloque"/>
      </w:pPr>
      <w:r w:rsidRPr="007274AC">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rsidR="00577097" w:rsidRPr="00BE133F" w:rsidRDefault="00577097" w:rsidP="00577097">
      <w:pPr>
        <w:tabs>
          <w:tab w:val="left" w:pos="567"/>
        </w:tabs>
        <w:spacing w:after="0" w:line="240" w:lineRule="auto"/>
        <w:ind w:left="720" w:right="639"/>
        <w:jc w:val="both"/>
        <w:rPr>
          <w:rFonts w:ascii="Verdana" w:eastAsia="Times" w:hAnsi="Verdana"/>
          <w:sz w:val="20"/>
          <w:szCs w:val="20"/>
          <w:lang w:val="es-ES_tradnl"/>
        </w:rPr>
      </w:pPr>
    </w:p>
    <w:p w:rsidR="009D52B4" w:rsidRPr="00C82D0E" w:rsidRDefault="00577097" w:rsidP="00072E95">
      <w:pPr>
        <w:spacing w:after="0" w:line="240" w:lineRule="auto"/>
        <w:ind w:firstLine="720"/>
        <w:jc w:val="both"/>
        <w:rPr>
          <w:rFonts w:ascii="Verdana" w:eastAsia="Times" w:hAnsi="Verdana"/>
          <w:bCs/>
          <w:sz w:val="20"/>
          <w:szCs w:val="20"/>
          <w:lang w:val="es-ES_tradnl"/>
        </w:rPr>
      </w:pPr>
      <w:r w:rsidRPr="008C1317">
        <w:rPr>
          <w:rFonts w:ascii="Verdana" w:eastAsia="Times" w:hAnsi="Verdana"/>
          <w:sz w:val="20"/>
          <w:szCs w:val="20"/>
        </w:rPr>
        <w:lastRenderedPageBreak/>
        <w:t xml:space="preserve">De conformidad con el artículo citado, la Corte es competente para interpretar sus fallos. Para realizar el examen de la solicitud de interpretación y resolver lo que a este respecto corresponda, el Tribunal debe tener, si es posible, la misma composición que tenía al dictar la Sentencia respectiva, de acuerdo con el artículo 68.3 del Reglamento. En esta ocasión, la Corte se integra por los </w:t>
      </w:r>
      <w:bookmarkStart w:id="5" w:name="_Ref364680909"/>
      <w:r w:rsidR="00072E95" w:rsidRPr="008C1317">
        <w:rPr>
          <w:rFonts w:ascii="Verdana" w:eastAsia="Times" w:hAnsi="Verdana"/>
          <w:sz w:val="20"/>
          <w:szCs w:val="20"/>
        </w:rPr>
        <w:t xml:space="preserve">jueces </w:t>
      </w:r>
      <w:r w:rsidR="00072E95" w:rsidRPr="008C1317">
        <w:rPr>
          <w:rFonts w:ascii="Verdana" w:hAnsi="Verdana" w:cs="Verdana"/>
          <w:sz w:val="20"/>
          <w:szCs w:val="20"/>
          <w:lang w:val="pt-BR"/>
        </w:rPr>
        <w:t xml:space="preserve">Eduardo Ferrer Mac-Gregor Poisot, Presidente; </w:t>
      </w:r>
      <w:r w:rsidR="00072E95" w:rsidRPr="008C1317">
        <w:rPr>
          <w:rFonts w:ascii="Verdana" w:hAnsi="Verdana" w:cs="Verdana"/>
          <w:sz w:val="20"/>
          <w:szCs w:val="20"/>
          <w:lang w:val="es-AR"/>
        </w:rPr>
        <w:t>Humberto Antonio Sierra Porto</w:t>
      </w:r>
      <w:r w:rsidR="00072E95" w:rsidRPr="008C1317">
        <w:rPr>
          <w:rFonts w:ascii="Verdana" w:hAnsi="Verdana" w:cs="Verdana"/>
          <w:sz w:val="20"/>
          <w:szCs w:val="20"/>
          <w:lang w:val="es-ES"/>
        </w:rPr>
        <w:t>, Juez; Elizabeth Odio Benito, Jueza; Eugenio Raúl Zaffaroni, Juez; y L. Patricio Pazmiño Freire, Juez</w:t>
      </w:r>
      <w:bookmarkEnd w:id="5"/>
      <w:r w:rsidR="00072E95" w:rsidRPr="008C1317">
        <w:rPr>
          <w:rFonts w:ascii="Verdana" w:hAnsi="Verdana" w:cs="Verdana"/>
          <w:sz w:val="20"/>
          <w:szCs w:val="20"/>
          <w:lang w:val="es-ES"/>
        </w:rPr>
        <w:t xml:space="preserve">. </w:t>
      </w:r>
    </w:p>
    <w:p w:rsidR="00C82D0E" w:rsidRDefault="00C82D0E" w:rsidP="00577097">
      <w:pPr>
        <w:tabs>
          <w:tab w:val="left" w:pos="567"/>
        </w:tabs>
        <w:autoSpaceDE w:val="0"/>
        <w:autoSpaceDN w:val="0"/>
        <w:adjustRightInd w:val="0"/>
        <w:spacing w:after="0" w:line="240" w:lineRule="auto"/>
        <w:jc w:val="center"/>
        <w:rPr>
          <w:rFonts w:ascii="Verdana" w:hAnsi="Verdana" w:cs="Verdana"/>
          <w:b/>
          <w:sz w:val="20"/>
          <w:szCs w:val="20"/>
        </w:rPr>
      </w:pPr>
    </w:p>
    <w:p w:rsidR="00577097" w:rsidRPr="00BE133F" w:rsidRDefault="00577097" w:rsidP="00577097">
      <w:pPr>
        <w:tabs>
          <w:tab w:val="left" w:pos="567"/>
        </w:tabs>
        <w:autoSpaceDE w:val="0"/>
        <w:autoSpaceDN w:val="0"/>
        <w:adjustRightInd w:val="0"/>
        <w:spacing w:after="0" w:line="240" w:lineRule="auto"/>
        <w:jc w:val="center"/>
        <w:rPr>
          <w:rFonts w:ascii="Verdana" w:hAnsi="Verdana" w:cs="Verdana"/>
          <w:b/>
          <w:sz w:val="20"/>
          <w:szCs w:val="20"/>
        </w:rPr>
      </w:pPr>
      <w:r w:rsidRPr="00BE133F">
        <w:rPr>
          <w:rFonts w:ascii="Verdana" w:hAnsi="Verdana" w:cs="Verdana"/>
          <w:b/>
          <w:sz w:val="20"/>
          <w:szCs w:val="20"/>
        </w:rPr>
        <w:t>III</w:t>
      </w:r>
    </w:p>
    <w:p w:rsidR="00577097" w:rsidRPr="00BE133F" w:rsidRDefault="00577097" w:rsidP="00577097">
      <w:pPr>
        <w:tabs>
          <w:tab w:val="left" w:pos="567"/>
        </w:tabs>
        <w:autoSpaceDE w:val="0"/>
        <w:autoSpaceDN w:val="0"/>
        <w:adjustRightInd w:val="0"/>
        <w:spacing w:after="0" w:line="240" w:lineRule="auto"/>
        <w:jc w:val="center"/>
        <w:rPr>
          <w:rFonts w:ascii="Verdana" w:hAnsi="Verdana" w:cs="Verdana"/>
          <w:b/>
          <w:sz w:val="20"/>
          <w:szCs w:val="20"/>
        </w:rPr>
      </w:pPr>
      <w:r w:rsidRPr="00BE133F">
        <w:rPr>
          <w:rFonts w:ascii="Verdana" w:hAnsi="Verdana" w:cs="Verdana"/>
          <w:b/>
          <w:sz w:val="20"/>
          <w:szCs w:val="20"/>
        </w:rPr>
        <w:t>ADMISIBILIDAD</w:t>
      </w:r>
    </w:p>
    <w:p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rPr>
      </w:pPr>
      <w:bookmarkStart w:id="6" w:name="_Ref363125960"/>
    </w:p>
    <w:p w:rsidR="00577097" w:rsidRPr="00BE133F" w:rsidRDefault="00577097"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BE133F">
        <w:rPr>
          <w:rFonts w:ascii="Verdana" w:eastAsia="Times" w:hAnsi="Verdana"/>
          <w:sz w:val="20"/>
          <w:szCs w:val="20"/>
          <w:lang w:val="es-ES_tradnl"/>
        </w:rPr>
        <w:t xml:space="preserve">Corresponde a la Corte verificar si las solicitudes presentadas por </w:t>
      </w:r>
      <w:r w:rsidR="00F346D3">
        <w:rPr>
          <w:rFonts w:ascii="Verdana" w:eastAsia="Times" w:hAnsi="Verdana"/>
          <w:sz w:val="20"/>
          <w:szCs w:val="20"/>
          <w:lang w:val="es-ES_tradnl"/>
        </w:rPr>
        <w:t>la representante Loayza</w:t>
      </w:r>
      <w:r w:rsidR="00546D19">
        <w:rPr>
          <w:rFonts w:ascii="Verdana" w:eastAsia="Times" w:hAnsi="Verdana"/>
          <w:sz w:val="20"/>
          <w:szCs w:val="20"/>
          <w:lang w:val="es-ES_tradnl"/>
        </w:rPr>
        <w:t>, el señor Abraham Montero Ramírez</w:t>
      </w:r>
      <w:r w:rsidRPr="00BE133F">
        <w:rPr>
          <w:rFonts w:ascii="Verdana" w:eastAsia="Times" w:hAnsi="Verdana"/>
          <w:sz w:val="20"/>
          <w:szCs w:val="20"/>
          <w:lang w:val="es-ES_tradnl"/>
        </w:rPr>
        <w:t xml:space="preserve"> y </w:t>
      </w:r>
      <w:r w:rsidR="00D724A5" w:rsidRPr="00BE133F">
        <w:rPr>
          <w:rFonts w:ascii="Verdana" w:eastAsia="Times" w:hAnsi="Verdana"/>
          <w:sz w:val="20"/>
          <w:szCs w:val="20"/>
          <w:lang w:val="es-ES_tradnl"/>
        </w:rPr>
        <w:t>el Estado</w:t>
      </w:r>
      <w:r w:rsidRPr="00BE133F">
        <w:rPr>
          <w:rFonts w:ascii="Verdana" w:eastAsia="Times" w:hAnsi="Verdana"/>
          <w:sz w:val="20"/>
          <w:szCs w:val="20"/>
          <w:lang w:val="es-ES_tradnl"/>
        </w:rPr>
        <w:t xml:space="preserve"> cumplen con los requisitos establecidos en las normas aplicables a una solicitud de interpretación de Sentencia, a saber, el artículo 67 de la Convención, anteriormente citado, y el artículo 68 del Reglamento que dispone, en lo pertinente, que:</w:t>
      </w:r>
      <w:bookmarkEnd w:id="6"/>
    </w:p>
    <w:p w:rsidR="00577097" w:rsidRPr="00BE133F" w:rsidRDefault="00577097" w:rsidP="00577097">
      <w:pPr>
        <w:tabs>
          <w:tab w:val="left" w:pos="567"/>
        </w:tabs>
        <w:spacing w:after="0" w:line="240" w:lineRule="auto"/>
        <w:rPr>
          <w:rFonts w:ascii="Verdana" w:eastAsia="Times" w:hAnsi="Verdana"/>
          <w:sz w:val="20"/>
          <w:szCs w:val="20"/>
        </w:rPr>
      </w:pPr>
    </w:p>
    <w:p w:rsidR="00577097" w:rsidRPr="007274AC" w:rsidRDefault="00577097" w:rsidP="00577097">
      <w:pPr>
        <w:tabs>
          <w:tab w:val="left" w:pos="567"/>
        </w:tabs>
        <w:spacing w:after="0" w:line="240" w:lineRule="auto"/>
        <w:ind w:left="567" w:right="720"/>
        <w:jc w:val="both"/>
        <w:rPr>
          <w:rFonts w:ascii="Verdana" w:eastAsia="Times" w:hAnsi="Verdana"/>
          <w:sz w:val="18"/>
          <w:szCs w:val="18"/>
          <w:lang w:val="es-ES_tradnl"/>
        </w:rPr>
      </w:pPr>
      <w:r w:rsidRPr="007274AC">
        <w:rPr>
          <w:rFonts w:ascii="Verdana" w:eastAsia="Times" w:hAnsi="Verdana"/>
          <w:sz w:val="18"/>
          <w:szCs w:val="18"/>
          <w:lang w:val="es-ES_tradnl"/>
        </w:rPr>
        <w:t>1.</w:t>
      </w:r>
      <w:r w:rsidRPr="007274AC">
        <w:rPr>
          <w:rFonts w:ascii="Verdana" w:eastAsia="Times" w:hAnsi="Verdana"/>
          <w:sz w:val="18"/>
          <w:szCs w:val="18"/>
          <w:lang w:val="es-ES_tradnl"/>
        </w:rPr>
        <w:tab/>
        <w:t>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w:t>
      </w:r>
    </w:p>
    <w:p w:rsidR="00577097" w:rsidRPr="007274AC" w:rsidRDefault="00577097" w:rsidP="00577097">
      <w:pPr>
        <w:tabs>
          <w:tab w:val="left" w:pos="567"/>
        </w:tabs>
        <w:spacing w:after="0" w:line="240" w:lineRule="auto"/>
        <w:ind w:left="567" w:right="720"/>
        <w:rPr>
          <w:rFonts w:ascii="Verdana" w:eastAsia="Times" w:hAnsi="Verdana"/>
          <w:sz w:val="18"/>
          <w:szCs w:val="18"/>
          <w:lang w:val="es-ES_tradnl"/>
        </w:rPr>
      </w:pPr>
      <w:r w:rsidRPr="007274AC">
        <w:rPr>
          <w:rFonts w:ascii="Verdana" w:eastAsia="Times" w:hAnsi="Verdana"/>
          <w:sz w:val="18"/>
          <w:szCs w:val="18"/>
          <w:lang w:val="es-ES_tradnl"/>
        </w:rPr>
        <w:t>[…]</w:t>
      </w:r>
    </w:p>
    <w:p w:rsidR="00577097" w:rsidRDefault="00577097" w:rsidP="00577097">
      <w:pPr>
        <w:tabs>
          <w:tab w:val="left" w:pos="567"/>
        </w:tabs>
        <w:spacing w:after="0" w:line="240" w:lineRule="auto"/>
        <w:ind w:left="567" w:right="720"/>
        <w:rPr>
          <w:rFonts w:ascii="Verdana" w:eastAsia="Times" w:hAnsi="Verdana"/>
          <w:sz w:val="18"/>
          <w:szCs w:val="18"/>
          <w:lang w:val="es-ES_tradnl"/>
        </w:rPr>
      </w:pPr>
    </w:p>
    <w:p w:rsidR="00F346D3" w:rsidRPr="00F51044" w:rsidRDefault="00F346D3" w:rsidP="0016280D">
      <w:pPr>
        <w:tabs>
          <w:tab w:val="left" w:pos="567"/>
        </w:tabs>
        <w:spacing w:after="0" w:line="240" w:lineRule="auto"/>
        <w:ind w:left="567" w:right="720"/>
        <w:jc w:val="both"/>
        <w:rPr>
          <w:rFonts w:ascii="Verdana" w:eastAsia="Times" w:hAnsi="Verdana"/>
          <w:sz w:val="18"/>
          <w:szCs w:val="18"/>
          <w:lang w:val="es-ES_tradnl"/>
        </w:rPr>
      </w:pPr>
      <w:r>
        <w:rPr>
          <w:rFonts w:ascii="Verdana" w:hAnsi="Verdana"/>
          <w:sz w:val="18"/>
          <w:szCs w:val="18"/>
        </w:rPr>
        <w:t>3.</w:t>
      </w:r>
      <w:r>
        <w:rPr>
          <w:rFonts w:ascii="Verdana" w:hAnsi="Verdana"/>
          <w:sz w:val="18"/>
          <w:szCs w:val="18"/>
        </w:rPr>
        <w:tab/>
      </w:r>
      <w:r w:rsidRPr="00C06515">
        <w:rPr>
          <w:rFonts w:ascii="Verdana" w:hAnsi="Verdana"/>
          <w:sz w:val="18"/>
          <w:szCs w:val="18"/>
        </w:rPr>
        <w:t>Para el examen de la solicitud de interpretación, la Corte se reunirá, si es posible, con la composición que tenía al dictar la sentencia respectiva. Sin embargo, en caso de fallecimiento, renuncia, impedimento, excusa o inhabilitación, se sustituirá al Juez de que se trate según el artículo 17 de este Reglamento.</w:t>
      </w:r>
    </w:p>
    <w:p w:rsidR="00F346D3" w:rsidRPr="007274AC" w:rsidRDefault="00F346D3" w:rsidP="00577097">
      <w:pPr>
        <w:tabs>
          <w:tab w:val="left" w:pos="567"/>
        </w:tabs>
        <w:spacing w:after="0" w:line="240" w:lineRule="auto"/>
        <w:ind w:left="567" w:right="720"/>
        <w:rPr>
          <w:rFonts w:ascii="Verdana" w:eastAsia="Times" w:hAnsi="Verdana"/>
          <w:sz w:val="18"/>
          <w:szCs w:val="18"/>
          <w:lang w:val="es-ES_tradnl"/>
        </w:rPr>
      </w:pPr>
    </w:p>
    <w:p w:rsidR="00577097" w:rsidRPr="007274AC" w:rsidRDefault="00577097" w:rsidP="00577097">
      <w:pPr>
        <w:tabs>
          <w:tab w:val="left" w:pos="567"/>
        </w:tabs>
        <w:spacing w:after="0" w:line="240" w:lineRule="auto"/>
        <w:ind w:left="567" w:right="720"/>
        <w:jc w:val="both"/>
        <w:rPr>
          <w:rFonts w:ascii="Verdana" w:eastAsia="Times" w:hAnsi="Verdana"/>
          <w:sz w:val="18"/>
          <w:szCs w:val="18"/>
          <w:lang w:val="es-ES_tradnl"/>
        </w:rPr>
      </w:pPr>
      <w:r w:rsidRPr="007274AC">
        <w:rPr>
          <w:rFonts w:ascii="Verdana" w:eastAsia="Times" w:hAnsi="Verdana"/>
          <w:sz w:val="18"/>
          <w:szCs w:val="18"/>
          <w:lang w:val="es-ES_tradnl"/>
        </w:rPr>
        <w:t>4.</w:t>
      </w:r>
      <w:r w:rsidRPr="007274AC">
        <w:rPr>
          <w:rFonts w:ascii="Verdana" w:eastAsia="Times" w:hAnsi="Verdana"/>
          <w:sz w:val="18"/>
          <w:szCs w:val="18"/>
          <w:lang w:val="es-ES_tradnl"/>
        </w:rPr>
        <w:tab/>
        <w:t>La solicitud de interpretación no suspenderá la ejecución de la sentencia.</w:t>
      </w:r>
    </w:p>
    <w:p w:rsidR="00577097" w:rsidRPr="007274AC" w:rsidRDefault="00577097" w:rsidP="00577097">
      <w:pPr>
        <w:tabs>
          <w:tab w:val="left" w:pos="567"/>
        </w:tabs>
        <w:spacing w:after="0" w:line="240" w:lineRule="auto"/>
        <w:ind w:left="567" w:right="702"/>
        <w:jc w:val="both"/>
        <w:rPr>
          <w:rFonts w:ascii="Verdana" w:eastAsia="Times" w:hAnsi="Verdana"/>
          <w:sz w:val="18"/>
          <w:szCs w:val="18"/>
          <w:lang w:val="es-ES_tradnl"/>
        </w:rPr>
      </w:pPr>
    </w:p>
    <w:p w:rsidR="00577097" w:rsidRPr="007274AC" w:rsidRDefault="00577097" w:rsidP="00577097">
      <w:pPr>
        <w:tabs>
          <w:tab w:val="left" w:pos="567"/>
        </w:tabs>
        <w:spacing w:after="0" w:line="240" w:lineRule="auto"/>
        <w:ind w:left="567" w:right="702"/>
        <w:jc w:val="both"/>
        <w:rPr>
          <w:rFonts w:ascii="Verdana" w:eastAsia="Times" w:hAnsi="Verdana"/>
          <w:sz w:val="18"/>
          <w:szCs w:val="18"/>
          <w:lang w:val="es-ES_tradnl"/>
        </w:rPr>
      </w:pPr>
      <w:r w:rsidRPr="007274AC">
        <w:rPr>
          <w:rFonts w:ascii="Verdana" w:eastAsia="Times" w:hAnsi="Verdana"/>
          <w:sz w:val="18"/>
          <w:szCs w:val="18"/>
          <w:lang w:val="es-ES_tradnl"/>
        </w:rPr>
        <w:t>5.</w:t>
      </w:r>
      <w:r w:rsidRPr="007274AC">
        <w:rPr>
          <w:rFonts w:ascii="Verdana" w:eastAsia="Times" w:hAnsi="Verdana"/>
          <w:sz w:val="18"/>
          <w:szCs w:val="18"/>
          <w:lang w:val="es-ES_tradnl"/>
        </w:rPr>
        <w:tab/>
        <w:t xml:space="preserve">La Corte determinará el procedimiento que se seguirá y resolverá mediante una sentencia. </w:t>
      </w:r>
    </w:p>
    <w:p w:rsidR="00577097" w:rsidRPr="00BE133F" w:rsidRDefault="00577097" w:rsidP="00577097">
      <w:pPr>
        <w:tabs>
          <w:tab w:val="left" w:pos="567"/>
        </w:tabs>
        <w:spacing w:after="0" w:line="240" w:lineRule="auto"/>
        <w:jc w:val="both"/>
        <w:rPr>
          <w:rFonts w:ascii="Verdana" w:eastAsia="Times" w:hAnsi="Verdana"/>
          <w:sz w:val="20"/>
          <w:szCs w:val="20"/>
          <w:lang w:val="es-ES_tradnl"/>
        </w:rPr>
      </w:pPr>
      <w:bookmarkStart w:id="7" w:name="_Ref363125964"/>
    </w:p>
    <w:p w:rsidR="00577097" w:rsidRPr="00BE133F" w:rsidRDefault="00577097" w:rsidP="00577097">
      <w:pPr>
        <w:numPr>
          <w:ilvl w:val="0"/>
          <w:numId w:val="1"/>
        </w:numPr>
        <w:tabs>
          <w:tab w:val="left" w:pos="567"/>
          <w:tab w:val="num" w:pos="720"/>
        </w:tabs>
        <w:spacing w:after="0" w:line="240" w:lineRule="auto"/>
        <w:jc w:val="both"/>
        <w:rPr>
          <w:rFonts w:ascii="Verdana" w:eastAsia="Times" w:hAnsi="Verdana"/>
          <w:sz w:val="20"/>
          <w:szCs w:val="20"/>
          <w:lang w:val="es-ES_tradnl"/>
        </w:rPr>
      </w:pPr>
      <w:r w:rsidRPr="00BE133F">
        <w:rPr>
          <w:rFonts w:ascii="Verdana" w:eastAsia="Times" w:hAnsi="Verdana"/>
          <w:sz w:val="20"/>
          <w:szCs w:val="20"/>
          <w:lang w:val="es-ES_tradnl"/>
        </w:rPr>
        <w:t>Asimismo, el artículo 31.3 del Reglamento establece que “[c]ontra las sentencias y resoluciones de la Corte no procede ningún medio de impugnación”.</w:t>
      </w:r>
      <w:bookmarkEnd w:id="7"/>
    </w:p>
    <w:p w:rsidR="00577097" w:rsidRPr="00BE133F" w:rsidRDefault="00577097" w:rsidP="00577097">
      <w:pPr>
        <w:tabs>
          <w:tab w:val="left" w:pos="567"/>
        </w:tabs>
        <w:spacing w:after="0" w:line="240" w:lineRule="auto"/>
        <w:ind w:left="720"/>
        <w:jc w:val="both"/>
        <w:rPr>
          <w:rFonts w:ascii="Verdana" w:eastAsia="Batang" w:hAnsi="Verdana"/>
          <w:sz w:val="20"/>
          <w:szCs w:val="20"/>
          <w:lang w:val="es-ES_tradnl"/>
        </w:rPr>
      </w:pPr>
    </w:p>
    <w:p w:rsidR="00577097" w:rsidRPr="00BE133F" w:rsidRDefault="00577097" w:rsidP="00577097">
      <w:pPr>
        <w:numPr>
          <w:ilvl w:val="0"/>
          <w:numId w:val="1"/>
        </w:numPr>
        <w:tabs>
          <w:tab w:val="left" w:pos="567"/>
          <w:tab w:val="num" w:pos="720"/>
        </w:tabs>
        <w:spacing w:after="0" w:line="240" w:lineRule="auto"/>
        <w:jc w:val="both"/>
        <w:rPr>
          <w:rFonts w:ascii="Verdana" w:eastAsia="Times" w:hAnsi="Verdana"/>
          <w:sz w:val="20"/>
          <w:szCs w:val="20"/>
          <w:lang w:val="es-ES_tradnl"/>
        </w:rPr>
      </w:pPr>
      <w:r w:rsidRPr="00BE133F">
        <w:rPr>
          <w:rFonts w:ascii="Verdana" w:eastAsia="Times" w:hAnsi="Verdana"/>
          <w:sz w:val="20"/>
          <w:szCs w:val="20"/>
          <w:lang w:val="es-ES_tradnl"/>
        </w:rPr>
        <w:t xml:space="preserve">La Corte observa que </w:t>
      </w:r>
      <w:r w:rsidR="00B048ED">
        <w:rPr>
          <w:rFonts w:ascii="Verdana" w:eastAsia="Times" w:hAnsi="Verdana"/>
          <w:sz w:val="20"/>
          <w:szCs w:val="20"/>
          <w:lang w:val="es-ES_tradnl"/>
        </w:rPr>
        <w:t>la</w:t>
      </w:r>
      <w:r w:rsidRPr="00BE133F">
        <w:rPr>
          <w:rFonts w:ascii="Verdana" w:eastAsia="Times" w:hAnsi="Verdana"/>
          <w:sz w:val="20"/>
          <w:szCs w:val="20"/>
          <w:lang w:val="es-ES_tradnl"/>
        </w:rPr>
        <w:t xml:space="preserve"> representante</w:t>
      </w:r>
      <w:r w:rsidR="00B048ED">
        <w:rPr>
          <w:rFonts w:ascii="Verdana" w:eastAsia="Times" w:hAnsi="Verdana"/>
          <w:sz w:val="20"/>
          <w:szCs w:val="20"/>
          <w:lang w:val="es-ES_tradnl"/>
        </w:rPr>
        <w:t xml:space="preserve"> Loayza</w:t>
      </w:r>
      <w:r w:rsidRPr="00BE133F">
        <w:rPr>
          <w:rFonts w:ascii="Verdana" w:eastAsia="Times" w:hAnsi="Verdana"/>
          <w:sz w:val="20"/>
          <w:szCs w:val="20"/>
          <w:lang w:val="es-ES_tradnl"/>
        </w:rPr>
        <w:t xml:space="preserve"> </w:t>
      </w:r>
      <w:r w:rsidR="00B35601" w:rsidRPr="00BE133F">
        <w:rPr>
          <w:rFonts w:ascii="Verdana" w:eastAsia="Times" w:hAnsi="Verdana"/>
          <w:sz w:val="20"/>
          <w:szCs w:val="20"/>
          <w:lang w:val="es-ES_tradnl"/>
        </w:rPr>
        <w:t>remitió</w:t>
      </w:r>
      <w:r w:rsidRPr="00BE133F">
        <w:rPr>
          <w:rFonts w:ascii="Verdana" w:eastAsia="Times" w:hAnsi="Verdana"/>
          <w:sz w:val="20"/>
          <w:szCs w:val="20"/>
          <w:lang w:val="es-ES_tradnl"/>
        </w:rPr>
        <w:t xml:space="preserve"> la solicitud de interpretación el </w:t>
      </w:r>
      <w:r w:rsidR="00B048ED">
        <w:rPr>
          <w:rFonts w:ascii="Verdana" w:eastAsia="Times" w:hAnsi="Verdana"/>
          <w:sz w:val="20"/>
          <w:szCs w:val="20"/>
          <w:lang w:val="es-ES_tradnl"/>
        </w:rPr>
        <w:t>12 de marzo de 2018</w:t>
      </w:r>
      <w:r w:rsidRPr="00BE133F">
        <w:rPr>
          <w:rFonts w:ascii="Verdana" w:eastAsia="Times" w:hAnsi="Verdana"/>
          <w:sz w:val="20"/>
          <w:szCs w:val="20"/>
          <w:lang w:val="es-ES_tradnl"/>
        </w:rPr>
        <w:t>,</w:t>
      </w:r>
      <w:r w:rsidR="00B048ED">
        <w:rPr>
          <w:rFonts w:ascii="Verdana" w:eastAsia="Times" w:hAnsi="Verdana"/>
          <w:sz w:val="20"/>
          <w:szCs w:val="20"/>
          <w:lang w:val="es-ES_tradnl"/>
        </w:rPr>
        <w:t xml:space="preserve"> el señor Abraham Montero Ramírez el 13 de marzo de 2018,</w:t>
      </w:r>
      <w:r w:rsidRPr="00BE133F">
        <w:rPr>
          <w:rFonts w:ascii="Verdana" w:eastAsia="Times" w:hAnsi="Verdana"/>
          <w:sz w:val="20"/>
          <w:szCs w:val="20"/>
          <w:lang w:val="es-ES_tradnl"/>
        </w:rPr>
        <w:t xml:space="preserve"> y </w:t>
      </w:r>
      <w:r w:rsidR="00B35601" w:rsidRPr="00BE133F">
        <w:rPr>
          <w:rFonts w:ascii="Verdana" w:eastAsia="Times" w:hAnsi="Verdana"/>
          <w:sz w:val="20"/>
          <w:szCs w:val="20"/>
          <w:lang w:val="es-ES_tradnl"/>
        </w:rPr>
        <w:t>el Estado lo hizo</w:t>
      </w:r>
      <w:r w:rsidRPr="00BE133F">
        <w:rPr>
          <w:rFonts w:ascii="Verdana" w:eastAsia="Times" w:hAnsi="Verdana"/>
          <w:sz w:val="20"/>
          <w:szCs w:val="20"/>
          <w:lang w:val="es-ES_tradnl"/>
        </w:rPr>
        <w:t xml:space="preserve"> el </w:t>
      </w:r>
      <w:r w:rsidR="00B048ED">
        <w:rPr>
          <w:rFonts w:ascii="Verdana" w:eastAsia="Times" w:hAnsi="Verdana"/>
          <w:sz w:val="20"/>
          <w:szCs w:val="20"/>
          <w:lang w:val="es-ES_tradnl"/>
        </w:rPr>
        <w:t>20 de marzo de 2018</w:t>
      </w:r>
      <w:r w:rsidRPr="00BE133F">
        <w:rPr>
          <w:rFonts w:ascii="Verdana" w:eastAsia="Times" w:hAnsi="Verdana"/>
          <w:sz w:val="20"/>
          <w:szCs w:val="20"/>
          <w:lang w:val="es-ES_tradnl"/>
        </w:rPr>
        <w:t xml:space="preserve">, </w:t>
      </w:r>
      <w:r w:rsidR="00546D19">
        <w:rPr>
          <w:rFonts w:ascii="Verdana" w:eastAsia="Times" w:hAnsi="Verdana"/>
          <w:sz w:val="20"/>
          <w:szCs w:val="20"/>
          <w:lang w:val="es-ES_tradnl"/>
        </w:rPr>
        <w:t>todos</w:t>
      </w:r>
      <w:r w:rsidRPr="00BE133F">
        <w:rPr>
          <w:rFonts w:ascii="Verdana" w:eastAsia="Times" w:hAnsi="Verdana"/>
          <w:sz w:val="20"/>
          <w:szCs w:val="20"/>
          <w:lang w:val="es-ES_tradnl"/>
        </w:rPr>
        <w:t xml:space="preserve"> dentro del plazo establecido en el artículo 67 de la Convención, ya que la </w:t>
      </w:r>
      <w:r w:rsidR="001241EC">
        <w:rPr>
          <w:rFonts w:ascii="Verdana" w:eastAsia="Times" w:hAnsi="Verdana"/>
          <w:sz w:val="20"/>
          <w:szCs w:val="20"/>
          <w:lang w:val="es-ES_tradnl"/>
        </w:rPr>
        <w:t>Sentencia</w:t>
      </w:r>
      <w:r w:rsidRPr="00BE133F">
        <w:rPr>
          <w:rFonts w:ascii="Verdana" w:eastAsia="Times" w:hAnsi="Verdana"/>
          <w:sz w:val="20"/>
          <w:szCs w:val="20"/>
          <w:lang w:val="es-ES_tradnl"/>
        </w:rPr>
        <w:t xml:space="preserve"> fue notificada el </w:t>
      </w:r>
      <w:r w:rsidR="00B048ED">
        <w:rPr>
          <w:rFonts w:ascii="Verdana" w:eastAsia="Times" w:hAnsi="Verdana"/>
          <w:sz w:val="20"/>
          <w:szCs w:val="20"/>
          <w:lang w:val="es-ES_tradnl"/>
        </w:rPr>
        <w:t>20 de diciembre de 2017</w:t>
      </w:r>
      <w:r w:rsidRPr="00BE133F">
        <w:rPr>
          <w:rFonts w:ascii="Verdana" w:eastAsia="Times" w:hAnsi="Verdana"/>
          <w:sz w:val="20"/>
          <w:szCs w:val="20"/>
          <w:lang w:val="es-ES_tradnl"/>
        </w:rPr>
        <w:t xml:space="preserve">. Por ende, las solicitudes resultan admisibles en lo que se refiere al plazo de su presentación. En cuanto a los demás requisitos, la Corte realizará el análisis respectivo al examinar el contenido de </w:t>
      </w:r>
      <w:r w:rsidR="003A32F1">
        <w:rPr>
          <w:rFonts w:ascii="Verdana" w:eastAsia="Times" w:hAnsi="Verdana"/>
          <w:sz w:val="20"/>
          <w:szCs w:val="20"/>
          <w:lang w:val="es-ES_tradnl"/>
        </w:rPr>
        <w:t>cada</w:t>
      </w:r>
      <w:r w:rsidRPr="00BE133F">
        <w:rPr>
          <w:rFonts w:ascii="Verdana" w:eastAsia="Times" w:hAnsi="Verdana"/>
          <w:sz w:val="20"/>
          <w:szCs w:val="20"/>
          <w:lang w:val="es-ES_tradnl"/>
        </w:rPr>
        <w:t xml:space="preserve"> solicitud de interpretación en el próximo capítulo.</w:t>
      </w:r>
    </w:p>
    <w:p w:rsidR="00577097" w:rsidRPr="00BE133F" w:rsidRDefault="00577097" w:rsidP="00577097">
      <w:pPr>
        <w:tabs>
          <w:tab w:val="left" w:pos="567"/>
        </w:tabs>
        <w:spacing w:after="0" w:line="240" w:lineRule="auto"/>
        <w:jc w:val="both"/>
        <w:rPr>
          <w:rFonts w:ascii="Verdana" w:eastAsia="Times" w:hAnsi="Verdana"/>
          <w:sz w:val="20"/>
          <w:szCs w:val="20"/>
          <w:u w:val="single"/>
          <w:lang w:val="es-ES_tradnl"/>
        </w:rPr>
      </w:pPr>
    </w:p>
    <w:p w:rsidR="00577097" w:rsidRPr="00BE133F" w:rsidRDefault="00577097" w:rsidP="00577097">
      <w:pPr>
        <w:tabs>
          <w:tab w:val="left" w:pos="567"/>
        </w:tabs>
        <w:spacing w:after="0" w:line="240" w:lineRule="auto"/>
        <w:jc w:val="center"/>
        <w:rPr>
          <w:rFonts w:ascii="Verdana" w:eastAsia="Times" w:hAnsi="Verdana"/>
          <w:b/>
          <w:sz w:val="20"/>
          <w:szCs w:val="20"/>
        </w:rPr>
      </w:pPr>
      <w:r w:rsidRPr="00BE133F">
        <w:rPr>
          <w:rFonts w:ascii="Verdana" w:eastAsia="Times" w:hAnsi="Verdana"/>
          <w:b/>
          <w:sz w:val="20"/>
          <w:szCs w:val="20"/>
        </w:rPr>
        <w:t>IV</w:t>
      </w:r>
    </w:p>
    <w:p w:rsidR="00577097" w:rsidRPr="0093256C" w:rsidRDefault="00577097" w:rsidP="00577097">
      <w:pPr>
        <w:tabs>
          <w:tab w:val="left" w:pos="567"/>
        </w:tabs>
        <w:autoSpaceDE w:val="0"/>
        <w:autoSpaceDN w:val="0"/>
        <w:adjustRightInd w:val="0"/>
        <w:spacing w:after="0" w:line="240" w:lineRule="auto"/>
        <w:jc w:val="center"/>
        <w:rPr>
          <w:rFonts w:ascii="Verdana" w:hAnsi="Verdana" w:cs="Verdana"/>
          <w:b/>
          <w:caps/>
          <w:sz w:val="20"/>
          <w:szCs w:val="20"/>
        </w:rPr>
      </w:pPr>
      <w:r w:rsidRPr="00B8255C">
        <w:rPr>
          <w:rFonts w:ascii="Verdana" w:hAnsi="Verdana" w:cs="Verdana"/>
          <w:b/>
          <w:caps/>
          <w:sz w:val="20"/>
          <w:szCs w:val="20"/>
        </w:rPr>
        <w:t>ANÁLISIS DE PROCEDENCIA DE LAs SOLICITUDes DE INTERPRETACIÓN</w:t>
      </w:r>
    </w:p>
    <w:p w:rsidR="00577097" w:rsidRPr="00BE133F" w:rsidRDefault="00577097" w:rsidP="00577097">
      <w:pPr>
        <w:tabs>
          <w:tab w:val="left" w:pos="567"/>
        </w:tabs>
        <w:autoSpaceDE w:val="0"/>
        <w:autoSpaceDN w:val="0"/>
        <w:adjustRightInd w:val="0"/>
        <w:spacing w:after="0" w:line="240" w:lineRule="auto"/>
        <w:jc w:val="center"/>
        <w:rPr>
          <w:rFonts w:ascii="Verdana" w:hAnsi="Verdana" w:cs="Verdana"/>
          <w:b/>
          <w:caps/>
          <w:sz w:val="20"/>
          <w:szCs w:val="20"/>
        </w:rPr>
      </w:pPr>
    </w:p>
    <w:p w:rsidR="0089460F" w:rsidRDefault="00577097" w:rsidP="0089460F">
      <w:pPr>
        <w:numPr>
          <w:ilvl w:val="0"/>
          <w:numId w:val="1"/>
        </w:numPr>
        <w:tabs>
          <w:tab w:val="left" w:pos="567"/>
          <w:tab w:val="num" w:pos="720"/>
        </w:tabs>
        <w:spacing w:after="0" w:line="240" w:lineRule="auto"/>
        <w:jc w:val="both"/>
        <w:rPr>
          <w:rFonts w:ascii="Verdana" w:eastAsia="Times" w:hAnsi="Verdana"/>
          <w:sz w:val="20"/>
          <w:szCs w:val="20"/>
          <w:lang w:val="es-ES_tradnl"/>
        </w:rPr>
      </w:pPr>
      <w:bookmarkStart w:id="8" w:name="_Ref325023272"/>
      <w:r w:rsidRPr="00BE133F">
        <w:rPr>
          <w:rFonts w:ascii="Verdana" w:eastAsia="Times" w:hAnsi="Verdana"/>
          <w:sz w:val="20"/>
          <w:szCs w:val="20"/>
          <w:lang w:val="es-ES_tradnl"/>
        </w:rPr>
        <w:t>A continuación</w:t>
      </w:r>
      <w:r w:rsidR="00F474DD">
        <w:rPr>
          <w:rFonts w:ascii="Verdana" w:eastAsia="Times" w:hAnsi="Verdana"/>
          <w:sz w:val="20"/>
          <w:szCs w:val="20"/>
          <w:lang w:val="es-ES_tradnl"/>
        </w:rPr>
        <w:t>,</w:t>
      </w:r>
      <w:r w:rsidRPr="00BE133F">
        <w:rPr>
          <w:rFonts w:ascii="Verdana" w:eastAsia="Times" w:hAnsi="Verdana"/>
          <w:sz w:val="20"/>
          <w:szCs w:val="20"/>
          <w:lang w:val="es-ES_tradnl"/>
        </w:rPr>
        <w:t xml:space="preserve"> el Tribunal analizará las solicitudes de</w:t>
      </w:r>
      <w:r w:rsidR="00E8385F">
        <w:rPr>
          <w:rFonts w:ascii="Verdana" w:eastAsia="Times" w:hAnsi="Verdana"/>
          <w:sz w:val="20"/>
          <w:szCs w:val="20"/>
          <w:lang w:val="es-ES_tradnl"/>
        </w:rPr>
        <w:t xml:space="preserve"> </w:t>
      </w:r>
      <w:r w:rsidR="00B35601" w:rsidRPr="00BE133F">
        <w:rPr>
          <w:rFonts w:ascii="Verdana" w:eastAsia="Times" w:hAnsi="Verdana"/>
          <w:sz w:val="20"/>
          <w:szCs w:val="20"/>
          <w:lang w:val="es-ES_tradnl"/>
        </w:rPr>
        <w:t>l</w:t>
      </w:r>
      <w:r w:rsidR="00C469B4">
        <w:rPr>
          <w:rFonts w:ascii="Verdana" w:eastAsia="Times" w:hAnsi="Verdana"/>
          <w:sz w:val="20"/>
          <w:szCs w:val="20"/>
          <w:lang w:val="es-ES_tradnl"/>
        </w:rPr>
        <w:t>a</w:t>
      </w:r>
      <w:r w:rsidR="00B35601" w:rsidRPr="00BE133F">
        <w:rPr>
          <w:rFonts w:ascii="Verdana" w:eastAsia="Times" w:hAnsi="Verdana"/>
          <w:sz w:val="20"/>
          <w:szCs w:val="20"/>
          <w:lang w:val="es-ES_tradnl"/>
        </w:rPr>
        <w:t xml:space="preserve"> representante</w:t>
      </w:r>
      <w:r w:rsidR="00FA1398">
        <w:rPr>
          <w:rFonts w:ascii="Verdana" w:eastAsia="Times" w:hAnsi="Verdana"/>
          <w:sz w:val="20"/>
          <w:szCs w:val="20"/>
          <w:lang w:val="es-ES_tradnl"/>
        </w:rPr>
        <w:t xml:space="preserve"> Loayza</w:t>
      </w:r>
      <w:r w:rsidR="00546D19">
        <w:rPr>
          <w:rFonts w:ascii="Verdana" w:eastAsia="Times" w:hAnsi="Verdana"/>
          <w:sz w:val="20"/>
          <w:szCs w:val="20"/>
          <w:lang w:val="es-ES_tradnl"/>
        </w:rPr>
        <w:t>, el señor Abraham Montero Ramírez</w:t>
      </w:r>
      <w:r w:rsidR="0069533B">
        <w:rPr>
          <w:rFonts w:ascii="Verdana" w:eastAsia="Times" w:hAnsi="Verdana"/>
          <w:sz w:val="20"/>
          <w:szCs w:val="20"/>
          <w:lang w:val="es-ES_tradnl"/>
        </w:rPr>
        <w:t xml:space="preserve"> </w:t>
      </w:r>
      <w:r w:rsidRPr="00BE133F">
        <w:rPr>
          <w:rFonts w:ascii="Verdana" w:hAnsi="Verdana" w:cs="Verdana"/>
          <w:sz w:val="20"/>
          <w:szCs w:val="20"/>
        </w:rPr>
        <w:t xml:space="preserve">y </w:t>
      </w:r>
      <w:r w:rsidR="00B35601" w:rsidRPr="00BE133F">
        <w:rPr>
          <w:rFonts w:ascii="Verdana" w:hAnsi="Verdana" w:cs="Verdana"/>
          <w:sz w:val="20"/>
          <w:szCs w:val="20"/>
        </w:rPr>
        <w:t>del Estado</w:t>
      </w:r>
      <w:r w:rsidRPr="00BE133F">
        <w:rPr>
          <w:rFonts w:ascii="Verdana" w:eastAsia="Times" w:hAnsi="Verdana"/>
          <w:sz w:val="20"/>
          <w:szCs w:val="20"/>
          <w:lang w:val="es-ES_tradnl"/>
        </w:rPr>
        <w:t xml:space="preserve"> </w:t>
      </w:r>
      <w:r w:rsidR="00AB38AA" w:rsidRPr="00BE133F">
        <w:rPr>
          <w:rFonts w:ascii="Verdana" w:eastAsia="Times" w:hAnsi="Verdana"/>
          <w:sz w:val="20"/>
          <w:szCs w:val="20"/>
          <w:lang w:val="es-ES_tradnl"/>
        </w:rPr>
        <w:t xml:space="preserve">peruano </w:t>
      </w:r>
      <w:r w:rsidRPr="00BE133F">
        <w:rPr>
          <w:rFonts w:ascii="Verdana" w:eastAsia="Times" w:hAnsi="Verdana"/>
          <w:sz w:val="20"/>
          <w:szCs w:val="20"/>
          <w:lang w:val="es-ES_tradnl"/>
        </w:rPr>
        <w:t>para determinar si, de acuerdo con la normativa y los estándares desarrollados en su jurisprudencia, procede aclarar el sentido o alcance de</w:t>
      </w:r>
      <w:r w:rsidR="00C048F5" w:rsidRPr="00BE133F">
        <w:rPr>
          <w:rFonts w:ascii="Verdana" w:eastAsia="Times" w:hAnsi="Verdana"/>
          <w:sz w:val="20"/>
          <w:szCs w:val="20"/>
          <w:lang w:val="es-ES_tradnl"/>
        </w:rPr>
        <w:t xml:space="preserve"> </w:t>
      </w:r>
      <w:r w:rsidR="00A752D8">
        <w:rPr>
          <w:rFonts w:ascii="Verdana" w:eastAsia="Times" w:hAnsi="Verdana"/>
          <w:sz w:val="20"/>
          <w:szCs w:val="20"/>
          <w:lang w:val="es-ES_tradnl"/>
        </w:rPr>
        <w:t>algún punto de la Sentencia</w:t>
      </w:r>
      <w:r w:rsidRPr="00BE133F">
        <w:rPr>
          <w:rFonts w:ascii="Verdana" w:eastAsia="Times" w:hAnsi="Verdana"/>
          <w:sz w:val="20"/>
          <w:szCs w:val="20"/>
          <w:lang w:val="es-ES_tradnl"/>
        </w:rPr>
        <w:t>.</w:t>
      </w:r>
      <w:bookmarkStart w:id="9" w:name="_Ref324754196"/>
      <w:bookmarkEnd w:id="8"/>
    </w:p>
    <w:p w:rsidR="00C469B4" w:rsidRDefault="00C469B4" w:rsidP="00C469B4">
      <w:pPr>
        <w:tabs>
          <w:tab w:val="left" w:pos="567"/>
        </w:tabs>
        <w:spacing w:after="0" w:line="240" w:lineRule="auto"/>
        <w:jc w:val="both"/>
        <w:rPr>
          <w:rFonts w:ascii="Verdana" w:eastAsia="Times" w:hAnsi="Verdana"/>
          <w:sz w:val="20"/>
          <w:szCs w:val="20"/>
          <w:lang w:val="es-ES_tradnl"/>
        </w:rPr>
      </w:pPr>
    </w:p>
    <w:p w:rsidR="00C469B4" w:rsidRPr="004F640F" w:rsidRDefault="00C469B4" w:rsidP="00C469B4">
      <w:pPr>
        <w:pStyle w:val="Prrafodelista"/>
        <w:numPr>
          <w:ilvl w:val="0"/>
          <w:numId w:val="1"/>
        </w:numPr>
        <w:tabs>
          <w:tab w:val="clear" w:pos="1247"/>
          <w:tab w:val="num" w:pos="0"/>
        </w:tabs>
        <w:autoSpaceDE w:val="0"/>
        <w:autoSpaceDN w:val="0"/>
        <w:adjustRightInd w:val="0"/>
        <w:spacing w:after="0" w:line="240" w:lineRule="auto"/>
        <w:contextualSpacing w:val="0"/>
        <w:jc w:val="both"/>
        <w:rPr>
          <w:rFonts w:ascii="Verdana" w:hAnsi="Verdana" w:cs="Verdana"/>
          <w:sz w:val="20"/>
          <w:szCs w:val="20"/>
          <w:lang w:val="es-PA"/>
        </w:rPr>
      </w:pPr>
      <w:r w:rsidRPr="004F640F">
        <w:rPr>
          <w:rFonts w:ascii="Verdana" w:hAnsi="Verdana" w:cs="Verdana"/>
          <w:sz w:val="20"/>
          <w:szCs w:val="20"/>
          <w:lang w:val="es-PA"/>
        </w:rPr>
        <w:lastRenderedPageBreak/>
        <w:t xml:space="preserve">Para analizar la procedencia de las solicitudes </w:t>
      </w:r>
      <w:r w:rsidR="00546D19">
        <w:rPr>
          <w:rFonts w:ascii="Verdana" w:hAnsi="Verdana" w:cs="Verdana"/>
          <w:sz w:val="20"/>
          <w:szCs w:val="20"/>
          <w:lang w:val="es-PA"/>
        </w:rPr>
        <w:t>de interpretación</w:t>
      </w:r>
      <w:r w:rsidRPr="004F640F">
        <w:rPr>
          <w:rFonts w:ascii="Verdana" w:hAnsi="Verdana" w:cs="Verdana"/>
          <w:sz w:val="20"/>
          <w:szCs w:val="20"/>
          <w:lang w:val="es-PA"/>
        </w:rPr>
        <w:t>, la Corte toma en consideración su jurisprudencia constante, en cuanto a que una solicitud de interpretación de sentencia no puede utilizarse como medio de impugnación de la decisión cuya interpretación se requiere. Dicha solicitud debe te</w:t>
      </w:r>
      <w:r>
        <w:rPr>
          <w:rFonts w:ascii="Verdana" w:hAnsi="Verdana" w:cs="Verdana"/>
          <w:sz w:val="20"/>
          <w:szCs w:val="20"/>
          <w:lang w:val="es-PA"/>
        </w:rPr>
        <w:t>ne</w:t>
      </w:r>
      <w:r w:rsidRPr="004F640F">
        <w:rPr>
          <w:rFonts w:ascii="Verdana" w:hAnsi="Verdana" w:cs="Verdana"/>
          <w:sz w:val="20"/>
          <w:szCs w:val="20"/>
          <w:lang w:val="es-PA"/>
        </w:rPr>
        <w:t>r como objeto, exclusivamente, determinar el sentido de un fallo cuando alguna de las partes sostiene que el texto de sus puntos resolutivos o de sus consideraciones carece de claridad o precisión, siempre y cuando esas consideraciones incidan en la parte resolutiva de la Sentencia</w:t>
      </w:r>
      <w:r w:rsidRPr="0028163D">
        <w:rPr>
          <w:rStyle w:val="Refdenotaalpie"/>
          <w:rFonts w:cs="Verdana"/>
          <w:sz w:val="20"/>
          <w:szCs w:val="20"/>
          <w:lang w:val="es-PA"/>
        </w:rPr>
        <w:footnoteReference w:id="5"/>
      </w:r>
      <w:r>
        <w:rPr>
          <w:rFonts w:ascii="Verdana" w:hAnsi="Verdana" w:cs="Verdana"/>
          <w:sz w:val="20"/>
          <w:szCs w:val="20"/>
          <w:lang w:val="es-PA"/>
        </w:rPr>
        <w:t>.</w:t>
      </w:r>
      <w:r w:rsidRPr="004F640F">
        <w:rPr>
          <w:rFonts w:ascii="Verdana" w:hAnsi="Verdana" w:cs="Verdana"/>
          <w:sz w:val="20"/>
          <w:szCs w:val="20"/>
          <w:lang w:val="es-PA"/>
        </w:rPr>
        <w:t xml:space="preserve"> Por lo tanto,</w:t>
      </w:r>
      <w:r w:rsidRPr="001F08E6">
        <w:t xml:space="preserve"> </w:t>
      </w:r>
      <w:r w:rsidRPr="001F08E6">
        <w:rPr>
          <w:rFonts w:ascii="Verdana" w:hAnsi="Verdana" w:cs="Verdana"/>
          <w:sz w:val="20"/>
          <w:szCs w:val="20"/>
          <w:lang w:val="es-PA"/>
        </w:rPr>
        <w:t>de conformidad con el artículo 31.3 del Reglamento</w:t>
      </w:r>
      <w:r>
        <w:rPr>
          <w:rFonts w:ascii="Verdana" w:hAnsi="Verdana" w:cs="Verdana"/>
          <w:sz w:val="20"/>
          <w:szCs w:val="20"/>
          <w:lang w:val="es-PA"/>
        </w:rPr>
        <w:t>,</w:t>
      </w:r>
      <w:r w:rsidRPr="004F640F">
        <w:rPr>
          <w:rFonts w:ascii="Verdana" w:hAnsi="Verdana" w:cs="Verdana"/>
          <w:sz w:val="20"/>
          <w:szCs w:val="20"/>
          <w:lang w:val="es-PA"/>
        </w:rPr>
        <w:t xml:space="preserve"> no se puede solicitar la modificación o anulación de la sentencia respectiva a través de una solicitud de interpretación</w:t>
      </w:r>
      <w:r w:rsidRPr="0028163D">
        <w:rPr>
          <w:rStyle w:val="Refdenotaalpie"/>
          <w:rFonts w:cs="Verdana"/>
          <w:sz w:val="20"/>
          <w:szCs w:val="20"/>
          <w:lang w:val="es-PA"/>
        </w:rPr>
        <w:footnoteReference w:id="6"/>
      </w:r>
      <w:r>
        <w:rPr>
          <w:rFonts w:ascii="Verdana" w:hAnsi="Verdana" w:cs="Verdana"/>
          <w:sz w:val="20"/>
          <w:szCs w:val="20"/>
          <w:lang w:val="es-PA"/>
        </w:rPr>
        <w:t>.</w:t>
      </w:r>
      <w:r w:rsidRPr="004F640F">
        <w:rPr>
          <w:rFonts w:ascii="Verdana" w:hAnsi="Verdana" w:cs="Verdana"/>
          <w:sz w:val="20"/>
          <w:szCs w:val="20"/>
          <w:lang w:val="es-PA"/>
        </w:rPr>
        <w:t xml:space="preserve"> </w:t>
      </w:r>
    </w:p>
    <w:p w:rsidR="00C469B4" w:rsidRPr="00C469B4" w:rsidRDefault="00C469B4" w:rsidP="00C469B4">
      <w:pPr>
        <w:spacing w:after="0" w:line="240" w:lineRule="auto"/>
        <w:rPr>
          <w:rFonts w:ascii="Verdana" w:hAnsi="Verdana" w:cs="Verdana"/>
          <w:sz w:val="20"/>
          <w:szCs w:val="20"/>
          <w:lang w:val="es-PA"/>
        </w:rPr>
      </w:pPr>
    </w:p>
    <w:p w:rsidR="00C469B4" w:rsidRPr="0022574E" w:rsidRDefault="00C469B4" w:rsidP="00C469B4">
      <w:pPr>
        <w:pStyle w:val="Prrafodelista"/>
        <w:numPr>
          <w:ilvl w:val="0"/>
          <w:numId w:val="1"/>
        </w:numPr>
        <w:tabs>
          <w:tab w:val="clear" w:pos="1247"/>
        </w:tabs>
        <w:autoSpaceDE w:val="0"/>
        <w:autoSpaceDN w:val="0"/>
        <w:adjustRightInd w:val="0"/>
        <w:spacing w:after="0" w:line="240" w:lineRule="auto"/>
        <w:contextualSpacing w:val="0"/>
        <w:jc w:val="both"/>
        <w:rPr>
          <w:rFonts w:ascii="Verdana" w:hAnsi="Verdana" w:cs="Verdana"/>
          <w:sz w:val="20"/>
          <w:szCs w:val="20"/>
          <w:lang w:val="es-PA"/>
        </w:rPr>
      </w:pPr>
      <w:r w:rsidRPr="0022574E">
        <w:rPr>
          <w:rFonts w:ascii="Verdana" w:hAnsi="Verdana" w:cs="Verdana"/>
          <w:sz w:val="20"/>
          <w:szCs w:val="20"/>
          <w:lang w:val="es-PA"/>
        </w:rPr>
        <w:t>Adicionalmente, la Corte ha sostenido la improcedencia de utilizar una solicitud de interpretación para someter cuestiones de hecho y de derecho que ya fueron planteadas en su oportunidad procesal y sobre las cuales la Corte ya adoptó una decisión</w:t>
      </w:r>
      <w:r w:rsidRPr="0028163D">
        <w:rPr>
          <w:rStyle w:val="Refdenotaalpie"/>
          <w:rFonts w:cs="Verdana"/>
          <w:sz w:val="20"/>
          <w:szCs w:val="20"/>
          <w:lang w:val="es-PA"/>
        </w:rPr>
        <w:footnoteReference w:id="7"/>
      </w:r>
      <w:r w:rsidRPr="0022574E">
        <w:rPr>
          <w:rFonts w:ascii="Verdana" w:hAnsi="Verdana" w:cs="Verdana"/>
          <w:sz w:val="20"/>
          <w:szCs w:val="20"/>
          <w:lang w:val="es-PA"/>
        </w:rPr>
        <w:t>, así como para pretender que la Corte valore nuevamente cuestiones que ya han sido resueltas por ésta en su sentencia</w:t>
      </w:r>
      <w:r w:rsidRPr="0028163D">
        <w:rPr>
          <w:rStyle w:val="Refdenotaalpie"/>
          <w:rFonts w:cs="Verdana"/>
          <w:sz w:val="20"/>
          <w:szCs w:val="20"/>
          <w:lang w:val="es-PA"/>
        </w:rPr>
        <w:footnoteReference w:id="8"/>
      </w:r>
      <w:r w:rsidRPr="0022574E">
        <w:rPr>
          <w:rFonts w:ascii="Verdana" w:hAnsi="Verdana" w:cs="Verdana"/>
          <w:sz w:val="20"/>
          <w:szCs w:val="20"/>
          <w:lang w:val="es-PA"/>
        </w:rPr>
        <w:t>. De igual manera, por esta vía tampoco se puede intentar que se amplíe el alcance de una medida de reparación ordenada oportunamente</w:t>
      </w:r>
      <w:r w:rsidRPr="0028163D">
        <w:rPr>
          <w:rStyle w:val="Refdenotaalpie"/>
          <w:rFonts w:cs="Verdana"/>
          <w:sz w:val="20"/>
          <w:szCs w:val="20"/>
          <w:lang w:val="es-PA"/>
        </w:rPr>
        <w:footnoteReference w:id="9"/>
      </w:r>
      <w:r w:rsidRPr="0022574E">
        <w:rPr>
          <w:rFonts w:ascii="Verdana" w:hAnsi="Verdana" w:cs="Verdana"/>
          <w:sz w:val="20"/>
          <w:szCs w:val="20"/>
          <w:lang w:val="es-PA"/>
        </w:rPr>
        <w:t xml:space="preserve">. </w:t>
      </w:r>
    </w:p>
    <w:p w:rsidR="00C469B4" w:rsidRPr="0028163D" w:rsidRDefault="00C469B4" w:rsidP="00C469B4">
      <w:pPr>
        <w:pStyle w:val="Prrafodelista"/>
        <w:autoSpaceDE w:val="0"/>
        <w:autoSpaceDN w:val="0"/>
        <w:adjustRightInd w:val="0"/>
        <w:spacing w:after="0" w:line="240" w:lineRule="auto"/>
        <w:ind w:left="0"/>
        <w:contextualSpacing w:val="0"/>
        <w:jc w:val="both"/>
        <w:rPr>
          <w:rFonts w:ascii="Verdana" w:hAnsi="Verdana" w:cs="Verdana"/>
          <w:sz w:val="20"/>
          <w:szCs w:val="20"/>
          <w:lang w:val="es-PA"/>
        </w:rPr>
      </w:pPr>
    </w:p>
    <w:p w:rsidR="00C469B4" w:rsidRDefault="00C469B4" w:rsidP="00C469B4">
      <w:pPr>
        <w:numPr>
          <w:ilvl w:val="0"/>
          <w:numId w:val="1"/>
        </w:numPr>
        <w:tabs>
          <w:tab w:val="clear" w:pos="1247"/>
        </w:tabs>
        <w:autoSpaceDE w:val="0"/>
        <w:autoSpaceDN w:val="0"/>
        <w:adjustRightInd w:val="0"/>
        <w:spacing w:after="0" w:line="240" w:lineRule="auto"/>
        <w:jc w:val="both"/>
        <w:rPr>
          <w:rFonts w:ascii="Verdana" w:hAnsi="Verdana" w:cs="Verdana"/>
          <w:sz w:val="20"/>
          <w:szCs w:val="20"/>
          <w:lang w:val="es-PA"/>
        </w:rPr>
      </w:pPr>
      <w:r w:rsidRPr="00186DA5">
        <w:rPr>
          <w:rFonts w:ascii="Verdana" w:hAnsi="Verdana" w:cs="Verdana"/>
          <w:sz w:val="20"/>
          <w:szCs w:val="20"/>
          <w:lang w:val="es-PA"/>
        </w:rPr>
        <w:t>Bajo este entendido,</w:t>
      </w:r>
      <w:r w:rsidR="00FA1398">
        <w:rPr>
          <w:rFonts w:ascii="Verdana" w:hAnsi="Verdana" w:cs="Verdana"/>
          <w:sz w:val="20"/>
          <w:szCs w:val="20"/>
          <w:lang w:val="es-PA"/>
        </w:rPr>
        <w:t xml:space="preserve"> y en atención al contenido de las solicitudes,</w:t>
      </w:r>
      <w:r w:rsidRPr="00186DA5">
        <w:rPr>
          <w:rFonts w:ascii="Verdana" w:hAnsi="Verdana" w:cs="Verdana"/>
          <w:sz w:val="20"/>
          <w:szCs w:val="20"/>
          <w:lang w:val="es-PA"/>
        </w:rPr>
        <w:t xml:space="preserve"> la Corte examinará las cuestiones planteadas por </w:t>
      </w:r>
      <w:r w:rsidR="00FA1398">
        <w:rPr>
          <w:rFonts w:ascii="Verdana" w:hAnsi="Verdana" w:cs="Verdana"/>
          <w:sz w:val="20"/>
          <w:szCs w:val="20"/>
          <w:lang w:val="es-PA"/>
        </w:rPr>
        <w:t>la representante Loayza, el señor Abraha</w:t>
      </w:r>
      <w:r w:rsidR="00D03F06">
        <w:rPr>
          <w:rFonts w:ascii="Verdana" w:hAnsi="Verdana" w:cs="Verdana"/>
          <w:sz w:val="20"/>
          <w:szCs w:val="20"/>
          <w:lang w:val="es-PA"/>
        </w:rPr>
        <w:t>m</w:t>
      </w:r>
      <w:r w:rsidR="00FA1398">
        <w:rPr>
          <w:rFonts w:ascii="Verdana" w:hAnsi="Verdana" w:cs="Verdana"/>
          <w:sz w:val="20"/>
          <w:szCs w:val="20"/>
          <w:lang w:val="es-PA"/>
        </w:rPr>
        <w:t xml:space="preserve"> Montero Ramírez</w:t>
      </w:r>
      <w:r>
        <w:rPr>
          <w:rFonts w:ascii="Verdana" w:hAnsi="Verdana" w:cs="Verdana"/>
          <w:sz w:val="20"/>
          <w:szCs w:val="20"/>
          <w:lang w:val="es-PA"/>
        </w:rPr>
        <w:t xml:space="preserve"> y</w:t>
      </w:r>
      <w:r w:rsidR="00A752D8">
        <w:rPr>
          <w:rFonts w:ascii="Verdana" w:hAnsi="Verdana" w:cs="Verdana"/>
          <w:sz w:val="20"/>
          <w:szCs w:val="20"/>
          <w:lang w:val="es-PA"/>
        </w:rPr>
        <w:t xml:space="preserve"> por</w:t>
      </w:r>
      <w:r>
        <w:rPr>
          <w:rFonts w:ascii="Verdana" w:hAnsi="Verdana" w:cs="Verdana"/>
          <w:sz w:val="20"/>
          <w:szCs w:val="20"/>
          <w:lang w:val="es-PA"/>
        </w:rPr>
        <w:t xml:space="preserve"> el Estado,</w:t>
      </w:r>
      <w:r w:rsidRPr="003F1D25">
        <w:rPr>
          <w:rFonts w:ascii="Verdana" w:hAnsi="Verdana" w:cs="Verdana"/>
          <w:sz w:val="20"/>
          <w:szCs w:val="20"/>
          <w:lang w:val="es-PA"/>
        </w:rPr>
        <w:t xml:space="preserve"> </w:t>
      </w:r>
      <w:r w:rsidRPr="005808E2">
        <w:rPr>
          <w:rFonts w:ascii="Verdana" w:hAnsi="Verdana" w:cs="Verdana"/>
          <w:sz w:val="20"/>
          <w:szCs w:val="20"/>
          <w:lang w:val="es-PA"/>
        </w:rPr>
        <w:t>así como las observaciones de la Comisión</w:t>
      </w:r>
      <w:r w:rsidRPr="0028163D">
        <w:rPr>
          <w:rFonts w:ascii="Verdana" w:hAnsi="Verdana" w:cs="Verdana"/>
          <w:sz w:val="20"/>
          <w:szCs w:val="20"/>
          <w:lang w:val="es-PA"/>
        </w:rPr>
        <w:t>,</w:t>
      </w:r>
      <w:r w:rsidRPr="003F1D25">
        <w:rPr>
          <w:rFonts w:ascii="Verdana" w:hAnsi="Verdana" w:cs="Verdana"/>
          <w:sz w:val="20"/>
          <w:szCs w:val="20"/>
          <w:lang w:val="es-PA"/>
        </w:rPr>
        <w:t xml:space="preserve"> en el siguiente orde</w:t>
      </w:r>
      <w:r w:rsidRPr="005808E2">
        <w:rPr>
          <w:rFonts w:ascii="Verdana" w:hAnsi="Verdana" w:cs="Verdana"/>
          <w:sz w:val="20"/>
          <w:szCs w:val="20"/>
          <w:lang w:val="es-PA"/>
        </w:rPr>
        <w:t>n</w:t>
      </w:r>
      <w:r w:rsidRPr="005E0025">
        <w:rPr>
          <w:rFonts w:ascii="Verdana" w:hAnsi="Verdana" w:cs="Verdana"/>
          <w:sz w:val="20"/>
          <w:szCs w:val="20"/>
          <w:lang w:val="es-PA"/>
        </w:rPr>
        <w:t xml:space="preserve">: A) </w:t>
      </w:r>
      <w:r w:rsidR="00E50DA9" w:rsidRPr="005E0025">
        <w:rPr>
          <w:rFonts w:ascii="Verdana" w:hAnsi="Verdana" w:cs="Verdana"/>
          <w:sz w:val="20"/>
          <w:szCs w:val="20"/>
          <w:lang w:val="es-PA"/>
        </w:rPr>
        <w:t xml:space="preserve">los alcances de la aplicación del principio de complementariedad (subsidiariedad) en </w:t>
      </w:r>
      <w:r w:rsidR="00EB2EE4" w:rsidRPr="005E0025">
        <w:rPr>
          <w:rFonts w:ascii="Verdana" w:hAnsi="Verdana" w:cs="Verdana"/>
          <w:sz w:val="20"/>
          <w:szCs w:val="20"/>
          <w:lang w:val="es-PA"/>
        </w:rPr>
        <w:t>los</w:t>
      </w:r>
      <w:r w:rsidR="00E50DA9" w:rsidRPr="005E0025">
        <w:rPr>
          <w:rFonts w:ascii="Verdana" w:hAnsi="Verdana" w:cs="Verdana"/>
          <w:sz w:val="20"/>
          <w:szCs w:val="20"/>
          <w:lang w:val="es-PA"/>
        </w:rPr>
        <w:t xml:space="preserve"> párrafo</w:t>
      </w:r>
      <w:r w:rsidR="00EB2EE4" w:rsidRPr="005E0025">
        <w:rPr>
          <w:rFonts w:ascii="Verdana" w:hAnsi="Verdana" w:cs="Verdana"/>
          <w:sz w:val="20"/>
          <w:szCs w:val="20"/>
          <w:lang w:val="es-PA"/>
        </w:rPr>
        <w:t>s</w:t>
      </w:r>
      <w:r w:rsidR="00E50DA9" w:rsidRPr="005E0025">
        <w:rPr>
          <w:rFonts w:ascii="Verdana" w:hAnsi="Verdana" w:cs="Verdana"/>
          <w:sz w:val="20"/>
          <w:szCs w:val="20"/>
          <w:lang w:val="es-PA"/>
        </w:rPr>
        <w:t xml:space="preserve"> 208</w:t>
      </w:r>
      <w:r w:rsidR="00EB2EE4" w:rsidRPr="005E0025">
        <w:rPr>
          <w:rFonts w:ascii="Verdana" w:hAnsi="Verdana" w:cs="Verdana"/>
          <w:sz w:val="20"/>
          <w:szCs w:val="20"/>
          <w:lang w:val="es-PA"/>
        </w:rPr>
        <w:t xml:space="preserve"> y 209</w:t>
      </w:r>
      <w:r w:rsidRPr="005E0025">
        <w:rPr>
          <w:rFonts w:ascii="Verdana" w:hAnsi="Verdana" w:cs="Verdana"/>
          <w:sz w:val="20"/>
          <w:szCs w:val="20"/>
          <w:lang w:val="es-PA"/>
        </w:rPr>
        <w:t xml:space="preserve">; B) </w:t>
      </w:r>
      <w:r w:rsidR="00E50DA9" w:rsidRPr="005E0025">
        <w:rPr>
          <w:rFonts w:ascii="Verdana" w:hAnsi="Verdana" w:cs="Verdana"/>
          <w:sz w:val="20"/>
          <w:szCs w:val="20"/>
          <w:lang w:val="es-PA"/>
        </w:rPr>
        <w:t>los alcances de la medida de reparación prevista en el apartado D.2</w:t>
      </w:r>
      <w:r w:rsidR="009C3B55" w:rsidRPr="005E0025">
        <w:rPr>
          <w:rFonts w:ascii="Verdana" w:hAnsi="Verdana" w:cs="Verdana"/>
          <w:sz w:val="20"/>
          <w:szCs w:val="20"/>
          <w:lang w:val="es-PA"/>
        </w:rPr>
        <w:t>.a</w:t>
      </w:r>
      <w:r w:rsidRPr="005E0025">
        <w:rPr>
          <w:rFonts w:ascii="Verdana" w:hAnsi="Verdana" w:cs="Verdana"/>
          <w:sz w:val="20"/>
          <w:szCs w:val="20"/>
          <w:lang w:val="es-PA"/>
        </w:rPr>
        <w:t>; C)</w:t>
      </w:r>
      <w:r w:rsidRPr="005E0025">
        <w:rPr>
          <w:rFonts w:ascii="Verdana" w:hAnsi="Verdana"/>
          <w:sz w:val="20"/>
          <w:szCs w:val="20"/>
          <w:lang w:bidi="en-US"/>
        </w:rPr>
        <w:t xml:space="preserve"> </w:t>
      </w:r>
      <w:r w:rsidR="00E50DA9" w:rsidRPr="005E0025">
        <w:rPr>
          <w:rFonts w:ascii="Verdana" w:hAnsi="Verdana"/>
          <w:sz w:val="20"/>
          <w:szCs w:val="20"/>
          <w:lang w:bidi="en-US"/>
        </w:rPr>
        <w:t>los alcances de la medida de reparación prevista en el apartado D.3</w:t>
      </w:r>
      <w:r w:rsidRPr="005E0025">
        <w:rPr>
          <w:rFonts w:ascii="Verdana" w:hAnsi="Verdana"/>
          <w:iCs/>
          <w:sz w:val="20"/>
          <w:szCs w:val="20"/>
          <w:lang w:bidi="en-US"/>
        </w:rPr>
        <w:t xml:space="preserve">, y </w:t>
      </w:r>
      <w:r w:rsidRPr="005E0025">
        <w:rPr>
          <w:rFonts w:ascii="Verdana" w:hAnsi="Verdana" w:cs="Verdana"/>
          <w:sz w:val="20"/>
          <w:szCs w:val="20"/>
          <w:lang w:val="es-PA"/>
        </w:rPr>
        <w:t xml:space="preserve">D) </w:t>
      </w:r>
      <w:r w:rsidR="00E50DA9" w:rsidRPr="005E0025">
        <w:rPr>
          <w:rFonts w:ascii="Verdana" w:hAnsi="Verdana" w:cs="Verdana"/>
          <w:sz w:val="20"/>
          <w:szCs w:val="20"/>
          <w:lang w:val="es-PA"/>
        </w:rPr>
        <w:t>otras consideraciones sometidas por las partes</w:t>
      </w:r>
      <w:r w:rsidRPr="005E0025">
        <w:rPr>
          <w:rFonts w:ascii="Verdana" w:hAnsi="Verdana" w:cs="Verdana"/>
          <w:sz w:val="20"/>
          <w:szCs w:val="20"/>
          <w:lang w:val="es-PA"/>
        </w:rPr>
        <w:t>.</w:t>
      </w:r>
    </w:p>
    <w:p w:rsidR="00577097" w:rsidRPr="00BE133F" w:rsidRDefault="00577097" w:rsidP="00577097">
      <w:pPr>
        <w:tabs>
          <w:tab w:val="left" w:pos="567"/>
        </w:tabs>
        <w:spacing w:after="0" w:line="240" w:lineRule="auto"/>
        <w:jc w:val="both"/>
        <w:rPr>
          <w:rFonts w:ascii="Verdana" w:eastAsia="Times" w:hAnsi="Verdana"/>
          <w:sz w:val="20"/>
          <w:szCs w:val="20"/>
          <w:lang w:val="es-ES_tradnl"/>
        </w:rPr>
      </w:pPr>
    </w:p>
    <w:p w:rsidR="0089460F" w:rsidRPr="0089460F" w:rsidRDefault="004A61E4" w:rsidP="0089460F">
      <w:pPr>
        <w:pStyle w:val="Prrafodelista"/>
        <w:numPr>
          <w:ilvl w:val="0"/>
          <w:numId w:val="3"/>
        </w:numPr>
        <w:tabs>
          <w:tab w:val="left" w:pos="567"/>
        </w:tabs>
        <w:spacing w:after="0" w:line="240" w:lineRule="auto"/>
        <w:jc w:val="both"/>
        <w:rPr>
          <w:rFonts w:ascii="Verdana" w:eastAsia="Times" w:hAnsi="Verdana"/>
          <w:b/>
          <w:i/>
          <w:sz w:val="20"/>
          <w:szCs w:val="20"/>
        </w:rPr>
      </w:pPr>
      <w:r>
        <w:rPr>
          <w:rFonts w:ascii="Verdana" w:eastAsia="Times" w:hAnsi="Verdana"/>
          <w:b/>
          <w:i/>
          <w:sz w:val="20"/>
          <w:szCs w:val="20"/>
        </w:rPr>
        <w:t>Los alcances de la aplicación del principio de complementariedad (subsidiariedad) en el párrafo 208</w:t>
      </w:r>
      <w:r w:rsidR="00EB2EE4">
        <w:rPr>
          <w:rFonts w:ascii="Verdana" w:eastAsia="Times" w:hAnsi="Verdana"/>
          <w:b/>
          <w:i/>
          <w:sz w:val="20"/>
          <w:szCs w:val="20"/>
        </w:rPr>
        <w:t xml:space="preserve"> </w:t>
      </w:r>
    </w:p>
    <w:p w:rsidR="00EB2EE4" w:rsidRPr="00EB2EE4" w:rsidRDefault="00EB2EE4" w:rsidP="0089460F">
      <w:pPr>
        <w:tabs>
          <w:tab w:val="left" w:pos="567"/>
        </w:tabs>
        <w:spacing w:after="0" w:line="240" w:lineRule="auto"/>
        <w:jc w:val="both"/>
        <w:rPr>
          <w:rFonts w:ascii="Verdana" w:eastAsia="Times" w:hAnsi="Verdana"/>
          <w:sz w:val="20"/>
          <w:szCs w:val="20"/>
        </w:rPr>
      </w:pPr>
    </w:p>
    <w:p w:rsidR="00064C1E" w:rsidRPr="00BE133F" w:rsidRDefault="00064C1E" w:rsidP="007274AC">
      <w:pPr>
        <w:pStyle w:val="Ttulo1"/>
      </w:pPr>
      <w:r w:rsidRPr="00BE133F">
        <w:t xml:space="preserve">A.1 </w:t>
      </w:r>
      <w:r w:rsidR="0089460F">
        <w:t>Argumentos de las partes</w:t>
      </w:r>
      <w:r w:rsidR="007274AC">
        <w:t xml:space="preserve"> y de la Comisión</w:t>
      </w:r>
    </w:p>
    <w:p w:rsidR="00577097" w:rsidRPr="00BE133F" w:rsidRDefault="00577097" w:rsidP="00577097">
      <w:pPr>
        <w:tabs>
          <w:tab w:val="left" w:pos="567"/>
        </w:tabs>
        <w:spacing w:after="0" w:line="240" w:lineRule="auto"/>
        <w:jc w:val="both"/>
        <w:rPr>
          <w:rFonts w:ascii="Verdana" w:eastAsia="Times" w:hAnsi="Verdana"/>
          <w:sz w:val="20"/>
          <w:szCs w:val="20"/>
        </w:rPr>
      </w:pPr>
    </w:p>
    <w:p w:rsidR="00B46EE5" w:rsidRPr="00C605A3" w:rsidRDefault="00EB2EE4" w:rsidP="00C605A3">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Pr>
          <w:rFonts w:ascii="Verdana" w:hAnsi="Verdana" w:cs="Verdana"/>
          <w:sz w:val="20"/>
          <w:szCs w:val="20"/>
        </w:rPr>
        <w:t xml:space="preserve">La </w:t>
      </w:r>
      <w:r>
        <w:rPr>
          <w:rFonts w:ascii="Verdana" w:hAnsi="Verdana" w:cs="Verdana"/>
          <w:b/>
          <w:i/>
          <w:sz w:val="20"/>
          <w:szCs w:val="20"/>
        </w:rPr>
        <w:t xml:space="preserve">representante </w:t>
      </w:r>
      <w:r w:rsidRPr="00FA1398">
        <w:rPr>
          <w:rFonts w:ascii="Verdana" w:hAnsi="Verdana" w:cs="Verdana"/>
          <w:b/>
          <w:i/>
          <w:sz w:val="20"/>
          <w:szCs w:val="20"/>
        </w:rPr>
        <w:t>Loayza</w:t>
      </w:r>
      <w:r>
        <w:rPr>
          <w:rFonts w:ascii="Verdana" w:hAnsi="Verdana" w:cs="Verdana"/>
          <w:sz w:val="20"/>
          <w:szCs w:val="20"/>
        </w:rPr>
        <w:t xml:space="preserve"> </w:t>
      </w:r>
      <w:r w:rsidR="006E05F7">
        <w:rPr>
          <w:rFonts w:ascii="Verdana" w:hAnsi="Verdana" w:cs="Verdana"/>
          <w:sz w:val="20"/>
          <w:szCs w:val="20"/>
        </w:rPr>
        <w:t>solicitó que la Corte precise que, en los términos del párrafo 208 de la Sentencia</w:t>
      </w:r>
      <w:r w:rsidR="00CA10AA">
        <w:rPr>
          <w:rFonts w:ascii="Verdana" w:hAnsi="Verdana" w:cs="Verdana"/>
          <w:sz w:val="20"/>
          <w:szCs w:val="20"/>
        </w:rPr>
        <w:t>, hab</w:t>
      </w:r>
      <w:r w:rsidR="006E05F7">
        <w:rPr>
          <w:rFonts w:ascii="Verdana" w:hAnsi="Verdana" w:cs="Verdana"/>
          <w:sz w:val="20"/>
          <w:szCs w:val="20"/>
        </w:rPr>
        <w:t xml:space="preserve">iendo condenado el Estado, procede una remisión a los mecanismos previstos internamente, en los casos de las víctimas que no fueron incluidas en el Registro Nacional de Cesados Irregularmente. La representante alegó que, dado que el Estado fue condenado, corresponde, de acuerdo a lo señalado por el párrafo 208 de la Sentencia, una remisión a los mecanismos internos previstos por la Ley 27803. En ese sentido, alegó que correspondería precisar el plazo en que el Estado debe informar a la Corte sobre cómo dichos mecanismos serán aplicados a las víctimas del caso. Asimismo, alegó que sería necesario </w:t>
      </w:r>
      <w:r w:rsidR="006E05F7">
        <w:rPr>
          <w:rFonts w:ascii="Verdana" w:hAnsi="Verdana" w:cs="Verdana"/>
          <w:sz w:val="20"/>
          <w:szCs w:val="20"/>
        </w:rPr>
        <w:lastRenderedPageBreak/>
        <w:t>determinar a cuales víctimas aplicaría la remisión al mecanismo interno.</w:t>
      </w:r>
      <w:r w:rsidR="001C24B0">
        <w:rPr>
          <w:rFonts w:ascii="Verdana" w:hAnsi="Verdana" w:cs="Verdana"/>
          <w:sz w:val="20"/>
          <w:szCs w:val="20"/>
        </w:rPr>
        <w:t xml:space="preserve"> Los </w:t>
      </w:r>
      <w:r w:rsidR="001C24B0">
        <w:rPr>
          <w:rFonts w:ascii="Verdana" w:hAnsi="Verdana" w:cs="Verdana"/>
          <w:b/>
          <w:i/>
          <w:sz w:val="20"/>
          <w:szCs w:val="20"/>
        </w:rPr>
        <w:t xml:space="preserve">representantes Paiba y Paredes </w:t>
      </w:r>
      <w:r w:rsidR="001C24B0">
        <w:rPr>
          <w:rFonts w:ascii="Verdana" w:hAnsi="Verdana" w:cs="Verdana"/>
          <w:sz w:val="20"/>
          <w:szCs w:val="20"/>
        </w:rPr>
        <w:t>manifestaron su adhesión a la solicitud de la representante Loayza.</w:t>
      </w:r>
    </w:p>
    <w:p w:rsidR="00434957" w:rsidRPr="00BE133F" w:rsidRDefault="00434957" w:rsidP="00434957">
      <w:pPr>
        <w:tabs>
          <w:tab w:val="left" w:pos="567"/>
        </w:tabs>
        <w:autoSpaceDE w:val="0"/>
        <w:autoSpaceDN w:val="0"/>
        <w:adjustRightInd w:val="0"/>
        <w:spacing w:after="0" w:line="240" w:lineRule="auto"/>
        <w:jc w:val="both"/>
        <w:rPr>
          <w:rFonts w:ascii="Verdana" w:hAnsi="Verdana"/>
          <w:sz w:val="20"/>
          <w:szCs w:val="20"/>
        </w:rPr>
      </w:pPr>
    </w:p>
    <w:p w:rsidR="001C24B0" w:rsidRPr="001C24B0" w:rsidRDefault="005939E6" w:rsidP="001C24B0">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Pr>
          <w:rFonts w:ascii="Verdana" w:hAnsi="Verdana"/>
          <w:sz w:val="20"/>
          <w:szCs w:val="20"/>
        </w:rPr>
        <w:t>L</w:t>
      </w:r>
      <w:r w:rsidR="00284014" w:rsidRPr="00BE133F">
        <w:rPr>
          <w:rFonts w:ascii="Verdana" w:hAnsi="Verdana"/>
          <w:sz w:val="20"/>
          <w:szCs w:val="20"/>
        </w:rPr>
        <w:t xml:space="preserve">a </w:t>
      </w:r>
      <w:r w:rsidR="00577097" w:rsidRPr="00BE133F">
        <w:rPr>
          <w:rFonts w:ascii="Verdana" w:hAnsi="Verdana"/>
          <w:b/>
          <w:i/>
          <w:sz w:val="20"/>
          <w:szCs w:val="20"/>
        </w:rPr>
        <w:t>Comisión</w:t>
      </w:r>
      <w:r w:rsidR="00577097" w:rsidRPr="00BE133F">
        <w:rPr>
          <w:rFonts w:ascii="Verdana" w:hAnsi="Verdana"/>
          <w:sz w:val="20"/>
          <w:szCs w:val="20"/>
        </w:rPr>
        <w:t xml:space="preserve"> </w:t>
      </w:r>
      <w:r w:rsidR="006E05F7">
        <w:rPr>
          <w:rFonts w:ascii="Verdana" w:hAnsi="Verdana"/>
          <w:sz w:val="20"/>
          <w:szCs w:val="20"/>
        </w:rPr>
        <w:t>consideró que la Corte podría precisar los aspectos referi</w:t>
      </w:r>
      <w:r w:rsidR="008936FD">
        <w:rPr>
          <w:rFonts w:ascii="Verdana" w:hAnsi="Verdana"/>
          <w:sz w:val="20"/>
          <w:szCs w:val="20"/>
        </w:rPr>
        <w:t>dos por la representante Loayza</w:t>
      </w:r>
      <w:r w:rsidR="006E05F7">
        <w:rPr>
          <w:rFonts w:ascii="Verdana" w:hAnsi="Verdana"/>
          <w:sz w:val="20"/>
          <w:szCs w:val="20"/>
        </w:rPr>
        <w:t xml:space="preserve"> para favorecer el cumplimiento de las reparaciones</w:t>
      </w:r>
      <w:r w:rsidR="008936FD">
        <w:rPr>
          <w:rFonts w:ascii="Verdana" w:hAnsi="Verdana"/>
          <w:sz w:val="20"/>
          <w:szCs w:val="20"/>
        </w:rPr>
        <w:t>,</w:t>
      </w:r>
      <w:r w:rsidR="006E05F7">
        <w:rPr>
          <w:rFonts w:ascii="Verdana" w:hAnsi="Verdana"/>
          <w:sz w:val="20"/>
          <w:szCs w:val="20"/>
        </w:rPr>
        <w:t xml:space="preserve"> o bien para</w:t>
      </w:r>
      <w:r w:rsidR="009946B8">
        <w:rPr>
          <w:rFonts w:ascii="Verdana" w:hAnsi="Verdana"/>
          <w:sz w:val="20"/>
          <w:szCs w:val="20"/>
        </w:rPr>
        <w:t xml:space="preserve"> que estos aspectos no sean objeto de debates adicionales con el Estado de Perú</w:t>
      </w:r>
      <w:r w:rsidR="008936FD">
        <w:rPr>
          <w:rFonts w:ascii="Verdana" w:hAnsi="Verdana"/>
          <w:sz w:val="20"/>
          <w:szCs w:val="20"/>
        </w:rPr>
        <w:t xml:space="preserve"> durante la etapa de supervisión</w:t>
      </w:r>
      <w:r w:rsidR="009946B8">
        <w:rPr>
          <w:rFonts w:ascii="Verdana" w:hAnsi="Verdana"/>
          <w:sz w:val="20"/>
          <w:szCs w:val="20"/>
        </w:rPr>
        <w:t>.</w:t>
      </w:r>
    </w:p>
    <w:p w:rsidR="00EE3FD4" w:rsidRPr="00EE3FD4" w:rsidRDefault="00EE3FD4" w:rsidP="00EE3FD4">
      <w:pPr>
        <w:tabs>
          <w:tab w:val="left" w:pos="567"/>
        </w:tabs>
        <w:autoSpaceDE w:val="0"/>
        <w:autoSpaceDN w:val="0"/>
        <w:adjustRightInd w:val="0"/>
        <w:spacing w:after="0" w:line="240" w:lineRule="auto"/>
        <w:jc w:val="both"/>
        <w:rPr>
          <w:rFonts w:ascii="Verdana" w:hAnsi="Verdana"/>
          <w:sz w:val="20"/>
          <w:szCs w:val="20"/>
        </w:rPr>
      </w:pPr>
    </w:p>
    <w:p w:rsidR="00E15834" w:rsidRDefault="00A5262F" w:rsidP="00E15834">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sidRPr="00BE133F">
        <w:rPr>
          <w:rFonts w:ascii="Verdana" w:hAnsi="Verdana"/>
          <w:sz w:val="20"/>
          <w:szCs w:val="20"/>
        </w:rPr>
        <w:t>Por su parte</w:t>
      </w:r>
      <w:r w:rsidR="008936FD">
        <w:rPr>
          <w:rFonts w:ascii="Verdana" w:hAnsi="Verdana"/>
          <w:sz w:val="20"/>
          <w:szCs w:val="20"/>
        </w:rPr>
        <w:t>,</w:t>
      </w:r>
      <w:r w:rsidRPr="00BE133F">
        <w:rPr>
          <w:rFonts w:ascii="Verdana" w:hAnsi="Verdana"/>
          <w:sz w:val="20"/>
          <w:szCs w:val="20"/>
        </w:rPr>
        <w:t xml:space="preserve"> el </w:t>
      </w:r>
      <w:r w:rsidRPr="00E070C4">
        <w:rPr>
          <w:rFonts w:ascii="Verdana" w:hAnsi="Verdana"/>
          <w:b/>
          <w:i/>
          <w:sz w:val="20"/>
          <w:szCs w:val="20"/>
        </w:rPr>
        <w:t>Estado</w:t>
      </w:r>
      <w:r w:rsidRPr="00BE133F">
        <w:rPr>
          <w:rFonts w:ascii="Verdana" w:hAnsi="Verdana"/>
          <w:sz w:val="20"/>
          <w:szCs w:val="20"/>
        </w:rPr>
        <w:t xml:space="preserve"> </w:t>
      </w:r>
      <w:r w:rsidR="008936FD">
        <w:rPr>
          <w:rFonts w:ascii="Verdana" w:hAnsi="Verdana"/>
          <w:sz w:val="20"/>
          <w:szCs w:val="20"/>
        </w:rPr>
        <w:t>sostuvo que lo que pretende la representante es que se agregue un punto resolutivo nuevo a la sentencia, lo cual no resulta pertinente ni procedente en la presente etapa procesal, por lo que debe ser desestimado en todos sus extremos. Por otro lado, alegó que es importante tomar en consideración que la Corte IDH estableció reparaciones económicas, y no estableció que se incorpore a las víctimas en el Registro Nacional de Cesados Irregularmente. Por el contrario, el Estado alegó que la Corte</w:t>
      </w:r>
      <w:r w:rsidR="003B547D" w:rsidRPr="00BE133F">
        <w:rPr>
          <w:rFonts w:ascii="Verdana" w:hAnsi="Verdana"/>
          <w:sz w:val="20"/>
          <w:szCs w:val="20"/>
        </w:rPr>
        <w:t xml:space="preserve"> </w:t>
      </w:r>
      <w:r w:rsidR="008936FD">
        <w:rPr>
          <w:rFonts w:ascii="Verdana" w:hAnsi="Verdana"/>
          <w:sz w:val="20"/>
          <w:szCs w:val="20"/>
        </w:rPr>
        <w:t xml:space="preserve">estableció que se tomen en consideración los beneficios pecuniarios otorgados a las víctimas para el cumplimiento de las reparaciones económicas previstas en la </w:t>
      </w:r>
      <w:r w:rsidR="00FA1398">
        <w:rPr>
          <w:rFonts w:ascii="Verdana" w:hAnsi="Verdana"/>
          <w:sz w:val="20"/>
          <w:szCs w:val="20"/>
        </w:rPr>
        <w:t>S</w:t>
      </w:r>
      <w:r w:rsidR="008936FD">
        <w:rPr>
          <w:rFonts w:ascii="Verdana" w:hAnsi="Verdana"/>
          <w:sz w:val="20"/>
          <w:szCs w:val="20"/>
        </w:rPr>
        <w:t>entencia.</w:t>
      </w:r>
    </w:p>
    <w:p w:rsidR="0089460F" w:rsidRPr="00BE133F" w:rsidRDefault="0089460F" w:rsidP="0089460F">
      <w:pPr>
        <w:tabs>
          <w:tab w:val="left" w:pos="567"/>
        </w:tabs>
        <w:autoSpaceDE w:val="0"/>
        <w:autoSpaceDN w:val="0"/>
        <w:adjustRightInd w:val="0"/>
        <w:spacing w:after="0" w:line="240" w:lineRule="auto"/>
        <w:jc w:val="both"/>
        <w:rPr>
          <w:rFonts w:ascii="Verdana" w:hAnsi="Verdana"/>
          <w:sz w:val="20"/>
          <w:szCs w:val="20"/>
        </w:rPr>
      </w:pPr>
    </w:p>
    <w:p w:rsidR="0089460F" w:rsidRDefault="0089460F" w:rsidP="001D14A6">
      <w:pPr>
        <w:tabs>
          <w:tab w:val="left" w:pos="567"/>
        </w:tabs>
        <w:spacing w:after="0" w:line="240" w:lineRule="auto"/>
        <w:ind w:left="720"/>
        <w:jc w:val="both"/>
        <w:rPr>
          <w:rFonts w:ascii="Verdana" w:eastAsia="Times" w:hAnsi="Verdana"/>
          <w:i/>
          <w:sz w:val="20"/>
          <w:szCs w:val="20"/>
        </w:rPr>
      </w:pPr>
      <w:r w:rsidRPr="009C3B55">
        <w:rPr>
          <w:rFonts w:ascii="Verdana" w:eastAsia="Times" w:hAnsi="Verdana"/>
          <w:i/>
          <w:sz w:val="20"/>
          <w:szCs w:val="20"/>
        </w:rPr>
        <w:t>A.2 Consideraciones de la Corte</w:t>
      </w:r>
    </w:p>
    <w:p w:rsidR="008E1910" w:rsidRDefault="008E1910" w:rsidP="008E1910">
      <w:pPr>
        <w:tabs>
          <w:tab w:val="left" w:pos="567"/>
        </w:tabs>
        <w:spacing w:after="0" w:line="240" w:lineRule="auto"/>
        <w:jc w:val="both"/>
        <w:rPr>
          <w:rFonts w:ascii="Verdana" w:eastAsia="Times" w:hAnsi="Verdana"/>
          <w:i/>
          <w:sz w:val="20"/>
          <w:szCs w:val="20"/>
        </w:rPr>
      </w:pPr>
    </w:p>
    <w:p w:rsidR="008E1910" w:rsidRDefault="008E1910" w:rsidP="008E1910">
      <w:pPr>
        <w:pStyle w:val="Prrafodelista"/>
        <w:numPr>
          <w:ilvl w:val="0"/>
          <w:numId w:val="1"/>
        </w:numPr>
        <w:tabs>
          <w:tab w:val="left" w:pos="567"/>
        </w:tabs>
        <w:spacing w:after="0" w:line="240" w:lineRule="auto"/>
        <w:jc w:val="both"/>
        <w:rPr>
          <w:rFonts w:ascii="Verdana" w:eastAsia="Times" w:hAnsi="Verdana"/>
          <w:sz w:val="20"/>
          <w:szCs w:val="20"/>
        </w:rPr>
      </w:pPr>
      <w:r>
        <w:rPr>
          <w:rFonts w:ascii="Verdana" w:eastAsia="Times" w:hAnsi="Verdana"/>
          <w:sz w:val="20"/>
          <w:szCs w:val="20"/>
        </w:rPr>
        <w:t xml:space="preserve">La Corte </w:t>
      </w:r>
      <w:r w:rsidR="00FA1398">
        <w:rPr>
          <w:rFonts w:ascii="Verdana" w:eastAsia="Times" w:hAnsi="Verdana"/>
          <w:sz w:val="20"/>
          <w:szCs w:val="20"/>
        </w:rPr>
        <w:t>reitera</w:t>
      </w:r>
      <w:r>
        <w:rPr>
          <w:rFonts w:ascii="Verdana" w:eastAsia="Times" w:hAnsi="Verdana"/>
          <w:sz w:val="20"/>
          <w:szCs w:val="20"/>
        </w:rPr>
        <w:t xml:space="preserve"> lo establecido en </w:t>
      </w:r>
      <w:r w:rsidR="00AB53D8">
        <w:rPr>
          <w:rFonts w:ascii="Verdana" w:eastAsia="Times" w:hAnsi="Verdana"/>
          <w:sz w:val="20"/>
          <w:szCs w:val="20"/>
        </w:rPr>
        <w:t xml:space="preserve">el </w:t>
      </w:r>
      <w:r>
        <w:rPr>
          <w:rFonts w:ascii="Verdana" w:eastAsia="Times" w:hAnsi="Verdana"/>
          <w:sz w:val="20"/>
          <w:szCs w:val="20"/>
        </w:rPr>
        <w:t>párrafo 208</w:t>
      </w:r>
      <w:r w:rsidR="00BF1334">
        <w:rPr>
          <w:rFonts w:ascii="Verdana" w:eastAsia="Times" w:hAnsi="Verdana"/>
          <w:sz w:val="20"/>
          <w:szCs w:val="20"/>
        </w:rPr>
        <w:t xml:space="preserve"> de la Sentencia</w:t>
      </w:r>
      <w:r>
        <w:rPr>
          <w:rFonts w:ascii="Verdana" w:eastAsia="Times" w:hAnsi="Verdana"/>
          <w:sz w:val="20"/>
          <w:szCs w:val="20"/>
        </w:rPr>
        <w:t xml:space="preserve">: </w:t>
      </w:r>
    </w:p>
    <w:p w:rsidR="008E1910" w:rsidRPr="00EB2EE4" w:rsidRDefault="008E1910" w:rsidP="008E1910">
      <w:pPr>
        <w:tabs>
          <w:tab w:val="left" w:pos="567"/>
        </w:tabs>
        <w:spacing w:after="0" w:line="240" w:lineRule="auto"/>
        <w:jc w:val="both"/>
        <w:rPr>
          <w:rFonts w:ascii="Verdana" w:eastAsia="Times" w:hAnsi="Verdana"/>
          <w:sz w:val="18"/>
          <w:szCs w:val="18"/>
        </w:rPr>
      </w:pPr>
    </w:p>
    <w:p w:rsidR="008E1910" w:rsidRPr="00EB2EE4" w:rsidRDefault="008E1910" w:rsidP="008E1910">
      <w:pPr>
        <w:tabs>
          <w:tab w:val="left" w:pos="720"/>
        </w:tabs>
        <w:spacing w:after="0" w:line="240" w:lineRule="auto"/>
        <w:ind w:left="720" w:right="968"/>
        <w:jc w:val="both"/>
        <w:rPr>
          <w:rFonts w:ascii="Verdana" w:hAnsi="Verdana" w:cs="Verdana"/>
          <w:bCs/>
          <w:iCs/>
          <w:noProof/>
          <w:sz w:val="18"/>
          <w:szCs w:val="18"/>
          <w:lang w:val="es-ES_tradnl"/>
        </w:rPr>
      </w:pPr>
      <w:r w:rsidRPr="00EB2EE4">
        <w:rPr>
          <w:rFonts w:ascii="Verdana" w:hAnsi="Verdana" w:cs="Verdana"/>
          <w:bCs/>
          <w:iCs/>
          <w:noProof/>
          <w:sz w:val="18"/>
          <w:szCs w:val="18"/>
          <w:lang w:val="es-ES_tradnl"/>
        </w:rPr>
        <w:t>208. Así, en atención al principio de complementariedad (o subsidiariedad), este Tribunal ha señalado que, para que no resulte procedente ordenar reparaciones adicionales a las ya otorgadas en el ámbito interno, es insuficiente que el Estado reconozca que éstas ya han sido otorgadas, o que pueden ser otorgadas, a través de los recursos administrativos o judiciales disponibles a nivel interno, sino que, adicionalmente, debe evaluarse si el Estado efectivamente reparó las consecuencias de la medida o situación que configuró la vulneración de derechos humanos en un caso concreto, si estas reparaciones son adecuadas, o si existen garantías de que los mecanismos de reparación interna son suficientes.</w:t>
      </w:r>
      <w:r w:rsidRPr="00EB2EE4">
        <w:rPr>
          <w:rFonts w:ascii="Verdana" w:hAnsi="Verdana" w:cs="Verdana"/>
          <w:bCs/>
          <w:iCs/>
          <w:noProof/>
          <w:spacing w:val="-2"/>
          <w:sz w:val="18"/>
          <w:szCs w:val="18"/>
          <w:lang w:val="es-ES"/>
        </w:rPr>
        <w:t xml:space="preserve"> En consecuencia, en el presente caso, no basta con argumentar que la Ley No. 27803 dio acceso a las presuntas víctimas a un mecanismo para reparar las violaciones a los derechos humanos derivadas de sus ceses irregulares, o que dicho mecanismo está disponible para atender futuros reclamos, </w:t>
      </w:r>
      <w:r w:rsidRPr="00EB2EE4">
        <w:rPr>
          <w:rFonts w:ascii="Verdana" w:hAnsi="Verdana" w:cs="Verdana"/>
          <w:bCs/>
          <w:iCs/>
          <w:noProof/>
          <w:sz w:val="18"/>
          <w:szCs w:val="18"/>
          <w:lang w:val="es-ES_tradnl"/>
        </w:rPr>
        <w:t>sino que es necesario que el Estado presente información clara sobre cómo, en caso de ser condenado, dicho mecanismo interno de reparación sería un medio efectivo para reparar a las presuntas víctimas del presente caso, con el fin de determinar si, en virtud del principio de complementariedad, cabría una remisión a los mecanismos previstos internamente.</w:t>
      </w:r>
    </w:p>
    <w:p w:rsidR="008E1910" w:rsidRPr="00EB2EE4" w:rsidRDefault="008E1910" w:rsidP="008E1910">
      <w:pPr>
        <w:tabs>
          <w:tab w:val="left" w:pos="720"/>
        </w:tabs>
        <w:spacing w:after="0" w:line="240" w:lineRule="auto"/>
        <w:ind w:left="720" w:right="968"/>
        <w:jc w:val="both"/>
        <w:rPr>
          <w:rFonts w:ascii="Verdana" w:hAnsi="Verdana" w:cs="Verdana"/>
          <w:bCs/>
          <w:iCs/>
          <w:noProof/>
          <w:sz w:val="18"/>
          <w:szCs w:val="18"/>
          <w:lang w:val="es-ES_tradnl"/>
        </w:rPr>
      </w:pPr>
    </w:p>
    <w:p w:rsidR="00CA10AA" w:rsidRDefault="008E1910" w:rsidP="00CA10AA">
      <w:pPr>
        <w:pStyle w:val="Prrafodelista2"/>
        <w:numPr>
          <w:ilvl w:val="0"/>
          <w:numId w:val="1"/>
        </w:numPr>
        <w:tabs>
          <w:tab w:val="left" w:pos="567"/>
          <w:tab w:val="left" w:pos="720"/>
          <w:tab w:val="num" w:pos="15467"/>
        </w:tabs>
        <w:contextualSpacing/>
        <w:jc w:val="both"/>
      </w:pPr>
      <w:r>
        <w:t>L</w:t>
      </w:r>
      <w:r w:rsidR="00CA10AA">
        <w:t xml:space="preserve">a Corte recuerda que </w:t>
      </w:r>
      <w:r w:rsidR="00AB53D8">
        <w:t>el párrafo</w:t>
      </w:r>
      <w:r w:rsidR="00CA10AA">
        <w:t xml:space="preserve"> 208 </w:t>
      </w:r>
      <w:r w:rsidR="00AB53D8">
        <w:t>de la Sentencia forma</w:t>
      </w:r>
      <w:r w:rsidR="00CA10AA">
        <w:t xml:space="preserve"> parte</w:t>
      </w:r>
      <w:r w:rsidR="00AB53D8">
        <w:t xml:space="preserve"> de</w:t>
      </w:r>
      <w:r w:rsidR="00CA10AA">
        <w:t xml:space="preserve"> las consideraciones previas de la Sentencia en materia de Reparaciones. Este apartado constituyó una respuesta al alegato mediante el cual</w:t>
      </w:r>
      <w:r w:rsidR="00D34932">
        <w:t xml:space="preserve"> el Estado</w:t>
      </w:r>
      <w:r w:rsidR="00CA10AA">
        <w:t xml:space="preserve"> solicitó que el Tribunal </w:t>
      </w:r>
      <w:r w:rsidR="004412D7">
        <w:t xml:space="preserve">analizara la suficiencia de los beneficios que ya </w:t>
      </w:r>
      <w:r w:rsidR="00D34932">
        <w:t>habían</w:t>
      </w:r>
      <w:r w:rsidR="004412D7">
        <w:t xml:space="preserve"> sido otorg</w:t>
      </w:r>
      <w:r>
        <w:t>ados a los trabajadores cesados;</w:t>
      </w:r>
      <w:r w:rsidR="004412D7">
        <w:t xml:space="preserve"> que </w:t>
      </w:r>
      <w:r>
        <w:t>determinara</w:t>
      </w:r>
      <w:r w:rsidR="004412D7">
        <w:t xml:space="preserve"> que el mecanismo de otorgamiento de beneficios se otorgó de manera adecuada, de forma tal que aquellas personas que no accedieron a él fue porque no cumplieron los requisitos previst</w:t>
      </w:r>
      <w:r>
        <w:t>os por la normatividad nacional;</w:t>
      </w:r>
      <w:r w:rsidR="004412D7">
        <w:t xml:space="preserve"> y que los beneficios frente a los ceses irregulares </w:t>
      </w:r>
      <w:r>
        <w:t>fueron suficientes (párr. 204).</w:t>
      </w:r>
      <w:r w:rsidR="00A50DD8">
        <w:t xml:space="preserve"> </w:t>
      </w:r>
      <w:r w:rsidR="008A692D">
        <w:t>En</w:t>
      </w:r>
      <w:r w:rsidR="006E0F14">
        <w:t xml:space="preserve"> </w:t>
      </w:r>
      <w:r w:rsidR="008A692D">
        <w:t>esta lógica</w:t>
      </w:r>
      <w:r w:rsidR="006E0F14">
        <w:t>, el Estado solicitó a la Corte que tomara en cuenta el esfuerzo normativo y económico llevado a cabo para atender la situación de los trabajadores cesados, y</w:t>
      </w:r>
      <w:r w:rsidR="00A50DD8">
        <w:t xml:space="preserve"> le solicitó que considerara</w:t>
      </w:r>
      <w:r w:rsidR="006E0F14">
        <w:t xml:space="preserve"> estos esfuerzos</w:t>
      </w:r>
      <w:r w:rsidR="00AB53D8">
        <w:t xml:space="preserve"> (párr. 204)</w:t>
      </w:r>
      <w:r w:rsidR="006E0F14">
        <w:t>.</w:t>
      </w:r>
    </w:p>
    <w:p w:rsidR="006E0F14" w:rsidRDefault="006E0F14" w:rsidP="006E0F14">
      <w:pPr>
        <w:pStyle w:val="Prrafodelista2"/>
        <w:tabs>
          <w:tab w:val="left" w:pos="567"/>
          <w:tab w:val="left" w:pos="720"/>
          <w:tab w:val="num" w:pos="15467"/>
        </w:tabs>
        <w:contextualSpacing/>
        <w:jc w:val="both"/>
      </w:pPr>
    </w:p>
    <w:p w:rsidR="00D543E5" w:rsidRDefault="00F94F7D" w:rsidP="00D543E5">
      <w:pPr>
        <w:pStyle w:val="Prrafodelista2"/>
        <w:numPr>
          <w:ilvl w:val="0"/>
          <w:numId w:val="1"/>
        </w:numPr>
        <w:tabs>
          <w:tab w:val="left" w:pos="567"/>
          <w:tab w:val="left" w:pos="720"/>
          <w:tab w:val="num" w:pos="15467"/>
        </w:tabs>
        <w:contextualSpacing/>
        <w:jc w:val="both"/>
      </w:pPr>
      <w:r>
        <w:t xml:space="preserve">En relación con </w:t>
      </w:r>
      <w:r w:rsidR="00454D0D">
        <w:t>los alegatos</w:t>
      </w:r>
      <w:r>
        <w:t xml:space="preserve"> del Estado,</w:t>
      </w:r>
      <w:r w:rsidR="008E1910">
        <w:t xml:space="preserve"> </w:t>
      </w:r>
      <w:r>
        <w:t xml:space="preserve">la Corte </w:t>
      </w:r>
      <w:r w:rsidR="008A692D">
        <w:t>reiteró en la Sentencia</w:t>
      </w:r>
      <w:r>
        <w:t xml:space="preserve"> que el carácter complementario </w:t>
      </w:r>
      <w:r w:rsidR="00D543E5">
        <w:t>(</w:t>
      </w:r>
      <w:r>
        <w:t>o subsidiario</w:t>
      </w:r>
      <w:r w:rsidR="00D543E5">
        <w:t>)</w:t>
      </w:r>
      <w:r>
        <w:t xml:space="preserve"> de la jurisdicción internacional significa que el sistema de protección instaurado por la Convención Americana no </w:t>
      </w:r>
      <w:r w:rsidR="00D543E5">
        <w:t xml:space="preserve">sustituye a las jurisdicciones </w:t>
      </w:r>
      <w:r w:rsidR="00D543E5">
        <w:lastRenderedPageBreak/>
        <w:t xml:space="preserve">nacionales, sino que las complementa (párr. 207). De esta forma, el Tribunal </w:t>
      </w:r>
      <w:r w:rsidR="008A692D">
        <w:t>reiteró</w:t>
      </w:r>
      <w:r w:rsidR="00D543E5">
        <w:t xml:space="preserve"> que en el Sistema Interamericano existe un control dinámico y complementario de las obligaciones convencionales de los Estados de respetar y garantizar los derechos humanos, conjuntamente entre las autoridades internas (primariamente obligadas) y las instancias internacionales (de forma complementaria), de modo que los criterios de decisión, y los mecanismos de protección y reparación puedan ser conformados y adecuados entre sí (párr. 207).</w:t>
      </w:r>
    </w:p>
    <w:p w:rsidR="00D543E5" w:rsidRDefault="00D543E5" w:rsidP="00D543E5">
      <w:pPr>
        <w:pStyle w:val="Prrafodelista2"/>
        <w:tabs>
          <w:tab w:val="left" w:pos="567"/>
          <w:tab w:val="left" w:pos="720"/>
        </w:tabs>
        <w:ind w:left="0"/>
        <w:contextualSpacing/>
        <w:jc w:val="both"/>
      </w:pPr>
    </w:p>
    <w:p w:rsidR="00670334" w:rsidRDefault="00D543E5" w:rsidP="00670334">
      <w:pPr>
        <w:pStyle w:val="Prrafodelista2"/>
        <w:numPr>
          <w:ilvl w:val="0"/>
          <w:numId w:val="1"/>
        </w:numPr>
        <w:tabs>
          <w:tab w:val="left" w:pos="567"/>
          <w:tab w:val="left" w:pos="720"/>
          <w:tab w:val="num" w:pos="15467"/>
        </w:tabs>
        <w:contextualSpacing/>
        <w:jc w:val="both"/>
      </w:pPr>
      <w:r>
        <w:t>Es en este sentido que la Corte record</w:t>
      </w:r>
      <w:r w:rsidR="00736E9A">
        <w:t xml:space="preserve">ó al Estado que, para que la Corte se abstuviera de ordenar reparaciones adicionales a aquellas que habían sido otorgadas, o que podían ser otorgadas en el ámbito interno, era insuficiente que el Estado alegara que efectivamente se habían otorgado dichas reparaciones, o que podían ser otorgadas, sino que además tenía que presentar información clara sobre </w:t>
      </w:r>
      <w:r w:rsidR="00407800">
        <w:t>cómo el mecanismo creado en virtud de la Ley 27803 sería un medio efectivo para reparar a las víctimas del caso y, en consecuencia, que la Corte aceptara remitir el caso para esos efectos (párr. 208). En ese sentido,</w:t>
      </w:r>
      <w:r w:rsidR="008A692D">
        <w:t xml:space="preserve"> dado que el Estado no presentó información clara al respecto,</w:t>
      </w:r>
      <w:r w:rsidR="00407800">
        <w:t xml:space="preserve"> la Corte rechazó la solicitud del Estado de remisión al mecanismo interno de reparación.</w:t>
      </w:r>
    </w:p>
    <w:p w:rsidR="00670334" w:rsidRDefault="00670334" w:rsidP="00670334">
      <w:pPr>
        <w:pStyle w:val="Prrafodelista2"/>
        <w:tabs>
          <w:tab w:val="left" w:pos="567"/>
          <w:tab w:val="left" w:pos="720"/>
        </w:tabs>
        <w:ind w:left="0"/>
        <w:contextualSpacing/>
        <w:jc w:val="both"/>
      </w:pPr>
    </w:p>
    <w:p w:rsidR="00D543E5" w:rsidRDefault="00407800" w:rsidP="00CA10AA">
      <w:pPr>
        <w:pStyle w:val="Prrafodelista2"/>
        <w:numPr>
          <w:ilvl w:val="0"/>
          <w:numId w:val="1"/>
        </w:numPr>
        <w:tabs>
          <w:tab w:val="left" w:pos="567"/>
          <w:tab w:val="left" w:pos="720"/>
          <w:tab w:val="num" w:pos="15467"/>
        </w:tabs>
        <w:contextualSpacing/>
        <w:jc w:val="both"/>
      </w:pPr>
      <w:r>
        <w:t xml:space="preserve">Sin embargo, el Tribunal advirtió la existencia de beneficios que ya </w:t>
      </w:r>
      <w:r w:rsidR="002E7B61">
        <w:t>habían</w:t>
      </w:r>
      <w:r>
        <w:t xml:space="preserve"> sido otorgados a algunos trabajadores en </w:t>
      </w:r>
      <w:r w:rsidR="002E7B61">
        <w:t>aplicación</w:t>
      </w:r>
      <w:r>
        <w:t xml:space="preserve"> de la Ley 27803, por lo que, en el marco de sus atribuciones establecidas en el artículo 63 de la Convención,</w:t>
      </w:r>
      <w:r w:rsidR="008E1910">
        <w:t xml:space="preserve"> y en atención al principio de complementariedad o subsidiariedad,</w:t>
      </w:r>
      <w:r w:rsidR="00670334">
        <w:t xml:space="preserve"> al fijar las medidas de reparación integral a favor de las víctimas del caso,</w:t>
      </w:r>
      <w:r>
        <w:t xml:space="preserve"> tomó en cuenta, en lo pertinente, los</w:t>
      </w:r>
      <w:r w:rsidR="002E7B61">
        <w:t xml:space="preserve"> beneficios otorgados a las víctimas por</w:t>
      </w:r>
      <w:r>
        <w:t xml:space="preserve"> el Programa Extraordinario de Acceso a Beneficios</w:t>
      </w:r>
      <w:r w:rsidR="00670334">
        <w:t>.</w:t>
      </w:r>
      <w:r>
        <w:t xml:space="preserve"> </w:t>
      </w:r>
      <w:r w:rsidR="008E1910">
        <w:t>En ese sentido,</w:t>
      </w:r>
      <w:r w:rsidR="002E7B61">
        <w:t xml:space="preserve"> contrario a la interpretación de la representante Loayza,</w:t>
      </w:r>
      <w:r w:rsidR="008E1910">
        <w:t xml:space="preserve"> </w:t>
      </w:r>
      <w:r w:rsidR="00AB53D8">
        <w:t xml:space="preserve">el párrafo 208 </w:t>
      </w:r>
      <w:r w:rsidR="00670334">
        <w:t>no constituye una medida de repara</w:t>
      </w:r>
      <w:r w:rsidR="00AB53D8">
        <w:t>ción en sí misma,</w:t>
      </w:r>
      <w:r w:rsidR="002E7B61">
        <w:t xml:space="preserve"> que remite al mecanismo interno de reparación,</w:t>
      </w:r>
      <w:r w:rsidR="00AB53D8">
        <w:t xml:space="preserve"> sino que debe ser interpretado precisamente como una respuesta rechazando</w:t>
      </w:r>
      <w:r w:rsidR="00670334">
        <w:t xml:space="preserve"> la solicitud del Estado de remisión al mecanismo interno de r</w:t>
      </w:r>
      <w:r w:rsidR="008E1910">
        <w:t>eparación</w:t>
      </w:r>
      <w:r w:rsidR="00670334">
        <w:t>.</w:t>
      </w:r>
    </w:p>
    <w:p w:rsidR="00CA10AA" w:rsidRPr="00CA10AA" w:rsidRDefault="00CA10AA" w:rsidP="00CA10AA">
      <w:pPr>
        <w:pStyle w:val="Prrafodelista2"/>
        <w:tabs>
          <w:tab w:val="left" w:pos="567"/>
          <w:tab w:val="left" w:pos="720"/>
          <w:tab w:val="num" w:pos="15467"/>
        </w:tabs>
        <w:ind w:left="0"/>
        <w:contextualSpacing/>
        <w:jc w:val="both"/>
      </w:pPr>
    </w:p>
    <w:p w:rsidR="0089460F" w:rsidRPr="005C1433" w:rsidRDefault="00670334" w:rsidP="00CA10AA">
      <w:pPr>
        <w:pStyle w:val="Prrafodelista2"/>
        <w:numPr>
          <w:ilvl w:val="0"/>
          <w:numId w:val="1"/>
        </w:numPr>
        <w:tabs>
          <w:tab w:val="left" w:pos="567"/>
          <w:tab w:val="left" w:pos="720"/>
          <w:tab w:val="num" w:pos="15467"/>
        </w:tabs>
        <w:contextualSpacing/>
        <w:jc w:val="both"/>
      </w:pPr>
      <w:r>
        <w:rPr>
          <w:rFonts w:eastAsia="Calibri" w:cs="Arial"/>
        </w:rPr>
        <w:t xml:space="preserve">En consecuencia, </w:t>
      </w:r>
      <w:r w:rsidR="0089460F" w:rsidRPr="00222515">
        <w:rPr>
          <w:rFonts w:eastAsia="Calibri" w:cs="Arial"/>
        </w:rPr>
        <w:t xml:space="preserve">el Tribunal nota que la solicitud de interpretación formulada por </w:t>
      </w:r>
      <w:r w:rsidR="00CA10AA">
        <w:rPr>
          <w:rFonts w:eastAsia="Calibri" w:cs="Arial"/>
        </w:rPr>
        <w:t>la</w:t>
      </w:r>
      <w:r w:rsidR="0089460F">
        <w:rPr>
          <w:rFonts w:eastAsia="Calibri" w:cs="Arial"/>
        </w:rPr>
        <w:t xml:space="preserve"> r</w:t>
      </w:r>
      <w:r w:rsidR="0089460F" w:rsidRPr="00F402FA">
        <w:rPr>
          <w:rFonts w:eastAsia="Calibri" w:cs="Arial"/>
        </w:rPr>
        <w:t xml:space="preserve">epresentante </w:t>
      </w:r>
      <w:r w:rsidR="0089460F" w:rsidRPr="00222515">
        <w:rPr>
          <w:rFonts w:eastAsia="Calibri" w:cs="Arial"/>
        </w:rPr>
        <w:t>no se encuentra dentro del marco establecido en</w:t>
      </w:r>
      <w:r w:rsidR="0089460F">
        <w:rPr>
          <w:rFonts w:eastAsia="Calibri" w:cs="Arial"/>
        </w:rPr>
        <w:t xml:space="preserve"> el artícul</w:t>
      </w:r>
      <w:r w:rsidR="00CA10AA">
        <w:rPr>
          <w:rFonts w:eastAsia="Calibri" w:cs="Arial"/>
        </w:rPr>
        <w:t>o 67 de la Convención Americana,</w:t>
      </w:r>
      <w:r w:rsidR="0089460F" w:rsidRPr="00222515">
        <w:rPr>
          <w:rFonts w:eastAsia="Calibri" w:cs="Arial"/>
        </w:rPr>
        <w:t xml:space="preserve"> </w:t>
      </w:r>
      <w:r w:rsidR="0089460F">
        <w:rPr>
          <w:rFonts w:eastAsia="Calibri" w:cs="Arial"/>
        </w:rPr>
        <w:t>toda vez que</w:t>
      </w:r>
      <w:r w:rsidR="0089460F" w:rsidRPr="00222515">
        <w:rPr>
          <w:rFonts w:eastAsia="Calibri" w:cs="Arial"/>
        </w:rPr>
        <w:t xml:space="preserve"> </w:t>
      </w:r>
      <w:r w:rsidR="00AB53D8">
        <w:rPr>
          <w:rFonts w:eastAsia="Calibri" w:cs="Arial"/>
        </w:rPr>
        <w:t>se refiere a aclarar cuestiones de una medida de reparación distinta a la ordenada en la Sentencia.</w:t>
      </w:r>
    </w:p>
    <w:p w:rsidR="00CA10AA" w:rsidRDefault="00CA10AA" w:rsidP="00064C1E">
      <w:pPr>
        <w:tabs>
          <w:tab w:val="left" w:pos="567"/>
        </w:tabs>
        <w:autoSpaceDE w:val="0"/>
        <w:autoSpaceDN w:val="0"/>
        <w:adjustRightInd w:val="0"/>
        <w:spacing w:after="0" w:line="240" w:lineRule="auto"/>
        <w:jc w:val="both"/>
        <w:rPr>
          <w:rFonts w:ascii="Verdana" w:hAnsi="Verdana"/>
          <w:sz w:val="20"/>
          <w:szCs w:val="20"/>
          <w:lang w:val="es-ES_tradnl"/>
        </w:rPr>
      </w:pPr>
    </w:p>
    <w:p w:rsidR="009C3B55" w:rsidRPr="009C3B55" w:rsidRDefault="009C3B55" w:rsidP="009C3B55">
      <w:pPr>
        <w:pStyle w:val="Prrafodelista"/>
        <w:numPr>
          <w:ilvl w:val="0"/>
          <w:numId w:val="3"/>
        </w:numPr>
        <w:tabs>
          <w:tab w:val="left" w:pos="567"/>
        </w:tabs>
        <w:spacing w:after="0" w:line="240" w:lineRule="auto"/>
        <w:jc w:val="both"/>
        <w:rPr>
          <w:rFonts w:ascii="Verdana" w:eastAsia="Times" w:hAnsi="Verdana"/>
          <w:b/>
          <w:i/>
          <w:sz w:val="20"/>
          <w:szCs w:val="20"/>
        </w:rPr>
      </w:pPr>
      <w:r w:rsidRPr="009C3B55">
        <w:rPr>
          <w:rFonts w:ascii="Verdana" w:hAnsi="Verdana" w:cs="Verdana"/>
          <w:b/>
          <w:i/>
          <w:sz w:val="20"/>
          <w:szCs w:val="20"/>
          <w:lang w:val="es-ES_tradnl"/>
        </w:rPr>
        <w:t>L</w:t>
      </w:r>
      <w:r w:rsidRPr="009C3B55">
        <w:rPr>
          <w:rFonts w:ascii="Verdana" w:hAnsi="Verdana" w:cs="Verdana"/>
          <w:b/>
          <w:i/>
          <w:sz w:val="20"/>
          <w:szCs w:val="20"/>
          <w:lang w:val="es-PA"/>
        </w:rPr>
        <w:t>os alcances de la medida de reparación prevista en el apartado D.2</w:t>
      </w:r>
      <w:r>
        <w:rPr>
          <w:rFonts w:ascii="Verdana" w:hAnsi="Verdana" w:cs="Verdana"/>
          <w:b/>
          <w:i/>
          <w:sz w:val="20"/>
          <w:szCs w:val="20"/>
          <w:lang w:val="es-PA"/>
        </w:rPr>
        <w:t>.a</w:t>
      </w:r>
      <w:r w:rsidRPr="009C3B55">
        <w:rPr>
          <w:rFonts w:ascii="Verdana" w:eastAsia="Times" w:hAnsi="Verdana"/>
          <w:b/>
          <w:i/>
          <w:sz w:val="20"/>
          <w:szCs w:val="20"/>
        </w:rPr>
        <w:t xml:space="preserve"> </w:t>
      </w:r>
    </w:p>
    <w:p w:rsidR="009C3B55" w:rsidRPr="00EB2EE4" w:rsidRDefault="009C3B55" w:rsidP="009C3B55">
      <w:pPr>
        <w:tabs>
          <w:tab w:val="left" w:pos="567"/>
        </w:tabs>
        <w:spacing w:after="0" w:line="240" w:lineRule="auto"/>
        <w:jc w:val="both"/>
        <w:rPr>
          <w:rFonts w:ascii="Verdana" w:eastAsia="Times" w:hAnsi="Verdana"/>
          <w:sz w:val="20"/>
          <w:szCs w:val="20"/>
        </w:rPr>
      </w:pPr>
    </w:p>
    <w:p w:rsidR="009C3B55" w:rsidRPr="00BE133F" w:rsidRDefault="009C3B55" w:rsidP="009C3B55">
      <w:pPr>
        <w:pStyle w:val="Ttulo1"/>
      </w:pPr>
      <w:r w:rsidRPr="00BE133F">
        <w:t xml:space="preserve">A.1 </w:t>
      </w:r>
      <w:r>
        <w:t>Argumentos de las partes y de la Comisión</w:t>
      </w:r>
    </w:p>
    <w:p w:rsidR="009C3B55" w:rsidRPr="009C3B55" w:rsidRDefault="009C3B55" w:rsidP="00064C1E">
      <w:pPr>
        <w:tabs>
          <w:tab w:val="left" w:pos="567"/>
        </w:tabs>
        <w:autoSpaceDE w:val="0"/>
        <w:autoSpaceDN w:val="0"/>
        <w:adjustRightInd w:val="0"/>
        <w:spacing w:after="0" w:line="240" w:lineRule="auto"/>
        <w:jc w:val="both"/>
        <w:rPr>
          <w:rFonts w:ascii="Verdana" w:hAnsi="Verdana"/>
          <w:sz w:val="20"/>
          <w:szCs w:val="20"/>
        </w:rPr>
      </w:pPr>
    </w:p>
    <w:p w:rsidR="009C3B55" w:rsidRPr="005939E6" w:rsidRDefault="00C21618" w:rsidP="009C3B55">
      <w:pPr>
        <w:pStyle w:val="Prrafodelista2"/>
        <w:numPr>
          <w:ilvl w:val="0"/>
          <w:numId w:val="1"/>
        </w:numPr>
        <w:tabs>
          <w:tab w:val="left" w:pos="567"/>
          <w:tab w:val="left" w:pos="720"/>
          <w:tab w:val="num" w:pos="15467"/>
        </w:tabs>
        <w:contextualSpacing/>
        <w:jc w:val="both"/>
      </w:pPr>
      <w:r>
        <w:rPr>
          <w:rFonts w:eastAsia="Calibri" w:cs="Arial"/>
        </w:rPr>
        <w:t xml:space="preserve">La </w:t>
      </w:r>
      <w:r>
        <w:rPr>
          <w:rFonts w:eastAsia="Calibri" w:cs="Arial"/>
          <w:b/>
          <w:i/>
        </w:rPr>
        <w:t xml:space="preserve">representante Loayza </w:t>
      </w:r>
      <w:r>
        <w:rPr>
          <w:rFonts w:eastAsia="Calibri" w:cs="Arial"/>
        </w:rPr>
        <w:t>solicitó, respecto al pago de aportaciones al sistema de pensiones al que se refiere el apartado D.2 de la Sentencia, que se precise que dicho pago comprende a todas las víctimas, incluidas los trabajadores cesados de la empresa Petroperú, ENAPU y MEF</w:t>
      </w:r>
      <w:r w:rsidR="009C3B55">
        <w:rPr>
          <w:rFonts w:eastAsia="Calibri" w:cs="Arial"/>
        </w:rPr>
        <w:t>.</w:t>
      </w:r>
      <w:r>
        <w:rPr>
          <w:rFonts w:eastAsia="Calibri" w:cs="Arial"/>
        </w:rPr>
        <w:t xml:space="preserve"> Alegó que existió una omisión en el sentido de la no mención de los trabajadores de Petroperú, ENAPU y MEF, que podría conducir a considerar que los mismos no fueron considerados en ese extremo de la sentencia.</w:t>
      </w:r>
    </w:p>
    <w:p w:rsidR="005939E6" w:rsidRPr="005939E6" w:rsidRDefault="005939E6" w:rsidP="005939E6">
      <w:pPr>
        <w:pStyle w:val="Prrafodelista2"/>
        <w:tabs>
          <w:tab w:val="left" w:pos="567"/>
          <w:tab w:val="left" w:pos="720"/>
          <w:tab w:val="num" w:pos="15467"/>
        </w:tabs>
        <w:ind w:left="0"/>
        <w:contextualSpacing/>
        <w:jc w:val="both"/>
      </w:pPr>
    </w:p>
    <w:p w:rsidR="005939E6" w:rsidRDefault="005939E6" w:rsidP="005939E6">
      <w:pPr>
        <w:pStyle w:val="Prrafodelista2"/>
        <w:numPr>
          <w:ilvl w:val="0"/>
          <w:numId w:val="1"/>
        </w:numPr>
        <w:tabs>
          <w:tab w:val="left" w:pos="567"/>
          <w:tab w:val="left" w:pos="720"/>
          <w:tab w:val="num" w:pos="15467"/>
        </w:tabs>
        <w:contextualSpacing/>
        <w:jc w:val="both"/>
      </w:pPr>
      <w:r>
        <w:t>L</w:t>
      </w:r>
      <w:r w:rsidRPr="00BE133F">
        <w:t xml:space="preserve">a </w:t>
      </w:r>
      <w:r w:rsidRPr="00BE133F">
        <w:rPr>
          <w:b/>
          <w:i/>
        </w:rPr>
        <w:t>Comisión</w:t>
      </w:r>
      <w:r w:rsidRPr="00BE133F">
        <w:t xml:space="preserve"> </w:t>
      </w:r>
      <w:r>
        <w:t>consideró que la Corte podría precisar los aspectos referidos por la representante Loayza para favorecer el cumplimiento de las reparaciones, o bien para que estos aspectos no sean objeto de debates adicionales con el Estado de Perú durante la etapa de supervisión.</w:t>
      </w:r>
    </w:p>
    <w:p w:rsidR="005939E6" w:rsidRDefault="005939E6" w:rsidP="005939E6">
      <w:pPr>
        <w:pStyle w:val="Prrafodelista2"/>
        <w:tabs>
          <w:tab w:val="left" w:pos="567"/>
          <w:tab w:val="left" w:pos="720"/>
        </w:tabs>
        <w:ind w:left="0"/>
        <w:contextualSpacing/>
        <w:jc w:val="both"/>
      </w:pPr>
    </w:p>
    <w:p w:rsidR="005939E6" w:rsidRPr="005C1433" w:rsidRDefault="005939E6" w:rsidP="009C3B55">
      <w:pPr>
        <w:pStyle w:val="Prrafodelista2"/>
        <w:numPr>
          <w:ilvl w:val="0"/>
          <w:numId w:val="1"/>
        </w:numPr>
        <w:tabs>
          <w:tab w:val="left" w:pos="567"/>
          <w:tab w:val="left" w:pos="720"/>
          <w:tab w:val="num" w:pos="15467"/>
        </w:tabs>
        <w:contextualSpacing/>
        <w:jc w:val="both"/>
      </w:pPr>
      <w:r>
        <w:t xml:space="preserve">El </w:t>
      </w:r>
      <w:r>
        <w:rPr>
          <w:b/>
          <w:i/>
        </w:rPr>
        <w:t xml:space="preserve">Estado </w:t>
      </w:r>
      <w:r>
        <w:t xml:space="preserve">sostuvo que </w:t>
      </w:r>
      <w:r w:rsidR="00DE0D12">
        <w:t xml:space="preserve">la solicitud de los representantes debe ser desestimada, puesto que se trata de un pedido de rectificación respecto del cual ya venció la oportunidad procesal para que el mismo sea atendido. En ese sentido, el Estado manifestó que para él, resulta </w:t>
      </w:r>
      <w:r w:rsidR="00DE0D12">
        <w:lastRenderedPageBreak/>
        <w:t xml:space="preserve">claro que las víctimas a las que hace referencia el párrafo 218 de la sentencia son los trabajadores de </w:t>
      </w:r>
      <w:r w:rsidR="00D0414B">
        <w:t>Minedu</w:t>
      </w:r>
      <w:r w:rsidR="00DE0D12">
        <w:t>.</w:t>
      </w:r>
    </w:p>
    <w:p w:rsidR="009C3B55" w:rsidRDefault="009C3B55" w:rsidP="00064C1E">
      <w:pPr>
        <w:tabs>
          <w:tab w:val="left" w:pos="567"/>
        </w:tabs>
        <w:autoSpaceDE w:val="0"/>
        <w:autoSpaceDN w:val="0"/>
        <w:adjustRightInd w:val="0"/>
        <w:spacing w:after="0" w:line="240" w:lineRule="auto"/>
        <w:jc w:val="both"/>
        <w:rPr>
          <w:rFonts w:ascii="Verdana" w:hAnsi="Verdana"/>
          <w:sz w:val="20"/>
          <w:szCs w:val="20"/>
          <w:lang w:val="es-ES_tradnl"/>
        </w:rPr>
      </w:pPr>
    </w:p>
    <w:p w:rsidR="00BF1334" w:rsidRDefault="00BF1334" w:rsidP="00BF1334">
      <w:pPr>
        <w:tabs>
          <w:tab w:val="left" w:pos="567"/>
        </w:tabs>
        <w:spacing w:after="0" w:line="240" w:lineRule="auto"/>
        <w:ind w:left="720"/>
        <w:jc w:val="both"/>
        <w:rPr>
          <w:rFonts w:ascii="Verdana" w:eastAsia="Times" w:hAnsi="Verdana"/>
          <w:i/>
          <w:sz w:val="20"/>
          <w:szCs w:val="20"/>
        </w:rPr>
      </w:pPr>
      <w:r w:rsidRPr="009C3B55">
        <w:rPr>
          <w:rFonts w:ascii="Verdana" w:eastAsia="Times" w:hAnsi="Verdana"/>
          <w:i/>
          <w:sz w:val="20"/>
          <w:szCs w:val="20"/>
        </w:rPr>
        <w:t>A.2 Consideraciones de la Corte</w:t>
      </w:r>
    </w:p>
    <w:p w:rsidR="009C3B55" w:rsidRDefault="009C3B55" w:rsidP="00064C1E">
      <w:pPr>
        <w:tabs>
          <w:tab w:val="left" w:pos="567"/>
        </w:tabs>
        <w:autoSpaceDE w:val="0"/>
        <w:autoSpaceDN w:val="0"/>
        <w:adjustRightInd w:val="0"/>
        <w:spacing w:after="0" w:line="240" w:lineRule="auto"/>
        <w:jc w:val="both"/>
        <w:rPr>
          <w:rFonts w:ascii="Verdana" w:hAnsi="Verdana"/>
          <w:sz w:val="20"/>
          <w:szCs w:val="20"/>
          <w:lang w:val="es-ES_tradnl"/>
        </w:rPr>
      </w:pPr>
    </w:p>
    <w:p w:rsidR="00BF1334" w:rsidRDefault="00BF1334" w:rsidP="00BF1334">
      <w:pPr>
        <w:pStyle w:val="Prrafodelista"/>
        <w:numPr>
          <w:ilvl w:val="0"/>
          <w:numId w:val="1"/>
        </w:numPr>
        <w:tabs>
          <w:tab w:val="left" w:pos="567"/>
        </w:tabs>
        <w:spacing w:after="0" w:line="240" w:lineRule="auto"/>
        <w:jc w:val="both"/>
        <w:rPr>
          <w:rFonts w:ascii="Verdana" w:eastAsia="Times" w:hAnsi="Verdana"/>
          <w:sz w:val="20"/>
          <w:szCs w:val="20"/>
        </w:rPr>
      </w:pPr>
      <w:r>
        <w:rPr>
          <w:rFonts w:ascii="Verdana" w:eastAsia="Times" w:hAnsi="Verdana"/>
          <w:sz w:val="20"/>
          <w:szCs w:val="20"/>
        </w:rPr>
        <w:t xml:space="preserve">La Corte </w:t>
      </w:r>
      <w:r w:rsidR="00D0414B">
        <w:rPr>
          <w:rFonts w:ascii="Verdana" w:eastAsia="Times" w:hAnsi="Verdana"/>
          <w:sz w:val="20"/>
          <w:szCs w:val="20"/>
        </w:rPr>
        <w:t>reitera</w:t>
      </w:r>
      <w:r>
        <w:rPr>
          <w:rFonts w:ascii="Verdana" w:eastAsia="Times" w:hAnsi="Verdana"/>
          <w:sz w:val="20"/>
          <w:szCs w:val="20"/>
        </w:rPr>
        <w:t xml:space="preserve"> lo establecido en el párrafo 218 de la Sentencia:</w:t>
      </w:r>
    </w:p>
    <w:p w:rsidR="00BF1334" w:rsidRPr="00EB2EE4" w:rsidRDefault="00BF1334" w:rsidP="00BF1334">
      <w:pPr>
        <w:tabs>
          <w:tab w:val="left" w:pos="567"/>
        </w:tabs>
        <w:spacing w:after="0" w:line="240" w:lineRule="auto"/>
        <w:jc w:val="both"/>
        <w:rPr>
          <w:rFonts w:ascii="Verdana" w:eastAsia="Times" w:hAnsi="Verdana"/>
          <w:sz w:val="18"/>
          <w:szCs w:val="18"/>
        </w:rPr>
      </w:pPr>
    </w:p>
    <w:p w:rsidR="00DA224A" w:rsidRPr="001E29F4" w:rsidRDefault="00D0414B" w:rsidP="001E29F4">
      <w:pPr>
        <w:tabs>
          <w:tab w:val="left" w:pos="720"/>
        </w:tabs>
        <w:spacing w:after="0" w:line="240" w:lineRule="auto"/>
        <w:ind w:left="720" w:right="968"/>
        <w:jc w:val="both"/>
        <w:rPr>
          <w:rFonts w:ascii="Verdana" w:hAnsi="Verdana" w:cs="Verdana"/>
          <w:bCs/>
          <w:iCs/>
          <w:noProof/>
          <w:sz w:val="18"/>
          <w:szCs w:val="18"/>
          <w:lang w:val="es-ES_tradnl"/>
        </w:rPr>
      </w:pPr>
      <w:r>
        <w:rPr>
          <w:rFonts w:ascii="Verdana" w:hAnsi="Verdana" w:cs="Verdana"/>
          <w:bCs/>
          <w:iCs/>
          <w:noProof/>
          <w:sz w:val="18"/>
          <w:szCs w:val="18"/>
          <w:lang w:val="es-ES_tradnl"/>
        </w:rPr>
        <w:t xml:space="preserve">218. </w:t>
      </w:r>
      <w:r w:rsidR="00DA224A" w:rsidRPr="001E29F4">
        <w:rPr>
          <w:rFonts w:ascii="Verdana" w:hAnsi="Verdana" w:cs="Verdana"/>
          <w:bCs/>
          <w:iCs/>
          <w:noProof/>
          <w:sz w:val="18"/>
          <w:szCs w:val="18"/>
          <w:lang w:val="es-ES_tradnl"/>
        </w:rPr>
        <w:t xml:space="preserve">La Corte considera que no corresponde a este Tribunal ordenar la reincorporación de los trabajadores de Minedu a un régimen de pensiones que no se encuentra vigente en el ordenamiento jurídico nacional al momento de la emisión de la presente sentencia. Por otra parte, este Tribunal considera que corresponde recibir a las víctimas una suma por los aportes pensionales que no ingresaron a su patrimonio como consecuencia de la violación al derecho al trabajo. En ese sentido, la Corte considera que le corresponde recibir a las víctimas del presente caso, en equidad, una suma de US $5.000 (cinco mil dólares de los Estados Unidos de América) por los aportes pensionales que no ingresaron a su patrimonio como consecuencia de sus ceses. La Corte reconoce que el Estado ha otorgado compensaciones monetarias por este aspecto a algunas de las víctimas del caso, razón por la cual, al momento de cumplir con la presente medida de reparación deberá restar del monto ordenado la cantidad ya otorgada a la víctima correspondiente, lo cual deberá ser comprobado en la etapa de supervisión de cumplimiento del presente caso. </w:t>
      </w:r>
    </w:p>
    <w:p w:rsidR="00BF1334" w:rsidRPr="00EB2EE4" w:rsidRDefault="00BF1334" w:rsidP="00BF1334">
      <w:pPr>
        <w:tabs>
          <w:tab w:val="left" w:pos="720"/>
        </w:tabs>
        <w:spacing w:after="0" w:line="240" w:lineRule="auto"/>
        <w:ind w:left="720" w:right="968"/>
        <w:jc w:val="both"/>
        <w:rPr>
          <w:rFonts w:ascii="Verdana" w:hAnsi="Verdana" w:cs="Verdana"/>
          <w:bCs/>
          <w:iCs/>
          <w:noProof/>
          <w:sz w:val="18"/>
          <w:szCs w:val="18"/>
          <w:lang w:val="es-ES_tradnl"/>
        </w:rPr>
      </w:pPr>
    </w:p>
    <w:p w:rsidR="00D0414B" w:rsidRDefault="00326009" w:rsidP="00D0414B">
      <w:pPr>
        <w:pStyle w:val="Prrafodelista2"/>
        <w:numPr>
          <w:ilvl w:val="0"/>
          <w:numId w:val="1"/>
        </w:numPr>
        <w:tabs>
          <w:tab w:val="left" w:pos="567"/>
          <w:tab w:val="left" w:pos="720"/>
          <w:tab w:val="num" w:pos="15467"/>
        </w:tabs>
        <w:contextualSpacing/>
        <w:jc w:val="both"/>
      </w:pPr>
      <w:r>
        <w:t xml:space="preserve">La Corte advierte que el párrafo 218 debe ser interpretado a la luz de los alegatos presentados por las partes y en relación con las observaciones de la Comisión. </w:t>
      </w:r>
      <w:r w:rsidR="00B145B5">
        <w:t xml:space="preserve">En ese sentido, </w:t>
      </w:r>
      <w:r w:rsidR="00D0414B">
        <w:t>e</w:t>
      </w:r>
      <w:r w:rsidR="00B145B5">
        <w:t>l Tribunal recuerda que e</w:t>
      </w:r>
      <w:r>
        <w:t xml:space="preserve">l párrafo 216 de la Sentencia </w:t>
      </w:r>
      <w:r w:rsidR="00692ADE">
        <w:t>resume</w:t>
      </w:r>
      <w:r>
        <w:t xml:space="preserve"> uno de los alegatos formulados por los representantes de las víctimas de Minedu</w:t>
      </w:r>
      <w:r w:rsidR="00692ADE">
        <w:t>,</w:t>
      </w:r>
      <w:r>
        <w:t xml:space="preserve"> Gregorio Paredes Chipana</w:t>
      </w:r>
      <w:r w:rsidR="00692ADE">
        <w:t>,</w:t>
      </w:r>
      <w:r>
        <w:t xml:space="preserve"> y Manuel Eugenio Paiba Cossio (referido</w:t>
      </w:r>
      <w:r w:rsidR="00D0414B">
        <w:t>s en el texto de la S</w:t>
      </w:r>
      <w:r>
        <w:t>entencia como “otros representantes”)</w:t>
      </w:r>
      <w:r w:rsidR="00D0414B">
        <w:t xml:space="preserve">. Estos representantes, </w:t>
      </w:r>
      <w:r>
        <w:t>en su escrito de solicitudes, argumentos y pruebas solicitaron a la Corte, como medida de reparación</w:t>
      </w:r>
      <w:r w:rsidR="00D0414B">
        <w:t>,</w:t>
      </w:r>
      <w:r>
        <w:t xml:space="preserve"> que los trabajadores de Minedu fueran reincorporados al mismo régimen laboral al que pertenecían al momento del cese irregular, y que la reincorporación debía “implicar al mismo régimen pensionario al que aportaba y/o pertenecía cada trabajador al momento del Cese Irregular </w:t>
      </w:r>
      <w:r w:rsidR="00692ADE">
        <w:t xml:space="preserve">(…) según corresponda a cada caso </w:t>
      </w:r>
      <w:r w:rsidR="005847FB">
        <w:t xml:space="preserve">en </w:t>
      </w:r>
      <w:r w:rsidR="00692ADE">
        <w:t>particular.”</w:t>
      </w:r>
    </w:p>
    <w:p w:rsidR="00D0414B" w:rsidRDefault="00D0414B" w:rsidP="00D0414B">
      <w:pPr>
        <w:pStyle w:val="Prrafodelista2"/>
        <w:tabs>
          <w:tab w:val="left" w:pos="567"/>
          <w:tab w:val="left" w:pos="720"/>
          <w:tab w:val="num" w:pos="15467"/>
        </w:tabs>
        <w:ind w:left="0"/>
        <w:contextualSpacing/>
        <w:jc w:val="both"/>
      </w:pPr>
    </w:p>
    <w:p w:rsidR="00D0414B" w:rsidRDefault="00D0414B" w:rsidP="00D0414B">
      <w:pPr>
        <w:pStyle w:val="Prrafodelista2"/>
        <w:numPr>
          <w:ilvl w:val="0"/>
          <w:numId w:val="1"/>
        </w:numPr>
        <w:tabs>
          <w:tab w:val="left" w:pos="567"/>
          <w:tab w:val="left" w:pos="720"/>
          <w:tab w:val="num" w:pos="15467"/>
        </w:tabs>
        <w:contextualSpacing/>
        <w:jc w:val="both"/>
      </w:pPr>
      <w:r>
        <w:t>En relación con este alegato, e</w:t>
      </w:r>
      <w:r w:rsidR="00692ADE">
        <w:t>l párrafo 218, en su primera línea, afirma que “[l]a Corte considera que no corresponde a este Tribunal ordenar la reincorporación de los trabajadores de Minedu a un régimen de pensiones que no se encuentra vigente en el ordenamiento jurídico nacional al momento de la emisión de la presente sentencia”</w:t>
      </w:r>
      <w:r w:rsidR="00B145B5">
        <w:t xml:space="preserve">. </w:t>
      </w:r>
      <w:r>
        <w:t xml:space="preserve">De esta forma, esta afirmación </w:t>
      </w:r>
      <w:r w:rsidR="00B145B5">
        <w:t>debe ser interpretada como una respuesta de la Corte específicamente a la solicitud de los representantes Paredes Chipana y Paiba Cossio</w:t>
      </w:r>
      <w:r w:rsidR="003D1595">
        <w:t xml:space="preserve"> relativa a las víctimas de Minedu</w:t>
      </w:r>
      <w:r w:rsidR="00B145B5">
        <w:t xml:space="preserve">, expresada en el párrafo 216. </w:t>
      </w:r>
      <w:r>
        <w:t>En el mismo sentido</w:t>
      </w:r>
      <w:r w:rsidR="00B145B5">
        <w:t xml:space="preserve">, la afirmación de la Corte relativa </w:t>
      </w:r>
      <w:r w:rsidR="002C41FC">
        <w:t xml:space="preserve">a que “el Tribunal considera que corresponde recibir a las víctimas una suma por los aportes pensionales que no ingresaron a su patrimonio como consecuencia de la violación </w:t>
      </w:r>
      <w:r w:rsidR="005847FB">
        <w:t>al</w:t>
      </w:r>
      <w:r w:rsidR="002C41FC">
        <w:t xml:space="preserve"> derecho al trabajo” debe ser interpretada como una medida de reparación dirigida a la tota</w:t>
      </w:r>
      <w:r>
        <w:t>lidad de las víctimas del caso.</w:t>
      </w:r>
    </w:p>
    <w:p w:rsidR="00D0414B" w:rsidRDefault="00D0414B" w:rsidP="00D0414B">
      <w:pPr>
        <w:pStyle w:val="Prrafodelista2"/>
        <w:tabs>
          <w:tab w:val="left" w:pos="567"/>
          <w:tab w:val="left" w:pos="720"/>
        </w:tabs>
        <w:ind w:left="0"/>
        <w:contextualSpacing/>
        <w:jc w:val="both"/>
      </w:pPr>
    </w:p>
    <w:p w:rsidR="00692ADE" w:rsidRPr="005C1433" w:rsidRDefault="00AA5559" w:rsidP="00D0414B">
      <w:pPr>
        <w:pStyle w:val="Prrafodelista2"/>
        <w:numPr>
          <w:ilvl w:val="0"/>
          <w:numId w:val="1"/>
        </w:numPr>
        <w:tabs>
          <w:tab w:val="left" w:pos="567"/>
          <w:tab w:val="left" w:pos="720"/>
          <w:tab w:val="num" w:pos="15467"/>
        </w:tabs>
        <w:contextualSpacing/>
        <w:jc w:val="both"/>
      </w:pPr>
      <w:r>
        <w:t>En consecuencia, la Corte aclara que la medida de reparación contenida en el párrafo 218 de la Sentencia, consistente en que las víctimas reciban una suma de $5.000 (cinco mil dólares de los Estados Unidos de América), menos aquellas compensaciones económicas que ya hayan sido otorgadas</w:t>
      </w:r>
      <w:r w:rsidR="00DD036B">
        <w:t xml:space="preserve"> por el mismo concepto</w:t>
      </w:r>
      <w:r w:rsidR="004B0DD2">
        <w:t xml:space="preserve"> como parte de los beneficios previstos por la Ley 27803</w:t>
      </w:r>
      <w:r>
        <w:t>, se refiere a las víctimas de Petroperú, Minedu, MEF y Enapu.</w:t>
      </w:r>
    </w:p>
    <w:p w:rsidR="009C3B55" w:rsidRDefault="009C3B55" w:rsidP="00064C1E">
      <w:pPr>
        <w:tabs>
          <w:tab w:val="left" w:pos="567"/>
        </w:tabs>
        <w:autoSpaceDE w:val="0"/>
        <w:autoSpaceDN w:val="0"/>
        <w:adjustRightInd w:val="0"/>
        <w:spacing w:after="0" w:line="240" w:lineRule="auto"/>
        <w:jc w:val="both"/>
        <w:rPr>
          <w:rFonts w:ascii="Verdana" w:hAnsi="Verdana"/>
          <w:sz w:val="20"/>
          <w:szCs w:val="20"/>
          <w:lang w:val="es-ES_tradnl"/>
        </w:rPr>
      </w:pPr>
    </w:p>
    <w:p w:rsidR="00C442FC" w:rsidRDefault="00C442FC" w:rsidP="00064C1E">
      <w:pPr>
        <w:tabs>
          <w:tab w:val="left" w:pos="567"/>
        </w:tabs>
        <w:autoSpaceDE w:val="0"/>
        <w:autoSpaceDN w:val="0"/>
        <w:adjustRightInd w:val="0"/>
        <w:spacing w:after="0" w:line="240" w:lineRule="auto"/>
        <w:jc w:val="both"/>
        <w:rPr>
          <w:rFonts w:ascii="Verdana" w:hAnsi="Verdana"/>
          <w:sz w:val="20"/>
          <w:szCs w:val="20"/>
          <w:lang w:val="es-ES_tradnl"/>
        </w:rPr>
      </w:pPr>
    </w:p>
    <w:p w:rsidR="009C3B55" w:rsidRPr="00DD036B" w:rsidRDefault="00DD036B" w:rsidP="00DD036B">
      <w:pPr>
        <w:pStyle w:val="Prrafodelista"/>
        <w:numPr>
          <w:ilvl w:val="0"/>
          <w:numId w:val="3"/>
        </w:numPr>
        <w:tabs>
          <w:tab w:val="left" w:pos="0"/>
        </w:tabs>
        <w:autoSpaceDE w:val="0"/>
        <w:autoSpaceDN w:val="0"/>
        <w:adjustRightInd w:val="0"/>
        <w:spacing w:after="0" w:line="240" w:lineRule="auto"/>
        <w:ind w:left="0" w:firstLine="0"/>
        <w:jc w:val="both"/>
        <w:rPr>
          <w:rFonts w:ascii="Verdana" w:hAnsi="Verdana"/>
          <w:b/>
          <w:i/>
          <w:sz w:val="20"/>
          <w:szCs w:val="20"/>
          <w:lang w:val="es-ES_tradnl"/>
        </w:rPr>
      </w:pPr>
      <w:r w:rsidRPr="00DD036B">
        <w:rPr>
          <w:rFonts w:ascii="Verdana" w:hAnsi="Verdana"/>
          <w:b/>
          <w:i/>
          <w:sz w:val="20"/>
          <w:szCs w:val="20"/>
          <w:lang w:val="es-ES_tradnl" w:bidi="en-US"/>
        </w:rPr>
        <w:lastRenderedPageBreak/>
        <w:t>L</w:t>
      </w:r>
      <w:r w:rsidRPr="00DD036B">
        <w:rPr>
          <w:rFonts w:ascii="Verdana" w:hAnsi="Verdana"/>
          <w:b/>
          <w:i/>
          <w:sz w:val="20"/>
          <w:szCs w:val="20"/>
          <w:lang w:bidi="en-US"/>
        </w:rPr>
        <w:t>os alcances de la medida de reparación prevista en el apartado D.3</w:t>
      </w:r>
      <w:r w:rsidRPr="00DD036B">
        <w:rPr>
          <w:rFonts w:ascii="Verdana" w:hAnsi="Verdana"/>
          <w:b/>
          <w:i/>
          <w:iCs/>
          <w:sz w:val="20"/>
          <w:szCs w:val="20"/>
          <w:lang w:bidi="en-US"/>
        </w:rPr>
        <w:t xml:space="preserve">, y </w:t>
      </w:r>
      <w:r w:rsidRPr="00DD036B">
        <w:rPr>
          <w:rFonts w:ascii="Verdana" w:hAnsi="Verdana" w:cs="Verdana"/>
          <w:b/>
          <w:i/>
          <w:sz w:val="20"/>
          <w:szCs w:val="20"/>
          <w:lang w:val="es-PA"/>
        </w:rPr>
        <w:t>D) otras consideraciones sometidas por las partes.</w:t>
      </w:r>
    </w:p>
    <w:p w:rsidR="009C3B55" w:rsidRDefault="009C3B55" w:rsidP="00064C1E">
      <w:pPr>
        <w:tabs>
          <w:tab w:val="left" w:pos="567"/>
        </w:tabs>
        <w:autoSpaceDE w:val="0"/>
        <w:autoSpaceDN w:val="0"/>
        <w:adjustRightInd w:val="0"/>
        <w:spacing w:after="0" w:line="240" w:lineRule="auto"/>
        <w:jc w:val="both"/>
        <w:rPr>
          <w:rFonts w:ascii="Verdana" w:hAnsi="Verdana"/>
          <w:sz w:val="20"/>
          <w:szCs w:val="20"/>
          <w:lang w:val="es-ES_tradnl"/>
        </w:rPr>
      </w:pPr>
    </w:p>
    <w:p w:rsidR="0048769B" w:rsidRPr="00BE133F" w:rsidRDefault="0048769B" w:rsidP="0048769B">
      <w:pPr>
        <w:pStyle w:val="Ttulo1"/>
      </w:pPr>
      <w:r>
        <w:t>C</w:t>
      </w:r>
      <w:r w:rsidRPr="00BE133F">
        <w:t xml:space="preserve">.1 </w:t>
      </w:r>
      <w:r>
        <w:t>Argumentos de las partes y de la Comisión</w:t>
      </w:r>
    </w:p>
    <w:p w:rsidR="0048769B" w:rsidRDefault="0048769B" w:rsidP="00064C1E">
      <w:pPr>
        <w:tabs>
          <w:tab w:val="left" w:pos="567"/>
        </w:tabs>
        <w:autoSpaceDE w:val="0"/>
        <w:autoSpaceDN w:val="0"/>
        <w:adjustRightInd w:val="0"/>
        <w:spacing w:after="0" w:line="240" w:lineRule="auto"/>
        <w:jc w:val="both"/>
        <w:rPr>
          <w:rFonts w:ascii="Verdana" w:hAnsi="Verdana"/>
          <w:sz w:val="20"/>
          <w:szCs w:val="20"/>
          <w:lang w:val="es-ES_tradnl"/>
        </w:rPr>
      </w:pPr>
    </w:p>
    <w:p w:rsidR="00DA6614" w:rsidRPr="00D503A2" w:rsidRDefault="00DA6614" w:rsidP="00DA6614">
      <w:pPr>
        <w:pStyle w:val="Prrafodelista2"/>
        <w:numPr>
          <w:ilvl w:val="0"/>
          <w:numId w:val="1"/>
        </w:numPr>
        <w:tabs>
          <w:tab w:val="left" w:pos="567"/>
          <w:tab w:val="left" w:pos="720"/>
          <w:tab w:val="num" w:pos="15467"/>
        </w:tabs>
        <w:contextualSpacing/>
        <w:jc w:val="both"/>
      </w:pPr>
      <w:r>
        <w:rPr>
          <w:rFonts w:eastAsia="Calibri" w:cs="Arial"/>
        </w:rPr>
        <w:t xml:space="preserve">El </w:t>
      </w:r>
      <w:r>
        <w:rPr>
          <w:rFonts w:eastAsia="Calibri" w:cs="Arial"/>
          <w:b/>
          <w:i/>
        </w:rPr>
        <w:t xml:space="preserve">Estado </w:t>
      </w:r>
      <w:r>
        <w:rPr>
          <w:rFonts w:eastAsia="Calibri" w:cs="Arial"/>
        </w:rPr>
        <w:t>solici</w:t>
      </w:r>
      <w:r w:rsidR="00712E6E">
        <w:rPr>
          <w:rFonts w:eastAsia="Calibri" w:cs="Arial"/>
        </w:rPr>
        <w:t>tó a la Corte que esclarezca si es que –tal como sucede con los pagos de pensiones dejados de percibir por los trabajadores o con el lucro cesante- pueden considerarse los pagos ya realizados por medio de la Ley No. 27803 como parte del cumplimiento del pago por daño inmaterial establecido en la Sentencia. Lo anterior en aplicación del principio de complementariedad (o subsidiariedad) tal y como fue sostenido en los párrafos 207 a 209 de la Sentencia.</w:t>
      </w:r>
    </w:p>
    <w:p w:rsidR="00D503A2" w:rsidRPr="00D503A2" w:rsidRDefault="00D503A2" w:rsidP="00D503A2">
      <w:pPr>
        <w:pStyle w:val="Prrafodelista2"/>
        <w:tabs>
          <w:tab w:val="left" w:pos="567"/>
          <w:tab w:val="left" w:pos="720"/>
          <w:tab w:val="num" w:pos="15467"/>
        </w:tabs>
        <w:ind w:left="0"/>
        <w:contextualSpacing/>
        <w:jc w:val="both"/>
      </w:pPr>
    </w:p>
    <w:p w:rsidR="006276E1" w:rsidRDefault="00D503A2" w:rsidP="006276E1">
      <w:pPr>
        <w:pStyle w:val="Prrafodelista2"/>
        <w:numPr>
          <w:ilvl w:val="0"/>
          <w:numId w:val="1"/>
        </w:numPr>
        <w:tabs>
          <w:tab w:val="left" w:pos="567"/>
          <w:tab w:val="left" w:pos="720"/>
          <w:tab w:val="num" w:pos="15467"/>
        </w:tabs>
        <w:contextualSpacing/>
        <w:jc w:val="both"/>
      </w:pPr>
      <w:r>
        <w:t xml:space="preserve">La </w:t>
      </w:r>
      <w:r w:rsidRPr="006276E1">
        <w:rPr>
          <w:b/>
          <w:i/>
        </w:rPr>
        <w:t>Comisi</w:t>
      </w:r>
      <w:r w:rsidR="007F4B69" w:rsidRPr="006276E1">
        <w:rPr>
          <w:b/>
          <w:i/>
        </w:rPr>
        <w:t>ón</w:t>
      </w:r>
      <w:r w:rsidR="007F4B69">
        <w:t xml:space="preserve"> consideró que</w:t>
      </w:r>
      <w:r w:rsidR="00754019">
        <w:t>,</w:t>
      </w:r>
      <w:r w:rsidR="007F4B69">
        <w:t xml:space="preserve"> de una lectura integral de los párrafos 207 a 209 de la Sentencia</w:t>
      </w:r>
      <w:r w:rsidR="00754019">
        <w:t>,</w:t>
      </w:r>
      <w:r w:rsidR="007F4B69">
        <w:t xml:space="preserve"> se desprende que la Corte tuvo en cuenta los beneficios ya reconocidos bajo la Ley </w:t>
      </w:r>
      <w:r w:rsidR="00754019">
        <w:t xml:space="preserve">No. </w:t>
      </w:r>
      <w:r w:rsidR="007F4B69">
        <w:t xml:space="preserve">27803, y en virtud del principio de complementariedad, tomó en cuenta dichos montos en la determinación de las modalidades y especificidades relativas al daño material. </w:t>
      </w:r>
      <w:r w:rsidR="006276E1">
        <w:t>En ese sentido, la Comisión entendió que los beneficios ya otorgados bajo la Ley</w:t>
      </w:r>
      <w:r w:rsidR="00754019">
        <w:t xml:space="preserve"> No.</w:t>
      </w:r>
      <w:r w:rsidR="006276E1">
        <w:t xml:space="preserve"> 27803 fueron tomados en cuenta por la Corte al momento de calcular el daño material, por lo que no existiría falta de claridad en la sentencia.</w:t>
      </w:r>
    </w:p>
    <w:p w:rsidR="006276E1" w:rsidRDefault="006276E1" w:rsidP="006276E1">
      <w:pPr>
        <w:pStyle w:val="Prrafodelista2"/>
        <w:tabs>
          <w:tab w:val="left" w:pos="567"/>
          <w:tab w:val="left" w:pos="720"/>
        </w:tabs>
        <w:ind w:left="0"/>
        <w:contextualSpacing/>
        <w:jc w:val="both"/>
      </w:pPr>
    </w:p>
    <w:p w:rsidR="001C24B0" w:rsidRDefault="006276E1" w:rsidP="001C24B0">
      <w:pPr>
        <w:pStyle w:val="Prrafodelista2"/>
        <w:numPr>
          <w:ilvl w:val="0"/>
          <w:numId w:val="1"/>
        </w:numPr>
        <w:tabs>
          <w:tab w:val="left" w:pos="567"/>
          <w:tab w:val="left" w:pos="720"/>
          <w:tab w:val="num" w:pos="15467"/>
        </w:tabs>
        <w:contextualSpacing/>
        <w:jc w:val="both"/>
      </w:pPr>
      <w:r>
        <w:t xml:space="preserve">La </w:t>
      </w:r>
      <w:r>
        <w:rPr>
          <w:b/>
          <w:i/>
        </w:rPr>
        <w:t xml:space="preserve">representante Loayza </w:t>
      </w:r>
      <w:r>
        <w:t>manifestó que la solicitud del Estado debía ser desestimada por las siguientes razones: (i) busca modificar lo decidido por la Corte e incorporar aspectos no contenidos en su sentencia; y (ii) no se trata de una aclaración o precisión de la sentencia dirigida a alcanzar la efectiva implementación de lo decidido</w:t>
      </w:r>
      <w:r w:rsidR="00754019">
        <w:t>,</w:t>
      </w:r>
      <w:r>
        <w:t xml:space="preserve"> sino de introducir cuestion</w:t>
      </w:r>
      <w:r w:rsidR="00754019">
        <w:t>es no contempladas por la Corte</w:t>
      </w:r>
      <w:r>
        <w:t xml:space="preserve"> en perj</w:t>
      </w:r>
      <w:r w:rsidR="001C24B0">
        <w:t>uicio de las víctimas del caso.</w:t>
      </w:r>
    </w:p>
    <w:p w:rsidR="001C24B0" w:rsidRDefault="001C24B0" w:rsidP="001C24B0">
      <w:pPr>
        <w:pStyle w:val="Prrafodelista2"/>
        <w:tabs>
          <w:tab w:val="left" w:pos="567"/>
          <w:tab w:val="left" w:pos="720"/>
        </w:tabs>
        <w:ind w:left="0"/>
        <w:contextualSpacing/>
        <w:jc w:val="both"/>
      </w:pPr>
    </w:p>
    <w:p w:rsidR="001C24B0" w:rsidRPr="005939E6" w:rsidRDefault="001C24B0" w:rsidP="00DA6614">
      <w:pPr>
        <w:pStyle w:val="Prrafodelista2"/>
        <w:numPr>
          <w:ilvl w:val="0"/>
          <w:numId w:val="1"/>
        </w:numPr>
        <w:tabs>
          <w:tab w:val="left" w:pos="567"/>
          <w:tab w:val="left" w:pos="720"/>
          <w:tab w:val="num" w:pos="15467"/>
        </w:tabs>
        <w:contextualSpacing/>
        <w:jc w:val="both"/>
      </w:pPr>
      <w:r>
        <w:t xml:space="preserve">Los </w:t>
      </w:r>
      <w:r>
        <w:rPr>
          <w:b/>
          <w:i/>
        </w:rPr>
        <w:t xml:space="preserve">representantes Paiba y Paredes </w:t>
      </w:r>
      <w:r>
        <w:t xml:space="preserve">observaron que la solicitud del Estado pretende en la práctica descontar de manera abusiva los montos de reparación previstos en la Sentencia. Manifestaron que la </w:t>
      </w:r>
      <w:r w:rsidR="00391B84">
        <w:t>Sentencia estableció una reparación mínima, y que sólo en lo que respecta al lucro cesante se descontarán los montos que hayan sido recibidos como compensación económica. En consecuencia, manifestaron que no hay nada que indique que en los demás conceptos se deba descontar monto alguno de las reparaciones autorizadas por la Corte.</w:t>
      </w:r>
    </w:p>
    <w:p w:rsidR="009C3B55" w:rsidRDefault="009C3B55" w:rsidP="00064C1E">
      <w:pPr>
        <w:tabs>
          <w:tab w:val="left" w:pos="567"/>
        </w:tabs>
        <w:autoSpaceDE w:val="0"/>
        <w:autoSpaceDN w:val="0"/>
        <w:adjustRightInd w:val="0"/>
        <w:spacing w:after="0" w:line="240" w:lineRule="auto"/>
        <w:jc w:val="both"/>
        <w:rPr>
          <w:rFonts w:ascii="Verdana" w:hAnsi="Verdana"/>
          <w:sz w:val="20"/>
          <w:szCs w:val="20"/>
          <w:lang w:val="es-ES_tradnl"/>
        </w:rPr>
      </w:pPr>
    </w:p>
    <w:p w:rsidR="0048769B" w:rsidRDefault="0048769B" w:rsidP="0048769B">
      <w:pPr>
        <w:tabs>
          <w:tab w:val="left" w:pos="567"/>
        </w:tabs>
        <w:spacing w:after="0" w:line="240" w:lineRule="auto"/>
        <w:ind w:left="720"/>
        <w:jc w:val="both"/>
        <w:rPr>
          <w:rFonts w:ascii="Verdana" w:eastAsia="Times" w:hAnsi="Verdana"/>
          <w:i/>
          <w:sz w:val="20"/>
          <w:szCs w:val="20"/>
        </w:rPr>
      </w:pPr>
      <w:r>
        <w:rPr>
          <w:rFonts w:ascii="Verdana" w:eastAsia="Times" w:hAnsi="Verdana"/>
          <w:i/>
          <w:sz w:val="20"/>
          <w:szCs w:val="20"/>
        </w:rPr>
        <w:t>C</w:t>
      </w:r>
      <w:r w:rsidRPr="009C3B55">
        <w:rPr>
          <w:rFonts w:ascii="Verdana" w:eastAsia="Times" w:hAnsi="Verdana"/>
          <w:i/>
          <w:sz w:val="20"/>
          <w:szCs w:val="20"/>
        </w:rPr>
        <w:t>.2 Consideraciones de la Corte</w:t>
      </w:r>
    </w:p>
    <w:p w:rsidR="0048769B" w:rsidRDefault="0048769B" w:rsidP="00064C1E">
      <w:pPr>
        <w:tabs>
          <w:tab w:val="left" w:pos="567"/>
        </w:tabs>
        <w:autoSpaceDE w:val="0"/>
        <w:autoSpaceDN w:val="0"/>
        <w:adjustRightInd w:val="0"/>
        <w:spacing w:after="0" w:line="240" w:lineRule="auto"/>
        <w:jc w:val="both"/>
        <w:rPr>
          <w:rFonts w:ascii="Verdana" w:hAnsi="Verdana"/>
          <w:sz w:val="20"/>
          <w:szCs w:val="20"/>
          <w:lang w:val="es-ES_tradnl"/>
        </w:rPr>
      </w:pPr>
    </w:p>
    <w:p w:rsidR="007B2BC3" w:rsidRDefault="007B2BC3" w:rsidP="007B2BC3">
      <w:pPr>
        <w:pStyle w:val="Prrafodelista2"/>
        <w:numPr>
          <w:ilvl w:val="0"/>
          <w:numId w:val="1"/>
        </w:numPr>
        <w:tabs>
          <w:tab w:val="left" w:pos="567"/>
          <w:tab w:val="left" w:pos="720"/>
          <w:tab w:val="num" w:pos="15467"/>
        </w:tabs>
        <w:contextualSpacing/>
        <w:jc w:val="both"/>
      </w:pPr>
      <w:r>
        <w:t>La Corte recuerda lo establ</w:t>
      </w:r>
      <w:r w:rsidR="00AC1606">
        <w:t>ecido en los párrafos 209, 218,</w:t>
      </w:r>
      <w:r>
        <w:t xml:space="preserve"> 222</w:t>
      </w:r>
      <w:r w:rsidR="00AC1606">
        <w:t xml:space="preserve"> y 228</w:t>
      </w:r>
      <w:r>
        <w:t xml:space="preserve"> de la Sentencia:</w:t>
      </w:r>
    </w:p>
    <w:p w:rsidR="007B2BC3" w:rsidRDefault="007B2BC3" w:rsidP="007B2BC3">
      <w:pPr>
        <w:pStyle w:val="Prrafodelista2"/>
        <w:tabs>
          <w:tab w:val="left" w:pos="567"/>
          <w:tab w:val="left" w:pos="720"/>
          <w:tab w:val="num" w:pos="15467"/>
        </w:tabs>
        <w:contextualSpacing/>
        <w:jc w:val="both"/>
      </w:pPr>
    </w:p>
    <w:p w:rsidR="00E74E6A" w:rsidRPr="00E74E6A" w:rsidRDefault="00E74E6A" w:rsidP="00E74E6A">
      <w:pPr>
        <w:tabs>
          <w:tab w:val="left" w:pos="720"/>
        </w:tabs>
        <w:spacing w:after="0" w:line="240" w:lineRule="auto"/>
        <w:ind w:left="720" w:right="968"/>
        <w:jc w:val="both"/>
        <w:rPr>
          <w:rFonts w:ascii="Verdana" w:hAnsi="Verdana" w:cs="Verdana"/>
          <w:bCs/>
          <w:iCs/>
          <w:noProof/>
          <w:sz w:val="18"/>
          <w:szCs w:val="18"/>
          <w:lang w:val="es-ES_tradnl"/>
        </w:rPr>
      </w:pPr>
      <w:r w:rsidRPr="00E74E6A">
        <w:rPr>
          <w:rFonts w:ascii="Verdana" w:hAnsi="Verdana" w:cs="Verdana"/>
          <w:bCs/>
          <w:iCs/>
          <w:noProof/>
          <w:sz w:val="18"/>
          <w:szCs w:val="18"/>
          <w:lang w:val="es-ES_tradnl"/>
        </w:rPr>
        <w:t xml:space="preserve">209. Sin perjuicio de lo anterior, la Corte reconoce y valora los esfuerzos desarrollados por el Estado en materia de reparación de los trabajadores que fueron considerados cesados irregularmente en la década de los noventa. </w:t>
      </w:r>
      <w:bookmarkStart w:id="10" w:name="_Ref405587901"/>
      <w:r w:rsidRPr="00E74E6A">
        <w:rPr>
          <w:rFonts w:ascii="Verdana" w:hAnsi="Verdana" w:cs="Verdana"/>
          <w:bCs/>
          <w:iCs/>
          <w:noProof/>
          <w:sz w:val="18"/>
          <w:szCs w:val="18"/>
          <w:lang w:val="es-ES_tradnl"/>
        </w:rPr>
        <w:t xml:space="preserve">En ese sentido, la Corte considera que el mecanismo de reparación interno, así como los beneficios que ya han sido otorgados, en virtud de la ley No. 27803, pueden ser tomados en cuenta en lo que concierne a la obligación de reparar integralmente una violación de derechos. </w:t>
      </w:r>
      <w:r w:rsidRPr="00E74E6A">
        <w:rPr>
          <w:rFonts w:ascii="Verdana" w:hAnsi="Verdana" w:cs="Verdana"/>
          <w:bCs/>
          <w:iCs/>
          <w:noProof/>
          <w:sz w:val="18"/>
          <w:szCs w:val="18"/>
          <w:lang w:val="es-ES"/>
        </w:rPr>
        <w:t>Por ello, este Tribunal, en el presente caso</w:t>
      </w:r>
      <w:bookmarkEnd w:id="10"/>
      <w:r w:rsidRPr="00E74E6A">
        <w:rPr>
          <w:rFonts w:ascii="Verdana" w:hAnsi="Verdana" w:cs="Verdana"/>
          <w:bCs/>
          <w:iCs/>
          <w:noProof/>
          <w:sz w:val="18"/>
          <w:szCs w:val="18"/>
          <w:lang w:val="es-ES"/>
        </w:rPr>
        <w:t xml:space="preserve">, al fijar las reparaciones correspondientes, </w:t>
      </w:r>
      <w:r w:rsidRPr="00E74E6A">
        <w:rPr>
          <w:rFonts w:ascii="Verdana" w:hAnsi="Verdana" w:cs="Verdana"/>
          <w:bCs/>
          <w:iCs/>
          <w:noProof/>
          <w:sz w:val="18"/>
          <w:szCs w:val="18"/>
          <w:lang w:val="es-ES_tradnl"/>
        </w:rPr>
        <w:t>en el marco de sus atribuciones y deberes establecidos por el artículo 63 de la Convención,</w:t>
      </w:r>
      <w:r w:rsidRPr="00E74E6A">
        <w:rPr>
          <w:rFonts w:ascii="Verdana" w:hAnsi="Verdana" w:cs="Verdana"/>
          <w:bCs/>
          <w:iCs/>
          <w:noProof/>
          <w:sz w:val="18"/>
          <w:szCs w:val="18"/>
          <w:lang w:val="es-ES"/>
        </w:rPr>
        <w:t xml:space="preserve"> </w:t>
      </w:r>
      <w:r w:rsidRPr="00E74E6A">
        <w:rPr>
          <w:rFonts w:ascii="Verdana" w:hAnsi="Verdana" w:cs="Verdana"/>
          <w:bCs/>
          <w:iCs/>
          <w:noProof/>
          <w:sz w:val="18"/>
          <w:szCs w:val="18"/>
          <w:lang w:val="es-ES_tradnl"/>
        </w:rPr>
        <w:t xml:space="preserve">tomará en cuenta, en lo pertinente, los </w:t>
      </w:r>
      <w:r w:rsidRPr="00E74E6A">
        <w:rPr>
          <w:rFonts w:ascii="Verdana" w:hAnsi="Verdana" w:cs="Verdana"/>
          <w:bCs/>
          <w:iCs/>
          <w:noProof/>
          <w:sz w:val="18"/>
          <w:szCs w:val="18"/>
          <w:lang w:val="es-ES"/>
        </w:rPr>
        <w:t xml:space="preserve">alcances y resultados del Programa Extraordinario de Acceso a Beneficios a favor de ex trabajadores, </w:t>
      </w:r>
      <w:r w:rsidRPr="00E74E6A">
        <w:rPr>
          <w:rFonts w:ascii="Verdana" w:hAnsi="Verdana" w:cs="Verdana"/>
          <w:bCs/>
          <w:iCs/>
          <w:noProof/>
          <w:sz w:val="18"/>
          <w:szCs w:val="18"/>
          <w:lang w:val="es-ES_tradnl"/>
        </w:rPr>
        <w:t>en lo que corresponde a la fijación de una reparación integral a favor de las presuntas víctimas.</w:t>
      </w:r>
    </w:p>
    <w:p w:rsidR="007B2BC3" w:rsidRDefault="007B2BC3" w:rsidP="007B2BC3">
      <w:pPr>
        <w:pStyle w:val="Prrafodelista2"/>
        <w:tabs>
          <w:tab w:val="left" w:pos="567"/>
          <w:tab w:val="left" w:pos="720"/>
          <w:tab w:val="num" w:pos="15467"/>
        </w:tabs>
        <w:contextualSpacing/>
        <w:jc w:val="both"/>
      </w:pPr>
    </w:p>
    <w:p w:rsidR="00E74E6A" w:rsidRDefault="00E74E6A" w:rsidP="00E74E6A">
      <w:pPr>
        <w:pStyle w:val="Prrafodelista2"/>
        <w:tabs>
          <w:tab w:val="left" w:pos="567"/>
          <w:tab w:val="left" w:pos="720"/>
          <w:tab w:val="num" w:pos="15467"/>
        </w:tabs>
        <w:ind w:right="968"/>
        <w:contextualSpacing/>
        <w:jc w:val="both"/>
        <w:rPr>
          <w:bCs/>
          <w:iCs/>
          <w:noProof/>
          <w:sz w:val="18"/>
          <w:szCs w:val="18"/>
        </w:rPr>
      </w:pPr>
      <w:r w:rsidRPr="00E74E6A">
        <w:rPr>
          <w:bCs/>
          <w:iCs/>
          <w:noProof/>
          <w:sz w:val="18"/>
          <w:szCs w:val="18"/>
        </w:rPr>
        <w:t xml:space="preserve">218. La Corte considera que no corresponde a este Tribunal ordenar la reincorporación de los trabajadores de Minedu a un régimen de pensiones que no se encuentra vigente en el ordenamiento jurídico nacional al momento de la emisión de </w:t>
      </w:r>
      <w:r w:rsidRPr="00E74E6A">
        <w:rPr>
          <w:bCs/>
          <w:iCs/>
          <w:noProof/>
          <w:sz w:val="18"/>
          <w:szCs w:val="18"/>
        </w:rPr>
        <w:lastRenderedPageBreak/>
        <w:t>la presente sentencia. Por otra parte, este Tribunal considera que corresponde recibir a las víctimas una suma por los aportes pensionales que no ingresaron a su patrimonio como consecuencia de la violación al derecho al trabajo. En ese sentido, la Corte considera que le corresponde recibir a las víctimas del presente caso, en equidad, una suma de US $5.000 (cinco mil dólares de los Estados Unidos de América) por los aportes pensionales que no ingresaron a su patrimonio como consecuencia de sus ceses. La Corte reconoce que el Estado ha otorgado compensaciones monetarias por este aspecto a algunas de las víctimas del caso, razón por la cual, al momento de cumplir con la presente medida de reparación deberá restar del monto ordenado la cantidad ya otorgada a la víctima correspondiente, lo cual deberá ser comprobado en la etapa de supervisión de cumplimiento del presente caso.</w:t>
      </w:r>
    </w:p>
    <w:p w:rsidR="00E74E6A" w:rsidRDefault="00E74E6A" w:rsidP="00E74E6A">
      <w:pPr>
        <w:pStyle w:val="Prrafodelista2"/>
        <w:tabs>
          <w:tab w:val="left" w:pos="567"/>
          <w:tab w:val="left" w:pos="720"/>
          <w:tab w:val="num" w:pos="15467"/>
        </w:tabs>
        <w:ind w:right="968"/>
        <w:contextualSpacing/>
        <w:jc w:val="both"/>
        <w:rPr>
          <w:bCs/>
          <w:iCs/>
          <w:noProof/>
          <w:sz w:val="18"/>
          <w:szCs w:val="18"/>
        </w:rPr>
      </w:pPr>
    </w:p>
    <w:p w:rsidR="00E74E6A" w:rsidRDefault="00E74E6A" w:rsidP="00E74E6A">
      <w:pPr>
        <w:pStyle w:val="Prrafodelista2"/>
        <w:tabs>
          <w:tab w:val="left" w:pos="567"/>
          <w:tab w:val="left" w:pos="720"/>
          <w:tab w:val="num" w:pos="15467"/>
        </w:tabs>
        <w:ind w:right="968"/>
        <w:contextualSpacing/>
        <w:jc w:val="both"/>
        <w:rPr>
          <w:bCs/>
          <w:iCs/>
          <w:noProof/>
          <w:sz w:val="18"/>
          <w:szCs w:val="18"/>
        </w:rPr>
      </w:pPr>
      <w:r w:rsidRPr="00E74E6A">
        <w:rPr>
          <w:bCs/>
          <w:iCs/>
          <w:noProof/>
          <w:sz w:val="18"/>
          <w:szCs w:val="18"/>
        </w:rPr>
        <w:t>222. Sin perjuicio de lo anterior, tomanto en cuenta que el Estado es responsable por la violación a  los artículos 8, 25 y 26 de la Convención Americana en relación con el artículo 1.1 del mismo instrumento, y que las 164 víctimas del presente caso dejaron de percibir sus salarios con motivo de sus ceses, situación que se mantiene vigente hasta la fecha de la emisión de esta sentencia, la Corte estima pertinente fijar, en equidad, la cantidad de US$ 43.792 (cuarenta y tres mil setescientos noventa y dos dólares de los Estados Unidos de América), por concepto de lucro cesante, para cada una de las víctimas del presente caso, los cuales deberán ser entregados directamente a las mismas. Asimismo, la Corte considera que la compensación económica que haya sido recibida por las víctimas, como parte de los beneficios previstos por el Decreto Ley 27803, deberá ser descontada del monto establecido por esta Corte por concepto de lucro cesante en el presente caso.</w:t>
      </w:r>
    </w:p>
    <w:p w:rsidR="00AC1606" w:rsidRDefault="00AC1606" w:rsidP="00E74E6A">
      <w:pPr>
        <w:pStyle w:val="Prrafodelista2"/>
        <w:tabs>
          <w:tab w:val="left" w:pos="567"/>
          <w:tab w:val="left" w:pos="720"/>
          <w:tab w:val="num" w:pos="15467"/>
        </w:tabs>
        <w:ind w:right="968"/>
        <w:contextualSpacing/>
        <w:jc w:val="both"/>
        <w:rPr>
          <w:bCs/>
          <w:iCs/>
          <w:noProof/>
          <w:sz w:val="18"/>
          <w:szCs w:val="18"/>
        </w:rPr>
      </w:pPr>
    </w:p>
    <w:p w:rsidR="00AC1606" w:rsidRPr="00AC1606" w:rsidRDefault="00AC1606" w:rsidP="00AC1606">
      <w:pPr>
        <w:tabs>
          <w:tab w:val="left" w:pos="720"/>
        </w:tabs>
        <w:spacing w:after="0" w:line="240" w:lineRule="auto"/>
        <w:ind w:left="720" w:right="968"/>
        <w:jc w:val="both"/>
        <w:rPr>
          <w:rFonts w:ascii="Verdana" w:hAnsi="Verdana" w:cs="Verdana"/>
          <w:bCs/>
          <w:iCs/>
          <w:noProof/>
          <w:sz w:val="18"/>
          <w:szCs w:val="18"/>
          <w:lang w:val="es-ES_tradnl"/>
        </w:rPr>
      </w:pPr>
      <w:r>
        <w:rPr>
          <w:rFonts w:ascii="Verdana" w:hAnsi="Verdana" w:cs="Verdana"/>
          <w:bCs/>
          <w:iCs/>
          <w:noProof/>
          <w:sz w:val="18"/>
          <w:szCs w:val="18"/>
          <w:lang w:val="es-ES_tradnl"/>
        </w:rPr>
        <w:t xml:space="preserve">228. </w:t>
      </w:r>
      <w:r w:rsidRPr="00AC1606">
        <w:rPr>
          <w:rFonts w:ascii="Verdana" w:hAnsi="Verdana" w:cs="Verdana"/>
          <w:bCs/>
          <w:iCs/>
          <w:noProof/>
          <w:sz w:val="18"/>
          <w:szCs w:val="18"/>
          <w:lang w:val="es-ES_tradnl"/>
        </w:rPr>
        <w:t>En el presente caso, en consideración a las circunstancias en que los trabajadores fueron cesados, a las violaciones cometidas resultado de una inadecuada falta de respuesta judicial del Estado ante los ceses, lo cual constituyó una violación a su derecho al trabajo, y al tiempo transcurrido desde sus ceses, corresponde ordenar un monto por concepto de daño inmaterial. De esta forma, al ponderar el conjunto de factores involucrados, así como su propia jurisprudencia sobre la materia, el Tribunal fija, en equidad, la cantidad de US$ 5,000.00 (cinco mil dólares de los Estados Unidos de América) a favor de cada una de las víctimas del presente caso</w:t>
      </w:r>
      <w:r w:rsidRPr="00AC1606">
        <w:rPr>
          <w:rFonts w:ascii="Verdana" w:hAnsi="Verdana" w:cs="Verdana"/>
          <w:bCs/>
          <w:iCs/>
          <w:noProof/>
          <w:spacing w:val="-2"/>
          <w:sz w:val="18"/>
          <w:szCs w:val="18"/>
          <w:lang w:val="es-ES_tradnl"/>
        </w:rPr>
        <w:t>.</w:t>
      </w:r>
    </w:p>
    <w:p w:rsidR="00AC1606" w:rsidRPr="00E74E6A" w:rsidRDefault="00AC1606" w:rsidP="00E74E6A">
      <w:pPr>
        <w:pStyle w:val="Prrafodelista2"/>
        <w:tabs>
          <w:tab w:val="left" w:pos="567"/>
          <w:tab w:val="left" w:pos="720"/>
          <w:tab w:val="num" w:pos="15467"/>
        </w:tabs>
        <w:ind w:right="968"/>
        <w:contextualSpacing/>
        <w:jc w:val="both"/>
        <w:rPr>
          <w:sz w:val="18"/>
          <w:szCs w:val="18"/>
        </w:rPr>
      </w:pPr>
    </w:p>
    <w:p w:rsidR="0017484E" w:rsidRDefault="006B63F6" w:rsidP="0017484E">
      <w:pPr>
        <w:pStyle w:val="Prrafodelista2"/>
        <w:numPr>
          <w:ilvl w:val="0"/>
          <w:numId w:val="1"/>
        </w:numPr>
        <w:tabs>
          <w:tab w:val="left" w:pos="567"/>
          <w:tab w:val="left" w:pos="720"/>
          <w:tab w:val="num" w:pos="15467"/>
        </w:tabs>
        <w:contextualSpacing/>
        <w:jc w:val="both"/>
      </w:pPr>
      <w:r>
        <w:t>La Corte resalta que los párrafos 218 y 222 deben ser interpretados a la luz de las consideraciones previas</w:t>
      </w:r>
      <w:r w:rsidR="0017484E">
        <w:t xml:space="preserve"> en materia de reparaciones,</w:t>
      </w:r>
      <w:r>
        <w:t xml:space="preserve"> expresadas en los párrafos </w:t>
      </w:r>
      <w:r w:rsidR="00292888">
        <w:t xml:space="preserve">207 a 209 de la Sentencia. </w:t>
      </w:r>
      <w:r w:rsidR="0017484E">
        <w:t>En ese sentido, en</w:t>
      </w:r>
      <w:r w:rsidR="004C39B2">
        <w:t xml:space="preserve"> primer lugar,</w:t>
      </w:r>
      <w:r w:rsidR="0017484E">
        <w:t xml:space="preserve"> </w:t>
      </w:r>
      <w:r w:rsidR="00AC1606">
        <w:t xml:space="preserve">el Tribunal destaca que </w:t>
      </w:r>
      <w:r w:rsidR="004C39B2">
        <w:t xml:space="preserve">el párrafo 209 </w:t>
      </w:r>
      <w:r w:rsidR="0017484E">
        <w:t>estableció</w:t>
      </w:r>
      <w:r w:rsidR="00AC1606">
        <w:t xml:space="preserve"> que</w:t>
      </w:r>
      <w:r w:rsidR="0017484E">
        <w:t>, en virtud del principio de complementariedad</w:t>
      </w:r>
      <w:r w:rsidR="000A739F">
        <w:t xml:space="preserve"> (o subsidiariedad)</w:t>
      </w:r>
      <w:r w:rsidR="0017484E">
        <w:t>,</w:t>
      </w:r>
      <w:r w:rsidR="004C39B2">
        <w:t xml:space="preserve"> los alcances y resultados del Programa Extraordinario de Acceso a Beneficios a favor de ex trabajadores </w:t>
      </w:r>
      <w:r w:rsidR="006239E5">
        <w:t xml:space="preserve">podrían ser tomados en cuenta por la Corte </w:t>
      </w:r>
      <w:r w:rsidR="004C39B2">
        <w:t xml:space="preserve">para realizar el cálculo </w:t>
      </w:r>
      <w:r w:rsidR="006239E5">
        <w:t>–y fijar–</w:t>
      </w:r>
      <w:r w:rsidR="004C39B2">
        <w:t xml:space="preserve"> las medidas de reparación otorgadas a las víctimas del caso.</w:t>
      </w:r>
      <w:r w:rsidR="0017484E">
        <w:t xml:space="preserve"> </w:t>
      </w:r>
      <w:r w:rsidR="004C39B2">
        <w:t xml:space="preserve">En segundo lugar, la Corte </w:t>
      </w:r>
      <w:r w:rsidR="004C796E">
        <w:t>estableció</w:t>
      </w:r>
      <w:r w:rsidR="00866A20">
        <w:t>,</w:t>
      </w:r>
      <w:r w:rsidR="004C796E">
        <w:t xml:space="preserve"> en los párrafos 218 y 222</w:t>
      </w:r>
      <w:r w:rsidR="006239E5">
        <w:t>,</w:t>
      </w:r>
      <w:r w:rsidR="00866A20">
        <w:t xml:space="preserve"> en </w:t>
      </w:r>
      <w:r w:rsidR="006239E5">
        <w:t>relación con lo establecido en el párrafo 209</w:t>
      </w:r>
      <w:r w:rsidR="00866A20">
        <w:t>,</w:t>
      </w:r>
      <w:r w:rsidR="004C796E">
        <w:t xml:space="preserve"> que los montos que ya hubieran</w:t>
      </w:r>
      <w:r w:rsidR="00866A20">
        <w:t xml:space="preserve"> sido</w:t>
      </w:r>
      <w:r w:rsidR="004C796E">
        <w:t xml:space="preserve"> otorgados </w:t>
      </w:r>
      <w:r w:rsidR="00866A20">
        <w:t>a través de los mecanismos previstos en</w:t>
      </w:r>
      <w:r w:rsidR="004C796E">
        <w:t xml:space="preserve"> la Ley</w:t>
      </w:r>
      <w:r w:rsidR="006239E5">
        <w:t xml:space="preserve"> No.</w:t>
      </w:r>
      <w:r w:rsidR="004C796E">
        <w:t xml:space="preserve"> 27803</w:t>
      </w:r>
      <w:r w:rsidR="00866A20">
        <w:t>,</w:t>
      </w:r>
      <w:r w:rsidR="004C796E">
        <w:t xml:space="preserve"> como parte del pago de aportaciones al sistema de pensiones</w:t>
      </w:r>
      <w:r w:rsidR="00866A20">
        <w:t>,</w:t>
      </w:r>
      <w:r w:rsidR="004C796E">
        <w:t xml:space="preserve"> o por concepto de lucro cesante</w:t>
      </w:r>
      <w:r w:rsidR="00866A20">
        <w:t>,</w:t>
      </w:r>
      <w:r w:rsidR="004C796E">
        <w:t xml:space="preserve"> se deber</w:t>
      </w:r>
      <w:r w:rsidR="00866A20">
        <w:t>ían</w:t>
      </w:r>
      <w:r w:rsidR="004C796E">
        <w:t xml:space="preserve"> descontar</w:t>
      </w:r>
      <w:r w:rsidR="00866A20">
        <w:t xml:space="preserve"> del monto monetario fijado en la Sentencia</w:t>
      </w:r>
      <w:r w:rsidR="004C796E">
        <w:t>.</w:t>
      </w:r>
    </w:p>
    <w:p w:rsidR="0017484E" w:rsidRDefault="0017484E" w:rsidP="0017484E">
      <w:pPr>
        <w:pStyle w:val="Prrafodelista2"/>
        <w:tabs>
          <w:tab w:val="left" w:pos="567"/>
          <w:tab w:val="left" w:pos="720"/>
        </w:tabs>
        <w:ind w:left="0"/>
        <w:contextualSpacing/>
        <w:jc w:val="both"/>
      </w:pPr>
    </w:p>
    <w:p w:rsidR="004C796E" w:rsidRDefault="0017484E" w:rsidP="006B63F6">
      <w:pPr>
        <w:pStyle w:val="Prrafodelista2"/>
        <w:numPr>
          <w:ilvl w:val="0"/>
          <w:numId w:val="1"/>
        </w:numPr>
        <w:tabs>
          <w:tab w:val="left" w:pos="567"/>
          <w:tab w:val="left" w:pos="720"/>
          <w:tab w:val="num" w:pos="15467"/>
        </w:tabs>
        <w:contextualSpacing/>
        <w:jc w:val="both"/>
      </w:pPr>
      <w:r>
        <w:t xml:space="preserve">En ese sentido, el Tribunal </w:t>
      </w:r>
      <w:r w:rsidR="00866A20">
        <w:t>aclara</w:t>
      </w:r>
      <w:r>
        <w:t xml:space="preserve"> que el párrafo 209</w:t>
      </w:r>
      <w:r w:rsidR="00866A20">
        <w:t xml:space="preserve"> de la Sentencia</w:t>
      </w:r>
      <w:r>
        <w:t xml:space="preserve"> hace referencia a la posibilidad de que los beneficios que ya hubieran sido otorgados a las víctimas del caso, en virtud de la Ley 27803, </w:t>
      </w:r>
      <w:r w:rsidR="00B94D63">
        <w:t>fueran</w:t>
      </w:r>
      <w:r>
        <w:t xml:space="preserve"> tomados en cuenta por la Corte para el cálculo </w:t>
      </w:r>
      <w:r w:rsidR="00CE2892">
        <w:t xml:space="preserve">en equidad </w:t>
      </w:r>
      <w:r>
        <w:t>de la reparación pertinente</w:t>
      </w:r>
      <w:r w:rsidR="00866A20">
        <w:t xml:space="preserve"> o bien para establecer la modalidad para su cumplimiento</w:t>
      </w:r>
      <w:r>
        <w:t>.</w:t>
      </w:r>
      <w:r w:rsidR="00B94D63">
        <w:t xml:space="preserve"> Pero l</w:t>
      </w:r>
      <w:r>
        <w:t xml:space="preserve">a </w:t>
      </w:r>
      <w:r w:rsidR="00CE2892">
        <w:t>medida</w:t>
      </w:r>
      <w:r>
        <w:t xml:space="preserve"> en que estos beneficios otorgados en el ámbito interno fueron tomados en consideración para el cálculo de reparaciones en la Sentencia están </w:t>
      </w:r>
      <w:r w:rsidR="00CE2892">
        <w:t>contenidos</w:t>
      </w:r>
      <w:r>
        <w:t xml:space="preserve"> </w:t>
      </w:r>
      <w:r w:rsidR="00CE2892">
        <w:t xml:space="preserve">exclusivamente </w:t>
      </w:r>
      <w:r>
        <w:t xml:space="preserve">en </w:t>
      </w:r>
      <w:r w:rsidR="00866A20">
        <w:t>los párrafos 209, 218 y 222</w:t>
      </w:r>
      <w:r>
        <w:t>.</w:t>
      </w:r>
      <w:r w:rsidR="00866A20">
        <w:t xml:space="preserve"> </w:t>
      </w:r>
      <w:r w:rsidR="004C796E">
        <w:t xml:space="preserve">En consecuencia, </w:t>
      </w:r>
      <w:r w:rsidR="00193A04">
        <w:t xml:space="preserve">la Corte considera que, en lo que respecta al modo en que deben ser otorgadas las reparaciones, la Sentencia es clara </w:t>
      </w:r>
      <w:r w:rsidR="00193A04">
        <w:lastRenderedPageBreak/>
        <w:t>en el sentido que se deberá pagar la integralidad del concepto por daño inmaterial determinado en</w:t>
      </w:r>
      <w:r w:rsidR="00B94D63">
        <w:t xml:space="preserve"> el párrafo 228 de</w:t>
      </w:r>
      <w:r w:rsidR="00193A04">
        <w:t xml:space="preserve"> la Sentencia, y</w:t>
      </w:r>
      <w:r w:rsidR="00B94D63">
        <w:t xml:space="preserve"> que</w:t>
      </w:r>
      <w:r w:rsidR="00193A04">
        <w:t xml:space="preserve"> no podrá ser descontado ningún monto</w:t>
      </w:r>
      <w:r w:rsidR="00F96151">
        <w:t xml:space="preserve"> que haya sido otorgado en el ámbito interno</w:t>
      </w:r>
      <w:r w:rsidR="00193A04">
        <w:t>.</w:t>
      </w:r>
    </w:p>
    <w:p w:rsidR="007B2BC3" w:rsidRDefault="007B2BC3" w:rsidP="00064C1E">
      <w:pPr>
        <w:tabs>
          <w:tab w:val="left" w:pos="567"/>
        </w:tabs>
        <w:autoSpaceDE w:val="0"/>
        <w:autoSpaceDN w:val="0"/>
        <w:adjustRightInd w:val="0"/>
        <w:spacing w:after="0" w:line="240" w:lineRule="auto"/>
        <w:jc w:val="both"/>
        <w:rPr>
          <w:rFonts w:ascii="Verdana" w:hAnsi="Verdana"/>
          <w:sz w:val="20"/>
          <w:szCs w:val="20"/>
          <w:lang w:val="es-ES_tradnl"/>
        </w:rPr>
      </w:pPr>
    </w:p>
    <w:p w:rsidR="0048769B" w:rsidRPr="00F96151" w:rsidRDefault="00F96151" w:rsidP="0048769B">
      <w:pPr>
        <w:pStyle w:val="Prrafodelista"/>
        <w:numPr>
          <w:ilvl w:val="0"/>
          <w:numId w:val="3"/>
        </w:numPr>
        <w:tabs>
          <w:tab w:val="left" w:pos="0"/>
        </w:tabs>
        <w:autoSpaceDE w:val="0"/>
        <w:autoSpaceDN w:val="0"/>
        <w:adjustRightInd w:val="0"/>
        <w:spacing w:after="0" w:line="240" w:lineRule="auto"/>
        <w:jc w:val="both"/>
        <w:rPr>
          <w:rFonts w:ascii="Verdana" w:hAnsi="Verdana"/>
          <w:b/>
          <w:i/>
          <w:sz w:val="20"/>
          <w:szCs w:val="20"/>
          <w:lang w:val="es-ES_tradnl"/>
        </w:rPr>
      </w:pPr>
      <w:r w:rsidRPr="00F96151">
        <w:rPr>
          <w:rFonts w:ascii="Verdana" w:hAnsi="Verdana" w:cs="Verdana"/>
          <w:b/>
          <w:i/>
          <w:sz w:val="20"/>
          <w:szCs w:val="20"/>
          <w:lang w:val="es-PA"/>
        </w:rPr>
        <w:t>O</w:t>
      </w:r>
      <w:r w:rsidR="0048769B" w:rsidRPr="00F96151">
        <w:rPr>
          <w:rFonts w:ascii="Verdana" w:hAnsi="Verdana" w:cs="Verdana"/>
          <w:b/>
          <w:i/>
          <w:sz w:val="20"/>
          <w:szCs w:val="20"/>
          <w:lang w:val="es-PA"/>
        </w:rPr>
        <w:t>tras consideraciones sometidas por las partes.</w:t>
      </w:r>
    </w:p>
    <w:p w:rsidR="009C3B55" w:rsidRDefault="009C3B55" w:rsidP="00064C1E">
      <w:pPr>
        <w:tabs>
          <w:tab w:val="left" w:pos="567"/>
        </w:tabs>
        <w:autoSpaceDE w:val="0"/>
        <w:autoSpaceDN w:val="0"/>
        <w:adjustRightInd w:val="0"/>
        <w:spacing w:after="0" w:line="240" w:lineRule="auto"/>
        <w:jc w:val="both"/>
        <w:rPr>
          <w:rFonts w:ascii="Verdana" w:hAnsi="Verdana"/>
          <w:sz w:val="20"/>
          <w:szCs w:val="20"/>
          <w:lang w:val="es-ES_tradnl"/>
        </w:rPr>
      </w:pPr>
    </w:p>
    <w:p w:rsidR="007D481E" w:rsidRPr="00BE133F" w:rsidRDefault="007D481E" w:rsidP="007D481E">
      <w:pPr>
        <w:pStyle w:val="Ttulo1"/>
      </w:pPr>
      <w:r>
        <w:t>D</w:t>
      </w:r>
      <w:r w:rsidRPr="00BE133F">
        <w:t xml:space="preserve">.1 </w:t>
      </w:r>
      <w:r>
        <w:t>Argumentos de las partes y de la Comisión</w:t>
      </w:r>
    </w:p>
    <w:p w:rsidR="007D481E" w:rsidRDefault="007D481E" w:rsidP="00064C1E">
      <w:pPr>
        <w:tabs>
          <w:tab w:val="left" w:pos="567"/>
        </w:tabs>
        <w:autoSpaceDE w:val="0"/>
        <w:autoSpaceDN w:val="0"/>
        <w:adjustRightInd w:val="0"/>
        <w:spacing w:after="0" w:line="240" w:lineRule="auto"/>
        <w:jc w:val="both"/>
        <w:rPr>
          <w:rFonts w:ascii="Verdana" w:hAnsi="Verdana"/>
          <w:sz w:val="20"/>
          <w:szCs w:val="20"/>
          <w:lang w:val="es-ES_tradnl"/>
        </w:rPr>
      </w:pPr>
    </w:p>
    <w:p w:rsidR="000E0D48" w:rsidRDefault="000E0D48" w:rsidP="000E0D48">
      <w:pPr>
        <w:pStyle w:val="Prrafodelista2"/>
        <w:numPr>
          <w:ilvl w:val="0"/>
          <w:numId w:val="1"/>
        </w:numPr>
        <w:tabs>
          <w:tab w:val="left" w:pos="567"/>
          <w:tab w:val="left" w:pos="720"/>
          <w:tab w:val="num" w:pos="15467"/>
        </w:tabs>
        <w:contextualSpacing/>
        <w:jc w:val="both"/>
      </w:pPr>
      <w:r>
        <w:t xml:space="preserve">La </w:t>
      </w:r>
      <w:r>
        <w:rPr>
          <w:b/>
          <w:i/>
        </w:rPr>
        <w:t xml:space="preserve">representante Loayza </w:t>
      </w:r>
      <w:r>
        <w:t xml:space="preserve">solicitó lo siguiente: (i) que se precise que los intervinientes comunes Gregorio Paredes y Manuel Paiba no representaron ni representan a los trabajadores del MEF; (ii) </w:t>
      </w:r>
      <w:r w:rsidR="00F7423A">
        <w:t xml:space="preserve">que se precise que todos los testigos y peritos a los que se refiere la Resolución del Presidente de la Corte, de fecha 14 de septiembre de 2016, fueron ofrecidos por la representante Carolina Loayza Tamayo; y (iii) que se precise que </w:t>
      </w:r>
      <w:r w:rsidR="00F825AB">
        <w:t>la compensación a la que se refiere el párrafo 222 de la Sentencia se refiere a la compensación económica dispuesta en el artículo 16 de la Ley 27803, y en consecuencia no están comprendidos los montos que por beneficios sociales le correspondió a cada víctima.</w:t>
      </w:r>
    </w:p>
    <w:p w:rsidR="007D481E" w:rsidRDefault="007D481E" w:rsidP="007D481E">
      <w:pPr>
        <w:pStyle w:val="Prrafodelista2"/>
        <w:tabs>
          <w:tab w:val="left" w:pos="567"/>
          <w:tab w:val="left" w:pos="720"/>
          <w:tab w:val="num" w:pos="15467"/>
        </w:tabs>
        <w:ind w:left="0"/>
        <w:contextualSpacing/>
        <w:jc w:val="both"/>
      </w:pPr>
    </w:p>
    <w:p w:rsidR="00D947B3" w:rsidRDefault="00F825AB" w:rsidP="00D947B3">
      <w:pPr>
        <w:pStyle w:val="Prrafodelista2"/>
        <w:numPr>
          <w:ilvl w:val="0"/>
          <w:numId w:val="1"/>
        </w:numPr>
        <w:tabs>
          <w:tab w:val="left" w:pos="567"/>
          <w:tab w:val="left" w:pos="720"/>
          <w:tab w:val="num" w:pos="15467"/>
        </w:tabs>
        <w:contextualSpacing/>
        <w:jc w:val="both"/>
      </w:pPr>
      <w:r>
        <w:t xml:space="preserve">El señor </w:t>
      </w:r>
      <w:r>
        <w:rPr>
          <w:b/>
          <w:i/>
        </w:rPr>
        <w:t xml:space="preserve">Abraham Montero Ramírez </w:t>
      </w:r>
      <w:r>
        <w:t>solicitó</w:t>
      </w:r>
      <w:r w:rsidR="00281416">
        <w:t xml:space="preserve"> lo siguiente: (i)</w:t>
      </w:r>
      <w:r>
        <w:t xml:space="preserve"> que se especifique el momento en que </w:t>
      </w:r>
      <w:r w:rsidR="00281416">
        <w:t>comienzan</w:t>
      </w:r>
      <w:r>
        <w:t xml:space="preserve"> a correr los intereses de la indemnizaci</w:t>
      </w:r>
      <w:r w:rsidR="00281416">
        <w:t>ón ordenada por la Corte en la sentencia; y (ii) que se ordene una retribución económica a su favor por los gastos y trámites que realizó ante la Corte por un monto de $10,000.00 dólares.</w:t>
      </w:r>
    </w:p>
    <w:p w:rsidR="00D947B3" w:rsidRDefault="00D947B3" w:rsidP="00D947B3">
      <w:pPr>
        <w:pStyle w:val="Prrafodelista2"/>
        <w:tabs>
          <w:tab w:val="left" w:pos="567"/>
          <w:tab w:val="left" w:pos="720"/>
        </w:tabs>
        <w:ind w:left="0"/>
        <w:contextualSpacing/>
        <w:jc w:val="both"/>
      </w:pPr>
    </w:p>
    <w:p w:rsidR="00D947B3" w:rsidRDefault="00D04181" w:rsidP="00D947B3">
      <w:pPr>
        <w:pStyle w:val="Prrafodelista2"/>
        <w:numPr>
          <w:ilvl w:val="0"/>
          <w:numId w:val="1"/>
        </w:numPr>
        <w:tabs>
          <w:tab w:val="left" w:pos="567"/>
          <w:tab w:val="left" w:pos="720"/>
          <w:tab w:val="num" w:pos="15467"/>
        </w:tabs>
        <w:contextualSpacing/>
        <w:jc w:val="both"/>
      </w:pPr>
      <w:r>
        <w:t>En relación con la solicitud de la representante Loayza, l</w:t>
      </w:r>
      <w:r w:rsidR="00D947B3">
        <w:t xml:space="preserve">os </w:t>
      </w:r>
      <w:r w:rsidR="00D947B3">
        <w:rPr>
          <w:b/>
          <w:i/>
        </w:rPr>
        <w:t xml:space="preserve">representantes Paiba y </w:t>
      </w:r>
      <w:r>
        <w:rPr>
          <w:b/>
          <w:i/>
        </w:rPr>
        <w:t xml:space="preserve">Paredes </w:t>
      </w:r>
      <w:r>
        <w:t>manifestaron que sólo representan a los 39 trabajadores cesados de Minedu</w:t>
      </w:r>
      <w:r w:rsidR="00947EF6">
        <w:t>.</w:t>
      </w:r>
      <w:r>
        <w:t xml:space="preserve"> </w:t>
      </w:r>
    </w:p>
    <w:p w:rsidR="00281416" w:rsidRDefault="00281416" w:rsidP="00281416">
      <w:pPr>
        <w:pStyle w:val="Prrafodelista2"/>
        <w:tabs>
          <w:tab w:val="left" w:pos="567"/>
          <w:tab w:val="left" w:pos="720"/>
          <w:tab w:val="num" w:pos="15467"/>
        </w:tabs>
        <w:ind w:left="0"/>
        <w:contextualSpacing/>
        <w:jc w:val="both"/>
      </w:pPr>
    </w:p>
    <w:p w:rsidR="001C465E" w:rsidRDefault="001C465E" w:rsidP="001C465E">
      <w:pPr>
        <w:pStyle w:val="Prrafodelista2"/>
        <w:numPr>
          <w:ilvl w:val="0"/>
          <w:numId w:val="1"/>
        </w:numPr>
        <w:tabs>
          <w:tab w:val="left" w:pos="567"/>
          <w:tab w:val="left" w:pos="720"/>
          <w:tab w:val="num" w:pos="15467"/>
        </w:tabs>
        <w:contextualSpacing/>
        <w:jc w:val="both"/>
      </w:pPr>
      <w:r>
        <w:t xml:space="preserve">La </w:t>
      </w:r>
      <w:r>
        <w:rPr>
          <w:b/>
          <w:i/>
        </w:rPr>
        <w:t xml:space="preserve">Comisión </w:t>
      </w:r>
      <w:r>
        <w:t>no formuló observaciones respecto a las solicitudes de los representantes.</w:t>
      </w:r>
    </w:p>
    <w:p w:rsidR="001C465E" w:rsidRDefault="001C465E" w:rsidP="001C465E">
      <w:pPr>
        <w:pStyle w:val="Prrafodelista2"/>
        <w:tabs>
          <w:tab w:val="left" w:pos="567"/>
          <w:tab w:val="left" w:pos="720"/>
        </w:tabs>
        <w:ind w:left="0"/>
        <w:contextualSpacing/>
        <w:jc w:val="both"/>
      </w:pPr>
    </w:p>
    <w:p w:rsidR="001C465E" w:rsidRDefault="001C465E" w:rsidP="000E0D48">
      <w:pPr>
        <w:pStyle w:val="Prrafodelista2"/>
        <w:numPr>
          <w:ilvl w:val="0"/>
          <w:numId w:val="1"/>
        </w:numPr>
        <w:tabs>
          <w:tab w:val="left" w:pos="567"/>
          <w:tab w:val="left" w:pos="720"/>
          <w:tab w:val="num" w:pos="15467"/>
        </w:tabs>
        <w:contextualSpacing/>
        <w:jc w:val="both"/>
      </w:pPr>
      <w:r>
        <w:t xml:space="preserve">El </w:t>
      </w:r>
      <w:r>
        <w:rPr>
          <w:b/>
          <w:i/>
        </w:rPr>
        <w:t xml:space="preserve">Estado </w:t>
      </w:r>
      <w:r>
        <w:t>manifestó que las afirmaci</w:t>
      </w:r>
      <w:r w:rsidR="00814C74">
        <w:t>ones realizadas por la representante Loayza en relación con (i)</w:t>
      </w:r>
      <w:r>
        <w:t xml:space="preserve"> </w:t>
      </w:r>
      <w:r w:rsidR="00814C74">
        <w:t>l</w:t>
      </w:r>
      <w:r>
        <w:t xml:space="preserve">a </w:t>
      </w:r>
      <w:r w:rsidR="00814C74">
        <w:t xml:space="preserve">rectificación respecto a los representantes de los trabajadores cesados de MEF y (ii) sobre quién propuso a los </w:t>
      </w:r>
      <w:r w:rsidR="005847FB">
        <w:t>declarantes</w:t>
      </w:r>
      <w:r w:rsidR="00814C74">
        <w:t>, se trata de solicitudes de rectificación de errores por lo que no debían ser atendidos por la Corte. En relación con la compensación a la que se refiere el párrafo 222</w:t>
      </w:r>
      <w:r w:rsidR="00D37FAB">
        <w:t>,</w:t>
      </w:r>
      <w:r w:rsidR="00814C74">
        <w:t xml:space="preserve"> el Estado manifestó que debe también tomarse en consideración otras compensaciones económicas brindadas por el Estado como lo dispuesto en sentencias judiciales vinculadas a la ejecución de la Ley No. 27803. Adicionalmente, en relación con la solicitud del señor Abraham Montero Ramírez, el Estado indicó que </w:t>
      </w:r>
      <w:r w:rsidR="00117DCE">
        <w:t>la Corte estableció en la Sentencia el tiempo en que las reparaciones deben ser cumplidas, por lo que la solicitud debe ser desestimada.</w:t>
      </w:r>
    </w:p>
    <w:p w:rsidR="009C3B55" w:rsidRDefault="009C3B55" w:rsidP="00064C1E">
      <w:pPr>
        <w:tabs>
          <w:tab w:val="left" w:pos="567"/>
        </w:tabs>
        <w:autoSpaceDE w:val="0"/>
        <w:autoSpaceDN w:val="0"/>
        <w:adjustRightInd w:val="0"/>
        <w:spacing w:after="0" w:line="240" w:lineRule="auto"/>
        <w:jc w:val="both"/>
        <w:rPr>
          <w:rFonts w:ascii="Verdana" w:hAnsi="Verdana"/>
          <w:sz w:val="20"/>
          <w:szCs w:val="20"/>
          <w:lang w:val="es-ES_tradnl"/>
        </w:rPr>
      </w:pPr>
    </w:p>
    <w:p w:rsidR="007D481E" w:rsidRPr="00BE133F" w:rsidRDefault="007D481E" w:rsidP="007D481E">
      <w:pPr>
        <w:pStyle w:val="Ttulo1"/>
      </w:pPr>
      <w:r>
        <w:t>D.2</w:t>
      </w:r>
      <w:r w:rsidRPr="00BE133F">
        <w:t xml:space="preserve"> </w:t>
      </w:r>
      <w:r>
        <w:t>Consideraciones de la Corte</w:t>
      </w:r>
    </w:p>
    <w:p w:rsidR="009C3B55" w:rsidRPr="007D481E" w:rsidRDefault="009C3B55" w:rsidP="00064C1E">
      <w:pPr>
        <w:tabs>
          <w:tab w:val="left" w:pos="567"/>
        </w:tabs>
        <w:autoSpaceDE w:val="0"/>
        <w:autoSpaceDN w:val="0"/>
        <w:adjustRightInd w:val="0"/>
        <w:spacing w:after="0" w:line="240" w:lineRule="auto"/>
        <w:jc w:val="both"/>
        <w:rPr>
          <w:rFonts w:ascii="Verdana" w:hAnsi="Verdana"/>
          <w:sz w:val="20"/>
          <w:szCs w:val="20"/>
        </w:rPr>
      </w:pPr>
    </w:p>
    <w:p w:rsidR="00A023DE" w:rsidRDefault="007D481E" w:rsidP="007D481E">
      <w:pPr>
        <w:pStyle w:val="Prrafodelista2"/>
        <w:numPr>
          <w:ilvl w:val="0"/>
          <w:numId w:val="1"/>
        </w:numPr>
        <w:tabs>
          <w:tab w:val="left" w:pos="567"/>
          <w:tab w:val="left" w:pos="720"/>
          <w:tab w:val="num" w:pos="15467"/>
        </w:tabs>
        <w:contextualSpacing/>
        <w:jc w:val="both"/>
      </w:pPr>
      <w:r>
        <w:t xml:space="preserve">En relación con la solicitud </w:t>
      </w:r>
      <w:r w:rsidR="00D37FAB">
        <w:t xml:space="preserve">(i) y (ii) </w:t>
      </w:r>
      <w:r>
        <w:t>de la representante Loayza</w:t>
      </w:r>
      <w:r w:rsidR="00A023DE">
        <w:t xml:space="preserve">, la Corte advierte que se trata de una solicitud de rectificación de una imprecisión de la Sentencia que no afecta el fondo del asunto. </w:t>
      </w:r>
      <w:r w:rsidR="00D37FAB">
        <w:t>L</w:t>
      </w:r>
      <w:r w:rsidR="00A023DE">
        <w:t>a Corte recuerda que el artículo 76 del Reglamento de la Corte establece que el plazo para presentar una solicitud de rectificación venció treinta días después de la notificación de la sentencia, es decir</w:t>
      </w:r>
      <w:r w:rsidR="00C442FC">
        <w:t>,</w:t>
      </w:r>
      <w:r w:rsidR="00A023DE">
        <w:t xml:space="preserve"> el </w:t>
      </w:r>
      <w:r w:rsidR="004F0881">
        <w:t>21 de enero de 2018</w:t>
      </w:r>
      <w:r w:rsidR="00A023DE">
        <w:t>. Adicionalmente, el Tribunal recuerda que</w:t>
      </w:r>
      <w:r w:rsidR="003B5581">
        <w:t>,</w:t>
      </w:r>
      <w:r w:rsidR="00A023DE">
        <w:t xml:space="preserve"> en virtud del artículo 31.3 del Reglamento,</w:t>
      </w:r>
      <w:r w:rsidR="003B5581">
        <w:t xml:space="preserve"> no es procedente una solicitud de modificación de la sentencia a través de una solicitud de interpretación.</w:t>
      </w:r>
      <w:r w:rsidR="00A023DE">
        <w:t xml:space="preserve"> </w:t>
      </w:r>
      <w:r w:rsidR="003B5581">
        <w:t xml:space="preserve">Por otro lado, en relación con la solicitud </w:t>
      </w:r>
      <w:r w:rsidR="00D37FAB">
        <w:t xml:space="preserve">(iii) </w:t>
      </w:r>
      <w:r w:rsidR="003B5581">
        <w:t xml:space="preserve">de la representante Loayza, la Corte advierte que el contenido de la Sentencia es claro en el sentido que sólo podrán ser descontados aquellos </w:t>
      </w:r>
      <w:r w:rsidR="00D37FAB">
        <w:t xml:space="preserve">montos </w:t>
      </w:r>
      <w:r w:rsidR="003B5581">
        <w:t>que hayan sido directamente otorgados</w:t>
      </w:r>
      <w:r w:rsidR="00D37FAB">
        <w:t xml:space="preserve"> a las víctimas</w:t>
      </w:r>
      <w:r w:rsidR="003B5581">
        <w:t xml:space="preserve"> en virtud de la aplicación de la Ley No. 27803. En consecuencia, la Corte desestima las solicitudes de la representante.</w:t>
      </w:r>
    </w:p>
    <w:p w:rsidR="003B5581" w:rsidRDefault="003B5581" w:rsidP="003B5581">
      <w:pPr>
        <w:pStyle w:val="Prrafodelista2"/>
        <w:tabs>
          <w:tab w:val="left" w:pos="567"/>
          <w:tab w:val="left" w:pos="720"/>
          <w:tab w:val="num" w:pos="15467"/>
        </w:tabs>
        <w:ind w:left="0"/>
        <w:contextualSpacing/>
        <w:jc w:val="both"/>
      </w:pPr>
    </w:p>
    <w:p w:rsidR="003B5581" w:rsidRDefault="003B5581" w:rsidP="007D481E">
      <w:pPr>
        <w:pStyle w:val="Prrafodelista2"/>
        <w:numPr>
          <w:ilvl w:val="0"/>
          <w:numId w:val="1"/>
        </w:numPr>
        <w:tabs>
          <w:tab w:val="left" w:pos="567"/>
          <w:tab w:val="left" w:pos="720"/>
          <w:tab w:val="num" w:pos="15467"/>
        </w:tabs>
        <w:contextualSpacing/>
        <w:jc w:val="both"/>
      </w:pPr>
      <w:r>
        <w:lastRenderedPageBreak/>
        <w:t xml:space="preserve">En relación con las solicitudes del representante Abraham Montero, </w:t>
      </w:r>
      <w:r w:rsidR="00117DCE">
        <w:t xml:space="preserve">la Corte recuerda que los párrafos 246 a 250 de la Sentencia establecen con </w:t>
      </w:r>
      <w:r w:rsidR="00E3314A">
        <w:t xml:space="preserve">claridad la modalidad de cumplimiento de los pagos ordenados. En concreto, el párrafo 246 de la Sentencia establece que el Estado deberá efectuar el pago de las indemnizaciones por concepto de daño material e inmaterial y el reintegro de costas y gastos establecidos en la Sentencia directamente a las personas indicadas como víctimas dentro de un plazo de un año, a partir de la notificación de la Sentencia. Por otro lado, la Corte advierte que la solicitud del </w:t>
      </w:r>
      <w:r w:rsidR="004F0881">
        <w:t>señor Montero, relativa a la determinación de una indemnización económica a su favor por parte del Tribunal</w:t>
      </w:r>
      <w:r w:rsidR="00947EF6">
        <w:t>,</w:t>
      </w:r>
      <w:r w:rsidR="004F0881">
        <w:t xml:space="preserve"> implica una modificación del contenido del fallo, lo cual es improcedente en virtud del artículo 31.3 del Reglamento. En consecuencia, la Corte desestima las solicitudes del señor Abraham Montero.</w:t>
      </w:r>
    </w:p>
    <w:p w:rsidR="00A023DE" w:rsidRDefault="00A023DE" w:rsidP="00A023DE">
      <w:pPr>
        <w:pStyle w:val="Prrafodelista2"/>
        <w:tabs>
          <w:tab w:val="left" w:pos="567"/>
          <w:tab w:val="left" w:pos="720"/>
          <w:tab w:val="num" w:pos="15467"/>
        </w:tabs>
        <w:ind w:left="0"/>
        <w:contextualSpacing/>
        <w:jc w:val="both"/>
      </w:pPr>
    </w:p>
    <w:bookmarkEnd w:id="9"/>
    <w:p w:rsidR="00577097" w:rsidRPr="00BE133F" w:rsidRDefault="00577097" w:rsidP="00577097">
      <w:pPr>
        <w:tabs>
          <w:tab w:val="left" w:pos="720"/>
          <w:tab w:val="left" w:pos="1530"/>
          <w:tab w:val="left" w:pos="2140"/>
        </w:tabs>
        <w:spacing w:after="0" w:line="240" w:lineRule="auto"/>
        <w:jc w:val="both"/>
        <w:rPr>
          <w:rFonts w:ascii="Verdana" w:hAnsi="Verdana"/>
          <w:sz w:val="20"/>
          <w:szCs w:val="20"/>
        </w:rPr>
      </w:pPr>
    </w:p>
    <w:p w:rsidR="00577097" w:rsidRPr="00BE133F" w:rsidRDefault="00577097" w:rsidP="00577097">
      <w:pPr>
        <w:spacing w:after="0" w:line="240" w:lineRule="auto"/>
        <w:jc w:val="center"/>
        <w:rPr>
          <w:rFonts w:ascii="Verdana" w:hAnsi="Verdana"/>
          <w:b/>
          <w:sz w:val="20"/>
          <w:szCs w:val="20"/>
        </w:rPr>
      </w:pPr>
      <w:r w:rsidRPr="00BE133F">
        <w:rPr>
          <w:rFonts w:ascii="Verdana" w:hAnsi="Verdana"/>
          <w:b/>
          <w:sz w:val="20"/>
          <w:szCs w:val="20"/>
        </w:rPr>
        <w:t>V</w:t>
      </w:r>
    </w:p>
    <w:p w:rsidR="00577097" w:rsidRPr="00BE133F" w:rsidRDefault="00577097" w:rsidP="00577097">
      <w:pPr>
        <w:spacing w:after="0" w:line="240" w:lineRule="auto"/>
        <w:jc w:val="center"/>
        <w:rPr>
          <w:rFonts w:ascii="Verdana" w:hAnsi="Verdana"/>
          <w:b/>
          <w:sz w:val="20"/>
          <w:szCs w:val="20"/>
        </w:rPr>
      </w:pPr>
      <w:r w:rsidRPr="00BE133F">
        <w:rPr>
          <w:rFonts w:ascii="Verdana" w:hAnsi="Verdana"/>
          <w:b/>
          <w:sz w:val="20"/>
          <w:szCs w:val="20"/>
        </w:rPr>
        <w:t xml:space="preserve">PUNTOS RESOLUTIVOS </w:t>
      </w:r>
    </w:p>
    <w:p w:rsidR="00577097" w:rsidRPr="005847FB" w:rsidRDefault="00577097" w:rsidP="00577097">
      <w:pPr>
        <w:spacing w:after="0" w:line="240" w:lineRule="auto"/>
        <w:jc w:val="center"/>
        <w:rPr>
          <w:rFonts w:ascii="Verdana" w:hAnsi="Verdana" w:cs="Arial"/>
          <w:sz w:val="20"/>
          <w:szCs w:val="20"/>
        </w:rPr>
      </w:pPr>
    </w:p>
    <w:p w:rsidR="00577097" w:rsidRPr="00BE133F" w:rsidRDefault="00577097" w:rsidP="00577097">
      <w:pPr>
        <w:numPr>
          <w:ilvl w:val="0"/>
          <w:numId w:val="1"/>
        </w:numPr>
        <w:spacing w:after="0" w:line="240" w:lineRule="auto"/>
        <w:jc w:val="both"/>
        <w:rPr>
          <w:rFonts w:ascii="Verdana" w:hAnsi="Verdana" w:cs="Arial"/>
          <w:b/>
          <w:i/>
          <w:sz w:val="20"/>
          <w:szCs w:val="20"/>
        </w:rPr>
      </w:pPr>
      <w:r w:rsidRPr="00BE133F">
        <w:rPr>
          <w:rFonts w:ascii="Verdana" w:hAnsi="Verdana"/>
          <w:sz w:val="20"/>
          <w:szCs w:val="20"/>
        </w:rPr>
        <w:t xml:space="preserve">Por tanto, </w:t>
      </w:r>
    </w:p>
    <w:p w:rsidR="00577097" w:rsidRPr="00BE133F" w:rsidRDefault="00577097" w:rsidP="00577097">
      <w:pPr>
        <w:spacing w:after="0" w:line="240" w:lineRule="auto"/>
        <w:rPr>
          <w:rFonts w:ascii="Verdana" w:hAnsi="Verdana"/>
          <w:b/>
          <w:sz w:val="20"/>
          <w:szCs w:val="20"/>
        </w:rPr>
      </w:pPr>
    </w:p>
    <w:p w:rsidR="00577097" w:rsidRPr="00BE133F" w:rsidRDefault="00577097" w:rsidP="00577097">
      <w:pPr>
        <w:spacing w:after="0" w:line="240" w:lineRule="auto"/>
        <w:rPr>
          <w:rFonts w:ascii="Verdana" w:hAnsi="Verdana"/>
          <w:b/>
          <w:sz w:val="20"/>
          <w:szCs w:val="20"/>
        </w:rPr>
      </w:pPr>
      <w:r w:rsidRPr="00BE133F">
        <w:rPr>
          <w:rFonts w:ascii="Verdana" w:hAnsi="Verdana"/>
          <w:b/>
          <w:sz w:val="20"/>
          <w:szCs w:val="20"/>
        </w:rPr>
        <w:t xml:space="preserve">LA CORTE, </w:t>
      </w:r>
    </w:p>
    <w:p w:rsidR="00577097" w:rsidRPr="00BE133F" w:rsidRDefault="00577097" w:rsidP="00577097">
      <w:pPr>
        <w:spacing w:after="0" w:line="240" w:lineRule="auto"/>
        <w:rPr>
          <w:rFonts w:ascii="Verdana" w:hAnsi="Verdana"/>
          <w:sz w:val="20"/>
          <w:szCs w:val="20"/>
        </w:rPr>
      </w:pPr>
    </w:p>
    <w:p w:rsidR="00577097" w:rsidRPr="00BE133F" w:rsidRDefault="00577097" w:rsidP="00577097">
      <w:pPr>
        <w:spacing w:after="0" w:line="240" w:lineRule="auto"/>
        <w:jc w:val="both"/>
        <w:rPr>
          <w:rFonts w:ascii="Verdana" w:hAnsi="Verdana"/>
          <w:sz w:val="20"/>
          <w:szCs w:val="20"/>
        </w:rPr>
      </w:pPr>
      <w:r w:rsidRPr="00BE133F">
        <w:rPr>
          <w:rFonts w:ascii="Verdana" w:hAnsi="Verdana"/>
          <w:sz w:val="20"/>
          <w:szCs w:val="20"/>
        </w:rPr>
        <w:t>de conformidad con el artículo 67 de la Convención Americana sobre Derechos Humanos y los artículos 31.3 y 68 del Reglamento,</w:t>
      </w:r>
    </w:p>
    <w:p w:rsidR="00577097" w:rsidRPr="00BE133F" w:rsidRDefault="00577097" w:rsidP="00577097">
      <w:pPr>
        <w:spacing w:after="0" w:line="240" w:lineRule="auto"/>
        <w:rPr>
          <w:rFonts w:ascii="Verdana" w:hAnsi="Verdana"/>
          <w:b/>
          <w:sz w:val="20"/>
          <w:szCs w:val="20"/>
        </w:rPr>
      </w:pPr>
    </w:p>
    <w:p w:rsidR="00577097" w:rsidRPr="00BE133F" w:rsidRDefault="00577097" w:rsidP="00577097">
      <w:pPr>
        <w:spacing w:after="0" w:line="240" w:lineRule="auto"/>
        <w:rPr>
          <w:rFonts w:ascii="Verdana" w:hAnsi="Verdana"/>
          <w:b/>
          <w:sz w:val="20"/>
          <w:szCs w:val="20"/>
        </w:rPr>
      </w:pPr>
      <w:r w:rsidRPr="00BE133F">
        <w:rPr>
          <w:rFonts w:ascii="Verdana" w:hAnsi="Verdana"/>
          <w:b/>
          <w:sz w:val="20"/>
          <w:szCs w:val="20"/>
        </w:rPr>
        <w:t>DECIDE:</w:t>
      </w:r>
    </w:p>
    <w:p w:rsidR="00577097" w:rsidRPr="00BE133F" w:rsidRDefault="00577097" w:rsidP="00577097">
      <w:pPr>
        <w:spacing w:after="0" w:line="240" w:lineRule="auto"/>
        <w:rPr>
          <w:rFonts w:ascii="Verdana" w:hAnsi="Verdana"/>
          <w:sz w:val="20"/>
          <w:szCs w:val="20"/>
        </w:rPr>
      </w:pPr>
    </w:p>
    <w:p w:rsidR="00577097" w:rsidRPr="00BE133F" w:rsidRDefault="00577097" w:rsidP="00577097">
      <w:pPr>
        <w:tabs>
          <w:tab w:val="center" w:pos="4252"/>
          <w:tab w:val="right" w:pos="8504"/>
        </w:tabs>
        <w:spacing w:after="0" w:line="240" w:lineRule="auto"/>
        <w:rPr>
          <w:rFonts w:ascii="Verdana" w:hAnsi="Verdana"/>
          <w:sz w:val="20"/>
          <w:szCs w:val="20"/>
        </w:rPr>
      </w:pPr>
      <w:r w:rsidRPr="00BE133F">
        <w:rPr>
          <w:rFonts w:ascii="Verdana" w:hAnsi="Verdana"/>
          <w:sz w:val="20"/>
          <w:szCs w:val="20"/>
        </w:rPr>
        <w:t xml:space="preserve">Por </w:t>
      </w:r>
      <w:r w:rsidR="00C42BE9">
        <w:rPr>
          <w:rFonts w:ascii="Verdana" w:hAnsi="Verdana"/>
          <w:sz w:val="20"/>
          <w:szCs w:val="20"/>
        </w:rPr>
        <w:t>unanimidad</w:t>
      </w:r>
      <w:r w:rsidRPr="00BE133F">
        <w:rPr>
          <w:rFonts w:ascii="Verdana" w:hAnsi="Verdana"/>
          <w:sz w:val="20"/>
          <w:szCs w:val="20"/>
        </w:rPr>
        <w:t>,</w:t>
      </w:r>
    </w:p>
    <w:p w:rsidR="00577097" w:rsidRPr="00BE133F" w:rsidRDefault="00577097" w:rsidP="00577097">
      <w:pPr>
        <w:spacing w:after="0" w:line="240" w:lineRule="auto"/>
        <w:jc w:val="both"/>
        <w:rPr>
          <w:rFonts w:ascii="Verdana" w:hAnsi="Verdana"/>
          <w:sz w:val="20"/>
          <w:szCs w:val="20"/>
          <w:u w:val="single"/>
        </w:rPr>
      </w:pPr>
    </w:p>
    <w:p w:rsidR="004F0881" w:rsidRDefault="008213BB" w:rsidP="004F0881">
      <w:pPr>
        <w:numPr>
          <w:ilvl w:val="0"/>
          <w:numId w:val="2"/>
        </w:numPr>
        <w:spacing w:after="0" w:line="240" w:lineRule="auto"/>
        <w:ind w:left="0" w:firstLine="0"/>
        <w:jc w:val="both"/>
        <w:rPr>
          <w:rFonts w:ascii="Verdana" w:hAnsi="Verdana"/>
          <w:sz w:val="20"/>
          <w:szCs w:val="20"/>
        </w:rPr>
      </w:pPr>
      <w:r>
        <w:rPr>
          <w:rFonts w:ascii="Verdana" w:hAnsi="Verdana"/>
          <w:sz w:val="20"/>
          <w:szCs w:val="20"/>
        </w:rPr>
        <w:t xml:space="preserve">Declarar admisible la solicitud de interpretación </w:t>
      </w:r>
      <w:r w:rsidR="00AC63CC">
        <w:rPr>
          <w:rFonts w:ascii="Verdana" w:hAnsi="Verdana"/>
          <w:sz w:val="20"/>
          <w:szCs w:val="20"/>
        </w:rPr>
        <w:t xml:space="preserve">presentada por </w:t>
      </w:r>
      <w:r w:rsidR="004F0881">
        <w:rPr>
          <w:rFonts w:ascii="Verdana" w:hAnsi="Verdana"/>
          <w:sz w:val="20"/>
          <w:szCs w:val="20"/>
        </w:rPr>
        <w:t>la representante Carolina Loayza Tamayo</w:t>
      </w:r>
      <w:r w:rsidR="00AC63CC">
        <w:rPr>
          <w:rFonts w:ascii="Verdana" w:hAnsi="Verdana"/>
          <w:sz w:val="20"/>
          <w:szCs w:val="20"/>
        </w:rPr>
        <w:t xml:space="preserve">, </w:t>
      </w:r>
      <w:r w:rsidR="006B7212">
        <w:rPr>
          <w:rFonts w:ascii="Verdana" w:hAnsi="Verdana"/>
          <w:sz w:val="20"/>
          <w:szCs w:val="20"/>
        </w:rPr>
        <w:t>en relación con</w:t>
      </w:r>
      <w:r>
        <w:rPr>
          <w:rFonts w:ascii="Verdana" w:hAnsi="Verdana"/>
          <w:sz w:val="20"/>
          <w:szCs w:val="20"/>
        </w:rPr>
        <w:t xml:space="preserve"> la </w:t>
      </w:r>
      <w:r w:rsidR="00AC63CC" w:rsidRPr="00BE133F">
        <w:rPr>
          <w:rFonts w:ascii="Verdana" w:hAnsi="Verdana"/>
          <w:sz w:val="20"/>
          <w:szCs w:val="20"/>
        </w:rPr>
        <w:t xml:space="preserve">Sentencia de Excepciones Preliminares, Fondo, Reparaciones y Costas dictada en el caso </w:t>
      </w:r>
      <w:r w:rsidR="004F0881">
        <w:rPr>
          <w:rFonts w:ascii="Verdana" w:hAnsi="Verdana"/>
          <w:sz w:val="20"/>
          <w:szCs w:val="20"/>
        </w:rPr>
        <w:t>Trabajadores Cesados de Petroperú</w:t>
      </w:r>
      <w:r w:rsidR="00AC63CC" w:rsidRPr="00BE133F">
        <w:rPr>
          <w:rFonts w:ascii="Verdana" w:hAnsi="Verdana"/>
          <w:sz w:val="20"/>
          <w:szCs w:val="20"/>
        </w:rPr>
        <w:t xml:space="preserve"> y otros Vs Perú</w:t>
      </w:r>
      <w:r w:rsidR="00AC63CC">
        <w:rPr>
          <w:rFonts w:ascii="Verdana" w:hAnsi="Verdana"/>
          <w:sz w:val="20"/>
          <w:szCs w:val="20"/>
        </w:rPr>
        <w:t>.</w:t>
      </w:r>
    </w:p>
    <w:p w:rsidR="004F0881" w:rsidRDefault="004F0881" w:rsidP="004F0881">
      <w:pPr>
        <w:spacing w:after="0" w:line="240" w:lineRule="auto"/>
        <w:jc w:val="both"/>
        <w:rPr>
          <w:rFonts w:ascii="Verdana" w:hAnsi="Verdana"/>
          <w:sz w:val="20"/>
          <w:szCs w:val="20"/>
        </w:rPr>
      </w:pPr>
    </w:p>
    <w:p w:rsidR="004F0881" w:rsidRPr="004F0881" w:rsidRDefault="004F0881" w:rsidP="004F0881">
      <w:pPr>
        <w:numPr>
          <w:ilvl w:val="0"/>
          <w:numId w:val="2"/>
        </w:numPr>
        <w:spacing w:after="0" w:line="240" w:lineRule="auto"/>
        <w:ind w:left="0" w:firstLine="0"/>
        <w:jc w:val="both"/>
        <w:rPr>
          <w:rFonts w:ascii="Verdana" w:hAnsi="Verdana"/>
          <w:sz w:val="20"/>
          <w:szCs w:val="20"/>
        </w:rPr>
      </w:pPr>
      <w:r>
        <w:rPr>
          <w:rFonts w:ascii="Verdana" w:hAnsi="Verdana"/>
          <w:sz w:val="20"/>
          <w:szCs w:val="20"/>
        </w:rPr>
        <w:t xml:space="preserve">Declarar admisible la solicitud de interpretación presentada por el señor Abraham Montero Ramírez, en relación con la </w:t>
      </w:r>
      <w:r w:rsidRPr="00BE133F">
        <w:rPr>
          <w:rFonts w:ascii="Verdana" w:hAnsi="Verdana"/>
          <w:sz w:val="20"/>
          <w:szCs w:val="20"/>
        </w:rPr>
        <w:t xml:space="preserve">Sentencia de Excepciones Preliminares, Fondo, Reparaciones y Costas dictada en el caso </w:t>
      </w:r>
      <w:r>
        <w:rPr>
          <w:rFonts w:ascii="Verdana" w:hAnsi="Verdana"/>
          <w:sz w:val="20"/>
          <w:szCs w:val="20"/>
        </w:rPr>
        <w:t>Trabajadores Cesados de Petroperú</w:t>
      </w:r>
      <w:r w:rsidRPr="00BE133F">
        <w:rPr>
          <w:rFonts w:ascii="Verdana" w:hAnsi="Verdana"/>
          <w:sz w:val="20"/>
          <w:szCs w:val="20"/>
        </w:rPr>
        <w:t xml:space="preserve"> y otros Vs Perú</w:t>
      </w:r>
      <w:r>
        <w:rPr>
          <w:rFonts w:ascii="Verdana" w:hAnsi="Verdana"/>
          <w:sz w:val="20"/>
          <w:szCs w:val="20"/>
        </w:rPr>
        <w:t>.</w:t>
      </w:r>
    </w:p>
    <w:p w:rsidR="004F0881" w:rsidRPr="004F0881" w:rsidRDefault="004F0881" w:rsidP="004F0881">
      <w:pPr>
        <w:spacing w:after="0" w:line="240" w:lineRule="auto"/>
        <w:jc w:val="both"/>
        <w:rPr>
          <w:rFonts w:ascii="Verdana" w:hAnsi="Verdana"/>
          <w:sz w:val="20"/>
          <w:szCs w:val="20"/>
        </w:rPr>
      </w:pPr>
    </w:p>
    <w:p w:rsidR="008213BB" w:rsidRDefault="00665B11" w:rsidP="00577097">
      <w:pPr>
        <w:numPr>
          <w:ilvl w:val="0"/>
          <w:numId w:val="2"/>
        </w:numPr>
        <w:spacing w:after="0" w:line="240" w:lineRule="auto"/>
        <w:ind w:left="0" w:firstLine="0"/>
        <w:jc w:val="both"/>
        <w:rPr>
          <w:rFonts w:ascii="Verdana" w:hAnsi="Verdana"/>
          <w:sz w:val="20"/>
          <w:szCs w:val="20"/>
        </w:rPr>
      </w:pPr>
      <w:r>
        <w:rPr>
          <w:rFonts w:ascii="Verdana" w:hAnsi="Verdana"/>
          <w:sz w:val="20"/>
          <w:szCs w:val="20"/>
        </w:rPr>
        <w:t xml:space="preserve">Declarar admisible la solicitud de interpretación presentada por </w:t>
      </w:r>
      <w:r w:rsidRPr="00AC63CC">
        <w:rPr>
          <w:rFonts w:ascii="Verdana" w:hAnsi="Verdana"/>
          <w:sz w:val="20"/>
          <w:szCs w:val="20"/>
        </w:rPr>
        <w:t xml:space="preserve">el </w:t>
      </w:r>
      <w:r>
        <w:rPr>
          <w:rFonts w:ascii="Verdana" w:hAnsi="Verdana"/>
          <w:sz w:val="20"/>
          <w:szCs w:val="20"/>
        </w:rPr>
        <w:t>Estado</w:t>
      </w:r>
      <w:r w:rsidR="00845405">
        <w:rPr>
          <w:rFonts w:ascii="Verdana" w:hAnsi="Verdana"/>
          <w:sz w:val="20"/>
          <w:szCs w:val="20"/>
        </w:rPr>
        <w:t>,</w:t>
      </w:r>
      <w:r>
        <w:rPr>
          <w:rFonts w:ascii="Verdana" w:hAnsi="Verdana"/>
          <w:sz w:val="20"/>
          <w:szCs w:val="20"/>
        </w:rPr>
        <w:t xml:space="preserve"> respecto</w:t>
      </w:r>
      <w:r w:rsidRPr="00AC63CC">
        <w:rPr>
          <w:rFonts w:ascii="Verdana" w:hAnsi="Verdana"/>
          <w:sz w:val="20"/>
          <w:szCs w:val="20"/>
        </w:rPr>
        <w:t xml:space="preserve"> </w:t>
      </w:r>
      <w:r>
        <w:rPr>
          <w:rFonts w:ascii="Verdana" w:hAnsi="Verdana"/>
          <w:sz w:val="20"/>
          <w:szCs w:val="20"/>
        </w:rPr>
        <w:t xml:space="preserve">de la </w:t>
      </w:r>
      <w:r w:rsidRPr="00BE133F">
        <w:rPr>
          <w:rFonts w:ascii="Verdana" w:hAnsi="Verdana"/>
          <w:sz w:val="20"/>
          <w:szCs w:val="20"/>
        </w:rPr>
        <w:t xml:space="preserve">Sentencia de Excepciones Preliminares, Fondo, Reparaciones y Costas dictada en el caso </w:t>
      </w:r>
      <w:r w:rsidR="004F0881">
        <w:rPr>
          <w:rFonts w:ascii="Verdana" w:hAnsi="Verdana"/>
          <w:sz w:val="20"/>
          <w:szCs w:val="20"/>
        </w:rPr>
        <w:t>Trabajadores Cesados de Petroperú y otros</w:t>
      </w:r>
      <w:r w:rsidRPr="00BE133F">
        <w:rPr>
          <w:rFonts w:ascii="Verdana" w:hAnsi="Verdana"/>
          <w:sz w:val="20"/>
          <w:szCs w:val="20"/>
        </w:rPr>
        <w:t xml:space="preserve"> Vs Perú</w:t>
      </w:r>
      <w:r>
        <w:rPr>
          <w:rFonts w:ascii="Verdana" w:hAnsi="Verdana"/>
          <w:sz w:val="20"/>
          <w:szCs w:val="20"/>
        </w:rPr>
        <w:t>.</w:t>
      </w:r>
    </w:p>
    <w:p w:rsidR="00411AA0" w:rsidRPr="00411AA0" w:rsidRDefault="00411AA0" w:rsidP="00411AA0">
      <w:pPr>
        <w:spacing w:after="0" w:line="240" w:lineRule="auto"/>
        <w:jc w:val="both"/>
        <w:rPr>
          <w:rFonts w:ascii="Verdana" w:hAnsi="Verdana"/>
          <w:sz w:val="20"/>
          <w:szCs w:val="20"/>
        </w:rPr>
      </w:pPr>
    </w:p>
    <w:p w:rsidR="00577097" w:rsidRPr="00BE133F" w:rsidRDefault="00577097" w:rsidP="00577097">
      <w:pPr>
        <w:numPr>
          <w:ilvl w:val="0"/>
          <w:numId w:val="2"/>
        </w:numPr>
        <w:spacing w:after="0" w:line="240" w:lineRule="auto"/>
        <w:ind w:left="0" w:firstLine="0"/>
        <w:jc w:val="both"/>
        <w:rPr>
          <w:rFonts w:ascii="Verdana" w:hAnsi="Verdana"/>
          <w:sz w:val="20"/>
          <w:szCs w:val="20"/>
          <w:u w:val="single"/>
        </w:rPr>
      </w:pPr>
      <w:r w:rsidRPr="00BE133F">
        <w:rPr>
          <w:rFonts w:ascii="Verdana" w:eastAsia="Batang" w:hAnsi="Verdana"/>
          <w:sz w:val="20"/>
          <w:szCs w:val="20"/>
        </w:rPr>
        <w:t>Disponer que la Secretaría de la Corte notifique la</w:t>
      </w:r>
      <w:r w:rsidR="00FF4C47" w:rsidRPr="00BE133F">
        <w:rPr>
          <w:rFonts w:ascii="Verdana" w:eastAsia="Batang" w:hAnsi="Verdana"/>
          <w:sz w:val="20"/>
          <w:szCs w:val="20"/>
        </w:rPr>
        <w:t xml:space="preserve"> presente Sentencia al Estado del Perú</w:t>
      </w:r>
      <w:r w:rsidRPr="00BE133F">
        <w:rPr>
          <w:rFonts w:ascii="Verdana" w:eastAsia="Batang" w:hAnsi="Verdana"/>
          <w:sz w:val="20"/>
          <w:szCs w:val="20"/>
        </w:rPr>
        <w:t>, a los representantes de las víctimas,</w:t>
      </w:r>
      <w:r w:rsidR="00B35264">
        <w:rPr>
          <w:rFonts w:ascii="Verdana" w:eastAsia="Batang" w:hAnsi="Verdana"/>
          <w:sz w:val="20"/>
          <w:szCs w:val="20"/>
        </w:rPr>
        <w:t xml:space="preserve"> al señor Abraham Montero Ramírez</w:t>
      </w:r>
      <w:r w:rsidRPr="00BE133F">
        <w:rPr>
          <w:rFonts w:ascii="Verdana" w:eastAsia="Batang" w:hAnsi="Verdana"/>
          <w:sz w:val="20"/>
          <w:szCs w:val="20"/>
        </w:rPr>
        <w:t xml:space="preserve"> y a la Comisión Interamericana de Derechos Humanos.</w:t>
      </w:r>
    </w:p>
    <w:p w:rsidR="009109FA" w:rsidRDefault="009109FA" w:rsidP="00577097">
      <w:pPr>
        <w:spacing w:line="240" w:lineRule="auto"/>
        <w:jc w:val="both"/>
        <w:rPr>
          <w:rFonts w:ascii="Verdana" w:hAnsi="Verdana"/>
          <w:sz w:val="20"/>
          <w:szCs w:val="20"/>
        </w:rPr>
      </w:pPr>
    </w:p>
    <w:p w:rsidR="004D022F" w:rsidRDefault="004D022F" w:rsidP="00577097">
      <w:pPr>
        <w:spacing w:line="240" w:lineRule="auto"/>
        <w:jc w:val="both"/>
        <w:rPr>
          <w:rFonts w:ascii="Verdana" w:eastAsia="Times" w:hAnsi="Verdana"/>
          <w:sz w:val="20"/>
          <w:szCs w:val="20"/>
          <w:lang w:val="es-ES"/>
        </w:rPr>
      </w:pPr>
    </w:p>
    <w:p w:rsidR="004D022F" w:rsidRDefault="004D022F" w:rsidP="00577097">
      <w:pPr>
        <w:spacing w:line="240" w:lineRule="auto"/>
        <w:jc w:val="both"/>
        <w:rPr>
          <w:rFonts w:ascii="Verdana" w:eastAsia="Times" w:hAnsi="Verdana"/>
          <w:sz w:val="20"/>
          <w:szCs w:val="20"/>
          <w:lang w:val="es-ES"/>
        </w:rPr>
      </w:pPr>
    </w:p>
    <w:p w:rsidR="004D022F" w:rsidRDefault="004D022F" w:rsidP="00577097">
      <w:pPr>
        <w:spacing w:line="240" w:lineRule="auto"/>
        <w:jc w:val="both"/>
        <w:rPr>
          <w:rFonts w:ascii="Verdana" w:eastAsia="Times" w:hAnsi="Verdana"/>
          <w:sz w:val="20"/>
          <w:szCs w:val="20"/>
          <w:lang w:val="es-ES"/>
        </w:rPr>
      </w:pPr>
    </w:p>
    <w:p w:rsidR="004D022F" w:rsidRDefault="004D022F" w:rsidP="00577097">
      <w:pPr>
        <w:spacing w:line="240" w:lineRule="auto"/>
        <w:jc w:val="both"/>
        <w:rPr>
          <w:rFonts w:ascii="Verdana" w:eastAsia="Times" w:hAnsi="Verdana"/>
          <w:sz w:val="20"/>
          <w:szCs w:val="20"/>
          <w:lang w:val="es-ES"/>
        </w:rPr>
      </w:pPr>
    </w:p>
    <w:p w:rsidR="004D022F" w:rsidRDefault="004D022F" w:rsidP="00577097">
      <w:pPr>
        <w:spacing w:line="240" w:lineRule="auto"/>
        <w:jc w:val="both"/>
        <w:rPr>
          <w:rFonts w:ascii="Verdana" w:eastAsia="Times" w:hAnsi="Verdana"/>
          <w:sz w:val="20"/>
          <w:szCs w:val="20"/>
          <w:lang w:val="es-ES"/>
        </w:rPr>
      </w:pPr>
    </w:p>
    <w:p w:rsidR="004D022F" w:rsidRPr="004D022F" w:rsidRDefault="004D022F" w:rsidP="004D022F">
      <w:pPr>
        <w:keepNext/>
        <w:spacing w:after="0" w:line="240" w:lineRule="auto"/>
        <w:jc w:val="both"/>
        <w:outlineLvl w:val="0"/>
        <w:rPr>
          <w:rFonts w:ascii="Verdana" w:eastAsia="Times" w:hAnsi="Verdana"/>
          <w:sz w:val="20"/>
          <w:szCs w:val="20"/>
          <w:lang w:val="es-ES_tradnl"/>
        </w:rPr>
      </w:pPr>
      <w:r w:rsidRPr="004D022F">
        <w:rPr>
          <w:rFonts w:ascii="Verdana" w:eastAsia="Times" w:hAnsi="Verdana"/>
          <w:sz w:val="20"/>
          <w:szCs w:val="20"/>
          <w:lang w:val="es-ES"/>
        </w:rPr>
        <w:lastRenderedPageBreak/>
        <w:t>Corte IDH. Caso Trabajadores Cesados de Petroperú y otros vs Perú. Interpretación de la Sentencia de Excepciones Preliminares, Fondo, Reparaciones y Costas. Sentencia de 22 de agosto de 2018.</w:t>
      </w:r>
    </w:p>
    <w:p w:rsidR="004D022F" w:rsidRPr="004D022F" w:rsidRDefault="004D022F" w:rsidP="004D022F">
      <w:pPr>
        <w:spacing w:after="0" w:line="240" w:lineRule="auto"/>
        <w:jc w:val="center"/>
        <w:rPr>
          <w:rFonts w:ascii="Verdana" w:eastAsia="Times" w:hAnsi="Verdana"/>
          <w:sz w:val="20"/>
          <w:szCs w:val="20"/>
          <w:lang w:val="es-ES"/>
        </w:rPr>
      </w:pPr>
    </w:p>
    <w:p w:rsidR="004D022F" w:rsidRPr="004D022F" w:rsidRDefault="004D022F" w:rsidP="004D022F">
      <w:pPr>
        <w:spacing w:after="0" w:line="240" w:lineRule="auto"/>
        <w:jc w:val="center"/>
        <w:rPr>
          <w:rFonts w:ascii="Verdana" w:eastAsia="Times" w:hAnsi="Verdana"/>
          <w:sz w:val="20"/>
          <w:szCs w:val="20"/>
          <w:lang w:val="es-ES"/>
        </w:rPr>
      </w:pPr>
    </w:p>
    <w:p w:rsidR="004D022F" w:rsidRPr="004D022F" w:rsidRDefault="004D022F" w:rsidP="004D022F">
      <w:pPr>
        <w:spacing w:after="0" w:line="240" w:lineRule="auto"/>
        <w:jc w:val="center"/>
        <w:rPr>
          <w:rFonts w:ascii="Verdana" w:eastAsia="Times" w:hAnsi="Verdana"/>
          <w:sz w:val="20"/>
          <w:szCs w:val="20"/>
          <w:lang w:val="es-ES"/>
        </w:rPr>
      </w:pPr>
    </w:p>
    <w:p w:rsidR="004D022F" w:rsidRPr="004D022F" w:rsidRDefault="004D022F" w:rsidP="004D022F">
      <w:pPr>
        <w:spacing w:after="0" w:line="240" w:lineRule="auto"/>
        <w:jc w:val="center"/>
        <w:rPr>
          <w:rFonts w:ascii="Verdana" w:eastAsia="Times" w:hAnsi="Verdana"/>
          <w:sz w:val="20"/>
          <w:szCs w:val="20"/>
          <w:lang w:val="es-ES"/>
        </w:rPr>
      </w:pPr>
    </w:p>
    <w:p w:rsidR="004D022F" w:rsidRPr="004D022F" w:rsidRDefault="004D022F" w:rsidP="004D022F">
      <w:pPr>
        <w:spacing w:after="0" w:line="240" w:lineRule="auto"/>
        <w:jc w:val="center"/>
        <w:rPr>
          <w:rFonts w:ascii="Verdana" w:eastAsia="Times" w:hAnsi="Verdana"/>
          <w:sz w:val="20"/>
          <w:szCs w:val="20"/>
          <w:lang w:val="es-ES"/>
        </w:rPr>
      </w:pPr>
    </w:p>
    <w:p w:rsidR="004D022F" w:rsidRPr="004D022F" w:rsidRDefault="004D022F" w:rsidP="004D022F">
      <w:pPr>
        <w:spacing w:after="0" w:line="240" w:lineRule="auto"/>
        <w:jc w:val="center"/>
        <w:rPr>
          <w:rFonts w:ascii="Verdana" w:eastAsia="Times" w:hAnsi="Verdana"/>
          <w:sz w:val="20"/>
          <w:szCs w:val="20"/>
          <w:lang w:val="es-ES"/>
        </w:rPr>
      </w:pPr>
      <w:r w:rsidRPr="004D022F">
        <w:rPr>
          <w:rFonts w:ascii="Verdana" w:eastAsia="Times" w:hAnsi="Verdana"/>
          <w:sz w:val="20"/>
          <w:szCs w:val="20"/>
          <w:lang w:val="es-ES"/>
        </w:rPr>
        <w:t>Eduardo Ferrer Mac-Gregor Poisot</w:t>
      </w:r>
    </w:p>
    <w:p w:rsidR="004D022F" w:rsidRPr="004D022F" w:rsidRDefault="004D022F" w:rsidP="004D022F">
      <w:pPr>
        <w:spacing w:after="0" w:line="240" w:lineRule="auto"/>
        <w:jc w:val="center"/>
        <w:rPr>
          <w:rFonts w:ascii="Verdana" w:eastAsia="Times" w:hAnsi="Verdana"/>
          <w:sz w:val="20"/>
          <w:szCs w:val="20"/>
          <w:lang w:val="es-ES"/>
        </w:rPr>
      </w:pPr>
      <w:r w:rsidRPr="004D022F">
        <w:rPr>
          <w:rFonts w:ascii="Verdana" w:eastAsia="Times" w:hAnsi="Verdana"/>
          <w:sz w:val="20"/>
          <w:szCs w:val="20"/>
          <w:lang w:val="es-ES"/>
        </w:rPr>
        <w:t xml:space="preserve">Presidente </w:t>
      </w: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rPr>
          <w:rFonts w:ascii="Verdana" w:eastAsia="Times" w:hAnsi="Verdana"/>
          <w:sz w:val="20"/>
          <w:szCs w:val="20"/>
          <w:lang w:val="es-ES"/>
        </w:rPr>
      </w:pPr>
      <w:r w:rsidRPr="004D022F">
        <w:rPr>
          <w:rFonts w:ascii="Verdana" w:eastAsia="Times" w:hAnsi="Verdana"/>
          <w:sz w:val="20"/>
          <w:szCs w:val="20"/>
          <w:lang w:val="es-ES"/>
        </w:rPr>
        <w:t xml:space="preserve">Humberto A. Sierra Porto </w:t>
      </w:r>
      <w:r w:rsidRPr="004D022F">
        <w:rPr>
          <w:rFonts w:ascii="Verdana" w:eastAsia="Times" w:hAnsi="Verdana"/>
          <w:sz w:val="20"/>
          <w:szCs w:val="20"/>
          <w:lang w:val="es-ES"/>
        </w:rPr>
        <w:tab/>
      </w:r>
      <w:r w:rsidRPr="004D022F">
        <w:rPr>
          <w:rFonts w:ascii="Verdana" w:eastAsia="Times" w:hAnsi="Verdana"/>
          <w:sz w:val="20"/>
          <w:szCs w:val="20"/>
          <w:lang w:val="es-ES"/>
        </w:rPr>
        <w:tab/>
      </w:r>
      <w:r w:rsidRPr="004D022F">
        <w:rPr>
          <w:rFonts w:ascii="Verdana" w:eastAsia="Times" w:hAnsi="Verdana"/>
          <w:sz w:val="20"/>
          <w:szCs w:val="20"/>
          <w:lang w:val="es-ES"/>
        </w:rPr>
        <w:tab/>
      </w:r>
      <w:r w:rsidRPr="004D022F">
        <w:rPr>
          <w:rFonts w:ascii="Verdana" w:eastAsia="Times" w:hAnsi="Verdana"/>
          <w:sz w:val="20"/>
          <w:szCs w:val="20"/>
          <w:lang w:val="es-ES"/>
        </w:rPr>
        <w:tab/>
      </w:r>
      <w:r w:rsidRPr="004D022F">
        <w:rPr>
          <w:rFonts w:ascii="Verdana" w:eastAsia="Times" w:hAnsi="Verdana"/>
          <w:sz w:val="20"/>
          <w:szCs w:val="20"/>
          <w:lang w:val="es-ES"/>
        </w:rPr>
        <w:tab/>
      </w:r>
      <w:r w:rsidRPr="004D022F">
        <w:rPr>
          <w:rFonts w:ascii="Verdana" w:eastAsia="Times" w:hAnsi="Verdana"/>
          <w:sz w:val="20"/>
          <w:szCs w:val="20"/>
          <w:lang w:val="es-ES"/>
        </w:rPr>
        <w:tab/>
        <w:t xml:space="preserve">  </w:t>
      </w:r>
      <w:r w:rsidR="00886EA9">
        <w:rPr>
          <w:rFonts w:ascii="Verdana" w:eastAsia="Times" w:hAnsi="Verdana"/>
          <w:sz w:val="20"/>
          <w:szCs w:val="20"/>
          <w:lang w:val="es-ES"/>
        </w:rPr>
        <w:t xml:space="preserve">        </w:t>
      </w:r>
      <w:r w:rsidRPr="004D022F">
        <w:rPr>
          <w:rFonts w:ascii="Verdana" w:eastAsia="Times" w:hAnsi="Verdana"/>
          <w:sz w:val="20"/>
          <w:szCs w:val="20"/>
          <w:lang w:val="es-ES"/>
        </w:rPr>
        <w:t xml:space="preserve">  Elizabeth Odio Benito</w:t>
      </w: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rPr>
      </w:pPr>
    </w:p>
    <w:p w:rsidR="004D022F" w:rsidRPr="004D022F" w:rsidRDefault="004D022F" w:rsidP="004D022F">
      <w:pPr>
        <w:spacing w:after="0" w:line="240" w:lineRule="auto"/>
        <w:rPr>
          <w:rFonts w:ascii="Verdana" w:eastAsia="Times" w:hAnsi="Verdana"/>
          <w:sz w:val="20"/>
          <w:szCs w:val="20"/>
        </w:rPr>
      </w:pPr>
      <w:r w:rsidRPr="004D022F">
        <w:rPr>
          <w:rFonts w:ascii="Verdana" w:eastAsia="Times" w:hAnsi="Verdana"/>
          <w:sz w:val="20"/>
          <w:szCs w:val="20"/>
        </w:rPr>
        <w:t xml:space="preserve">Eugenio Raúl Zaffaroni </w:t>
      </w:r>
      <w:r w:rsidRPr="004D022F">
        <w:rPr>
          <w:rFonts w:ascii="Verdana" w:eastAsia="Times" w:hAnsi="Verdana"/>
          <w:sz w:val="20"/>
          <w:szCs w:val="20"/>
        </w:rPr>
        <w:tab/>
      </w:r>
      <w:r w:rsidRPr="004D022F">
        <w:rPr>
          <w:rFonts w:ascii="Verdana" w:eastAsia="Times" w:hAnsi="Verdana"/>
          <w:sz w:val="20"/>
          <w:szCs w:val="20"/>
        </w:rPr>
        <w:tab/>
      </w:r>
      <w:r w:rsidRPr="004D022F">
        <w:rPr>
          <w:rFonts w:ascii="Verdana" w:eastAsia="Times" w:hAnsi="Verdana"/>
          <w:sz w:val="20"/>
          <w:szCs w:val="20"/>
        </w:rPr>
        <w:tab/>
      </w:r>
      <w:r w:rsidRPr="004D022F">
        <w:rPr>
          <w:rFonts w:ascii="Verdana" w:eastAsia="Times" w:hAnsi="Verdana"/>
          <w:sz w:val="20"/>
          <w:szCs w:val="20"/>
        </w:rPr>
        <w:tab/>
      </w:r>
      <w:r w:rsidRPr="004D022F">
        <w:rPr>
          <w:rFonts w:ascii="Verdana" w:eastAsia="Times" w:hAnsi="Verdana"/>
          <w:sz w:val="20"/>
          <w:szCs w:val="20"/>
        </w:rPr>
        <w:tab/>
        <w:t xml:space="preserve">        </w:t>
      </w:r>
      <w:r w:rsidR="00886EA9">
        <w:rPr>
          <w:rFonts w:ascii="Verdana" w:eastAsia="Times" w:hAnsi="Verdana"/>
          <w:sz w:val="20"/>
          <w:szCs w:val="20"/>
        </w:rPr>
        <w:t xml:space="preserve">        </w:t>
      </w:r>
      <w:r w:rsidRPr="004D022F">
        <w:rPr>
          <w:rFonts w:ascii="Verdana" w:eastAsia="Times" w:hAnsi="Verdana"/>
          <w:sz w:val="20"/>
          <w:szCs w:val="20"/>
        </w:rPr>
        <w:t>L. Patricio Pazmiño Freire</w:t>
      </w:r>
    </w:p>
    <w:p w:rsidR="004D022F" w:rsidRPr="004D022F" w:rsidRDefault="004D022F" w:rsidP="004D022F">
      <w:pPr>
        <w:spacing w:after="0" w:line="240" w:lineRule="auto"/>
        <w:jc w:val="center"/>
        <w:rPr>
          <w:rFonts w:ascii="Verdana" w:eastAsia="Times" w:hAnsi="Verdana"/>
          <w:sz w:val="20"/>
          <w:szCs w:val="20"/>
        </w:rPr>
      </w:pPr>
    </w:p>
    <w:p w:rsidR="004D022F" w:rsidRPr="004D022F" w:rsidRDefault="004D022F" w:rsidP="004D022F">
      <w:pPr>
        <w:spacing w:after="0" w:line="240" w:lineRule="auto"/>
        <w:jc w:val="center"/>
        <w:rPr>
          <w:rFonts w:ascii="Verdana" w:eastAsia="Times" w:hAnsi="Verdana"/>
          <w:sz w:val="20"/>
          <w:szCs w:val="20"/>
        </w:rPr>
      </w:pPr>
    </w:p>
    <w:p w:rsidR="004D022F" w:rsidRPr="004D022F" w:rsidRDefault="004D022F" w:rsidP="004D022F">
      <w:pPr>
        <w:spacing w:after="0" w:line="240" w:lineRule="auto"/>
        <w:jc w:val="center"/>
        <w:rPr>
          <w:rFonts w:ascii="Verdana" w:eastAsia="Times" w:hAnsi="Verdana"/>
          <w:sz w:val="20"/>
          <w:szCs w:val="20"/>
        </w:rPr>
      </w:pPr>
    </w:p>
    <w:p w:rsidR="004D022F" w:rsidRPr="004D022F" w:rsidRDefault="004D022F" w:rsidP="004D022F">
      <w:pPr>
        <w:spacing w:after="0" w:line="240" w:lineRule="auto"/>
        <w:jc w:val="center"/>
        <w:rPr>
          <w:rFonts w:ascii="Verdana" w:eastAsia="Times" w:hAnsi="Verdana"/>
          <w:sz w:val="20"/>
          <w:szCs w:val="20"/>
        </w:rPr>
      </w:pPr>
    </w:p>
    <w:p w:rsidR="004D022F" w:rsidRPr="004D022F" w:rsidRDefault="004D022F" w:rsidP="004D022F">
      <w:pPr>
        <w:spacing w:after="0" w:line="240" w:lineRule="auto"/>
        <w:jc w:val="center"/>
        <w:rPr>
          <w:rFonts w:ascii="Verdana" w:eastAsia="Times" w:hAnsi="Verdana"/>
          <w:sz w:val="20"/>
          <w:szCs w:val="20"/>
        </w:rPr>
      </w:pPr>
    </w:p>
    <w:p w:rsidR="004D022F" w:rsidRPr="004D022F" w:rsidRDefault="004D022F" w:rsidP="004D022F">
      <w:pPr>
        <w:spacing w:after="0" w:line="240" w:lineRule="auto"/>
        <w:jc w:val="center"/>
        <w:rPr>
          <w:rFonts w:ascii="Verdana" w:eastAsia="Times" w:hAnsi="Verdana"/>
          <w:sz w:val="20"/>
          <w:szCs w:val="20"/>
          <w:lang w:val="es-ES"/>
        </w:rPr>
      </w:pPr>
      <w:r w:rsidRPr="004D022F">
        <w:rPr>
          <w:rFonts w:ascii="Verdana" w:eastAsia="Times" w:hAnsi="Verdana"/>
          <w:sz w:val="20"/>
          <w:szCs w:val="20"/>
          <w:lang w:val="es-ES"/>
        </w:rPr>
        <w:t>Pablo Saavedra Alessandri</w:t>
      </w:r>
    </w:p>
    <w:p w:rsidR="004D022F" w:rsidRPr="004D022F" w:rsidRDefault="004D022F" w:rsidP="004D022F">
      <w:pPr>
        <w:spacing w:after="0" w:line="240" w:lineRule="auto"/>
        <w:jc w:val="center"/>
        <w:rPr>
          <w:rFonts w:ascii="Verdana" w:eastAsia="Times" w:hAnsi="Verdana"/>
          <w:sz w:val="20"/>
          <w:szCs w:val="20"/>
          <w:lang w:val="es-ES"/>
        </w:rPr>
      </w:pPr>
      <w:r w:rsidRPr="004D022F">
        <w:rPr>
          <w:rFonts w:ascii="Verdana" w:eastAsia="Times" w:hAnsi="Verdana"/>
          <w:sz w:val="20"/>
          <w:szCs w:val="20"/>
          <w:lang w:val="es-ES"/>
        </w:rPr>
        <w:t>Secretario</w:t>
      </w:r>
    </w:p>
    <w:p w:rsidR="004D022F" w:rsidRPr="004D022F" w:rsidRDefault="004D022F" w:rsidP="004D022F">
      <w:pPr>
        <w:spacing w:after="0" w:line="240" w:lineRule="auto"/>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r w:rsidRPr="004D022F">
        <w:rPr>
          <w:rFonts w:ascii="Verdana" w:eastAsia="Times" w:hAnsi="Verdana"/>
          <w:sz w:val="20"/>
          <w:szCs w:val="20"/>
          <w:lang w:val="es-ES"/>
        </w:rPr>
        <w:t>Comuníquese y ejecútese,</w:t>
      </w: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rPr>
      </w:pPr>
    </w:p>
    <w:p w:rsidR="004D022F" w:rsidRPr="004D022F" w:rsidRDefault="004D022F" w:rsidP="004D022F">
      <w:pPr>
        <w:spacing w:after="0" w:line="240" w:lineRule="auto"/>
        <w:jc w:val="both"/>
        <w:rPr>
          <w:rFonts w:ascii="Verdana" w:eastAsia="Times" w:hAnsi="Verdana"/>
          <w:sz w:val="20"/>
          <w:szCs w:val="20"/>
        </w:rPr>
      </w:pPr>
    </w:p>
    <w:p w:rsidR="004D022F" w:rsidRPr="004D022F" w:rsidRDefault="004D022F" w:rsidP="004D022F">
      <w:pPr>
        <w:spacing w:after="0" w:line="240" w:lineRule="auto"/>
        <w:ind w:left="4956"/>
        <w:jc w:val="center"/>
        <w:rPr>
          <w:rFonts w:ascii="Verdana" w:eastAsia="Times" w:hAnsi="Verdana"/>
          <w:sz w:val="20"/>
          <w:szCs w:val="20"/>
          <w:lang w:val="es-ES"/>
        </w:rPr>
      </w:pPr>
      <w:r w:rsidRPr="004D022F">
        <w:rPr>
          <w:rFonts w:ascii="Verdana" w:eastAsia="Times" w:hAnsi="Verdana"/>
          <w:sz w:val="20"/>
          <w:szCs w:val="20"/>
          <w:lang w:val="es-ES"/>
        </w:rPr>
        <w:t>Eduardo Ferrer Mac-Gregor Poisot</w:t>
      </w:r>
    </w:p>
    <w:p w:rsidR="004D022F" w:rsidRPr="004D022F" w:rsidRDefault="004D022F" w:rsidP="004D022F">
      <w:pPr>
        <w:spacing w:after="0" w:line="240" w:lineRule="auto"/>
        <w:ind w:left="4956"/>
        <w:jc w:val="center"/>
        <w:rPr>
          <w:rFonts w:ascii="Verdana" w:eastAsia="Times" w:hAnsi="Verdana"/>
          <w:sz w:val="20"/>
          <w:szCs w:val="20"/>
          <w:lang w:val="es-ES"/>
        </w:rPr>
      </w:pPr>
      <w:r w:rsidRPr="004D022F">
        <w:rPr>
          <w:rFonts w:ascii="Verdana" w:eastAsia="Times" w:hAnsi="Verdana"/>
          <w:sz w:val="20"/>
          <w:szCs w:val="20"/>
          <w:lang w:val="es-ES"/>
        </w:rPr>
        <w:t>Presidente</w:t>
      </w: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p>
    <w:p w:rsidR="004D022F" w:rsidRPr="004D022F" w:rsidRDefault="004D022F" w:rsidP="004D022F">
      <w:pPr>
        <w:spacing w:after="0" w:line="240" w:lineRule="auto"/>
        <w:jc w:val="both"/>
        <w:rPr>
          <w:rFonts w:ascii="Verdana" w:eastAsia="Times" w:hAnsi="Verdana"/>
          <w:sz w:val="20"/>
          <w:szCs w:val="20"/>
          <w:lang w:val="es-ES"/>
        </w:rPr>
      </w:pPr>
      <w:r w:rsidRPr="004D022F">
        <w:rPr>
          <w:rFonts w:ascii="Verdana" w:eastAsia="Times" w:hAnsi="Verdana"/>
          <w:sz w:val="20"/>
          <w:szCs w:val="20"/>
          <w:lang w:val="es-ES"/>
        </w:rPr>
        <w:t>Pablo Saavedra Alessandri</w:t>
      </w:r>
    </w:p>
    <w:p w:rsidR="004D022F" w:rsidRPr="004D022F" w:rsidRDefault="004D022F" w:rsidP="004D022F">
      <w:pPr>
        <w:spacing w:after="0" w:line="240" w:lineRule="auto"/>
        <w:rPr>
          <w:rFonts w:ascii="Verdana" w:eastAsia="Times" w:hAnsi="Verdana"/>
          <w:sz w:val="20"/>
          <w:szCs w:val="20"/>
        </w:rPr>
      </w:pPr>
      <w:r w:rsidRPr="004D022F">
        <w:rPr>
          <w:rFonts w:ascii="Verdana" w:eastAsia="Times" w:hAnsi="Verdana"/>
          <w:sz w:val="20"/>
          <w:szCs w:val="20"/>
          <w:lang w:val="es-ES"/>
        </w:rPr>
        <w:tab/>
      </w:r>
      <w:r w:rsidRPr="004D022F">
        <w:rPr>
          <w:rFonts w:ascii="Verdana" w:eastAsia="Times" w:hAnsi="Verdana"/>
          <w:sz w:val="20"/>
          <w:szCs w:val="20"/>
        </w:rPr>
        <w:t>Secretario</w:t>
      </w:r>
    </w:p>
    <w:p w:rsidR="0094609B" w:rsidRPr="00BE133F" w:rsidRDefault="00E80C81">
      <w:pPr>
        <w:rPr>
          <w:rFonts w:ascii="Verdana" w:hAnsi="Verdana"/>
          <w:sz w:val="20"/>
          <w:szCs w:val="20"/>
        </w:rPr>
      </w:pPr>
    </w:p>
    <w:sectPr w:rsidR="0094609B" w:rsidRPr="00BE133F" w:rsidSect="00B55C19">
      <w:headerReference w:type="even" r:id="rId8"/>
      <w:headerReference w:type="default" r:id="rId9"/>
      <w:footerReference w:type="default" r:id="rId10"/>
      <w:headerReference w:type="first" r:id="rId11"/>
      <w:pgSz w:w="12240" w:h="15840" w:code="1"/>
      <w:pgMar w:top="1440" w:right="1327"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C81" w:rsidRDefault="00E80C81" w:rsidP="00577097">
      <w:pPr>
        <w:spacing w:after="0" w:line="240" w:lineRule="auto"/>
      </w:pPr>
      <w:r>
        <w:separator/>
      </w:r>
    </w:p>
  </w:endnote>
  <w:endnote w:type="continuationSeparator" w:id="0">
    <w:p w:rsidR="00E80C81" w:rsidRDefault="00E80C81" w:rsidP="00577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21002A87" w:usb1="00000000" w:usb2="00000000" w:usb3="00000000" w:csb0="000101FF" w:csb1="00000000"/>
  </w:font>
  <w:font w:name="Batang">
    <w:altName w:val="Malgun Gothic Semilight"/>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637" w:rsidRPr="002434DF" w:rsidRDefault="004A5A50">
    <w:pPr>
      <w:pStyle w:val="Piedepgina"/>
      <w:jc w:val="center"/>
      <w:rPr>
        <w:rFonts w:ascii="Verdana" w:hAnsi="Verdana"/>
        <w:sz w:val="20"/>
        <w:szCs w:val="20"/>
      </w:rPr>
    </w:pPr>
    <w:r w:rsidRPr="002434DF">
      <w:rPr>
        <w:rFonts w:ascii="Verdana" w:hAnsi="Verdana"/>
        <w:sz w:val="20"/>
        <w:szCs w:val="20"/>
      </w:rPr>
      <w:fldChar w:fldCharType="begin"/>
    </w:r>
    <w:r w:rsidRPr="002434DF">
      <w:rPr>
        <w:rFonts w:ascii="Verdana" w:hAnsi="Verdana"/>
        <w:sz w:val="20"/>
        <w:szCs w:val="20"/>
      </w:rPr>
      <w:instrText xml:space="preserve"> PAGE   \* MERGEFORMAT </w:instrText>
    </w:r>
    <w:r w:rsidRPr="002434DF">
      <w:rPr>
        <w:rFonts w:ascii="Verdana" w:hAnsi="Verdana"/>
        <w:sz w:val="20"/>
        <w:szCs w:val="20"/>
      </w:rPr>
      <w:fldChar w:fldCharType="separate"/>
    </w:r>
    <w:r w:rsidR="00B053F4">
      <w:rPr>
        <w:rFonts w:ascii="Verdana" w:hAnsi="Verdana"/>
        <w:noProof/>
        <w:sz w:val="20"/>
        <w:szCs w:val="20"/>
      </w:rPr>
      <w:t>2</w:t>
    </w:r>
    <w:r w:rsidRPr="002434DF">
      <w:rPr>
        <w:rFonts w:ascii="Verdana" w:hAnsi="Verdana"/>
        <w:sz w:val="20"/>
        <w:szCs w:val="20"/>
      </w:rPr>
      <w:fldChar w:fldCharType="end"/>
    </w:r>
  </w:p>
  <w:p w:rsidR="00B97637" w:rsidRDefault="00E80C8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C81" w:rsidRDefault="00E80C81" w:rsidP="00577097">
      <w:pPr>
        <w:spacing w:after="0" w:line="240" w:lineRule="auto"/>
      </w:pPr>
      <w:r>
        <w:separator/>
      </w:r>
    </w:p>
  </w:footnote>
  <w:footnote w:type="continuationSeparator" w:id="0">
    <w:p w:rsidR="00E80C81" w:rsidRDefault="00E80C81" w:rsidP="00577097">
      <w:pPr>
        <w:spacing w:after="0" w:line="240" w:lineRule="auto"/>
      </w:pPr>
      <w:r>
        <w:continuationSeparator/>
      </w:r>
    </w:p>
  </w:footnote>
  <w:footnote w:id="1">
    <w:p w:rsidR="007D0F6B" w:rsidRPr="00D947B3" w:rsidRDefault="007D0F6B" w:rsidP="00D947B3">
      <w:pPr>
        <w:spacing w:after="0" w:line="240" w:lineRule="auto"/>
        <w:jc w:val="both"/>
        <w:rPr>
          <w:rFonts w:ascii="Verdana" w:hAnsi="Verdana"/>
          <w:sz w:val="16"/>
          <w:szCs w:val="16"/>
        </w:rPr>
      </w:pPr>
      <w:r w:rsidRPr="00D947B3">
        <w:rPr>
          <w:rStyle w:val="Refdenotaalpie"/>
          <w:rFonts w:ascii="Verdana" w:hAnsi="Verdana"/>
          <w:sz w:val="16"/>
          <w:szCs w:val="16"/>
          <w:lang w:val="x-none" w:eastAsia="x-none"/>
        </w:rPr>
        <w:t>*</w:t>
      </w:r>
      <w:r w:rsidR="00480D7A" w:rsidRPr="00D947B3">
        <w:rPr>
          <w:rFonts w:ascii="Verdana" w:hAnsi="Verdana"/>
          <w:sz w:val="16"/>
          <w:szCs w:val="16"/>
        </w:rPr>
        <w:t xml:space="preserve"> </w:t>
      </w:r>
      <w:r w:rsidR="005755BA">
        <w:rPr>
          <w:rFonts w:ascii="Verdana" w:hAnsi="Verdana"/>
          <w:sz w:val="16"/>
          <w:szCs w:val="16"/>
        </w:rPr>
        <w:t>P</w:t>
      </w:r>
      <w:r w:rsidR="005755BA" w:rsidRPr="00F5793B">
        <w:rPr>
          <w:rFonts w:ascii="Verdana" w:hAnsi="Verdana"/>
          <w:sz w:val="16"/>
          <w:szCs w:val="16"/>
        </w:rPr>
        <w:t>or razones de fuerza mayor, el Vicepresidente de la Corte, Juez Eduardo Vio Grossi, no participó en la deliberación y firma de la presente Sentencia.</w:t>
      </w:r>
      <w:r w:rsidR="005755BA">
        <w:rPr>
          <w:rFonts w:ascii="Verdana" w:hAnsi="Verdana"/>
          <w:sz w:val="16"/>
          <w:szCs w:val="16"/>
        </w:rPr>
        <w:t xml:space="preserve"> Asimismo, </w:t>
      </w:r>
      <w:r w:rsidR="00D55785" w:rsidRPr="00D947B3">
        <w:rPr>
          <w:rFonts w:ascii="Verdana" w:hAnsi="Verdana"/>
          <w:sz w:val="16"/>
          <w:szCs w:val="16"/>
          <w:lang w:val="es-ES"/>
        </w:rPr>
        <w:t xml:space="preserve">Roberto F. Caldas presentó su renuncia a la Corte Interamericana el 14 de mayo de 2018, la cual se aceptó con efectos inmediatos. En consecuencia, </w:t>
      </w:r>
      <w:r w:rsidR="0009648E" w:rsidRPr="00D947B3">
        <w:rPr>
          <w:rFonts w:ascii="Verdana" w:hAnsi="Verdana"/>
          <w:sz w:val="16"/>
          <w:szCs w:val="16"/>
          <w:lang w:val="es-ES"/>
        </w:rPr>
        <w:t>de conformidad con los artículos 68.3 y 17 del Reglamento, el señor Roberto F. Caldas no participó en la deliberación de esta Sentencia.</w:t>
      </w:r>
    </w:p>
  </w:footnote>
  <w:footnote w:id="2">
    <w:p w:rsidR="005032B9" w:rsidRPr="00D947B3" w:rsidRDefault="005032B9" w:rsidP="00D947B3">
      <w:pPr>
        <w:pStyle w:val="Textonotapie"/>
        <w:jc w:val="both"/>
        <w:rPr>
          <w:rFonts w:ascii="Verdana" w:hAnsi="Verdana"/>
          <w:sz w:val="16"/>
          <w:szCs w:val="16"/>
          <w:lang w:val="es-ES"/>
        </w:rPr>
      </w:pPr>
      <w:r w:rsidRPr="00D947B3">
        <w:rPr>
          <w:rStyle w:val="Refdenotaalpie"/>
          <w:rFonts w:ascii="Verdana" w:hAnsi="Verdana"/>
          <w:sz w:val="16"/>
          <w:szCs w:val="16"/>
        </w:rPr>
        <w:footnoteRef/>
      </w:r>
      <w:r w:rsidRPr="00D947B3">
        <w:rPr>
          <w:rFonts w:ascii="Verdana" w:hAnsi="Verdana"/>
          <w:sz w:val="16"/>
          <w:szCs w:val="16"/>
        </w:rPr>
        <w:t xml:space="preserve"> </w:t>
      </w:r>
      <w:r w:rsidR="00C86996" w:rsidRPr="00D947B3">
        <w:rPr>
          <w:rFonts w:ascii="Verdana" w:hAnsi="Verdana"/>
          <w:sz w:val="16"/>
          <w:szCs w:val="16"/>
          <w:lang w:val="es-ES"/>
        </w:rPr>
        <w:t xml:space="preserve">La señora Carolina Loayza Tamayo representa a la totalidad de las presuntas víctimas del MEF y ENAPU, y a 53 víctimas de Petroperú, en los términos establecidos en </w:t>
      </w:r>
      <w:r w:rsidR="00B04846">
        <w:rPr>
          <w:rFonts w:ascii="Verdana" w:hAnsi="Verdana"/>
          <w:sz w:val="16"/>
          <w:szCs w:val="16"/>
          <w:lang w:val="es-ES"/>
        </w:rPr>
        <w:t>el párrafo 6 de la Sentencia</w:t>
      </w:r>
      <w:r w:rsidR="00C86996" w:rsidRPr="00D947B3">
        <w:rPr>
          <w:rFonts w:ascii="Verdana" w:hAnsi="Verdana"/>
          <w:sz w:val="16"/>
          <w:szCs w:val="16"/>
          <w:lang w:val="es-ES"/>
        </w:rPr>
        <w:t>.</w:t>
      </w:r>
    </w:p>
  </w:footnote>
  <w:footnote w:id="3">
    <w:p w:rsidR="0042353D" w:rsidRPr="00D947B3" w:rsidRDefault="0042353D" w:rsidP="00D947B3">
      <w:pPr>
        <w:pStyle w:val="Textonotapie"/>
        <w:jc w:val="both"/>
        <w:rPr>
          <w:rFonts w:ascii="Verdana" w:hAnsi="Verdana"/>
          <w:sz w:val="16"/>
          <w:szCs w:val="16"/>
          <w:lang w:val="es-CR"/>
        </w:rPr>
      </w:pPr>
      <w:r w:rsidRPr="00D947B3">
        <w:rPr>
          <w:rStyle w:val="Refdenotaalpie"/>
          <w:rFonts w:ascii="Verdana" w:hAnsi="Verdana"/>
          <w:sz w:val="16"/>
          <w:szCs w:val="16"/>
        </w:rPr>
        <w:footnoteRef/>
      </w:r>
      <w:r w:rsidRPr="00D947B3">
        <w:rPr>
          <w:rFonts w:ascii="Verdana" w:hAnsi="Verdana"/>
          <w:sz w:val="16"/>
          <w:szCs w:val="16"/>
        </w:rPr>
        <w:t xml:space="preserve"> </w:t>
      </w:r>
      <w:r w:rsidRPr="00D947B3">
        <w:rPr>
          <w:rFonts w:ascii="Verdana" w:hAnsi="Verdana"/>
          <w:sz w:val="16"/>
          <w:szCs w:val="16"/>
          <w:lang w:val="es-CR"/>
        </w:rPr>
        <w:t xml:space="preserve">El señor Abraham Montero Ramírez es una víctima del caso en los términos </w:t>
      </w:r>
      <w:r w:rsidR="00307B5F">
        <w:rPr>
          <w:rFonts w:ascii="Verdana" w:hAnsi="Verdana"/>
          <w:sz w:val="16"/>
          <w:szCs w:val="16"/>
          <w:lang w:val="es-CR"/>
        </w:rPr>
        <w:t xml:space="preserve">de los </w:t>
      </w:r>
      <w:r w:rsidR="00B04846">
        <w:rPr>
          <w:rFonts w:ascii="Verdana" w:hAnsi="Verdana"/>
          <w:sz w:val="16"/>
          <w:szCs w:val="16"/>
          <w:lang w:val="es-CR"/>
        </w:rPr>
        <w:t>puntos resolutivos</w:t>
      </w:r>
      <w:r w:rsidR="00307B5F">
        <w:rPr>
          <w:rFonts w:ascii="Verdana" w:hAnsi="Verdana"/>
          <w:sz w:val="16"/>
          <w:szCs w:val="16"/>
          <w:lang w:val="es-CR"/>
        </w:rPr>
        <w:t xml:space="preserve"> 4, 6 y 7</w:t>
      </w:r>
      <w:r w:rsidRPr="00D947B3">
        <w:rPr>
          <w:rFonts w:ascii="Verdana" w:hAnsi="Verdana"/>
          <w:sz w:val="16"/>
          <w:szCs w:val="16"/>
          <w:lang w:val="es-CR"/>
        </w:rPr>
        <w:t xml:space="preserve"> de la Sentencia.</w:t>
      </w:r>
    </w:p>
  </w:footnote>
  <w:footnote w:id="4">
    <w:p w:rsidR="008C1317" w:rsidRPr="00D947B3" w:rsidRDefault="008C1317" w:rsidP="00D947B3">
      <w:pPr>
        <w:pStyle w:val="Textonotapie"/>
        <w:jc w:val="both"/>
        <w:rPr>
          <w:rFonts w:ascii="Verdana" w:hAnsi="Verdana"/>
          <w:sz w:val="16"/>
          <w:szCs w:val="16"/>
          <w:lang w:val="es-CR"/>
        </w:rPr>
      </w:pPr>
      <w:r w:rsidRPr="00D947B3">
        <w:rPr>
          <w:rStyle w:val="Refdenotaalpie"/>
          <w:rFonts w:ascii="Verdana" w:hAnsi="Verdana"/>
          <w:sz w:val="16"/>
          <w:szCs w:val="16"/>
        </w:rPr>
        <w:footnoteRef/>
      </w:r>
      <w:r w:rsidRPr="00D947B3">
        <w:rPr>
          <w:rFonts w:ascii="Verdana" w:hAnsi="Verdana"/>
          <w:sz w:val="16"/>
          <w:szCs w:val="16"/>
        </w:rPr>
        <w:t xml:space="preserve"> </w:t>
      </w:r>
      <w:r w:rsidRPr="00D947B3">
        <w:rPr>
          <w:rFonts w:ascii="Verdana" w:hAnsi="Verdana"/>
          <w:sz w:val="16"/>
          <w:szCs w:val="16"/>
          <w:lang w:val="es-CR"/>
        </w:rPr>
        <w:t xml:space="preserve">Los señores </w:t>
      </w:r>
      <w:r w:rsidRPr="00D947B3">
        <w:rPr>
          <w:rFonts w:ascii="Verdana" w:hAnsi="Verdana" w:cs="Verdana"/>
          <w:sz w:val="16"/>
          <w:szCs w:val="16"/>
        </w:rPr>
        <w:t>Manuel Paiba Cossios y Gregorio Paredes Chipana</w:t>
      </w:r>
      <w:r w:rsidR="00280966" w:rsidRPr="00D947B3">
        <w:rPr>
          <w:rFonts w:ascii="Verdana" w:hAnsi="Verdana" w:cs="Verdana"/>
          <w:sz w:val="16"/>
          <w:szCs w:val="16"/>
          <w:lang w:val="es-CR"/>
        </w:rPr>
        <w:t xml:space="preserve"> representan a 39 trabajadores de MINEDU en los términos establecidos en </w:t>
      </w:r>
      <w:r w:rsidR="00B04846">
        <w:rPr>
          <w:rFonts w:ascii="Verdana" w:hAnsi="Verdana"/>
          <w:sz w:val="16"/>
          <w:szCs w:val="16"/>
          <w:lang w:val="es-ES"/>
        </w:rPr>
        <w:t>el párrafo 6 de la Sentencia</w:t>
      </w:r>
      <w:r w:rsidR="00280966" w:rsidRPr="00D947B3">
        <w:rPr>
          <w:rFonts w:ascii="Verdana" w:hAnsi="Verdana" w:cs="Verdana"/>
          <w:sz w:val="16"/>
          <w:szCs w:val="16"/>
          <w:lang w:val="es-CR"/>
        </w:rPr>
        <w:t>.</w:t>
      </w:r>
    </w:p>
  </w:footnote>
  <w:footnote w:id="5">
    <w:p w:rsidR="00C469B4" w:rsidRPr="00D947B3" w:rsidRDefault="00C469B4" w:rsidP="00D947B3">
      <w:pPr>
        <w:pStyle w:val="Textonotapie"/>
        <w:jc w:val="both"/>
        <w:rPr>
          <w:rStyle w:val="Refdenotaalpie"/>
          <w:rFonts w:ascii="Verdana" w:hAnsi="Verdana"/>
          <w:sz w:val="16"/>
          <w:szCs w:val="16"/>
          <w:lang w:val="es-DO"/>
        </w:rPr>
      </w:pPr>
      <w:r w:rsidRPr="00D947B3">
        <w:rPr>
          <w:rStyle w:val="Refdenotaalpie"/>
          <w:rFonts w:ascii="Verdana" w:hAnsi="Verdana"/>
          <w:sz w:val="16"/>
          <w:szCs w:val="16"/>
          <w:lang w:val="es-DO"/>
        </w:rPr>
        <w:footnoteRef/>
      </w:r>
      <w:r w:rsidRPr="00D947B3">
        <w:rPr>
          <w:rStyle w:val="Refdenotaalpie"/>
          <w:rFonts w:ascii="Verdana" w:hAnsi="Verdana"/>
          <w:sz w:val="16"/>
          <w:szCs w:val="16"/>
          <w:lang w:val="es-DO"/>
        </w:rPr>
        <w:t xml:space="preserve"> </w:t>
      </w:r>
      <w:r w:rsidRPr="00D947B3">
        <w:rPr>
          <w:rFonts w:ascii="Verdana" w:hAnsi="Verdana"/>
          <w:i/>
          <w:sz w:val="16"/>
          <w:szCs w:val="16"/>
          <w:lang w:val="es-DO"/>
        </w:rPr>
        <w:t>Cfr. Caso Loayza Tamayo Vs. Perú</w:t>
      </w:r>
      <w:r w:rsidRPr="00D947B3">
        <w:rPr>
          <w:rFonts w:ascii="Verdana" w:hAnsi="Verdana"/>
          <w:sz w:val="16"/>
          <w:szCs w:val="16"/>
          <w:lang w:val="es-DO"/>
        </w:rPr>
        <w:t xml:space="preserve">. </w:t>
      </w:r>
      <w:r w:rsidRPr="00D947B3">
        <w:rPr>
          <w:rFonts w:ascii="Verdana" w:hAnsi="Verdana"/>
          <w:i/>
          <w:sz w:val="16"/>
          <w:szCs w:val="16"/>
          <w:lang w:val="es-DO"/>
        </w:rPr>
        <w:t>Interpretación de la Sentencia de Fondo</w:t>
      </w:r>
      <w:r w:rsidRPr="00D947B3">
        <w:rPr>
          <w:rFonts w:ascii="Verdana" w:hAnsi="Verdana"/>
          <w:sz w:val="16"/>
          <w:szCs w:val="16"/>
          <w:lang w:val="es-DO"/>
        </w:rPr>
        <w:t>. Sentencia de 8 de marzo de 1998. Serie C No. 47, párr. 16, y</w:t>
      </w:r>
      <w:r w:rsidRPr="00D947B3">
        <w:rPr>
          <w:rFonts w:ascii="Verdana" w:hAnsi="Verdana"/>
          <w:sz w:val="16"/>
          <w:szCs w:val="16"/>
        </w:rPr>
        <w:t xml:space="preserve"> </w:t>
      </w:r>
      <w:r w:rsidR="0016280D" w:rsidRPr="00D947B3">
        <w:rPr>
          <w:rFonts w:ascii="Verdana" w:hAnsi="Verdana"/>
          <w:i/>
          <w:sz w:val="16"/>
          <w:szCs w:val="16"/>
          <w:lang w:val="es-DO"/>
        </w:rPr>
        <w:t xml:space="preserve">Caso Zegarra Marín Vs. Perú. Interpretación de la Sentencia de Excepción Preliminar, Fondo, Reparaciones y Costas. </w:t>
      </w:r>
      <w:r w:rsidR="0016280D" w:rsidRPr="00D947B3">
        <w:rPr>
          <w:rFonts w:ascii="Verdana" w:hAnsi="Verdana"/>
          <w:sz w:val="16"/>
          <w:szCs w:val="16"/>
          <w:lang w:val="es-DO"/>
        </w:rPr>
        <w:t>Sentencia de 8 de febrero 2018, Serie C No. 347, párr. 10.</w:t>
      </w:r>
    </w:p>
  </w:footnote>
  <w:footnote w:id="6">
    <w:p w:rsidR="00C469B4" w:rsidRPr="00D947B3" w:rsidRDefault="00C469B4" w:rsidP="00D947B3">
      <w:pPr>
        <w:pStyle w:val="Textonotapie"/>
        <w:jc w:val="both"/>
        <w:rPr>
          <w:rFonts w:ascii="Verdana" w:hAnsi="Verdana"/>
          <w:sz w:val="16"/>
          <w:szCs w:val="16"/>
          <w:lang w:val="es-DO"/>
        </w:rPr>
      </w:pPr>
      <w:r w:rsidRPr="00D947B3">
        <w:rPr>
          <w:rStyle w:val="Refdenotaalpie"/>
          <w:rFonts w:ascii="Verdana" w:hAnsi="Verdana"/>
          <w:sz w:val="16"/>
          <w:szCs w:val="16"/>
          <w:lang w:val="es-DO"/>
        </w:rPr>
        <w:footnoteRef/>
      </w:r>
      <w:r w:rsidRPr="00D947B3">
        <w:rPr>
          <w:rFonts w:ascii="Verdana" w:hAnsi="Verdana"/>
          <w:sz w:val="16"/>
          <w:szCs w:val="16"/>
          <w:lang w:val="es-DO"/>
        </w:rPr>
        <w:t xml:space="preserve"> </w:t>
      </w:r>
      <w:r w:rsidR="0016280D" w:rsidRPr="00D947B3">
        <w:rPr>
          <w:rFonts w:ascii="Verdana" w:hAnsi="Verdana"/>
          <w:i/>
          <w:sz w:val="16"/>
          <w:szCs w:val="16"/>
          <w:lang w:val="es-DO"/>
        </w:rPr>
        <w:t>Cfr. Caso Loayza Tamayo Vs. Perú</w:t>
      </w:r>
      <w:r w:rsidR="0016280D" w:rsidRPr="00D947B3">
        <w:rPr>
          <w:rFonts w:ascii="Verdana" w:hAnsi="Verdana"/>
          <w:sz w:val="16"/>
          <w:szCs w:val="16"/>
          <w:lang w:val="es-DO"/>
        </w:rPr>
        <w:t xml:space="preserve">. </w:t>
      </w:r>
      <w:r w:rsidR="0016280D" w:rsidRPr="00D947B3">
        <w:rPr>
          <w:rFonts w:ascii="Verdana" w:hAnsi="Verdana"/>
          <w:i/>
          <w:sz w:val="16"/>
          <w:szCs w:val="16"/>
          <w:lang w:val="es-DO"/>
        </w:rPr>
        <w:t>Interpretación de la Sentencia de Fondo</w:t>
      </w:r>
      <w:r w:rsidR="0016280D" w:rsidRPr="00D947B3">
        <w:rPr>
          <w:rFonts w:ascii="Verdana" w:hAnsi="Verdana"/>
          <w:sz w:val="16"/>
          <w:szCs w:val="16"/>
          <w:lang w:val="es-DO"/>
        </w:rPr>
        <w:t xml:space="preserve">. Sentencia de 8 de marzo de 1998. Serie C No. 47 párr. 16, y </w:t>
      </w:r>
      <w:r w:rsidR="0016280D" w:rsidRPr="00D947B3">
        <w:rPr>
          <w:rFonts w:ascii="Verdana" w:hAnsi="Verdana"/>
          <w:i/>
          <w:sz w:val="16"/>
          <w:szCs w:val="16"/>
          <w:lang w:val="es-DO"/>
        </w:rPr>
        <w:t>Caso Zegarra Marín Vs. Perú. Interpretación de la Sentencia de Excepción Preliminar, Fondo, Reparaciones y Costas. Sentencia de 8 de febrero 2018, Serie C No. 347, párr. 10.</w:t>
      </w:r>
    </w:p>
  </w:footnote>
  <w:footnote w:id="7">
    <w:p w:rsidR="00C469B4" w:rsidRPr="00D947B3" w:rsidRDefault="00C469B4" w:rsidP="00D947B3">
      <w:pPr>
        <w:pStyle w:val="Textonotapie"/>
        <w:jc w:val="both"/>
        <w:rPr>
          <w:rFonts w:ascii="Verdana" w:hAnsi="Verdana"/>
          <w:sz w:val="16"/>
          <w:szCs w:val="16"/>
          <w:lang w:val="es-DO"/>
        </w:rPr>
      </w:pPr>
      <w:r w:rsidRPr="00D947B3">
        <w:rPr>
          <w:rStyle w:val="Refdenotaalpie"/>
          <w:rFonts w:ascii="Verdana" w:hAnsi="Verdana"/>
          <w:sz w:val="16"/>
          <w:szCs w:val="16"/>
          <w:lang w:val="es-DO"/>
        </w:rPr>
        <w:footnoteRef/>
      </w:r>
      <w:r w:rsidRPr="00D947B3">
        <w:rPr>
          <w:rFonts w:ascii="Verdana" w:hAnsi="Verdana"/>
          <w:sz w:val="16"/>
          <w:szCs w:val="16"/>
          <w:lang w:val="es-DO"/>
        </w:rPr>
        <w:t xml:space="preserve"> </w:t>
      </w:r>
      <w:r w:rsidRPr="00D947B3">
        <w:rPr>
          <w:rFonts w:ascii="Verdana" w:hAnsi="Verdana"/>
          <w:i/>
          <w:sz w:val="16"/>
          <w:szCs w:val="16"/>
          <w:lang w:val="es-DO"/>
        </w:rPr>
        <w:t xml:space="preserve">Cfr. </w:t>
      </w:r>
      <w:r w:rsidRPr="00D947B3">
        <w:rPr>
          <w:rFonts w:ascii="Verdana" w:hAnsi="Verdana"/>
          <w:i/>
          <w:sz w:val="16"/>
          <w:szCs w:val="16"/>
        </w:rPr>
        <w:t xml:space="preserve">Caso Loayza Tamayo Vs. Perú. Interpretación de la Sentencia de Reparaciones y Costas. </w:t>
      </w:r>
      <w:r w:rsidRPr="00D947B3">
        <w:rPr>
          <w:rFonts w:ascii="Verdana" w:hAnsi="Verdana"/>
          <w:sz w:val="16"/>
          <w:szCs w:val="16"/>
        </w:rPr>
        <w:t>Sentencia de 3 de junio de 1999. Serie C No. 53</w:t>
      </w:r>
      <w:r w:rsidRPr="00D947B3">
        <w:rPr>
          <w:rFonts w:ascii="Verdana" w:hAnsi="Verdana"/>
          <w:sz w:val="16"/>
          <w:szCs w:val="16"/>
          <w:lang w:val="es-DO"/>
        </w:rPr>
        <w:t xml:space="preserve">, párr. 15, y </w:t>
      </w:r>
      <w:r w:rsidR="00010E44" w:rsidRPr="00D947B3">
        <w:rPr>
          <w:rFonts w:ascii="Verdana" w:hAnsi="Verdana"/>
          <w:bCs/>
          <w:i/>
          <w:color w:val="000000"/>
          <w:sz w:val="16"/>
          <w:szCs w:val="16"/>
          <w:shd w:val="clear" w:color="auto" w:fill="FFFFFF"/>
          <w:lang w:val="es-CR" w:eastAsia="en-US"/>
        </w:rPr>
        <w:t>Caso I.V. Vs. Bolivia. Interpretación de la Sentencia de Excepciones Preliminares, Fondo, Reparaciones y Costas.</w:t>
      </w:r>
      <w:r w:rsidR="00010E44" w:rsidRPr="00D947B3">
        <w:rPr>
          <w:rFonts w:ascii="Verdana" w:hAnsi="Verdana"/>
          <w:bCs/>
          <w:color w:val="000000"/>
          <w:sz w:val="16"/>
          <w:szCs w:val="16"/>
          <w:shd w:val="clear" w:color="auto" w:fill="FFFFFF"/>
          <w:lang w:val="es-CR" w:eastAsia="en-US"/>
        </w:rPr>
        <w:t xml:space="preserve"> Sentencia de 25 de mayo de 2017. Serie C No. 336</w:t>
      </w:r>
      <w:r w:rsidRPr="00D947B3">
        <w:rPr>
          <w:rFonts w:ascii="Verdana" w:hAnsi="Verdana"/>
          <w:sz w:val="16"/>
          <w:szCs w:val="16"/>
          <w:lang w:val="es-DO"/>
        </w:rPr>
        <w:t>, párr. 12.</w:t>
      </w:r>
    </w:p>
  </w:footnote>
  <w:footnote w:id="8">
    <w:p w:rsidR="00C469B4" w:rsidRPr="00D947B3" w:rsidRDefault="00C469B4" w:rsidP="00D947B3">
      <w:pPr>
        <w:pStyle w:val="Textonotapie"/>
        <w:jc w:val="both"/>
        <w:rPr>
          <w:rFonts w:ascii="Verdana" w:hAnsi="Verdana"/>
          <w:sz w:val="16"/>
          <w:szCs w:val="16"/>
          <w:lang w:val="es-DO"/>
        </w:rPr>
      </w:pPr>
      <w:r w:rsidRPr="00D947B3">
        <w:rPr>
          <w:rStyle w:val="Refdenotaalpie"/>
          <w:rFonts w:ascii="Verdana" w:hAnsi="Verdana"/>
          <w:sz w:val="16"/>
          <w:szCs w:val="16"/>
          <w:lang w:val="es-DO"/>
        </w:rPr>
        <w:footnoteRef/>
      </w:r>
      <w:r w:rsidRPr="00D947B3">
        <w:rPr>
          <w:rFonts w:ascii="Verdana" w:hAnsi="Verdana"/>
          <w:sz w:val="16"/>
          <w:szCs w:val="16"/>
          <w:lang w:val="es-DO"/>
        </w:rPr>
        <w:t xml:space="preserve"> </w:t>
      </w:r>
      <w:r w:rsidRPr="00D947B3">
        <w:rPr>
          <w:rFonts w:ascii="Verdana" w:hAnsi="Verdana"/>
          <w:i/>
          <w:sz w:val="16"/>
          <w:szCs w:val="16"/>
          <w:lang w:val="es-DO"/>
        </w:rPr>
        <w:t>Cfr. Caso Salvador Chiriboga Vs. Ecuador</w:t>
      </w:r>
      <w:r w:rsidRPr="00D947B3">
        <w:rPr>
          <w:rFonts w:ascii="Verdana" w:hAnsi="Verdana"/>
          <w:sz w:val="16"/>
          <w:szCs w:val="16"/>
          <w:lang w:val="es-DO"/>
        </w:rPr>
        <w:t xml:space="preserve">. </w:t>
      </w:r>
      <w:r w:rsidRPr="00D947B3">
        <w:rPr>
          <w:rFonts w:ascii="Verdana" w:hAnsi="Verdana"/>
          <w:i/>
          <w:sz w:val="16"/>
          <w:szCs w:val="16"/>
          <w:lang w:val="es-DO"/>
        </w:rPr>
        <w:t>Interpretación de la Sentencia de Reparaciones y Costas</w:t>
      </w:r>
      <w:r w:rsidRPr="00D947B3">
        <w:rPr>
          <w:rFonts w:ascii="Verdana" w:hAnsi="Verdana"/>
          <w:sz w:val="16"/>
          <w:szCs w:val="16"/>
          <w:lang w:val="es-DO"/>
        </w:rPr>
        <w:t xml:space="preserve">. Sentencia de 29 de agosto de 2011. Serie C No. 230, párr. 30, y </w:t>
      </w:r>
      <w:r w:rsidR="00010E44" w:rsidRPr="00D947B3">
        <w:rPr>
          <w:rFonts w:ascii="Verdana" w:hAnsi="Verdana"/>
          <w:bCs/>
          <w:i/>
          <w:color w:val="000000"/>
          <w:sz w:val="16"/>
          <w:szCs w:val="16"/>
          <w:shd w:val="clear" w:color="auto" w:fill="FFFFFF"/>
          <w:lang w:val="es-CR" w:eastAsia="en-US"/>
        </w:rPr>
        <w:t>Caso I.V. Vs. Bolivia. Interpretación de la Sentencia de Excepciones Preliminares, Fondo, Reparaciones y Costas.</w:t>
      </w:r>
      <w:r w:rsidR="00010E44" w:rsidRPr="00D947B3">
        <w:rPr>
          <w:rFonts w:ascii="Verdana" w:hAnsi="Verdana"/>
          <w:bCs/>
          <w:color w:val="000000"/>
          <w:sz w:val="16"/>
          <w:szCs w:val="16"/>
          <w:shd w:val="clear" w:color="auto" w:fill="FFFFFF"/>
          <w:lang w:val="es-CR" w:eastAsia="en-US"/>
        </w:rPr>
        <w:t xml:space="preserve"> Sentencia de 25 de mayo de 2017. Serie C No. 336</w:t>
      </w:r>
      <w:r w:rsidR="00010E44" w:rsidRPr="00D947B3">
        <w:rPr>
          <w:rFonts w:ascii="Verdana" w:hAnsi="Verdana"/>
          <w:sz w:val="16"/>
          <w:szCs w:val="16"/>
          <w:lang w:val="es-DO"/>
        </w:rPr>
        <w:t>,</w:t>
      </w:r>
      <w:r w:rsidRPr="00D947B3">
        <w:rPr>
          <w:rFonts w:ascii="Verdana" w:hAnsi="Verdana"/>
          <w:sz w:val="16"/>
          <w:szCs w:val="16"/>
          <w:lang w:val="es-DO"/>
        </w:rPr>
        <w:t xml:space="preserve"> párr. 12.</w:t>
      </w:r>
    </w:p>
  </w:footnote>
  <w:footnote w:id="9">
    <w:p w:rsidR="00C469B4" w:rsidRPr="00D947B3" w:rsidRDefault="00C469B4" w:rsidP="00D947B3">
      <w:pPr>
        <w:pStyle w:val="Textonotapie"/>
        <w:jc w:val="both"/>
        <w:rPr>
          <w:rFonts w:ascii="Verdana" w:hAnsi="Verdana"/>
          <w:color w:val="FF0000"/>
          <w:sz w:val="16"/>
          <w:szCs w:val="16"/>
          <w:lang w:val="es-DO"/>
        </w:rPr>
      </w:pPr>
      <w:r w:rsidRPr="00D947B3">
        <w:rPr>
          <w:rStyle w:val="Refdenotaalpie"/>
          <w:rFonts w:ascii="Verdana" w:hAnsi="Verdana"/>
          <w:sz w:val="16"/>
          <w:szCs w:val="16"/>
          <w:lang w:val="es-DO"/>
        </w:rPr>
        <w:footnoteRef/>
      </w:r>
      <w:r w:rsidRPr="00D947B3">
        <w:rPr>
          <w:rFonts w:ascii="Verdana" w:hAnsi="Verdana"/>
          <w:sz w:val="16"/>
          <w:szCs w:val="16"/>
          <w:lang w:val="es-DO"/>
        </w:rPr>
        <w:t xml:space="preserve"> </w:t>
      </w:r>
      <w:r w:rsidRPr="00D947B3">
        <w:rPr>
          <w:rFonts w:ascii="Verdana" w:hAnsi="Verdana"/>
          <w:i/>
          <w:sz w:val="16"/>
          <w:szCs w:val="16"/>
          <w:lang w:val="es-DO"/>
        </w:rPr>
        <w:t>Cfr. Caso Escher y otros Vs. Brasil</w:t>
      </w:r>
      <w:r w:rsidRPr="00D947B3">
        <w:rPr>
          <w:rFonts w:ascii="Verdana" w:hAnsi="Verdana"/>
          <w:sz w:val="16"/>
          <w:szCs w:val="16"/>
          <w:lang w:val="es-DO"/>
        </w:rPr>
        <w:t xml:space="preserve">. </w:t>
      </w:r>
      <w:r w:rsidRPr="00D947B3">
        <w:rPr>
          <w:rFonts w:ascii="Verdana" w:hAnsi="Verdana"/>
          <w:i/>
          <w:sz w:val="16"/>
          <w:szCs w:val="16"/>
          <w:lang w:val="es-DO"/>
        </w:rPr>
        <w:t>Interpretación de la Sentencia de Excepciones Preliminares, Fondo, Reparaciones y Costas</w:t>
      </w:r>
      <w:r w:rsidRPr="00D947B3">
        <w:rPr>
          <w:rFonts w:ascii="Verdana" w:hAnsi="Verdana"/>
          <w:sz w:val="16"/>
          <w:szCs w:val="16"/>
          <w:lang w:val="es-DO"/>
        </w:rPr>
        <w:t>. Sentencia de 20 de noviembre de 2009. Serie C No. 208, párr. 11, y</w:t>
      </w:r>
      <w:r w:rsidRPr="00D947B3">
        <w:rPr>
          <w:rFonts w:ascii="Verdana" w:hAnsi="Verdana"/>
          <w:i/>
          <w:sz w:val="16"/>
          <w:szCs w:val="16"/>
          <w:lang w:val="es-DO"/>
        </w:rPr>
        <w:t xml:space="preserve"> </w:t>
      </w:r>
      <w:r w:rsidR="00010E44" w:rsidRPr="00D947B3">
        <w:rPr>
          <w:rFonts w:ascii="Verdana" w:hAnsi="Verdana"/>
          <w:bCs/>
          <w:i/>
          <w:color w:val="000000"/>
          <w:sz w:val="16"/>
          <w:szCs w:val="16"/>
          <w:shd w:val="clear" w:color="auto" w:fill="FFFFFF"/>
          <w:lang w:val="es-CR" w:eastAsia="en-US"/>
        </w:rPr>
        <w:t>Caso I.V. Vs. Bolivia. Interpretación de la Sentencia de Excepciones Preliminares, Fondo, Reparaciones y Costas.</w:t>
      </w:r>
      <w:r w:rsidR="00010E44" w:rsidRPr="00D947B3">
        <w:rPr>
          <w:rFonts w:ascii="Verdana" w:hAnsi="Verdana"/>
          <w:bCs/>
          <w:color w:val="000000"/>
          <w:sz w:val="16"/>
          <w:szCs w:val="16"/>
          <w:shd w:val="clear" w:color="auto" w:fill="FFFFFF"/>
          <w:lang w:val="es-CR" w:eastAsia="en-US"/>
        </w:rPr>
        <w:t xml:space="preserve"> Sentencia de 25 de mayo de 2017. Serie C No. 336</w:t>
      </w:r>
      <w:r w:rsidR="00010E44" w:rsidRPr="00D947B3">
        <w:rPr>
          <w:rFonts w:ascii="Verdana" w:hAnsi="Verdana"/>
          <w:sz w:val="16"/>
          <w:szCs w:val="16"/>
          <w:lang w:val="es-DO"/>
        </w:rPr>
        <w:t>,</w:t>
      </w:r>
      <w:r w:rsidRPr="00D947B3">
        <w:rPr>
          <w:rFonts w:ascii="Verdana" w:hAnsi="Verdana"/>
          <w:sz w:val="16"/>
          <w:szCs w:val="16"/>
          <w:lang w:val="es-DO"/>
        </w:rPr>
        <w:t xml:space="preserve"> párr. 12.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637" w:rsidRDefault="004A5A50" w:rsidP="004252DE">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97637" w:rsidRDefault="00E80C81">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637" w:rsidRDefault="00E80C81" w:rsidP="004252DE">
    <w:pPr>
      <w:pStyle w:val="Encabezado"/>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637" w:rsidRPr="00AD6D04" w:rsidRDefault="00E80C81" w:rsidP="004252DE">
    <w:pPr>
      <w:pStyle w:val="Encabezado"/>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D7242152"/>
    <w:lvl w:ilvl="0">
      <w:start w:val="3"/>
      <w:numFmt w:val="decimal"/>
      <w:pStyle w:val="PrrafodeSentencia"/>
      <w:lvlText w:val="%1."/>
      <w:lvlJc w:val="left"/>
      <w:pPr>
        <w:tabs>
          <w:tab w:val="num" w:pos="360"/>
        </w:tabs>
        <w:ind w:left="360" w:hanging="360"/>
      </w:pPr>
      <w:rPr>
        <w:rFonts w:ascii="Verdana" w:hAnsi="Verdana" w:hint="default"/>
        <w:b w:val="0"/>
        <w:i w:val="0"/>
        <w:strike w:val="0"/>
        <w:color w:val="auto"/>
        <w:sz w:val="20"/>
        <w:szCs w:val="20"/>
      </w:rPr>
    </w:lvl>
    <w:lvl w:ilvl="1">
      <w:start w:val="1"/>
      <w:numFmt w:val="decimal"/>
      <w:lvlText w:val="%2."/>
      <w:lvlJc w:val="left"/>
      <w:pPr>
        <w:tabs>
          <w:tab w:val="num" w:pos="1080"/>
        </w:tabs>
        <w:ind w:left="1080" w:hanging="360"/>
      </w:pPr>
      <w:rPr>
        <w:lang w:val="es-C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6EB33FF"/>
    <w:multiLevelType w:val="hybridMultilevel"/>
    <w:tmpl w:val="11845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5050E6"/>
    <w:multiLevelType w:val="hybridMultilevel"/>
    <w:tmpl w:val="4540232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6D0362A1"/>
    <w:multiLevelType w:val="hybridMultilevel"/>
    <w:tmpl w:val="5CC463EE"/>
    <w:lvl w:ilvl="0" w:tplc="140A0015">
      <w:start w:val="1"/>
      <w:numFmt w:val="upp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76753A80"/>
    <w:multiLevelType w:val="hybridMultilevel"/>
    <w:tmpl w:val="972E4AA2"/>
    <w:lvl w:ilvl="0" w:tplc="D50E3498">
      <w:start w:val="1"/>
      <w:numFmt w:val="decimal"/>
      <w:lvlText w:val="%1."/>
      <w:lvlJc w:val="left"/>
      <w:pPr>
        <w:ind w:left="0" w:firstLine="0"/>
      </w:pPr>
      <w:rPr>
        <w:rFonts w:ascii="Verdana" w:hAnsi="Verdana" w:hint="default"/>
        <w:b w:val="0"/>
        <w:i w:val="0"/>
        <w:strike w:val="0"/>
        <w:color w:val="auto"/>
        <w:sz w:val="20"/>
        <w:szCs w:val="20"/>
        <w:lang w:val="es-ES_tradnl"/>
      </w:rPr>
    </w:lvl>
    <w:lvl w:ilvl="1" w:tplc="2C0A0019">
      <w:start w:val="1"/>
      <w:numFmt w:val="lowerLetter"/>
      <w:lvlText w:val="%2."/>
      <w:lvlJc w:val="left"/>
      <w:pPr>
        <w:ind w:left="1353" w:hanging="360"/>
      </w:pPr>
      <w:rPr>
        <w:rFonts w:hint="default"/>
        <w:lang w:val="es-CR"/>
      </w:rPr>
    </w:lvl>
    <w:lvl w:ilvl="2" w:tplc="B768858A">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5" w15:restartNumberingAfterBreak="0">
    <w:nsid w:val="7CE64D32"/>
    <w:multiLevelType w:val="hybridMultilevel"/>
    <w:tmpl w:val="C4880AEC"/>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097"/>
    <w:rsid w:val="00010E44"/>
    <w:rsid w:val="00012EB9"/>
    <w:rsid w:val="000139A9"/>
    <w:rsid w:val="00030376"/>
    <w:rsid w:val="00031F46"/>
    <w:rsid w:val="00064C1E"/>
    <w:rsid w:val="00067A54"/>
    <w:rsid w:val="000703C9"/>
    <w:rsid w:val="00072E95"/>
    <w:rsid w:val="000775C0"/>
    <w:rsid w:val="00077A4A"/>
    <w:rsid w:val="0008360D"/>
    <w:rsid w:val="00093AB6"/>
    <w:rsid w:val="0009648E"/>
    <w:rsid w:val="000A4AD3"/>
    <w:rsid w:val="000A739F"/>
    <w:rsid w:val="000B293B"/>
    <w:rsid w:val="000C7596"/>
    <w:rsid w:val="000E0D48"/>
    <w:rsid w:val="000E31B6"/>
    <w:rsid w:val="000E5DE4"/>
    <w:rsid w:val="000F0702"/>
    <w:rsid w:val="0010417B"/>
    <w:rsid w:val="00107EA0"/>
    <w:rsid w:val="00117DCE"/>
    <w:rsid w:val="00121E07"/>
    <w:rsid w:val="001241EC"/>
    <w:rsid w:val="00126FE0"/>
    <w:rsid w:val="001519BE"/>
    <w:rsid w:val="00160BC7"/>
    <w:rsid w:val="00161EF0"/>
    <w:rsid w:val="0016280D"/>
    <w:rsid w:val="0017484E"/>
    <w:rsid w:val="0018023D"/>
    <w:rsid w:val="00185241"/>
    <w:rsid w:val="00191668"/>
    <w:rsid w:val="00193A04"/>
    <w:rsid w:val="0019512A"/>
    <w:rsid w:val="001A3889"/>
    <w:rsid w:val="001B28AF"/>
    <w:rsid w:val="001B7615"/>
    <w:rsid w:val="001C24B0"/>
    <w:rsid w:val="001C465E"/>
    <w:rsid w:val="001D0B60"/>
    <w:rsid w:val="001D14A6"/>
    <w:rsid w:val="001E1718"/>
    <w:rsid w:val="001E29F4"/>
    <w:rsid w:val="00204BEA"/>
    <w:rsid w:val="002123F7"/>
    <w:rsid w:val="00222515"/>
    <w:rsid w:val="00224342"/>
    <w:rsid w:val="00240A0B"/>
    <w:rsid w:val="0024207C"/>
    <w:rsid w:val="00243299"/>
    <w:rsid w:val="00262910"/>
    <w:rsid w:val="00267103"/>
    <w:rsid w:val="00273EAB"/>
    <w:rsid w:val="00280966"/>
    <w:rsid w:val="00281416"/>
    <w:rsid w:val="00281FA0"/>
    <w:rsid w:val="00284014"/>
    <w:rsid w:val="00292888"/>
    <w:rsid w:val="002C41FC"/>
    <w:rsid w:val="002D207F"/>
    <w:rsid w:val="002E7B61"/>
    <w:rsid w:val="003016B2"/>
    <w:rsid w:val="003073C3"/>
    <w:rsid w:val="00307B5F"/>
    <w:rsid w:val="00320614"/>
    <w:rsid w:val="00326009"/>
    <w:rsid w:val="00326731"/>
    <w:rsid w:val="00341838"/>
    <w:rsid w:val="0034703A"/>
    <w:rsid w:val="003601A1"/>
    <w:rsid w:val="003645D7"/>
    <w:rsid w:val="0037162C"/>
    <w:rsid w:val="00372B83"/>
    <w:rsid w:val="00372F18"/>
    <w:rsid w:val="00386DC8"/>
    <w:rsid w:val="00391B84"/>
    <w:rsid w:val="003A32F1"/>
    <w:rsid w:val="003B547D"/>
    <w:rsid w:val="003B5581"/>
    <w:rsid w:val="003C3038"/>
    <w:rsid w:val="003D1595"/>
    <w:rsid w:val="003D1781"/>
    <w:rsid w:val="003F5E48"/>
    <w:rsid w:val="003F6692"/>
    <w:rsid w:val="003F6A83"/>
    <w:rsid w:val="00400A80"/>
    <w:rsid w:val="0040104C"/>
    <w:rsid w:val="0040422A"/>
    <w:rsid w:val="00407800"/>
    <w:rsid w:val="00411AA0"/>
    <w:rsid w:val="0042353D"/>
    <w:rsid w:val="00434957"/>
    <w:rsid w:val="004412D7"/>
    <w:rsid w:val="00453E5A"/>
    <w:rsid w:val="00454D0D"/>
    <w:rsid w:val="004768F7"/>
    <w:rsid w:val="00476B19"/>
    <w:rsid w:val="00480D7A"/>
    <w:rsid w:val="00481F8C"/>
    <w:rsid w:val="00487100"/>
    <w:rsid w:val="0048769B"/>
    <w:rsid w:val="004A38D0"/>
    <w:rsid w:val="004A4B1A"/>
    <w:rsid w:val="004A5A50"/>
    <w:rsid w:val="004A61E4"/>
    <w:rsid w:val="004A6D94"/>
    <w:rsid w:val="004B01A4"/>
    <w:rsid w:val="004B07FB"/>
    <w:rsid w:val="004B0DD2"/>
    <w:rsid w:val="004C0E4C"/>
    <w:rsid w:val="004C39B2"/>
    <w:rsid w:val="004C497D"/>
    <w:rsid w:val="004C796E"/>
    <w:rsid w:val="004D022F"/>
    <w:rsid w:val="004D4A84"/>
    <w:rsid w:val="004E0CD8"/>
    <w:rsid w:val="004E2E75"/>
    <w:rsid w:val="004F0881"/>
    <w:rsid w:val="005032B9"/>
    <w:rsid w:val="00513537"/>
    <w:rsid w:val="00516E8C"/>
    <w:rsid w:val="005226F5"/>
    <w:rsid w:val="00537FF5"/>
    <w:rsid w:val="00546D19"/>
    <w:rsid w:val="005605FB"/>
    <w:rsid w:val="0056370B"/>
    <w:rsid w:val="005661FE"/>
    <w:rsid w:val="005755BA"/>
    <w:rsid w:val="00577097"/>
    <w:rsid w:val="005847FB"/>
    <w:rsid w:val="005939E6"/>
    <w:rsid w:val="005A6020"/>
    <w:rsid w:val="005B59D1"/>
    <w:rsid w:val="005B7A9B"/>
    <w:rsid w:val="005C1433"/>
    <w:rsid w:val="005C2911"/>
    <w:rsid w:val="005C3031"/>
    <w:rsid w:val="005C601B"/>
    <w:rsid w:val="005C797C"/>
    <w:rsid w:val="005D14D8"/>
    <w:rsid w:val="005E0025"/>
    <w:rsid w:val="005F3BC2"/>
    <w:rsid w:val="00601FBD"/>
    <w:rsid w:val="006071E0"/>
    <w:rsid w:val="00613C49"/>
    <w:rsid w:val="0061704F"/>
    <w:rsid w:val="006239E5"/>
    <w:rsid w:val="006276E1"/>
    <w:rsid w:val="00630E7E"/>
    <w:rsid w:val="00632CB0"/>
    <w:rsid w:val="00635702"/>
    <w:rsid w:val="0063714C"/>
    <w:rsid w:val="006373F8"/>
    <w:rsid w:val="00640BF1"/>
    <w:rsid w:val="00643162"/>
    <w:rsid w:val="00651448"/>
    <w:rsid w:val="00653823"/>
    <w:rsid w:val="0065787B"/>
    <w:rsid w:val="00661051"/>
    <w:rsid w:val="00665B11"/>
    <w:rsid w:val="00670334"/>
    <w:rsid w:val="006766CC"/>
    <w:rsid w:val="006834DA"/>
    <w:rsid w:val="00687713"/>
    <w:rsid w:val="00691EB2"/>
    <w:rsid w:val="00692ADE"/>
    <w:rsid w:val="0069533B"/>
    <w:rsid w:val="006B63F6"/>
    <w:rsid w:val="006B7212"/>
    <w:rsid w:val="006D1F3B"/>
    <w:rsid w:val="006E05F7"/>
    <w:rsid w:val="006E0F14"/>
    <w:rsid w:val="00702B02"/>
    <w:rsid w:val="007034DA"/>
    <w:rsid w:val="00712E6E"/>
    <w:rsid w:val="007144F1"/>
    <w:rsid w:val="00715113"/>
    <w:rsid w:val="0072736F"/>
    <w:rsid w:val="007274AC"/>
    <w:rsid w:val="0073248C"/>
    <w:rsid w:val="00736E9A"/>
    <w:rsid w:val="00750DCC"/>
    <w:rsid w:val="00754019"/>
    <w:rsid w:val="00761758"/>
    <w:rsid w:val="00770554"/>
    <w:rsid w:val="0077217D"/>
    <w:rsid w:val="00776A00"/>
    <w:rsid w:val="00777038"/>
    <w:rsid w:val="00785537"/>
    <w:rsid w:val="00787A95"/>
    <w:rsid w:val="00791C1B"/>
    <w:rsid w:val="0079659A"/>
    <w:rsid w:val="00797860"/>
    <w:rsid w:val="007A5E6F"/>
    <w:rsid w:val="007B203C"/>
    <w:rsid w:val="007B2BC3"/>
    <w:rsid w:val="007B6EDE"/>
    <w:rsid w:val="007C7F0E"/>
    <w:rsid w:val="007D0F6B"/>
    <w:rsid w:val="007D442F"/>
    <w:rsid w:val="007D481E"/>
    <w:rsid w:val="007D68C5"/>
    <w:rsid w:val="007E4A7E"/>
    <w:rsid w:val="007E4F77"/>
    <w:rsid w:val="007F4B69"/>
    <w:rsid w:val="00814C74"/>
    <w:rsid w:val="008213BB"/>
    <w:rsid w:val="008232EE"/>
    <w:rsid w:val="0082480B"/>
    <w:rsid w:val="00832ACB"/>
    <w:rsid w:val="008366C2"/>
    <w:rsid w:val="0084423F"/>
    <w:rsid w:val="00845405"/>
    <w:rsid w:val="008479FB"/>
    <w:rsid w:val="008500AF"/>
    <w:rsid w:val="00866A20"/>
    <w:rsid w:val="00870C23"/>
    <w:rsid w:val="00883124"/>
    <w:rsid w:val="00886EA9"/>
    <w:rsid w:val="008936FD"/>
    <w:rsid w:val="0089460F"/>
    <w:rsid w:val="00894E6B"/>
    <w:rsid w:val="00895520"/>
    <w:rsid w:val="0089761B"/>
    <w:rsid w:val="008A16DF"/>
    <w:rsid w:val="008A692D"/>
    <w:rsid w:val="008C1317"/>
    <w:rsid w:val="008C5A22"/>
    <w:rsid w:val="008C7D22"/>
    <w:rsid w:val="008D02E3"/>
    <w:rsid w:val="008D0FB1"/>
    <w:rsid w:val="008D140A"/>
    <w:rsid w:val="008E1910"/>
    <w:rsid w:val="008E250F"/>
    <w:rsid w:val="008E3F7D"/>
    <w:rsid w:val="009109FA"/>
    <w:rsid w:val="00917FD6"/>
    <w:rsid w:val="00920163"/>
    <w:rsid w:val="0092247E"/>
    <w:rsid w:val="0093256C"/>
    <w:rsid w:val="009346D0"/>
    <w:rsid w:val="009418BF"/>
    <w:rsid w:val="009459FB"/>
    <w:rsid w:val="00946E75"/>
    <w:rsid w:val="00947EF6"/>
    <w:rsid w:val="00950D9C"/>
    <w:rsid w:val="0096392F"/>
    <w:rsid w:val="00981E08"/>
    <w:rsid w:val="00981FD6"/>
    <w:rsid w:val="009946B8"/>
    <w:rsid w:val="00994CC5"/>
    <w:rsid w:val="009A19D0"/>
    <w:rsid w:val="009A6079"/>
    <w:rsid w:val="009B4AE1"/>
    <w:rsid w:val="009C3B55"/>
    <w:rsid w:val="009D1A0B"/>
    <w:rsid w:val="009D4B7F"/>
    <w:rsid w:val="009D5170"/>
    <w:rsid w:val="009D52B4"/>
    <w:rsid w:val="009D64DE"/>
    <w:rsid w:val="009E1958"/>
    <w:rsid w:val="009F14E1"/>
    <w:rsid w:val="009F646B"/>
    <w:rsid w:val="00A023DE"/>
    <w:rsid w:val="00A0453D"/>
    <w:rsid w:val="00A079C2"/>
    <w:rsid w:val="00A11712"/>
    <w:rsid w:val="00A138D3"/>
    <w:rsid w:val="00A2548F"/>
    <w:rsid w:val="00A36042"/>
    <w:rsid w:val="00A37721"/>
    <w:rsid w:val="00A42EDC"/>
    <w:rsid w:val="00A50DD8"/>
    <w:rsid w:val="00A5262F"/>
    <w:rsid w:val="00A57281"/>
    <w:rsid w:val="00A676AA"/>
    <w:rsid w:val="00A752D8"/>
    <w:rsid w:val="00A775E9"/>
    <w:rsid w:val="00A778F1"/>
    <w:rsid w:val="00A820AB"/>
    <w:rsid w:val="00A84857"/>
    <w:rsid w:val="00AA5559"/>
    <w:rsid w:val="00AB38AA"/>
    <w:rsid w:val="00AB53D8"/>
    <w:rsid w:val="00AC1606"/>
    <w:rsid w:val="00AC63CC"/>
    <w:rsid w:val="00AC6E29"/>
    <w:rsid w:val="00AD6C46"/>
    <w:rsid w:val="00AE4FB5"/>
    <w:rsid w:val="00AF418E"/>
    <w:rsid w:val="00AF456B"/>
    <w:rsid w:val="00B00DFC"/>
    <w:rsid w:val="00B04846"/>
    <w:rsid w:val="00B048ED"/>
    <w:rsid w:val="00B053F4"/>
    <w:rsid w:val="00B12212"/>
    <w:rsid w:val="00B145B5"/>
    <w:rsid w:val="00B3203C"/>
    <w:rsid w:val="00B35264"/>
    <w:rsid w:val="00B35601"/>
    <w:rsid w:val="00B46EE5"/>
    <w:rsid w:val="00B47432"/>
    <w:rsid w:val="00B47B52"/>
    <w:rsid w:val="00B70EAD"/>
    <w:rsid w:val="00B824D3"/>
    <w:rsid w:val="00B8255C"/>
    <w:rsid w:val="00B94D63"/>
    <w:rsid w:val="00BB3807"/>
    <w:rsid w:val="00BB6190"/>
    <w:rsid w:val="00BD4F25"/>
    <w:rsid w:val="00BE133F"/>
    <w:rsid w:val="00BE351D"/>
    <w:rsid w:val="00BE4E24"/>
    <w:rsid w:val="00BF1334"/>
    <w:rsid w:val="00BF2040"/>
    <w:rsid w:val="00BF2BC9"/>
    <w:rsid w:val="00BF3697"/>
    <w:rsid w:val="00C01A34"/>
    <w:rsid w:val="00C048F5"/>
    <w:rsid w:val="00C106DE"/>
    <w:rsid w:val="00C1627D"/>
    <w:rsid w:val="00C21618"/>
    <w:rsid w:val="00C24188"/>
    <w:rsid w:val="00C26C4C"/>
    <w:rsid w:val="00C41E1B"/>
    <w:rsid w:val="00C42BE9"/>
    <w:rsid w:val="00C442FC"/>
    <w:rsid w:val="00C44D20"/>
    <w:rsid w:val="00C469B4"/>
    <w:rsid w:val="00C605A3"/>
    <w:rsid w:val="00C62118"/>
    <w:rsid w:val="00C64543"/>
    <w:rsid w:val="00C67C46"/>
    <w:rsid w:val="00C82D0E"/>
    <w:rsid w:val="00C86996"/>
    <w:rsid w:val="00C90835"/>
    <w:rsid w:val="00C941D7"/>
    <w:rsid w:val="00CA10AA"/>
    <w:rsid w:val="00CA64C1"/>
    <w:rsid w:val="00CB1835"/>
    <w:rsid w:val="00CB3D5B"/>
    <w:rsid w:val="00CB6E2E"/>
    <w:rsid w:val="00CC0D9E"/>
    <w:rsid w:val="00CC5411"/>
    <w:rsid w:val="00CE2892"/>
    <w:rsid w:val="00CF3F01"/>
    <w:rsid w:val="00CF606A"/>
    <w:rsid w:val="00D03BF0"/>
    <w:rsid w:val="00D03F06"/>
    <w:rsid w:val="00D0414B"/>
    <w:rsid w:val="00D04181"/>
    <w:rsid w:val="00D16F26"/>
    <w:rsid w:val="00D314FE"/>
    <w:rsid w:val="00D31FF3"/>
    <w:rsid w:val="00D34932"/>
    <w:rsid w:val="00D37FAB"/>
    <w:rsid w:val="00D503A2"/>
    <w:rsid w:val="00D532B1"/>
    <w:rsid w:val="00D543E5"/>
    <w:rsid w:val="00D55785"/>
    <w:rsid w:val="00D65B91"/>
    <w:rsid w:val="00D71539"/>
    <w:rsid w:val="00D724A5"/>
    <w:rsid w:val="00D856AB"/>
    <w:rsid w:val="00D85CFA"/>
    <w:rsid w:val="00D947B3"/>
    <w:rsid w:val="00D94877"/>
    <w:rsid w:val="00D96513"/>
    <w:rsid w:val="00DA224A"/>
    <w:rsid w:val="00DA24D9"/>
    <w:rsid w:val="00DA5551"/>
    <w:rsid w:val="00DA5FCA"/>
    <w:rsid w:val="00DA6614"/>
    <w:rsid w:val="00DB2539"/>
    <w:rsid w:val="00DD036B"/>
    <w:rsid w:val="00DE0D12"/>
    <w:rsid w:val="00DF3E12"/>
    <w:rsid w:val="00DF4065"/>
    <w:rsid w:val="00E03AF2"/>
    <w:rsid w:val="00E070C4"/>
    <w:rsid w:val="00E12F43"/>
    <w:rsid w:val="00E15834"/>
    <w:rsid w:val="00E3314A"/>
    <w:rsid w:val="00E3370D"/>
    <w:rsid w:val="00E411B3"/>
    <w:rsid w:val="00E50DA9"/>
    <w:rsid w:val="00E571D7"/>
    <w:rsid w:val="00E57F70"/>
    <w:rsid w:val="00E678BD"/>
    <w:rsid w:val="00E73337"/>
    <w:rsid w:val="00E74E6A"/>
    <w:rsid w:val="00E80C81"/>
    <w:rsid w:val="00E80F07"/>
    <w:rsid w:val="00E8385F"/>
    <w:rsid w:val="00E862CA"/>
    <w:rsid w:val="00E92C7C"/>
    <w:rsid w:val="00EB2EE4"/>
    <w:rsid w:val="00ED1616"/>
    <w:rsid w:val="00ED4456"/>
    <w:rsid w:val="00ED7607"/>
    <w:rsid w:val="00EE3229"/>
    <w:rsid w:val="00EE3FD4"/>
    <w:rsid w:val="00EF66A3"/>
    <w:rsid w:val="00F023BC"/>
    <w:rsid w:val="00F22365"/>
    <w:rsid w:val="00F346D3"/>
    <w:rsid w:val="00F3631C"/>
    <w:rsid w:val="00F36489"/>
    <w:rsid w:val="00F402FA"/>
    <w:rsid w:val="00F45AAF"/>
    <w:rsid w:val="00F474DD"/>
    <w:rsid w:val="00F54D65"/>
    <w:rsid w:val="00F55175"/>
    <w:rsid w:val="00F554EF"/>
    <w:rsid w:val="00F55E3E"/>
    <w:rsid w:val="00F56B02"/>
    <w:rsid w:val="00F5793B"/>
    <w:rsid w:val="00F63B1A"/>
    <w:rsid w:val="00F73C9F"/>
    <w:rsid w:val="00F7423A"/>
    <w:rsid w:val="00F7752A"/>
    <w:rsid w:val="00F825AB"/>
    <w:rsid w:val="00F94F7D"/>
    <w:rsid w:val="00F96151"/>
    <w:rsid w:val="00F96E3F"/>
    <w:rsid w:val="00F975C9"/>
    <w:rsid w:val="00FA0CD0"/>
    <w:rsid w:val="00FA0DE4"/>
    <w:rsid w:val="00FA1398"/>
    <w:rsid w:val="00FA5146"/>
    <w:rsid w:val="00FF4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BE150B-AD3D-428A-8C01-DD67464E8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7097"/>
    <w:rPr>
      <w:rFonts w:ascii="Calibri" w:eastAsia="Calibri" w:hAnsi="Calibri" w:cs="Times New Roman"/>
      <w:lang w:val="es-CR"/>
    </w:rPr>
  </w:style>
  <w:style w:type="paragraph" w:styleId="Ttulo1">
    <w:name w:val="heading 1"/>
    <w:basedOn w:val="Normal"/>
    <w:next w:val="Normal"/>
    <w:link w:val="Ttulo1Car"/>
    <w:uiPriority w:val="9"/>
    <w:qFormat/>
    <w:rsid w:val="007274AC"/>
    <w:pPr>
      <w:keepNext/>
      <w:tabs>
        <w:tab w:val="left" w:pos="567"/>
      </w:tabs>
      <w:spacing w:after="0" w:line="240" w:lineRule="auto"/>
      <w:ind w:left="720"/>
      <w:jc w:val="both"/>
      <w:outlineLvl w:val="0"/>
    </w:pPr>
    <w:rPr>
      <w:rFonts w:ascii="Verdana" w:eastAsia="Times" w:hAnsi="Verdana"/>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unhideWhenUsed/>
    <w:qFormat/>
    <w:rsid w:val="00577097"/>
    <w:pPr>
      <w:spacing w:after="0" w:line="240" w:lineRule="auto"/>
    </w:pPr>
    <w:rPr>
      <w:sz w:val="20"/>
      <w:szCs w:val="20"/>
      <w:lang w:val="x-none" w:eastAsia="x-none"/>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qFormat/>
    <w:rsid w:val="00577097"/>
    <w:rPr>
      <w:rFonts w:ascii="Calibri" w:eastAsia="Calibri" w:hAnsi="Calibri" w:cs="Times New Roman"/>
      <w:sz w:val="20"/>
      <w:szCs w:val="20"/>
      <w:lang w:val="x-none" w:eastAsia="x-none"/>
    </w:rPr>
  </w:style>
  <w:style w:type="paragraph" w:styleId="Encabezado">
    <w:name w:val="header"/>
    <w:basedOn w:val="Normal"/>
    <w:link w:val="EncabezadoCar"/>
    <w:uiPriority w:val="99"/>
    <w:unhideWhenUsed/>
    <w:rsid w:val="005770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7097"/>
    <w:rPr>
      <w:rFonts w:ascii="Calibri" w:eastAsia="Calibri" w:hAnsi="Calibri" w:cs="Times New Roman"/>
      <w:lang w:val="es-CR"/>
    </w:rPr>
  </w:style>
  <w:style w:type="paragraph" w:styleId="Piedepgina">
    <w:name w:val="footer"/>
    <w:basedOn w:val="Normal"/>
    <w:link w:val="PiedepginaCar"/>
    <w:uiPriority w:val="99"/>
    <w:unhideWhenUsed/>
    <w:rsid w:val="005770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7097"/>
    <w:rPr>
      <w:rFonts w:ascii="Calibri" w:eastAsia="Calibri" w:hAnsi="Calibri" w:cs="Times New Roman"/>
      <w:lang w:val="es-C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577097"/>
    <w:rPr>
      <w:vertAlign w:val="superscript"/>
    </w:rPr>
  </w:style>
  <w:style w:type="character" w:styleId="Nmerodepgina">
    <w:name w:val="page number"/>
    <w:basedOn w:val="Fuentedeprrafopredeter"/>
    <w:uiPriority w:val="99"/>
    <w:rsid w:val="00577097"/>
  </w:style>
  <w:style w:type="paragraph" w:styleId="Prrafodelista">
    <w:name w:val="List Paragraph"/>
    <w:aliases w:val="Footnote,Colorful List - Accent 11,List Paragraph1"/>
    <w:basedOn w:val="Normal"/>
    <w:link w:val="PrrafodelistaCar"/>
    <w:uiPriority w:val="34"/>
    <w:qFormat/>
    <w:rsid w:val="00577097"/>
    <w:pPr>
      <w:ind w:left="720"/>
      <w:contextualSpacing/>
    </w:pPr>
  </w:style>
  <w:style w:type="paragraph" w:customStyle="1" w:styleId="Prrafodelista2">
    <w:name w:val="Párrafo de lista2"/>
    <w:basedOn w:val="Normal"/>
    <w:uiPriority w:val="99"/>
    <w:rsid w:val="00577097"/>
    <w:pPr>
      <w:spacing w:after="0" w:line="240" w:lineRule="auto"/>
      <w:ind w:left="720"/>
    </w:pPr>
    <w:rPr>
      <w:rFonts w:ascii="Verdana" w:eastAsia="MS Mincho" w:hAnsi="Verdana" w:cs="Verdana"/>
      <w:sz w:val="20"/>
      <w:szCs w:val="20"/>
      <w:lang w:val="es-ES_tradnl"/>
    </w:rPr>
  </w:style>
  <w:style w:type="character" w:customStyle="1" w:styleId="PrrafodelistaCar">
    <w:name w:val="Párrafo de lista Car"/>
    <w:aliases w:val="Footnote Car,Colorful List - Accent 11 Car,List Paragraph1 Car"/>
    <w:basedOn w:val="Fuentedeprrafopredeter"/>
    <w:link w:val="Prrafodelista"/>
    <w:uiPriority w:val="99"/>
    <w:rsid w:val="00577097"/>
    <w:rPr>
      <w:rFonts w:ascii="Calibri" w:eastAsia="Calibri" w:hAnsi="Calibri" w:cs="Times New Roman"/>
      <w:lang w:val="es-CR"/>
    </w:rPr>
  </w:style>
  <w:style w:type="character" w:styleId="Hipervnculo">
    <w:name w:val="Hyperlink"/>
    <w:rsid w:val="00577097"/>
    <w:rPr>
      <w:strike w:val="0"/>
      <w:dstrike w:val="0"/>
      <w:color w:val="FFFFFF"/>
      <w:u w:val="none"/>
      <w:effect w:val="none"/>
    </w:rPr>
  </w:style>
  <w:style w:type="paragraph" w:styleId="Textodeglobo">
    <w:name w:val="Balloon Text"/>
    <w:basedOn w:val="Normal"/>
    <w:link w:val="TextodegloboCar"/>
    <w:uiPriority w:val="99"/>
    <w:semiHidden/>
    <w:unhideWhenUsed/>
    <w:rsid w:val="003A32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32F1"/>
    <w:rPr>
      <w:rFonts w:ascii="Tahoma" w:eastAsia="Calibri" w:hAnsi="Tahoma" w:cs="Tahoma"/>
      <w:sz w:val="16"/>
      <w:szCs w:val="16"/>
      <w:lang w:val="es-CR"/>
    </w:rPr>
  </w:style>
  <w:style w:type="character" w:styleId="Refdecomentario">
    <w:name w:val="annotation reference"/>
    <w:basedOn w:val="Fuentedeprrafopredeter"/>
    <w:uiPriority w:val="99"/>
    <w:semiHidden/>
    <w:unhideWhenUsed/>
    <w:rsid w:val="003A32F1"/>
    <w:rPr>
      <w:sz w:val="16"/>
      <w:szCs w:val="16"/>
    </w:rPr>
  </w:style>
  <w:style w:type="paragraph" w:styleId="Textocomentario">
    <w:name w:val="annotation text"/>
    <w:basedOn w:val="Normal"/>
    <w:link w:val="TextocomentarioCar"/>
    <w:uiPriority w:val="99"/>
    <w:semiHidden/>
    <w:unhideWhenUsed/>
    <w:rsid w:val="003A32F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A32F1"/>
    <w:rPr>
      <w:rFonts w:ascii="Calibri" w:eastAsia="Calibri" w:hAnsi="Calibri" w:cs="Times New Roman"/>
      <w:sz w:val="20"/>
      <w:szCs w:val="20"/>
      <w:lang w:val="es-CR"/>
    </w:rPr>
  </w:style>
  <w:style w:type="paragraph" w:styleId="Asuntodelcomentario">
    <w:name w:val="annotation subject"/>
    <w:basedOn w:val="Textocomentario"/>
    <w:next w:val="Textocomentario"/>
    <w:link w:val="AsuntodelcomentarioCar"/>
    <w:uiPriority w:val="99"/>
    <w:semiHidden/>
    <w:unhideWhenUsed/>
    <w:rsid w:val="003A32F1"/>
    <w:rPr>
      <w:b/>
      <w:bCs/>
    </w:rPr>
  </w:style>
  <w:style w:type="character" w:customStyle="1" w:styleId="AsuntodelcomentarioCar">
    <w:name w:val="Asunto del comentario Car"/>
    <w:basedOn w:val="TextocomentarioCar"/>
    <w:link w:val="Asuntodelcomentario"/>
    <w:uiPriority w:val="99"/>
    <w:semiHidden/>
    <w:rsid w:val="003A32F1"/>
    <w:rPr>
      <w:rFonts w:ascii="Calibri" w:eastAsia="Calibri" w:hAnsi="Calibri" w:cs="Times New Roman"/>
      <w:b/>
      <w:bCs/>
      <w:sz w:val="20"/>
      <w:szCs w:val="20"/>
      <w:lang w:val="es-CR"/>
    </w:rPr>
  </w:style>
  <w:style w:type="paragraph" w:styleId="Textodebloque">
    <w:name w:val="Block Text"/>
    <w:basedOn w:val="Normal"/>
    <w:uiPriority w:val="99"/>
    <w:unhideWhenUsed/>
    <w:rsid w:val="007274AC"/>
    <w:pPr>
      <w:tabs>
        <w:tab w:val="left" w:pos="567"/>
      </w:tabs>
      <w:spacing w:after="0" w:line="240" w:lineRule="auto"/>
      <w:ind w:left="567" w:right="639"/>
      <w:jc w:val="both"/>
    </w:pPr>
    <w:rPr>
      <w:rFonts w:ascii="Verdana" w:eastAsia="Times" w:hAnsi="Verdana"/>
      <w:sz w:val="18"/>
      <w:szCs w:val="18"/>
      <w:lang w:val="es-ES_tradnl"/>
    </w:rPr>
  </w:style>
  <w:style w:type="character" w:customStyle="1" w:styleId="Ttulo1Car">
    <w:name w:val="Título 1 Car"/>
    <w:basedOn w:val="Fuentedeprrafopredeter"/>
    <w:link w:val="Ttulo1"/>
    <w:uiPriority w:val="9"/>
    <w:rsid w:val="007274AC"/>
    <w:rPr>
      <w:rFonts w:ascii="Verdana" w:eastAsia="Times" w:hAnsi="Verdana" w:cs="Times New Roman"/>
      <w:i/>
      <w:sz w:val="20"/>
      <w:szCs w:val="20"/>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C469B4"/>
    <w:pPr>
      <w:spacing w:after="0" w:line="240" w:lineRule="auto"/>
      <w:jc w:val="both"/>
    </w:pPr>
    <w:rPr>
      <w:rFonts w:asciiTheme="minorHAnsi" w:eastAsiaTheme="minorHAnsi" w:hAnsiTheme="minorHAnsi" w:cstheme="minorBidi"/>
      <w:vertAlign w:val="superscript"/>
      <w:lang w:val="en-US"/>
    </w:rPr>
  </w:style>
  <w:style w:type="character" w:styleId="Textoennegrita">
    <w:name w:val="Strong"/>
    <w:aliases w:val="Heading 2.1"/>
    <w:uiPriority w:val="22"/>
    <w:qFormat/>
    <w:rsid w:val="00EB2EE4"/>
    <w:rPr>
      <w:rFonts w:ascii="Verdana" w:hAnsi="Verdana"/>
      <w:b/>
      <w:bCs/>
      <w:i/>
      <w:sz w:val="20"/>
    </w:rPr>
  </w:style>
  <w:style w:type="paragraph" w:customStyle="1" w:styleId="Heading23">
    <w:name w:val="Heading 2.3"/>
    <w:basedOn w:val="Normal"/>
    <w:uiPriority w:val="99"/>
    <w:qFormat/>
    <w:rsid w:val="00EB2EE4"/>
    <w:pPr>
      <w:spacing w:after="0" w:line="240" w:lineRule="auto"/>
      <w:jc w:val="both"/>
    </w:pPr>
    <w:rPr>
      <w:rFonts w:ascii="Verdana" w:hAnsi="Verdana"/>
      <w:sz w:val="16"/>
      <w:szCs w:val="16"/>
      <w:vertAlign w:val="superscript"/>
      <w:lang w:val="x-none" w:eastAsia="x-none"/>
    </w:rPr>
  </w:style>
  <w:style w:type="paragraph" w:customStyle="1" w:styleId="PrrafodeSentencia">
    <w:name w:val="*. Párrafo de Sentencia"/>
    <w:basedOn w:val="Textonotapie"/>
    <w:autoRedefine/>
    <w:qFormat/>
    <w:rsid w:val="00EB2EE4"/>
    <w:pPr>
      <w:numPr>
        <w:numId w:val="6"/>
      </w:numPr>
      <w:tabs>
        <w:tab w:val="clear" w:pos="360"/>
        <w:tab w:val="left" w:pos="720"/>
      </w:tabs>
      <w:ind w:left="0" w:firstLine="0"/>
      <w:jc w:val="both"/>
    </w:pPr>
    <w:rPr>
      <w:rFonts w:ascii="Verdana" w:hAnsi="Verdana" w:cs="Verdana"/>
      <w:bCs/>
      <w:iCs/>
      <w:noProof/>
      <w:lang w:val="es-ES_tradnl"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FD2C5-0949-4AAB-83C3-2FDE1EBB0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5523</Words>
  <Characters>29051</Characters>
  <Application>Microsoft Office Word</Application>
  <DocSecurity>0</DocSecurity>
  <Lines>605</Lines>
  <Paragraphs>168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2018-08-24T22:14:00Z</cp:lastPrinted>
  <dcterms:created xsi:type="dcterms:W3CDTF">2018-11-07T21:31:00Z</dcterms:created>
  <dcterms:modified xsi:type="dcterms:W3CDTF">2018-11-07T21:31:00Z</dcterms:modified>
</cp:coreProperties>
</file>