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0A1" w:rsidRPr="009310E6" w:rsidRDefault="005A70A1" w:rsidP="004147BF">
      <w:pPr>
        <w:tabs>
          <w:tab w:val="left" w:pos="810"/>
        </w:tabs>
        <w:suppressAutoHyphens/>
        <w:spacing w:after="0" w:line="240" w:lineRule="auto"/>
        <w:rPr>
          <w:rFonts w:ascii="Cambria" w:hAnsi="Cambria" w:cs="Arial"/>
          <w:lang w:val="es-CO"/>
        </w:rPr>
      </w:pPr>
      <w:bookmarkStart w:id="0" w:name="_GoBack"/>
      <w:bookmarkEnd w:id="0"/>
    </w:p>
    <w:p w:rsidR="005A70A1" w:rsidRPr="009310E6" w:rsidRDefault="00130A43" w:rsidP="004147BF">
      <w:pPr>
        <w:tabs>
          <w:tab w:val="left" w:pos="810"/>
        </w:tabs>
        <w:suppressAutoHyphens/>
        <w:spacing w:after="0" w:line="240" w:lineRule="auto"/>
        <w:jc w:val="right"/>
        <w:rPr>
          <w:rFonts w:ascii="Cambria" w:hAnsi="Cambria" w:cs="Arial"/>
          <w:b/>
          <w:lang w:val="es-PE"/>
        </w:rPr>
      </w:pPr>
      <w:r w:rsidRPr="009310E6">
        <w:rPr>
          <w:rFonts w:ascii="Cambria" w:hAnsi="Cambria" w:cs="Arial"/>
          <w:lang w:val="es-PE"/>
        </w:rPr>
        <w:t>4</w:t>
      </w:r>
      <w:r w:rsidR="005A70A1" w:rsidRPr="009310E6">
        <w:rPr>
          <w:rFonts w:ascii="Cambria" w:hAnsi="Cambria" w:cs="Arial"/>
          <w:lang w:val="es-PE"/>
        </w:rPr>
        <w:t xml:space="preserve"> de </w:t>
      </w:r>
      <w:r w:rsidRPr="009310E6">
        <w:rPr>
          <w:rFonts w:ascii="Cambria" w:hAnsi="Cambria" w:cs="Arial"/>
          <w:lang w:val="es-PE"/>
        </w:rPr>
        <w:t>septiembre</w:t>
      </w:r>
      <w:r w:rsidR="005A70A1" w:rsidRPr="009310E6">
        <w:rPr>
          <w:rFonts w:ascii="Cambria" w:hAnsi="Cambria" w:cs="Arial"/>
          <w:lang w:val="es-PE"/>
        </w:rPr>
        <w:t xml:space="preserve"> de 2018</w:t>
      </w:r>
    </w:p>
    <w:p w:rsidR="000E5ABC" w:rsidRPr="009310E6" w:rsidRDefault="000E5ABC" w:rsidP="004147BF">
      <w:pPr>
        <w:widowControl w:val="0"/>
        <w:tabs>
          <w:tab w:val="left" w:pos="720"/>
        </w:tabs>
        <w:autoSpaceDE w:val="0"/>
        <w:autoSpaceDN w:val="0"/>
        <w:adjustRightInd w:val="0"/>
        <w:spacing w:after="0" w:line="240" w:lineRule="auto"/>
        <w:jc w:val="both"/>
        <w:rPr>
          <w:rFonts w:ascii="Cambria" w:hAnsi="Cambria" w:cs="Arial"/>
          <w:b/>
          <w:lang w:val="es-PE"/>
        </w:rPr>
      </w:pPr>
    </w:p>
    <w:p w:rsidR="005A70A1" w:rsidRPr="009310E6" w:rsidRDefault="005A70A1" w:rsidP="004147BF">
      <w:pPr>
        <w:widowControl w:val="0"/>
        <w:tabs>
          <w:tab w:val="left" w:pos="720"/>
        </w:tabs>
        <w:autoSpaceDE w:val="0"/>
        <w:autoSpaceDN w:val="0"/>
        <w:adjustRightInd w:val="0"/>
        <w:spacing w:after="0" w:line="240" w:lineRule="auto"/>
        <w:jc w:val="both"/>
        <w:rPr>
          <w:rFonts w:ascii="Cambria" w:hAnsi="Cambria" w:cs="Arial"/>
          <w:b/>
          <w:lang w:val="es-PE"/>
        </w:rPr>
      </w:pPr>
      <w:r w:rsidRPr="009310E6">
        <w:rPr>
          <w:rFonts w:ascii="Cambria" w:hAnsi="Cambria" w:cs="Arial"/>
          <w:b/>
          <w:lang w:val="es-PE"/>
        </w:rPr>
        <w:t>REF.:</w:t>
      </w:r>
      <w:bookmarkStart w:id="1" w:name="Peticion_n"/>
      <w:bookmarkEnd w:id="1"/>
      <w:r w:rsidRPr="009310E6">
        <w:rPr>
          <w:rFonts w:ascii="Cambria" w:hAnsi="Cambria" w:cs="Arial"/>
          <w:b/>
          <w:lang w:val="es-PE"/>
        </w:rPr>
        <w:tab/>
        <w:t xml:space="preserve">Caso Nº </w:t>
      </w:r>
      <w:r w:rsidRPr="009310E6">
        <w:rPr>
          <w:rFonts w:ascii="Cambria" w:hAnsi="Cambria"/>
          <w:b/>
          <w:lang w:val="es-PE"/>
        </w:rPr>
        <w:t>12.92</w:t>
      </w:r>
      <w:r w:rsidR="00130A43" w:rsidRPr="009310E6">
        <w:rPr>
          <w:rFonts w:ascii="Cambria" w:hAnsi="Cambria"/>
          <w:b/>
          <w:lang w:val="es-PE"/>
        </w:rPr>
        <w:t>4</w:t>
      </w:r>
    </w:p>
    <w:p w:rsidR="005A70A1" w:rsidRPr="009310E6" w:rsidRDefault="003617DC" w:rsidP="004147BF">
      <w:pPr>
        <w:widowControl w:val="0"/>
        <w:tabs>
          <w:tab w:val="left" w:pos="810"/>
        </w:tabs>
        <w:autoSpaceDE w:val="0"/>
        <w:autoSpaceDN w:val="0"/>
        <w:adjustRightInd w:val="0"/>
        <w:spacing w:after="0" w:line="240" w:lineRule="auto"/>
        <w:ind w:firstLine="720"/>
        <w:jc w:val="both"/>
        <w:rPr>
          <w:rFonts w:ascii="Cambria" w:hAnsi="Cambria" w:cs="Arial"/>
          <w:b/>
          <w:lang w:val="es-PE"/>
        </w:rPr>
      </w:pPr>
      <w:r w:rsidRPr="009310E6">
        <w:rPr>
          <w:rFonts w:ascii="Cambria" w:hAnsi="Cambria"/>
          <w:b/>
          <w:lang w:val="es-PE"/>
        </w:rPr>
        <w:t>Julio César Ramón del Valle y Carlos Eduardo Domínguez Linares</w:t>
      </w:r>
    </w:p>
    <w:p w:rsidR="005A70A1" w:rsidRPr="009310E6" w:rsidRDefault="005A70A1" w:rsidP="004147BF">
      <w:pPr>
        <w:tabs>
          <w:tab w:val="left" w:pos="720"/>
          <w:tab w:val="left" w:pos="810"/>
          <w:tab w:val="center" w:pos="6480"/>
        </w:tabs>
        <w:spacing w:after="0" w:line="240" w:lineRule="auto"/>
        <w:ind w:left="720"/>
        <w:jc w:val="both"/>
        <w:rPr>
          <w:rFonts w:ascii="Cambria" w:hAnsi="Cambria" w:cs="Arial"/>
          <w:b/>
          <w:lang w:val="es-ES_tradnl"/>
        </w:rPr>
      </w:pPr>
      <w:r w:rsidRPr="009310E6">
        <w:rPr>
          <w:rFonts w:ascii="Cambria" w:hAnsi="Cambria" w:cs="Arial"/>
          <w:b/>
          <w:lang w:val="es-CR"/>
        </w:rPr>
        <w:t>Argentina</w:t>
      </w:r>
      <w:r w:rsidRPr="009310E6">
        <w:rPr>
          <w:rFonts w:ascii="Cambria" w:hAnsi="Cambria" w:cs="Arial"/>
          <w:b/>
          <w:lang w:val="es-ES_tradnl"/>
        </w:rPr>
        <w:t xml:space="preserve"> </w:t>
      </w:r>
    </w:p>
    <w:p w:rsidR="005A70A1" w:rsidRPr="009310E6" w:rsidRDefault="005A70A1" w:rsidP="004147BF">
      <w:pPr>
        <w:tabs>
          <w:tab w:val="left" w:pos="720"/>
          <w:tab w:val="left" w:pos="810"/>
          <w:tab w:val="center" w:pos="6480"/>
        </w:tabs>
        <w:spacing w:after="0" w:line="240" w:lineRule="auto"/>
        <w:jc w:val="both"/>
        <w:rPr>
          <w:rFonts w:ascii="Cambria" w:hAnsi="Cambria" w:cs="Arial"/>
          <w:lang w:val="es-PE"/>
        </w:rPr>
      </w:pPr>
    </w:p>
    <w:p w:rsidR="005A70A1" w:rsidRPr="009310E6" w:rsidRDefault="005A70A1" w:rsidP="004147BF">
      <w:pPr>
        <w:tabs>
          <w:tab w:val="left" w:pos="720"/>
          <w:tab w:val="left" w:pos="810"/>
          <w:tab w:val="center" w:pos="6480"/>
        </w:tabs>
        <w:spacing w:after="0" w:line="240" w:lineRule="auto"/>
        <w:jc w:val="both"/>
        <w:rPr>
          <w:rFonts w:ascii="Cambria" w:hAnsi="Cambria" w:cs="Arial"/>
          <w:lang w:val="es-PE"/>
        </w:rPr>
      </w:pPr>
      <w:r w:rsidRPr="009310E6">
        <w:rPr>
          <w:rFonts w:ascii="Cambria" w:hAnsi="Cambria" w:cs="Arial"/>
          <w:lang w:val="es-PE"/>
        </w:rPr>
        <w:t>Señor Secretario:</w:t>
      </w:r>
    </w:p>
    <w:p w:rsidR="005A70A1" w:rsidRPr="009310E6" w:rsidRDefault="005A70A1" w:rsidP="004147BF">
      <w:pPr>
        <w:widowControl w:val="0"/>
        <w:tabs>
          <w:tab w:val="left" w:pos="810"/>
        </w:tabs>
        <w:autoSpaceDE w:val="0"/>
        <w:autoSpaceDN w:val="0"/>
        <w:adjustRightInd w:val="0"/>
        <w:spacing w:after="0" w:line="240" w:lineRule="auto"/>
        <w:jc w:val="both"/>
        <w:rPr>
          <w:rFonts w:ascii="Cambria" w:hAnsi="Cambria"/>
          <w:lang w:val="es-CO"/>
        </w:rPr>
      </w:pPr>
    </w:p>
    <w:p w:rsidR="004147BF" w:rsidRPr="009310E6" w:rsidRDefault="005A70A1" w:rsidP="004147B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2"/>
          <w:szCs w:val="22"/>
          <w:lang w:val="es-CO"/>
        </w:rPr>
      </w:pPr>
      <w:r w:rsidRPr="009310E6">
        <w:rPr>
          <w:rFonts w:ascii="Cambria" w:hAnsi="Cambria"/>
          <w:sz w:val="22"/>
          <w:szCs w:val="22"/>
          <w:lang w:val="es-CO"/>
        </w:rPr>
        <w:t>Tengo el agrado de dirigirme a usted, en nombre de la Comisión Interamericana de Derechos Humanos, con el objeto</w:t>
      </w:r>
      <w:r w:rsidRPr="009310E6">
        <w:rPr>
          <w:rFonts w:ascii="Cambria" w:hAnsi="Cambria" w:cs="Arial"/>
          <w:sz w:val="22"/>
          <w:szCs w:val="22"/>
          <w:lang w:val="es-CO"/>
        </w:rPr>
        <w:t xml:space="preserve"> de presentar ante la Honorable Corte Interamericana de Derechos Humanos el Caso Nº 12.92</w:t>
      </w:r>
      <w:r w:rsidR="00AF084B" w:rsidRPr="009310E6">
        <w:rPr>
          <w:rFonts w:ascii="Cambria" w:hAnsi="Cambria" w:cs="Arial"/>
          <w:sz w:val="22"/>
          <w:szCs w:val="22"/>
          <w:lang w:val="es-CO"/>
        </w:rPr>
        <w:t>4</w:t>
      </w:r>
      <w:r w:rsidRPr="009310E6">
        <w:rPr>
          <w:rFonts w:ascii="Cambria" w:hAnsi="Cambria" w:cs="Arial"/>
          <w:sz w:val="22"/>
          <w:szCs w:val="22"/>
          <w:lang w:val="es-CO"/>
        </w:rPr>
        <w:t xml:space="preserve"> – </w:t>
      </w:r>
      <w:r w:rsidR="00FB257A" w:rsidRPr="009310E6">
        <w:rPr>
          <w:rFonts w:ascii="Cambria" w:hAnsi="Cambria"/>
          <w:sz w:val="22"/>
          <w:szCs w:val="22"/>
          <w:lang w:val="es-MX"/>
        </w:rPr>
        <w:t>Julio César Ramón Del Valle y Carlos Eduardo Domínguez Linares</w:t>
      </w:r>
      <w:r w:rsidR="00FB257A" w:rsidRPr="009310E6">
        <w:rPr>
          <w:rFonts w:ascii="Cambria" w:hAnsi="Cambria"/>
          <w:sz w:val="22"/>
          <w:szCs w:val="22"/>
          <w:lang w:val="es-CO"/>
        </w:rPr>
        <w:t xml:space="preserve"> </w:t>
      </w:r>
      <w:r w:rsidRPr="009310E6">
        <w:rPr>
          <w:rFonts w:ascii="Cambria" w:hAnsi="Cambria" w:cs="Arial"/>
          <w:sz w:val="22"/>
          <w:szCs w:val="22"/>
          <w:lang w:val="es-CO"/>
        </w:rPr>
        <w:t>respecto de la República de Argentina (en adelante “el Estado”, “el Estado argentino” o “Argentina”)</w:t>
      </w:r>
      <w:r w:rsidR="004147BF" w:rsidRPr="009310E6">
        <w:rPr>
          <w:rFonts w:ascii="Cambria" w:hAnsi="Cambria" w:cs="Arial"/>
          <w:sz w:val="22"/>
          <w:szCs w:val="22"/>
          <w:lang w:val="es-CO"/>
        </w:rPr>
        <w:t>.</w:t>
      </w:r>
    </w:p>
    <w:p w:rsidR="004147BF" w:rsidRPr="009310E6" w:rsidRDefault="004147BF" w:rsidP="004147B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Arial"/>
          <w:sz w:val="22"/>
          <w:szCs w:val="22"/>
          <w:lang w:val="es-CO"/>
        </w:rPr>
      </w:pPr>
    </w:p>
    <w:p w:rsidR="004147BF" w:rsidRPr="009310E6" w:rsidRDefault="004147BF" w:rsidP="00C5734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mbria" w:hAnsi="Cambria" w:cs="TimesNewRoman"/>
          <w:sz w:val="22"/>
          <w:szCs w:val="22"/>
          <w:lang w:val="es-ES" w:eastAsia="es-ES_tradnl"/>
        </w:rPr>
      </w:pPr>
      <w:r w:rsidRPr="009310E6">
        <w:rPr>
          <w:rFonts w:ascii="Cambria" w:hAnsi="Cambria"/>
          <w:sz w:val="22"/>
          <w:szCs w:val="22"/>
          <w:lang w:val="es-ES"/>
        </w:rPr>
        <w:t xml:space="preserve">En diciembre de 1997 la Cámara Novena del Crimen de Córdoba resolvió declarar a los señores Del Valle Ambrosio y Domínguez Linares cómplices del delito de defraudación e imponerle a cada uno la pena de tres años y seis meses de prisión. Sus abogados defensores interpusieron recursos de casación </w:t>
      </w:r>
      <w:r w:rsidR="00AA1F07" w:rsidRPr="009310E6">
        <w:rPr>
          <w:rFonts w:ascii="Cambria" w:hAnsi="Cambria"/>
          <w:sz w:val="22"/>
          <w:szCs w:val="22"/>
          <w:lang w:val="es-ES"/>
        </w:rPr>
        <w:t>los cuales f</w:t>
      </w:r>
      <w:r w:rsidR="00430055" w:rsidRPr="009310E6">
        <w:rPr>
          <w:rFonts w:ascii="Cambria" w:hAnsi="Cambria"/>
          <w:sz w:val="22"/>
          <w:szCs w:val="22"/>
          <w:lang w:val="es-ES"/>
        </w:rPr>
        <w:t>ueron declarados</w:t>
      </w:r>
      <w:r w:rsidRPr="009310E6">
        <w:rPr>
          <w:rFonts w:ascii="Cambria" w:hAnsi="Cambria"/>
          <w:sz w:val="22"/>
          <w:szCs w:val="22"/>
          <w:lang w:val="es-ES"/>
        </w:rPr>
        <w:t xml:space="preserve"> inadmisibles, sin que se hiciera un análisis del fondo. La Comisión consideró que la decisión de los recursos se </w:t>
      </w:r>
      <w:r w:rsidR="00430055" w:rsidRPr="009310E6">
        <w:rPr>
          <w:rFonts w:ascii="Cambria" w:hAnsi="Cambria"/>
          <w:sz w:val="22"/>
          <w:szCs w:val="22"/>
          <w:lang w:val="es-ES"/>
        </w:rPr>
        <w:t>enmarcó en</w:t>
      </w:r>
      <w:r w:rsidRPr="009310E6">
        <w:rPr>
          <w:rFonts w:ascii="Cambria" w:hAnsi="Cambria"/>
          <w:sz w:val="22"/>
          <w:szCs w:val="22"/>
          <w:lang w:val="es-ES"/>
        </w:rPr>
        <w:t xml:space="preserve"> una práctica judicial de interpretación restrictiva </w:t>
      </w:r>
      <w:r w:rsidR="00C03F6D" w:rsidRPr="009310E6">
        <w:rPr>
          <w:rFonts w:ascii="Cambria" w:hAnsi="Cambria"/>
          <w:sz w:val="22"/>
          <w:szCs w:val="22"/>
          <w:lang w:val="es-ES"/>
        </w:rPr>
        <w:t>y</w:t>
      </w:r>
      <w:r w:rsidRPr="009310E6">
        <w:rPr>
          <w:rFonts w:ascii="Cambria" w:hAnsi="Cambria"/>
          <w:sz w:val="22"/>
          <w:szCs w:val="22"/>
          <w:lang w:val="es-ES"/>
        </w:rPr>
        <w:t xml:space="preserve"> </w:t>
      </w:r>
      <w:r w:rsidRPr="009310E6">
        <w:rPr>
          <w:rFonts w:ascii="Cambria" w:hAnsi="Cambria" w:cs="TimesNewRoman"/>
          <w:sz w:val="22"/>
          <w:szCs w:val="22"/>
          <w:lang w:val="es-ES" w:eastAsia="es-ES_tradnl"/>
        </w:rPr>
        <w:t>que</w:t>
      </w:r>
      <w:r w:rsidR="00B7464D" w:rsidRPr="009310E6">
        <w:rPr>
          <w:rFonts w:ascii="Cambria" w:hAnsi="Cambria" w:cs="TimesNewRoman"/>
          <w:sz w:val="22"/>
          <w:szCs w:val="22"/>
          <w:lang w:val="es-ES" w:eastAsia="es-ES_tradnl"/>
        </w:rPr>
        <w:t>, tomando en</w:t>
      </w:r>
      <w:r w:rsidR="00944474" w:rsidRPr="009310E6">
        <w:rPr>
          <w:rFonts w:ascii="Cambria" w:hAnsi="Cambria" w:cs="TimesNewRoman"/>
          <w:sz w:val="22"/>
          <w:szCs w:val="22"/>
          <w:lang w:val="es-ES" w:eastAsia="es-ES_tradnl"/>
        </w:rPr>
        <w:t xml:space="preserve"> cuenta que se trataba del único recurso contra la condena de primera instancia,</w:t>
      </w:r>
      <w:r w:rsidRPr="009310E6">
        <w:rPr>
          <w:rFonts w:ascii="Cambria" w:hAnsi="Cambria" w:cs="TimesNewRoman"/>
          <w:sz w:val="22"/>
          <w:szCs w:val="22"/>
          <w:lang w:val="es-ES" w:eastAsia="es-ES_tradnl"/>
        </w:rPr>
        <w:t xml:space="preserve"> los señores </w:t>
      </w:r>
      <w:r w:rsidRPr="009310E6">
        <w:rPr>
          <w:rFonts w:ascii="Cambria" w:hAnsi="Cambria" w:cs="TimesNewRoman"/>
          <w:sz w:val="22"/>
          <w:szCs w:val="22"/>
          <w:lang w:val="es-CL" w:eastAsia="es-ES_tradnl"/>
        </w:rPr>
        <w:t>Del Valle Ambrosio y Domín</w:t>
      </w:r>
      <w:r w:rsidR="00944474" w:rsidRPr="009310E6">
        <w:rPr>
          <w:rFonts w:ascii="Cambria" w:hAnsi="Cambria" w:cs="TimesNewRoman"/>
          <w:sz w:val="22"/>
          <w:szCs w:val="22"/>
          <w:lang w:val="es-CL" w:eastAsia="es-ES_tradnl"/>
        </w:rPr>
        <w:t xml:space="preserve">guez Linares no contaron con una revisión </w:t>
      </w:r>
      <w:r w:rsidR="00584E24" w:rsidRPr="009310E6">
        <w:rPr>
          <w:rFonts w:ascii="Cambria" w:hAnsi="Cambria" w:cs="TimesNewRoman"/>
          <w:sz w:val="22"/>
          <w:szCs w:val="22"/>
          <w:lang w:val="es-CL" w:eastAsia="es-ES_tradnl"/>
        </w:rPr>
        <w:t xml:space="preserve">integral </w:t>
      </w:r>
      <w:r w:rsidRPr="009310E6">
        <w:rPr>
          <w:rFonts w:ascii="Cambria" w:hAnsi="Cambria" w:cs="TimesNewRoman"/>
          <w:sz w:val="22"/>
          <w:szCs w:val="22"/>
          <w:lang w:val="es-CL" w:eastAsia="es-ES_tradnl"/>
        </w:rPr>
        <w:t xml:space="preserve">ante autoridad jerárquica, incluyendo las cuestiones de hecho y de valoración probatoria alegadas por la defensa mediante los </w:t>
      </w:r>
      <w:r w:rsidR="00584E24" w:rsidRPr="009310E6">
        <w:rPr>
          <w:rFonts w:ascii="Cambria" w:hAnsi="Cambria" w:cs="TimesNewRoman"/>
          <w:sz w:val="22"/>
          <w:szCs w:val="22"/>
          <w:lang w:val="es-CL" w:eastAsia="es-ES_tradnl"/>
        </w:rPr>
        <w:t>referidos recursos</w:t>
      </w:r>
      <w:r w:rsidRPr="009310E6">
        <w:rPr>
          <w:rFonts w:ascii="Cambria" w:hAnsi="Cambria" w:cs="TimesNewRoman"/>
          <w:sz w:val="22"/>
          <w:szCs w:val="22"/>
          <w:lang w:val="es-CL" w:eastAsia="es-ES_tradnl"/>
        </w:rPr>
        <w:t>.</w:t>
      </w:r>
      <w:r w:rsidR="007A6FB3" w:rsidRPr="009310E6">
        <w:rPr>
          <w:rFonts w:ascii="Cambria" w:hAnsi="Cambria" w:cs="TimesNewRoman"/>
          <w:sz w:val="22"/>
          <w:szCs w:val="22"/>
          <w:lang w:val="es-CL" w:eastAsia="es-ES_tradnl"/>
        </w:rPr>
        <w:t xml:space="preserve"> </w:t>
      </w:r>
      <w:r w:rsidR="00C75975" w:rsidRPr="009310E6">
        <w:rPr>
          <w:rFonts w:ascii="Cambria" w:hAnsi="Cambria"/>
          <w:sz w:val="22"/>
          <w:szCs w:val="22"/>
          <w:lang w:val="es-ES"/>
        </w:rPr>
        <w:t>L</w:t>
      </w:r>
      <w:r w:rsidRPr="009310E6">
        <w:rPr>
          <w:rFonts w:ascii="Cambria" w:hAnsi="Cambria"/>
          <w:sz w:val="22"/>
          <w:szCs w:val="22"/>
          <w:lang w:val="es-ES"/>
        </w:rPr>
        <w:t xml:space="preserve">a Comisión advirtió que los recursos extraordinarios interpuestos </w:t>
      </w:r>
      <w:r w:rsidR="00D00B10" w:rsidRPr="009310E6">
        <w:rPr>
          <w:rFonts w:ascii="Cambria" w:hAnsi="Cambria"/>
          <w:sz w:val="22"/>
          <w:szCs w:val="22"/>
          <w:lang w:val="es-ES"/>
        </w:rPr>
        <w:t xml:space="preserve">también </w:t>
      </w:r>
      <w:r w:rsidRPr="009310E6">
        <w:rPr>
          <w:rFonts w:ascii="Cambria" w:hAnsi="Cambria"/>
          <w:sz w:val="22"/>
          <w:szCs w:val="22"/>
          <w:lang w:val="es-ES"/>
        </w:rPr>
        <w:t>fueron declarados inadmisibles</w:t>
      </w:r>
      <w:r w:rsidR="00D00B10" w:rsidRPr="009310E6">
        <w:rPr>
          <w:rFonts w:ascii="Cambria" w:hAnsi="Cambria"/>
          <w:sz w:val="22"/>
          <w:szCs w:val="22"/>
          <w:lang w:val="es-ES"/>
        </w:rPr>
        <w:t>.</w:t>
      </w:r>
      <w:r w:rsidRPr="009310E6">
        <w:rPr>
          <w:rFonts w:ascii="Cambria" w:hAnsi="Cambria"/>
          <w:sz w:val="22"/>
          <w:szCs w:val="22"/>
          <w:lang w:val="es-ES"/>
        </w:rPr>
        <w:t xml:space="preserve"> </w:t>
      </w:r>
      <w:r w:rsidRPr="009310E6">
        <w:rPr>
          <w:rFonts w:ascii="Cambria" w:hAnsi="Cambria" w:cs="TimesNewRoman"/>
          <w:sz w:val="22"/>
          <w:szCs w:val="22"/>
          <w:lang w:val="es-ES" w:eastAsia="es-ES_tradnl"/>
        </w:rPr>
        <w:t xml:space="preserve">La Comisión concluyó que el Estado argentino violó en perjuicio </w:t>
      </w:r>
      <w:r w:rsidR="00915105" w:rsidRPr="009310E6">
        <w:rPr>
          <w:rFonts w:ascii="Cambria" w:hAnsi="Cambria" w:cs="TimesNewRoman"/>
          <w:sz w:val="22"/>
          <w:szCs w:val="22"/>
          <w:lang w:val="es-ES" w:eastAsia="es-ES_tradnl"/>
        </w:rPr>
        <w:t xml:space="preserve">de ambas víctimas </w:t>
      </w:r>
      <w:r w:rsidRPr="009310E6">
        <w:rPr>
          <w:rFonts w:ascii="Cambria" w:hAnsi="Cambria" w:cs="TimesNewRoman"/>
          <w:sz w:val="22"/>
          <w:szCs w:val="22"/>
          <w:lang w:val="es-ES" w:eastAsia="es-ES_tradnl"/>
        </w:rPr>
        <w:t>el derecho a recurrir del fallo establecido en el artículo 8.2 h) de la Convención</w:t>
      </w:r>
      <w:r w:rsidR="00B00B4A" w:rsidRPr="009310E6">
        <w:rPr>
          <w:rFonts w:ascii="Cambria" w:hAnsi="Cambria" w:cs="TimesNewRoman"/>
          <w:sz w:val="22"/>
          <w:szCs w:val="22"/>
          <w:lang w:val="es-ES" w:eastAsia="es-ES_tradnl"/>
        </w:rPr>
        <w:t xml:space="preserve"> Americana sobre Derechos Humanos,</w:t>
      </w:r>
      <w:r w:rsidRPr="009310E6">
        <w:rPr>
          <w:rFonts w:ascii="Cambria" w:hAnsi="Cambria" w:cs="TimesNewRoman"/>
          <w:sz w:val="22"/>
          <w:szCs w:val="22"/>
          <w:lang w:val="es-ES" w:eastAsia="es-ES_tradnl"/>
        </w:rPr>
        <w:t xml:space="preserve"> en relación con las obligaciones establecidas en los artículos 1.1 y 2 del mismo instrumento. Asimismo, la</w:t>
      </w:r>
      <w:r w:rsidR="00022596" w:rsidRPr="009310E6">
        <w:rPr>
          <w:rFonts w:ascii="Cambria" w:hAnsi="Cambria" w:cs="TimesNewRoman"/>
          <w:sz w:val="22"/>
          <w:szCs w:val="22"/>
          <w:lang w:val="es-ES" w:eastAsia="es-ES_tradnl"/>
        </w:rPr>
        <w:t xml:space="preserve"> Comisión</w:t>
      </w:r>
      <w:r w:rsidRPr="009310E6">
        <w:rPr>
          <w:rFonts w:ascii="Cambria" w:hAnsi="Cambria" w:cs="TimesNewRoman"/>
          <w:sz w:val="22"/>
          <w:szCs w:val="22"/>
          <w:lang w:val="es-ES" w:eastAsia="es-ES_tradnl"/>
        </w:rPr>
        <w:t xml:space="preserve"> concluyó que, como consecuencia del carácter limitado del recurso de casación y, aún más limitado, del recurso extraordinario, las víctimas no contaron con recursos judiciales sencillos y efectivos en el marco del proceso penal que culminó con su condena, en violación también del derecho establecido en el artículo 25.1 de la Convención, en relación con las obligaciones</w:t>
      </w:r>
      <w:r w:rsidR="00713C40" w:rsidRPr="009310E6">
        <w:rPr>
          <w:rFonts w:ascii="Cambria" w:hAnsi="Cambria" w:cs="TimesNewRoman"/>
          <w:sz w:val="22"/>
          <w:szCs w:val="22"/>
          <w:lang w:val="es-ES" w:eastAsia="es-ES_tradnl"/>
        </w:rPr>
        <w:t xml:space="preserve"> establecidas en los </w:t>
      </w:r>
      <w:r w:rsidRPr="009310E6">
        <w:rPr>
          <w:rFonts w:ascii="Cambria" w:hAnsi="Cambria" w:cs="TimesNewRoman"/>
          <w:sz w:val="22"/>
          <w:szCs w:val="22"/>
          <w:lang w:val="es-ES" w:eastAsia="es-ES_tradnl"/>
        </w:rPr>
        <w:t>artículos 1.1 y 2 del mismo instrumento.</w:t>
      </w:r>
    </w:p>
    <w:p w:rsidR="004147BF" w:rsidRPr="009310E6" w:rsidRDefault="004147BF" w:rsidP="004147BF">
      <w:pPr>
        <w:pStyle w:val="NormalWeb"/>
        <w:spacing w:before="0" w:beforeAutospacing="0" w:after="0" w:afterAutospacing="0"/>
        <w:ind w:firstLine="720"/>
        <w:jc w:val="both"/>
        <w:rPr>
          <w:rFonts w:ascii="Cambria" w:hAnsi="Cambria"/>
          <w:sz w:val="22"/>
          <w:szCs w:val="22"/>
          <w:lang w:val="es-PE"/>
        </w:rPr>
      </w:pPr>
    </w:p>
    <w:p w:rsidR="005A70A1" w:rsidRPr="009310E6" w:rsidRDefault="005A70A1" w:rsidP="004147BF">
      <w:pPr>
        <w:pStyle w:val="NormalWeb"/>
        <w:spacing w:before="0" w:beforeAutospacing="0" w:after="0" w:afterAutospacing="0"/>
        <w:ind w:firstLine="720"/>
        <w:jc w:val="both"/>
        <w:rPr>
          <w:rFonts w:ascii="Cambria" w:hAnsi="Cambria"/>
          <w:sz w:val="22"/>
          <w:szCs w:val="22"/>
          <w:lang w:val="es-PE"/>
        </w:rPr>
      </w:pPr>
      <w:r w:rsidRPr="009310E6">
        <w:rPr>
          <w:rFonts w:ascii="Cambria" w:hAnsi="Cambria"/>
          <w:sz w:val="22"/>
          <w:szCs w:val="22"/>
          <w:lang w:val="es-PE"/>
        </w:rPr>
        <w:t xml:space="preserve">El Estado argentino ratificó la Convención </w:t>
      </w:r>
      <w:proofErr w:type="gramStart"/>
      <w:r w:rsidRPr="009310E6">
        <w:rPr>
          <w:rFonts w:ascii="Cambria" w:hAnsi="Cambria"/>
          <w:sz w:val="22"/>
          <w:szCs w:val="22"/>
          <w:lang w:val="es-PE"/>
        </w:rPr>
        <w:t>Americana</w:t>
      </w:r>
      <w:proofErr w:type="gramEnd"/>
      <w:r w:rsidRPr="009310E6">
        <w:rPr>
          <w:rFonts w:ascii="Cambria" w:hAnsi="Cambria"/>
          <w:sz w:val="22"/>
          <w:szCs w:val="22"/>
          <w:lang w:val="es-PE"/>
        </w:rPr>
        <w:t xml:space="preserve"> sobre Derechos Humanos y aceptó la competencia contenciosa de la Corte Interamericana el 5 de septiembre de 1984. </w:t>
      </w:r>
    </w:p>
    <w:p w:rsidR="004147BF" w:rsidRPr="009310E6" w:rsidRDefault="004147BF" w:rsidP="004147BF">
      <w:pPr>
        <w:tabs>
          <w:tab w:val="left" w:pos="810"/>
        </w:tabs>
        <w:spacing w:after="0" w:line="240" w:lineRule="auto"/>
        <w:ind w:firstLine="720"/>
        <w:jc w:val="both"/>
        <w:rPr>
          <w:rFonts w:ascii="Cambria" w:hAnsi="Cambria"/>
          <w:lang w:val="es-CO"/>
        </w:rPr>
      </w:pPr>
    </w:p>
    <w:p w:rsidR="005A70A1" w:rsidRPr="009310E6" w:rsidRDefault="005A70A1" w:rsidP="004147BF">
      <w:pPr>
        <w:tabs>
          <w:tab w:val="left" w:pos="810"/>
        </w:tabs>
        <w:spacing w:after="0" w:line="240" w:lineRule="auto"/>
        <w:ind w:firstLine="720"/>
        <w:jc w:val="both"/>
        <w:rPr>
          <w:rFonts w:ascii="Cambria" w:hAnsi="Cambria" w:cs="Arial"/>
          <w:lang w:val="es-CO"/>
        </w:rPr>
      </w:pPr>
      <w:r w:rsidRPr="009310E6">
        <w:rPr>
          <w:rFonts w:ascii="Cambria" w:hAnsi="Cambria"/>
          <w:lang w:val="es-CO"/>
        </w:rPr>
        <w:t>La CIDH ha designado al Comisionado Luis Ernesto Vargas Silva y al Secretario Ejecutivo Paulo Abr</w:t>
      </w:r>
      <w:r w:rsidRPr="009310E6">
        <w:rPr>
          <w:rFonts w:ascii="Cambria" w:hAnsi="Cambria"/>
          <w:lang w:val="es-PE"/>
        </w:rPr>
        <w:t xml:space="preserve">ão, </w:t>
      </w:r>
      <w:r w:rsidRPr="009310E6">
        <w:rPr>
          <w:rFonts w:ascii="Cambria" w:hAnsi="Cambria"/>
          <w:lang w:val="es-CO"/>
        </w:rPr>
        <w:t xml:space="preserve">como sus delegados. Asimismo, Silvia Serrano Guzmán y </w:t>
      </w:r>
      <w:r w:rsidR="009A1000" w:rsidRPr="009310E6">
        <w:rPr>
          <w:rFonts w:ascii="Cambria" w:hAnsi="Cambria"/>
          <w:lang w:val="es-CO"/>
        </w:rPr>
        <w:t xml:space="preserve">Piero Vásquez Agüero, </w:t>
      </w:r>
      <w:r w:rsidRPr="009310E6">
        <w:rPr>
          <w:rFonts w:ascii="Cambria" w:hAnsi="Cambria"/>
          <w:lang w:val="es-ES"/>
        </w:rPr>
        <w:t xml:space="preserve">abogada y abogado de la Secretaría Ejecutiva, </w:t>
      </w:r>
      <w:r w:rsidRPr="009310E6">
        <w:rPr>
          <w:rFonts w:ascii="Cambria" w:hAnsi="Cambria"/>
          <w:lang w:val="es-CO"/>
        </w:rPr>
        <w:t xml:space="preserve">actuarán como asesora y </w:t>
      </w:r>
      <w:proofErr w:type="gramStart"/>
      <w:r w:rsidRPr="009310E6">
        <w:rPr>
          <w:rFonts w:ascii="Cambria" w:hAnsi="Cambria"/>
          <w:lang w:val="es-CO"/>
        </w:rPr>
        <w:t>asesor legales</w:t>
      </w:r>
      <w:proofErr w:type="gramEnd"/>
      <w:r w:rsidRPr="009310E6">
        <w:rPr>
          <w:rFonts w:ascii="Cambria" w:hAnsi="Cambria"/>
          <w:lang w:val="es-CO"/>
        </w:rPr>
        <w:t>.</w:t>
      </w:r>
    </w:p>
    <w:p w:rsidR="005A70A1" w:rsidRPr="009310E6" w:rsidRDefault="005A70A1" w:rsidP="004147BF">
      <w:pPr>
        <w:widowControl w:val="0"/>
        <w:tabs>
          <w:tab w:val="left" w:pos="810"/>
        </w:tabs>
        <w:autoSpaceDE w:val="0"/>
        <w:autoSpaceDN w:val="0"/>
        <w:adjustRightInd w:val="0"/>
        <w:spacing w:after="0" w:line="240" w:lineRule="auto"/>
        <w:jc w:val="both"/>
        <w:rPr>
          <w:rFonts w:ascii="Cambria" w:hAnsi="Cambria" w:cs="Arial"/>
          <w:lang w:val="es-ES"/>
        </w:rPr>
      </w:pPr>
    </w:p>
    <w:p w:rsidR="005A70A1" w:rsidRPr="009310E6" w:rsidRDefault="005A70A1" w:rsidP="004147BF">
      <w:pPr>
        <w:widowControl w:val="0"/>
        <w:tabs>
          <w:tab w:val="left" w:pos="810"/>
        </w:tabs>
        <w:autoSpaceDE w:val="0"/>
        <w:autoSpaceDN w:val="0"/>
        <w:adjustRightInd w:val="0"/>
        <w:spacing w:after="0" w:line="240" w:lineRule="auto"/>
        <w:jc w:val="both"/>
        <w:rPr>
          <w:rFonts w:ascii="Cambria" w:hAnsi="Cambria" w:cs="Arial"/>
          <w:lang w:val="es-ES"/>
        </w:rPr>
      </w:pPr>
    </w:p>
    <w:p w:rsidR="005A70A1" w:rsidRPr="009310E6" w:rsidRDefault="005A70A1" w:rsidP="004147BF">
      <w:pPr>
        <w:widowControl w:val="0"/>
        <w:tabs>
          <w:tab w:val="left" w:pos="810"/>
        </w:tabs>
        <w:autoSpaceDE w:val="0"/>
        <w:autoSpaceDN w:val="0"/>
        <w:adjustRightInd w:val="0"/>
        <w:spacing w:after="0" w:line="240" w:lineRule="auto"/>
        <w:jc w:val="both"/>
        <w:rPr>
          <w:rFonts w:ascii="Cambria" w:hAnsi="Cambria" w:cs="Arial"/>
          <w:lang w:val="es-ES"/>
        </w:rPr>
      </w:pPr>
    </w:p>
    <w:p w:rsidR="005A70A1" w:rsidRPr="009310E6" w:rsidRDefault="005A70A1" w:rsidP="004147BF">
      <w:pPr>
        <w:widowControl w:val="0"/>
        <w:tabs>
          <w:tab w:val="left" w:pos="810"/>
        </w:tabs>
        <w:autoSpaceDE w:val="0"/>
        <w:autoSpaceDN w:val="0"/>
        <w:adjustRightInd w:val="0"/>
        <w:spacing w:after="0" w:line="240" w:lineRule="auto"/>
        <w:jc w:val="both"/>
        <w:rPr>
          <w:rFonts w:ascii="Cambria" w:hAnsi="Cambria" w:cs="Arial"/>
          <w:snapToGrid w:val="0"/>
          <w:lang w:val="es-CO"/>
        </w:rPr>
      </w:pPr>
      <w:r w:rsidRPr="009310E6">
        <w:rPr>
          <w:rFonts w:ascii="Cambria" w:hAnsi="Cambria" w:cs="Arial"/>
          <w:snapToGrid w:val="0"/>
          <w:lang w:val="es-ES_tradnl"/>
        </w:rPr>
        <w:t>Señor</w:t>
      </w:r>
    </w:p>
    <w:p w:rsidR="005A70A1" w:rsidRPr="009310E6" w:rsidRDefault="005A70A1" w:rsidP="004147BF">
      <w:pPr>
        <w:widowControl w:val="0"/>
        <w:tabs>
          <w:tab w:val="left" w:pos="810"/>
        </w:tabs>
        <w:autoSpaceDE w:val="0"/>
        <w:autoSpaceDN w:val="0"/>
        <w:adjustRightInd w:val="0"/>
        <w:spacing w:after="0" w:line="240" w:lineRule="auto"/>
        <w:jc w:val="both"/>
        <w:rPr>
          <w:rFonts w:ascii="Cambria" w:hAnsi="Cambria" w:cs="Arial"/>
          <w:snapToGrid w:val="0"/>
          <w:lang w:val="es-CO"/>
        </w:rPr>
      </w:pPr>
      <w:r w:rsidRPr="009310E6">
        <w:rPr>
          <w:rFonts w:ascii="Cambria" w:hAnsi="Cambria" w:cs="Arial"/>
          <w:snapToGrid w:val="0"/>
          <w:lang w:val="es-CO"/>
        </w:rPr>
        <w:t xml:space="preserve">Pablo </w:t>
      </w:r>
      <w:r w:rsidRPr="009310E6">
        <w:rPr>
          <w:rFonts w:ascii="Cambria" w:hAnsi="Cambria"/>
          <w:lang w:val="es-ES"/>
        </w:rPr>
        <w:t>Saavedra</w:t>
      </w:r>
      <w:r w:rsidRPr="009310E6">
        <w:rPr>
          <w:rFonts w:ascii="Cambria" w:hAnsi="Cambria" w:cs="Arial"/>
          <w:snapToGrid w:val="0"/>
          <w:lang w:val="es-CO"/>
        </w:rPr>
        <w:t xml:space="preserve"> Alessandri, Secretario</w:t>
      </w:r>
    </w:p>
    <w:p w:rsidR="005A70A1" w:rsidRPr="009310E6" w:rsidRDefault="005A70A1" w:rsidP="004147BF">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9310E6">
        <w:rPr>
          <w:rFonts w:ascii="Cambria" w:hAnsi="Cambria" w:cs="Arial"/>
          <w:snapToGrid w:val="0"/>
          <w:lang w:val="es-ES_tradnl"/>
        </w:rPr>
        <w:t>Corte Interamericana de Derechos Humanos</w:t>
      </w:r>
    </w:p>
    <w:p w:rsidR="005A70A1" w:rsidRPr="009310E6" w:rsidRDefault="005A70A1" w:rsidP="004147BF">
      <w:pPr>
        <w:widowControl w:val="0"/>
        <w:tabs>
          <w:tab w:val="left" w:pos="810"/>
        </w:tabs>
        <w:autoSpaceDE w:val="0"/>
        <w:autoSpaceDN w:val="0"/>
        <w:adjustRightInd w:val="0"/>
        <w:spacing w:after="0" w:line="240" w:lineRule="auto"/>
        <w:jc w:val="both"/>
        <w:rPr>
          <w:rFonts w:ascii="Cambria" w:hAnsi="Cambria" w:cs="Arial"/>
          <w:snapToGrid w:val="0"/>
          <w:lang w:val="es-ES_tradnl"/>
        </w:rPr>
      </w:pPr>
      <w:r w:rsidRPr="009310E6">
        <w:rPr>
          <w:rFonts w:ascii="Cambria" w:hAnsi="Cambria" w:cs="Arial"/>
          <w:snapToGrid w:val="0"/>
          <w:lang w:val="es-ES_tradnl"/>
        </w:rPr>
        <w:t>Apartado 6906-</w:t>
      </w:r>
      <w:proofErr w:type="gramStart"/>
      <w:r w:rsidRPr="009310E6">
        <w:rPr>
          <w:rFonts w:ascii="Cambria" w:hAnsi="Cambria" w:cs="Arial"/>
          <w:snapToGrid w:val="0"/>
          <w:lang w:val="es-ES_tradnl"/>
        </w:rPr>
        <w:t>1000,San</w:t>
      </w:r>
      <w:proofErr w:type="gramEnd"/>
      <w:r w:rsidRPr="009310E6">
        <w:rPr>
          <w:rFonts w:ascii="Cambria" w:hAnsi="Cambria" w:cs="Arial"/>
          <w:snapToGrid w:val="0"/>
          <w:lang w:val="es-ES_tradnl"/>
        </w:rPr>
        <w:t xml:space="preserve"> José, Costa Rica</w:t>
      </w:r>
    </w:p>
    <w:p w:rsidR="005A70A1" w:rsidRPr="009310E6" w:rsidRDefault="005A70A1" w:rsidP="004147BF">
      <w:pPr>
        <w:widowControl w:val="0"/>
        <w:tabs>
          <w:tab w:val="left" w:pos="810"/>
        </w:tabs>
        <w:autoSpaceDE w:val="0"/>
        <w:autoSpaceDN w:val="0"/>
        <w:adjustRightInd w:val="0"/>
        <w:spacing w:after="0" w:line="240" w:lineRule="auto"/>
        <w:jc w:val="both"/>
        <w:rPr>
          <w:rFonts w:ascii="Cambria" w:hAnsi="Cambria" w:cs="Arial"/>
          <w:lang w:val="es-ES"/>
        </w:rPr>
      </w:pPr>
    </w:p>
    <w:p w:rsidR="005A70A1" w:rsidRPr="009310E6" w:rsidRDefault="005A70A1" w:rsidP="004147BF">
      <w:pPr>
        <w:widowControl w:val="0"/>
        <w:tabs>
          <w:tab w:val="left" w:pos="810"/>
        </w:tabs>
        <w:autoSpaceDE w:val="0"/>
        <w:autoSpaceDN w:val="0"/>
        <w:adjustRightInd w:val="0"/>
        <w:spacing w:after="0" w:line="240" w:lineRule="auto"/>
        <w:jc w:val="both"/>
        <w:rPr>
          <w:rFonts w:ascii="Cambria" w:hAnsi="Cambria" w:cs="Arial"/>
          <w:lang w:val="es-ES"/>
        </w:rPr>
      </w:pPr>
    </w:p>
    <w:p w:rsidR="008E6EF4" w:rsidRPr="008E6EF4" w:rsidRDefault="005A70A1" w:rsidP="008E6EF4">
      <w:pPr>
        <w:tabs>
          <w:tab w:val="left" w:pos="810"/>
        </w:tabs>
        <w:spacing w:after="0" w:line="240" w:lineRule="auto"/>
        <w:ind w:firstLine="720"/>
        <w:jc w:val="both"/>
        <w:rPr>
          <w:rFonts w:ascii="Cambria" w:hAnsi="Cambria"/>
          <w:lang w:val="es-AR"/>
        </w:rPr>
      </w:pPr>
      <w:r w:rsidRPr="009310E6">
        <w:rPr>
          <w:rFonts w:ascii="Cambria" w:hAnsi="Cambria"/>
          <w:lang w:val="es-CO"/>
        </w:rPr>
        <w:lastRenderedPageBreak/>
        <w:tab/>
      </w:r>
      <w:r w:rsidR="008E6EF4" w:rsidRPr="008E6EF4">
        <w:rPr>
          <w:rFonts w:ascii="Cambria" w:hAnsi="Cambria" w:cs="Arial"/>
          <w:lang w:val="es-CO"/>
        </w:rPr>
        <w:t xml:space="preserve">De conformidad con el artículo 35 del Reglamento de la Corte Interamericana, la Comisión adjunta </w:t>
      </w:r>
      <w:r w:rsidR="008E6EF4" w:rsidRPr="008E6EF4">
        <w:rPr>
          <w:rFonts w:ascii="Cambria" w:hAnsi="Cambria"/>
          <w:lang w:val="es-CO"/>
        </w:rPr>
        <w:t>copia del Informe de Fondo Nº 9</w:t>
      </w:r>
      <w:r w:rsidR="008E6EF4">
        <w:rPr>
          <w:rFonts w:ascii="Cambria" w:hAnsi="Cambria"/>
          <w:lang w:val="es-CO"/>
        </w:rPr>
        <w:t>7</w:t>
      </w:r>
      <w:r w:rsidR="008E6EF4" w:rsidRPr="008E6EF4">
        <w:rPr>
          <w:rFonts w:ascii="Cambria" w:hAnsi="Cambria"/>
          <w:lang w:val="es-CO"/>
        </w:rPr>
        <w:t>/17 elaborado en observancia del artículo 50 de la Convención, así como copia de la totalidad del expediente ante la Comisión Interamericana (Apéndice I) y los anexos utilizados en la elaboración del Informe Nº 9</w:t>
      </w:r>
      <w:r w:rsidR="008E6EF4">
        <w:rPr>
          <w:rFonts w:ascii="Cambria" w:hAnsi="Cambria"/>
          <w:lang w:val="es-CO"/>
        </w:rPr>
        <w:t>7</w:t>
      </w:r>
      <w:r w:rsidR="008E6EF4" w:rsidRPr="008E6EF4">
        <w:rPr>
          <w:rFonts w:ascii="Cambria" w:hAnsi="Cambria"/>
          <w:lang w:val="es-CO"/>
        </w:rPr>
        <w:t xml:space="preserve">/17 (Anexos). </w:t>
      </w:r>
    </w:p>
    <w:p w:rsidR="008E6EF4" w:rsidRPr="009310E6" w:rsidRDefault="008E6EF4" w:rsidP="004147BF">
      <w:pPr>
        <w:tabs>
          <w:tab w:val="left" w:pos="810"/>
        </w:tabs>
        <w:spacing w:after="0" w:line="240" w:lineRule="auto"/>
        <w:jc w:val="both"/>
        <w:rPr>
          <w:rFonts w:ascii="Cambria" w:hAnsi="Cambria"/>
          <w:lang w:val="es-CO"/>
        </w:rPr>
      </w:pPr>
    </w:p>
    <w:p w:rsidR="00B76DB6" w:rsidRPr="009310E6" w:rsidRDefault="008E6EF4" w:rsidP="004147BF">
      <w:pPr>
        <w:tabs>
          <w:tab w:val="left" w:pos="810"/>
        </w:tabs>
        <w:spacing w:after="0" w:line="240" w:lineRule="auto"/>
        <w:jc w:val="both"/>
        <w:rPr>
          <w:rFonts w:ascii="Cambria" w:hAnsi="Cambria"/>
          <w:lang w:val="es-AR"/>
        </w:rPr>
      </w:pPr>
      <w:r w:rsidRPr="009310E6">
        <w:rPr>
          <w:rFonts w:ascii="Cambria" w:hAnsi="Cambria"/>
          <w:lang w:val="es-CO"/>
        </w:rPr>
        <w:tab/>
      </w:r>
      <w:r w:rsidR="005A70A1" w:rsidRPr="009310E6">
        <w:rPr>
          <w:rFonts w:ascii="Cambria" w:hAnsi="Cambria"/>
          <w:lang w:val="es-CO"/>
        </w:rPr>
        <w:t xml:space="preserve">Dicho Informe de Fondo </w:t>
      </w:r>
      <w:r w:rsidR="005A70A1" w:rsidRPr="009310E6">
        <w:rPr>
          <w:rFonts w:ascii="Cambria" w:hAnsi="Cambria"/>
          <w:lang w:val="es-AR"/>
        </w:rPr>
        <w:t xml:space="preserve">fue notificado al Estado el </w:t>
      </w:r>
      <w:r w:rsidR="00750A54" w:rsidRPr="009310E6">
        <w:rPr>
          <w:rFonts w:ascii="Cambria" w:hAnsi="Cambria"/>
          <w:lang w:val="es-AR"/>
        </w:rPr>
        <w:t>4</w:t>
      </w:r>
      <w:r w:rsidR="005A70A1" w:rsidRPr="009310E6">
        <w:rPr>
          <w:rFonts w:ascii="Cambria" w:hAnsi="Cambria"/>
          <w:lang w:val="es-AR"/>
        </w:rPr>
        <w:t xml:space="preserve"> de octubre de 2017, otorgándole dos meses para informar sobre el cumplimiento de las recomendaciones.  La Comisión Interamericana otorgó </w:t>
      </w:r>
      <w:r w:rsidR="00750A54" w:rsidRPr="009310E6">
        <w:rPr>
          <w:rFonts w:ascii="Cambria" w:hAnsi="Cambria"/>
          <w:lang w:val="es-AR"/>
        </w:rPr>
        <w:t xml:space="preserve">tres prórrogas </w:t>
      </w:r>
      <w:r w:rsidR="005A70A1" w:rsidRPr="009310E6">
        <w:rPr>
          <w:rFonts w:ascii="Cambria" w:hAnsi="Cambria"/>
          <w:lang w:val="es-AR"/>
        </w:rPr>
        <w:t>al Estado argentino, a fin de que informara sobre el cumpl</w:t>
      </w:r>
      <w:r w:rsidR="00750A54" w:rsidRPr="009310E6">
        <w:rPr>
          <w:rFonts w:ascii="Cambria" w:hAnsi="Cambria"/>
          <w:lang w:val="es-AR"/>
        </w:rPr>
        <w:t xml:space="preserve">imiento de las recomendaciones. Respecto de la </w:t>
      </w:r>
      <w:r w:rsidR="00750A54" w:rsidRPr="009310E6">
        <w:rPr>
          <w:rFonts w:ascii="Cambria" w:hAnsi="Cambria"/>
          <w:b/>
          <w:lang w:val="es-AR"/>
        </w:rPr>
        <w:t>recomendación número uno</w:t>
      </w:r>
      <w:r w:rsidR="00750A54" w:rsidRPr="009310E6">
        <w:rPr>
          <w:rFonts w:ascii="Cambria" w:hAnsi="Cambria"/>
          <w:lang w:val="es-AR"/>
        </w:rPr>
        <w:t xml:space="preserve">, el Estado informó que las víctimas cumplieron sus condenas y que operó la caducidad de sus registros. La parte peticionaria no objetó la información aportada por el Estado. Sin embargo, respecto de la </w:t>
      </w:r>
      <w:r w:rsidR="00750A54" w:rsidRPr="009310E6">
        <w:rPr>
          <w:rFonts w:ascii="Cambria" w:hAnsi="Cambria"/>
          <w:b/>
          <w:lang w:val="es-AR"/>
        </w:rPr>
        <w:t>recomendació</w:t>
      </w:r>
      <w:r w:rsidR="00B76DB6" w:rsidRPr="009310E6">
        <w:rPr>
          <w:rFonts w:ascii="Cambria" w:hAnsi="Cambria"/>
          <w:b/>
          <w:lang w:val="es-AR"/>
        </w:rPr>
        <w:t>n número dos</w:t>
      </w:r>
      <w:r w:rsidR="00750A54" w:rsidRPr="009310E6">
        <w:rPr>
          <w:rFonts w:ascii="Cambria" w:hAnsi="Cambria"/>
          <w:lang w:val="es-AR"/>
        </w:rPr>
        <w:t>, el Estado se limitó a indicar que se encontraba explorando la posibilidad de constituir un “tribunal ad hoc” a fin de que determine el monto de las reparaciones. El Estado no aportó información concreta sobre la constitución de dicho tribunal, incluyendo las determinaciones respectivas. Tampoco aportó una propuesta de reparación a las v</w:t>
      </w:r>
      <w:r w:rsidR="00B76DB6" w:rsidRPr="009310E6">
        <w:rPr>
          <w:rFonts w:ascii="Cambria" w:hAnsi="Cambria"/>
          <w:lang w:val="es-AR"/>
        </w:rPr>
        <w:t xml:space="preserve">íctimas, por lo que la segunda recomendación se encuentra incumplida. En cuanto a </w:t>
      </w:r>
      <w:r w:rsidR="00750A54" w:rsidRPr="009310E6">
        <w:rPr>
          <w:rFonts w:ascii="Cambria" w:hAnsi="Cambria"/>
          <w:lang w:val="es-AR"/>
        </w:rPr>
        <w:t xml:space="preserve">la </w:t>
      </w:r>
      <w:r w:rsidR="00750A54" w:rsidRPr="009310E6">
        <w:rPr>
          <w:rFonts w:ascii="Cambria" w:hAnsi="Cambria"/>
          <w:b/>
          <w:lang w:val="es-AR"/>
        </w:rPr>
        <w:t>recomendación número tres</w:t>
      </w:r>
      <w:r w:rsidR="00750A54" w:rsidRPr="009310E6">
        <w:rPr>
          <w:rFonts w:ascii="Cambria" w:hAnsi="Cambria"/>
          <w:lang w:val="es-AR"/>
        </w:rPr>
        <w:t xml:space="preserve">, </w:t>
      </w:r>
      <w:r w:rsidR="00B76DB6" w:rsidRPr="009310E6">
        <w:rPr>
          <w:rFonts w:ascii="Cambria" w:hAnsi="Cambria"/>
          <w:lang w:val="es-AR"/>
        </w:rPr>
        <w:t>e</w:t>
      </w:r>
      <w:r w:rsidR="00B76DB6" w:rsidRPr="00AA3296">
        <w:rPr>
          <w:rFonts w:ascii="Cambria" w:hAnsi="Cambria"/>
          <w:lang w:val="es-ES"/>
        </w:rPr>
        <w:t>l Estado informó que desde 2005, el Superior Tribunal de la Provincia de Córdoba, a través de la Sala Penal, ha seguido un criterio amplio con relación a las condiciones de admisibilidad el recurso de casación.</w:t>
      </w:r>
      <w:r w:rsidR="00AA3296">
        <w:rPr>
          <w:rFonts w:ascii="Cambria" w:hAnsi="Cambria"/>
          <w:lang w:val="es-ES"/>
        </w:rPr>
        <w:t xml:space="preserve"> Sin embargo, respecto de la reforma legislativa recomendada, se limitó a señalar que </w:t>
      </w:r>
      <w:r w:rsidR="00AA3296" w:rsidRPr="00AA3296">
        <w:rPr>
          <w:rFonts w:ascii="Cambria" w:hAnsi="Cambria"/>
          <w:lang w:val="es-ES"/>
        </w:rPr>
        <w:t>desde diciembre de 2016 se estableció una Comisión de Reforma Procesal en la Provincia de Córdoba, cuyo objetivo principal es elaborar “una reforma integral por cuanto resulta necesario adecuar la legislación vigente en la materia a los nuevos paradigmas en materia de funcionamiento de los sistemas judiciales. Destacó que dicha comisión se encuentra en funcionamiento y uno de sus ejes de estudio es el sistema recursivo.</w:t>
      </w:r>
      <w:r w:rsidR="00B76DB6" w:rsidRPr="00AA3296">
        <w:rPr>
          <w:rFonts w:ascii="Cambria" w:hAnsi="Cambria"/>
          <w:lang w:val="es-ES"/>
        </w:rPr>
        <w:t xml:space="preserve">  </w:t>
      </w:r>
    </w:p>
    <w:p w:rsidR="00B76DB6" w:rsidRPr="009310E6" w:rsidRDefault="00B76DB6" w:rsidP="004147BF">
      <w:pPr>
        <w:tabs>
          <w:tab w:val="left" w:pos="810"/>
        </w:tabs>
        <w:spacing w:after="0" w:line="240" w:lineRule="auto"/>
        <w:jc w:val="both"/>
        <w:rPr>
          <w:rFonts w:ascii="Cambria" w:hAnsi="Cambria"/>
          <w:lang w:val="es-AR"/>
        </w:rPr>
      </w:pPr>
    </w:p>
    <w:p w:rsidR="007C4636" w:rsidRPr="009310E6" w:rsidRDefault="00AA3296" w:rsidP="007C4636">
      <w:pPr>
        <w:tabs>
          <w:tab w:val="left" w:pos="810"/>
        </w:tabs>
        <w:spacing w:after="0" w:line="240" w:lineRule="auto"/>
        <w:jc w:val="both"/>
        <w:rPr>
          <w:rFonts w:ascii="Cambria" w:hAnsi="Cambria"/>
          <w:lang w:val="es-CO"/>
        </w:rPr>
      </w:pPr>
      <w:r w:rsidRPr="009310E6">
        <w:rPr>
          <w:rFonts w:ascii="Cambria" w:hAnsi="Cambria"/>
          <w:lang w:val="es-AR"/>
        </w:rPr>
        <w:tab/>
      </w:r>
      <w:r w:rsidR="005A70A1" w:rsidRPr="009310E6">
        <w:rPr>
          <w:rFonts w:ascii="Cambria" w:hAnsi="Cambria"/>
          <w:lang w:val="es-AR"/>
        </w:rPr>
        <w:t>En virtud de lo anterior, l</w:t>
      </w:r>
      <w:r w:rsidR="005A70A1" w:rsidRPr="009310E6">
        <w:rPr>
          <w:rFonts w:ascii="Cambria" w:hAnsi="Cambria"/>
          <w:lang w:val="es-CO"/>
        </w:rPr>
        <w:t>a Comisión Interamericana decidió someter a la jurisdicción de la Corte Interamericana la totalidad de los hechos y violaciones de derechos humanos descritos en el Informe de Fondo Nº 9</w:t>
      </w:r>
      <w:r w:rsidR="00912770" w:rsidRPr="009310E6">
        <w:rPr>
          <w:rFonts w:ascii="Cambria" w:hAnsi="Cambria"/>
          <w:lang w:val="es-CO"/>
        </w:rPr>
        <w:t>7</w:t>
      </w:r>
      <w:r w:rsidR="005A70A1" w:rsidRPr="009310E6">
        <w:rPr>
          <w:rFonts w:ascii="Cambria" w:hAnsi="Cambria"/>
          <w:lang w:val="es-CO"/>
        </w:rPr>
        <w:t xml:space="preserve">/17, ante la necesidad de obtención de justicia </w:t>
      </w:r>
      <w:r w:rsidR="00912770" w:rsidRPr="009310E6">
        <w:rPr>
          <w:rFonts w:ascii="Cambria" w:hAnsi="Cambria"/>
          <w:lang w:val="es-CO"/>
        </w:rPr>
        <w:t xml:space="preserve">y reparación </w:t>
      </w:r>
      <w:r w:rsidR="005A70A1" w:rsidRPr="009310E6">
        <w:rPr>
          <w:rFonts w:ascii="Cambria" w:hAnsi="Cambria"/>
          <w:lang w:val="es-CO"/>
        </w:rPr>
        <w:t xml:space="preserve">para </w:t>
      </w:r>
      <w:proofErr w:type="gramStart"/>
      <w:r w:rsidR="005A70A1" w:rsidRPr="009310E6">
        <w:rPr>
          <w:rFonts w:ascii="Cambria" w:hAnsi="Cambria"/>
          <w:lang w:val="es-CO"/>
        </w:rPr>
        <w:t>la</w:t>
      </w:r>
      <w:r w:rsidR="00912770" w:rsidRPr="009310E6">
        <w:rPr>
          <w:rFonts w:ascii="Cambria" w:hAnsi="Cambria"/>
          <w:lang w:val="es-CO"/>
        </w:rPr>
        <w:t>s víctima</w:t>
      </w:r>
      <w:proofErr w:type="gramEnd"/>
      <w:r w:rsidR="00912770" w:rsidRPr="009310E6">
        <w:rPr>
          <w:rFonts w:ascii="Cambria" w:hAnsi="Cambria"/>
          <w:lang w:val="es-CO"/>
        </w:rPr>
        <w:t xml:space="preserve"> en el caso particular, ante el incumplimiento de las recomendaciones pasados 11 meses desde la notificación del referido Informe. </w:t>
      </w:r>
    </w:p>
    <w:p w:rsidR="007C4636" w:rsidRPr="009310E6" w:rsidRDefault="007C4636" w:rsidP="007C4636">
      <w:pPr>
        <w:tabs>
          <w:tab w:val="left" w:pos="810"/>
        </w:tabs>
        <w:spacing w:after="0" w:line="240" w:lineRule="auto"/>
        <w:jc w:val="both"/>
        <w:rPr>
          <w:rFonts w:ascii="Cambria" w:hAnsi="Cambria"/>
          <w:lang w:val="es-CO"/>
        </w:rPr>
      </w:pPr>
    </w:p>
    <w:p w:rsidR="007C4636" w:rsidRPr="009310E6" w:rsidRDefault="007C4636" w:rsidP="007C4636">
      <w:pPr>
        <w:tabs>
          <w:tab w:val="left" w:pos="810"/>
        </w:tabs>
        <w:spacing w:after="0" w:line="240" w:lineRule="auto"/>
        <w:jc w:val="both"/>
        <w:rPr>
          <w:rFonts w:ascii="Cambria" w:hAnsi="Cambria"/>
          <w:lang w:val="es-CO"/>
        </w:rPr>
      </w:pPr>
      <w:r w:rsidRPr="009310E6">
        <w:rPr>
          <w:rFonts w:ascii="Cambria" w:hAnsi="Cambria"/>
          <w:lang w:val="es-CO"/>
        </w:rPr>
        <w:tab/>
      </w:r>
      <w:r w:rsidR="005A70A1" w:rsidRPr="009310E6">
        <w:rPr>
          <w:rFonts w:ascii="Cambria" w:hAnsi="Cambria"/>
          <w:lang w:val="es-CO"/>
        </w:rPr>
        <w:t>En ese sentido, la Comisión solicita a la Corte que concluya y declare que el</w:t>
      </w:r>
      <w:r w:rsidR="005A70A1" w:rsidRPr="009310E6">
        <w:rPr>
          <w:rFonts w:ascii="Cambria" w:hAnsi="Cambria" w:cs="Arial"/>
          <w:lang w:val="es-CL"/>
        </w:rPr>
        <w:t xml:space="preserve"> Estado de Argentina</w:t>
      </w:r>
      <w:r w:rsidR="005A70A1" w:rsidRPr="009310E6">
        <w:rPr>
          <w:rFonts w:ascii="Cambria" w:eastAsia="Times New Roman" w:hAnsi="Cambria"/>
          <w:lang w:val="es-ES_tradnl"/>
        </w:rPr>
        <w:t xml:space="preserve"> es </w:t>
      </w:r>
      <w:r w:rsidR="005A70A1" w:rsidRPr="009310E6">
        <w:rPr>
          <w:rFonts w:ascii="Cambria" w:hAnsi="Cambria" w:cs="Verdana"/>
          <w:lang w:val="es-VE"/>
        </w:rPr>
        <w:t xml:space="preserve">responsable </w:t>
      </w:r>
      <w:r w:rsidR="005A70A1" w:rsidRPr="009310E6">
        <w:rPr>
          <w:rFonts w:ascii="Cambria" w:hAnsi="Cambria"/>
          <w:lang w:val="es-CL"/>
        </w:rPr>
        <w:t xml:space="preserve">por la violación de los derechos a recurrir el fallo y a la protección judicial consagrados en los artículos 8.2 h) y 25.1 de la Convención Americana en relación con las obligaciones establecidas en los artículos 1.1 y 2 del mismo instrumento, en perjuicio de </w:t>
      </w:r>
      <w:r w:rsidRPr="009310E6">
        <w:rPr>
          <w:rFonts w:ascii="Cambria" w:hAnsi="Cambria"/>
          <w:lang w:val="es-CL"/>
        </w:rPr>
        <w:t>Julio César Ramón Del Valle Ambrosio y Carlos Eduardo Domínguez Linares.</w:t>
      </w:r>
      <w:r w:rsidRPr="0033784B">
        <w:rPr>
          <w:sz w:val="20"/>
          <w:szCs w:val="20"/>
          <w:lang w:val="es-CL"/>
        </w:rPr>
        <w:t xml:space="preserve"> </w:t>
      </w:r>
    </w:p>
    <w:p w:rsidR="005A70A1" w:rsidRPr="009310E6" w:rsidRDefault="005A70A1" w:rsidP="004147BF">
      <w:pPr>
        <w:tabs>
          <w:tab w:val="left" w:pos="810"/>
        </w:tabs>
        <w:spacing w:after="0" w:line="240" w:lineRule="auto"/>
        <w:ind w:firstLine="720"/>
        <w:jc w:val="both"/>
        <w:rPr>
          <w:rFonts w:ascii="Cambria" w:hAnsi="Cambria" w:cs="Verdana"/>
          <w:lang w:val="es-CL"/>
        </w:rPr>
      </w:pPr>
    </w:p>
    <w:p w:rsidR="005A70A1" w:rsidRPr="009310E6" w:rsidRDefault="005A70A1" w:rsidP="007A11FF">
      <w:pPr>
        <w:tabs>
          <w:tab w:val="left" w:pos="810"/>
        </w:tabs>
        <w:autoSpaceDE w:val="0"/>
        <w:autoSpaceDN w:val="0"/>
        <w:adjustRightInd w:val="0"/>
        <w:spacing w:after="0" w:line="240" w:lineRule="auto"/>
        <w:ind w:firstLine="720"/>
        <w:jc w:val="both"/>
        <w:rPr>
          <w:rFonts w:ascii="Cambria" w:hAnsi="Cambria"/>
          <w:lang w:val="es-CO"/>
        </w:rPr>
      </w:pPr>
      <w:r w:rsidRPr="009310E6">
        <w:rPr>
          <w:rFonts w:ascii="Cambria" w:hAnsi="Cambria"/>
          <w:lang w:val="es-CO"/>
        </w:rPr>
        <w:t>La Comisión solicita a la Corte Interamericana que establezca las siguientes medidas de reparación:</w:t>
      </w:r>
    </w:p>
    <w:p w:rsidR="005A70A1" w:rsidRPr="009310E6" w:rsidRDefault="005A70A1" w:rsidP="007A11FF">
      <w:pPr>
        <w:tabs>
          <w:tab w:val="left" w:pos="720"/>
          <w:tab w:val="left" w:pos="810"/>
          <w:tab w:val="left" w:pos="1080"/>
        </w:tabs>
        <w:autoSpaceDE w:val="0"/>
        <w:autoSpaceDN w:val="0"/>
        <w:adjustRightInd w:val="0"/>
        <w:spacing w:after="0" w:line="240" w:lineRule="auto"/>
        <w:ind w:firstLine="720"/>
        <w:jc w:val="both"/>
        <w:rPr>
          <w:rFonts w:ascii="Cambria" w:hAnsi="Cambria"/>
          <w:lang w:val="es-CO"/>
        </w:rPr>
      </w:pPr>
    </w:p>
    <w:p w:rsidR="00311B9D" w:rsidRPr="007A11FF" w:rsidRDefault="00311B9D" w:rsidP="007A11FF">
      <w:pPr>
        <w:pStyle w:val="Sangra3detindependien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990"/>
          <w:tab w:val="num" w:pos="720"/>
          <w:tab w:val="left" w:pos="1080"/>
        </w:tabs>
        <w:spacing w:after="0"/>
        <w:ind w:left="0" w:firstLine="720"/>
        <w:jc w:val="both"/>
        <w:rPr>
          <w:rFonts w:ascii="Cambria" w:hAnsi="Cambria"/>
          <w:spacing w:val="-2"/>
          <w:sz w:val="22"/>
          <w:szCs w:val="22"/>
          <w:lang w:val="es-ES"/>
        </w:rPr>
      </w:pPr>
      <w:r w:rsidRPr="007A11FF">
        <w:rPr>
          <w:rFonts w:ascii="Cambria" w:hAnsi="Cambria"/>
          <w:spacing w:val="-2"/>
          <w:sz w:val="22"/>
          <w:szCs w:val="22"/>
          <w:lang w:val="es-ES"/>
        </w:rPr>
        <w:t>Reparar integralmente las violaciones declaradas en el informe, incluyendo el daño material e inmaterial.</w:t>
      </w:r>
    </w:p>
    <w:p w:rsidR="00311B9D" w:rsidRPr="007A11FF" w:rsidRDefault="00311B9D" w:rsidP="007A11FF">
      <w:pPr>
        <w:pStyle w:val="Sangra3detindependiente"/>
        <w:pBdr>
          <w:top w:val="none" w:sz="0" w:space="0" w:color="auto"/>
          <w:left w:val="none" w:sz="0" w:space="0" w:color="auto"/>
          <w:bottom w:val="none" w:sz="0" w:space="0" w:color="auto"/>
          <w:right w:val="none" w:sz="0" w:space="0" w:color="auto"/>
          <w:between w:val="none" w:sz="0" w:space="0" w:color="auto"/>
          <w:bar w:val="none" w:sz="0" w:color="auto"/>
        </w:pBdr>
        <w:tabs>
          <w:tab w:val="num" w:pos="720"/>
          <w:tab w:val="left" w:pos="1080"/>
        </w:tabs>
        <w:spacing w:after="0"/>
        <w:ind w:left="0" w:firstLine="720"/>
        <w:jc w:val="both"/>
        <w:rPr>
          <w:rFonts w:ascii="Cambria" w:hAnsi="Cambria"/>
          <w:spacing w:val="-2"/>
          <w:sz w:val="22"/>
          <w:szCs w:val="22"/>
          <w:lang w:val="es-ES"/>
        </w:rPr>
      </w:pPr>
    </w:p>
    <w:p w:rsidR="00311B9D" w:rsidRPr="007A11FF" w:rsidRDefault="00311B9D" w:rsidP="007A11FF">
      <w:pPr>
        <w:pStyle w:val="Sangra3detindependiente"/>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990"/>
          <w:tab w:val="num" w:pos="720"/>
          <w:tab w:val="left" w:pos="1080"/>
        </w:tabs>
        <w:spacing w:after="0"/>
        <w:ind w:left="0" w:firstLine="720"/>
        <w:jc w:val="both"/>
        <w:rPr>
          <w:rFonts w:ascii="Cambria" w:hAnsi="Cambria"/>
          <w:spacing w:val="-2"/>
          <w:sz w:val="22"/>
          <w:szCs w:val="22"/>
          <w:lang w:val="es-ES"/>
        </w:rPr>
      </w:pPr>
      <w:r w:rsidRPr="007A11FF">
        <w:rPr>
          <w:rFonts w:ascii="Cambria" w:hAnsi="Cambria"/>
          <w:spacing w:val="-2"/>
          <w:sz w:val="22"/>
          <w:szCs w:val="22"/>
          <w:lang w:val="es-ES"/>
        </w:rPr>
        <w:t xml:space="preserve">Disponer las medidas legislativas necesarias para adecuar la legislación interna relativa al recurso de casación a los estándares establecidos en el informe sobre el derecho consagrado en el artículo 8.2 h) de la Convención Americana. Asimismo, y de manera independiente a la adecuación normativa, asegurar que las autoridades judiciales ejerzan un control de convencionalidad al momento de resolver los </w:t>
      </w:r>
      <w:proofErr w:type="gramStart"/>
      <w:r w:rsidRPr="007A11FF">
        <w:rPr>
          <w:rFonts w:ascii="Cambria" w:hAnsi="Cambria"/>
          <w:spacing w:val="-2"/>
          <w:sz w:val="22"/>
          <w:szCs w:val="22"/>
          <w:lang w:val="es-ES"/>
        </w:rPr>
        <w:t>recursos  contra</w:t>
      </w:r>
      <w:proofErr w:type="gramEnd"/>
      <w:r w:rsidRPr="007A11FF">
        <w:rPr>
          <w:rFonts w:ascii="Cambria" w:hAnsi="Cambria"/>
          <w:spacing w:val="-2"/>
          <w:sz w:val="22"/>
          <w:szCs w:val="22"/>
          <w:lang w:val="es-ES"/>
        </w:rPr>
        <w:t xml:space="preserve"> sentencias condenatorias, de forma consistente con los estándares establecidos en el informe. </w:t>
      </w:r>
    </w:p>
    <w:p w:rsidR="005A70A1" w:rsidRPr="009310E6" w:rsidRDefault="005A70A1" w:rsidP="004147BF">
      <w:pPr>
        <w:tabs>
          <w:tab w:val="left" w:pos="720"/>
          <w:tab w:val="left" w:pos="810"/>
        </w:tabs>
        <w:autoSpaceDE w:val="0"/>
        <w:autoSpaceDN w:val="0"/>
        <w:adjustRightInd w:val="0"/>
        <w:spacing w:after="0" w:line="240" w:lineRule="auto"/>
        <w:ind w:right="720"/>
        <w:jc w:val="both"/>
        <w:rPr>
          <w:rFonts w:ascii="Cambria" w:hAnsi="Cambria"/>
          <w:lang w:val="es-ES"/>
        </w:rPr>
      </w:pPr>
    </w:p>
    <w:p w:rsidR="00311B9D" w:rsidRPr="009310E6" w:rsidRDefault="00311B9D" w:rsidP="004147BF">
      <w:pPr>
        <w:tabs>
          <w:tab w:val="left" w:pos="720"/>
          <w:tab w:val="left" w:pos="810"/>
        </w:tabs>
        <w:autoSpaceDE w:val="0"/>
        <w:autoSpaceDN w:val="0"/>
        <w:adjustRightInd w:val="0"/>
        <w:spacing w:after="0" w:line="240" w:lineRule="auto"/>
        <w:ind w:right="720"/>
        <w:jc w:val="both"/>
        <w:rPr>
          <w:rFonts w:ascii="Cambria" w:hAnsi="Cambria"/>
          <w:lang w:val="es-CO"/>
        </w:rPr>
      </w:pPr>
    </w:p>
    <w:p w:rsidR="005A70A1" w:rsidRPr="009310E6" w:rsidRDefault="005A70A1" w:rsidP="004147BF">
      <w:pPr>
        <w:tabs>
          <w:tab w:val="left" w:pos="720"/>
          <w:tab w:val="left" w:pos="2880"/>
        </w:tabs>
        <w:spacing w:after="0" w:line="240" w:lineRule="auto"/>
        <w:jc w:val="both"/>
        <w:rPr>
          <w:rFonts w:ascii="Cambria" w:hAnsi="Cambria"/>
          <w:lang w:val="es-ES"/>
        </w:rPr>
      </w:pPr>
      <w:r w:rsidRPr="009310E6">
        <w:rPr>
          <w:rFonts w:ascii="Cambria" w:hAnsi="Cambria" w:cs="Arial"/>
          <w:color w:val="000000"/>
          <w:lang w:val="es-CL"/>
        </w:rPr>
        <w:tab/>
        <w:t xml:space="preserve">Además de la necesidad de obtención de justicia, la Comisión destaca que </w:t>
      </w:r>
      <w:r w:rsidRPr="009310E6">
        <w:rPr>
          <w:rFonts w:ascii="Cambria" w:eastAsia="Times New Roman" w:hAnsi="Cambria" w:cs="Cambria"/>
          <w:lang w:val="es-CO"/>
        </w:rPr>
        <w:t xml:space="preserve">el presente caso permitirá a la Corte </w:t>
      </w:r>
      <w:r w:rsidRPr="009310E6">
        <w:rPr>
          <w:rFonts w:ascii="Cambria" w:hAnsi="Cambria"/>
          <w:lang w:val="es-CO"/>
        </w:rPr>
        <w:t xml:space="preserve">profundizar su jurisprudencia sobre debido proceso penal y, particularmente, sobre el derecho a recurrir el fallo condenatorio. La legislación procesal penal en Argentina de varias provincias consagra como único recurso contra una sentencia condenatoria de primera instancia, al recurso de casación, cuyas causales se encuentran limitadas a errores de derecho, tanto en lo procesal como en lo sustantivo. En ese sentido, la CIDH ha requerido una adecuación normativa al Estado argentino, que continúa sin implementar a la fecha. Tomando en cuenta que la legislación en Argentina continúa siendo incompatible con los estándares interamericanos sobre el artículo 8.2 h) de la Convención, el presente caso trasciende a la víctima, siendo ese componente del caso una cuestión de orden público interamericano. </w:t>
      </w:r>
    </w:p>
    <w:p w:rsidR="005A70A1" w:rsidRPr="009310E6" w:rsidRDefault="005A70A1" w:rsidP="004147BF">
      <w:pPr>
        <w:spacing w:after="0" w:line="240" w:lineRule="auto"/>
        <w:jc w:val="both"/>
        <w:rPr>
          <w:rFonts w:ascii="Cambria" w:hAnsi="Cambria" w:cs="Arial"/>
          <w:lang w:val="es-ES"/>
        </w:rPr>
      </w:pPr>
    </w:p>
    <w:p w:rsidR="005A70A1" w:rsidRPr="009310E6" w:rsidRDefault="005A70A1" w:rsidP="004147BF">
      <w:pPr>
        <w:tabs>
          <w:tab w:val="left" w:pos="810"/>
        </w:tabs>
        <w:autoSpaceDE w:val="0"/>
        <w:autoSpaceDN w:val="0"/>
        <w:adjustRightInd w:val="0"/>
        <w:spacing w:after="0" w:line="240" w:lineRule="auto"/>
        <w:ind w:firstLine="720"/>
        <w:jc w:val="both"/>
        <w:rPr>
          <w:rFonts w:ascii="Cambria" w:hAnsi="Cambria" w:cs="Arial"/>
          <w:lang w:val="es-CL"/>
        </w:rPr>
      </w:pPr>
      <w:r w:rsidRPr="009310E6">
        <w:rPr>
          <w:rFonts w:ascii="Cambria" w:hAnsi="Cambria" w:cs="Arial"/>
          <w:lang w:val="es-CL"/>
        </w:rPr>
        <w:t xml:space="preserve">En virtud de que estas cuestiones afectan de manera relevante el orden público interamericano, de conformidad con el artículo 35.1 f) del Reglamento de la Corte Interamericana, la Comisión se permite solicitar el traslado de los peritajes rendidos por Alberto Bovino en los casos </w:t>
      </w:r>
      <w:r w:rsidRPr="009310E6">
        <w:rPr>
          <w:rFonts w:ascii="Cambria" w:hAnsi="Cambria" w:cs="Arial"/>
          <w:i/>
          <w:lang w:val="es-CL"/>
        </w:rPr>
        <w:t xml:space="preserve">Mendoza y otros vs. Argentina; </w:t>
      </w:r>
      <w:r w:rsidRPr="009310E6">
        <w:rPr>
          <w:rFonts w:ascii="Cambria" w:hAnsi="Cambria" w:cs="Arial"/>
          <w:lang w:val="es-CL"/>
        </w:rPr>
        <w:t xml:space="preserve">y </w:t>
      </w:r>
      <w:r w:rsidR="006110C7" w:rsidRPr="009310E6">
        <w:rPr>
          <w:rFonts w:ascii="Cambria" w:hAnsi="Cambria" w:cs="Arial"/>
          <w:i/>
          <w:lang w:val="es-CL"/>
        </w:rPr>
        <w:t>Amhrein y otros vs. Costa Rica.</w:t>
      </w:r>
      <w:r w:rsidRPr="009310E6">
        <w:rPr>
          <w:rFonts w:ascii="Cambria" w:hAnsi="Cambria" w:cs="Arial"/>
          <w:i/>
          <w:lang w:val="es-CL"/>
        </w:rPr>
        <w:t xml:space="preserve"> </w:t>
      </w:r>
    </w:p>
    <w:p w:rsidR="005A70A1" w:rsidRPr="009310E6" w:rsidRDefault="005A70A1" w:rsidP="004147BF">
      <w:pPr>
        <w:tabs>
          <w:tab w:val="left" w:pos="810"/>
        </w:tabs>
        <w:autoSpaceDE w:val="0"/>
        <w:autoSpaceDN w:val="0"/>
        <w:adjustRightInd w:val="0"/>
        <w:spacing w:after="0" w:line="240" w:lineRule="auto"/>
        <w:ind w:right="480"/>
        <w:jc w:val="both"/>
        <w:rPr>
          <w:rFonts w:ascii="Cambria" w:hAnsi="Cambria" w:cs="Arial"/>
          <w:lang w:val="es-CL"/>
        </w:rPr>
      </w:pPr>
    </w:p>
    <w:p w:rsidR="005A70A1" w:rsidRPr="009310E6" w:rsidRDefault="005A70A1" w:rsidP="004147BF">
      <w:pPr>
        <w:tabs>
          <w:tab w:val="left" w:pos="0"/>
          <w:tab w:val="left" w:pos="810"/>
        </w:tabs>
        <w:spacing w:after="0" w:line="240" w:lineRule="auto"/>
        <w:ind w:firstLine="720"/>
        <w:jc w:val="both"/>
        <w:rPr>
          <w:rFonts w:ascii="Cambria" w:hAnsi="Cambria"/>
          <w:lang w:val="es-CO"/>
        </w:rPr>
      </w:pPr>
      <w:r w:rsidRPr="009310E6">
        <w:rPr>
          <w:rFonts w:ascii="Cambria" w:hAnsi="Cambria"/>
          <w:lang w:val="es-ES_tradnl"/>
        </w:rPr>
        <w:t xml:space="preserve">La Comisión pone en conocimiento de la Corte la siguiente información sobre quien actuó como parte peticionaria a lo largo del trámite del caso: </w:t>
      </w:r>
    </w:p>
    <w:p w:rsidR="005A70A1" w:rsidRPr="009310E6" w:rsidRDefault="005A70A1" w:rsidP="004147BF">
      <w:pPr>
        <w:tabs>
          <w:tab w:val="left" w:pos="810"/>
        </w:tabs>
        <w:autoSpaceDE w:val="0"/>
        <w:autoSpaceDN w:val="0"/>
        <w:adjustRightInd w:val="0"/>
        <w:spacing w:after="0" w:line="240" w:lineRule="auto"/>
        <w:jc w:val="center"/>
        <w:rPr>
          <w:rFonts w:ascii="Cambria" w:hAnsi="Cambria"/>
          <w:lang w:val="es-ES"/>
        </w:rPr>
      </w:pPr>
    </w:p>
    <w:p w:rsidR="004563DE" w:rsidRPr="009310E6" w:rsidRDefault="004563DE" w:rsidP="004563DE">
      <w:pPr>
        <w:tabs>
          <w:tab w:val="left" w:pos="0"/>
          <w:tab w:val="left" w:pos="810"/>
        </w:tabs>
        <w:spacing w:after="0" w:line="240" w:lineRule="auto"/>
        <w:jc w:val="center"/>
        <w:rPr>
          <w:rFonts w:ascii="Cambria" w:hAnsi="Cambria" w:cs="Arial"/>
          <w:lang w:val="es-PE"/>
        </w:rPr>
      </w:pPr>
      <w:r w:rsidRPr="00596B4E">
        <w:rPr>
          <w:rFonts w:ascii="Cambria" w:hAnsi="Cambria" w:cs="Arial"/>
          <w:highlight w:val="black"/>
          <w:lang w:val="es-PE"/>
        </w:rPr>
        <w:t>XXXXXXXXX</w:t>
      </w:r>
    </w:p>
    <w:p w:rsidR="004563DE" w:rsidRPr="009310E6" w:rsidRDefault="004563DE" w:rsidP="004147BF">
      <w:pPr>
        <w:tabs>
          <w:tab w:val="left" w:pos="0"/>
          <w:tab w:val="left" w:pos="810"/>
        </w:tabs>
        <w:spacing w:after="0" w:line="240" w:lineRule="auto"/>
        <w:ind w:firstLine="720"/>
        <w:jc w:val="both"/>
        <w:rPr>
          <w:rFonts w:ascii="Cambria" w:hAnsi="Cambria" w:cs="Arial"/>
          <w:lang w:val="es-PE"/>
        </w:rPr>
      </w:pPr>
    </w:p>
    <w:p w:rsidR="005A70A1" w:rsidRPr="009310E6" w:rsidRDefault="005A70A1" w:rsidP="004147BF">
      <w:pPr>
        <w:tabs>
          <w:tab w:val="left" w:pos="0"/>
          <w:tab w:val="left" w:pos="810"/>
        </w:tabs>
        <w:spacing w:after="0" w:line="240" w:lineRule="auto"/>
        <w:ind w:firstLine="720"/>
        <w:jc w:val="both"/>
        <w:rPr>
          <w:rFonts w:ascii="Cambria" w:hAnsi="Cambria" w:cs="Arial"/>
          <w:lang w:val="es-CO"/>
        </w:rPr>
      </w:pPr>
      <w:r w:rsidRPr="009310E6">
        <w:rPr>
          <w:rFonts w:ascii="Cambria" w:hAnsi="Cambria" w:cs="Arial"/>
          <w:lang w:val="es-CO"/>
        </w:rPr>
        <w:t>Aprovecho la oportunidad para saludar a usted muy atentamente,</w:t>
      </w:r>
    </w:p>
    <w:p w:rsidR="005A70A1" w:rsidRPr="009310E6" w:rsidRDefault="005A70A1" w:rsidP="004147BF">
      <w:pPr>
        <w:tabs>
          <w:tab w:val="left" w:pos="810"/>
        </w:tabs>
        <w:suppressAutoHyphens/>
        <w:spacing w:after="0" w:line="240" w:lineRule="auto"/>
        <w:rPr>
          <w:rFonts w:ascii="Cambria" w:hAnsi="Cambria" w:cs="Arial"/>
          <w:snapToGrid w:val="0"/>
          <w:lang w:val="es-CO"/>
        </w:rPr>
      </w:pPr>
    </w:p>
    <w:p w:rsidR="005A70A1" w:rsidRPr="009310E6" w:rsidRDefault="005A70A1" w:rsidP="004147BF">
      <w:pPr>
        <w:tabs>
          <w:tab w:val="left" w:pos="810"/>
        </w:tabs>
        <w:suppressAutoHyphens/>
        <w:spacing w:after="0" w:line="240" w:lineRule="auto"/>
        <w:rPr>
          <w:rFonts w:ascii="Cambria" w:hAnsi="Cambria" w:cs="Arial"/>
          <w:snapToGrid w:val="0"/>
          <w:lang w:val="es-CO"/>
        </w:rPr>
      </w:pPr>
    </w:p>
    <w:p w:rsidR="005A70A1" w:rsidRPr="009310E6" w:rsidRDefault="005A70A1" w:rsidP="004147BF">
      <w:pPr>
        <w:tabs>
          <w:tab w:val="left" w:pos="810"/>
        </w:tabs>
        <w:suppressAutoHyphens/>
        <w:spacing w:after="0" w:line="240" w:lineRule="auto"/>
        <w:rPr>
          <w:rFonts w:ascii="Cambria" w:hAnsi="Cambria" w:cs="Arial"/>
          <w:snapToGrid w:val="0"/>
          <w:lang w:val="es-CO"/>
        </w:rPr>
      </w:pPr>
    </w:p>
    <w:p w:rsidR="005A70A1" w:rsidRPr="009310E6" w:rsidRDefault="005A70A1" w:rsidP="004147BF">
      <w:pPr>
        <w:tabs>
          <w:tab w:val="left" w:pos="810"/>
        </w:tabs>
        <w:suppressAutoHyphens/>
        <w:spacing w:after="0" w:line="240" w:lineRule="auto"/>
        <w:rPr>
          <w:rFonts w:ascii="Cambria" w:hAnsi="Cambria" w:cs="Arial"/>
          <w:snapToGrid w:val="0"/>
          <w:lang w:val="es-CO"/>
        </w:rPr>
      </w:pPr>
    </w:p>
    <w:p w:rsidR="005A70A1" w:rsidRPr="009310E6" w:rsidRDefault="005A70A1" w:rsidP="004147BF">
      <w:pPr>
        <w:tabs>
          <w:tab w:val="left" w:pos="810"/>
        </w:tabs>
        <w:suppressAutoHyphens/>
        <w:spacing w:after="0" w:line="240" w:lineRule="auto"/>
        <w:rPr>
          <w:rFonts w:ascii="Cambria" w:hAnsi="Cambria" w:cs="Arial"/>
          <w:snapToGrid w:val="0"/>
          <w:lang w:val="es-CO"/>
        </w:rPr>
      </w:pPr>
    </w:p>
    <w:p w:rsidR="005A70A1" w:rsidRPr="009310E6" w:rsidRDefault="005A70A1" w:rsidP="004147BF">
      <w:pPr>
        <w:tabs>
          <w:tab w:val="left" w:pos="810"/>
        </w:tabs>
        <w:suppressAutoHyphens/>
        <w:spacing w:after="0" w:line="240" w:lineRule="auto"/>
        <w:ind w:left="3600" w:firstLine="720"/>
        <w:rPr>
          <w:rFonts w:ascii="Cambria" w:hAnsi="Cambria" w:cs="Arial"/>
          <w:i/>
          <w:snapToGrid w:val="0"/>
          <w:color w:val="808080"/>
          <w:lang w:val="es-CO"/>
        </w:rPr>
      </w:pPr>
      <w:r w:rsidRPr="009310E6">
        <w:rPr>
          <w:rFonts w:ascii="Cambria" w:hAnsi="Cambria" w:cs="Arial"/>
          <w:snapToGrid w:val="0"/>
          <w:lang w:val="es-CO"/>
        </w:rPr>
        <w:tab/>
        <w:t xml:space="preserve">Elizabeth Abi-Mershed </w:t>
      </w:r>
    </w:p>
    <w:p w:rsidR="005A70A1" w:rsidRPr="009310E6" w:rsidRDefault="005A70A1" w:rsidP="004147BF">
      <w:pPr>
        <w:tabs>
          <w:tab w:val="left" w:pos="810"/>
        </w:tabs>
        <w:suppressAutoHyphens/>
        <w:spacing w:after="0" w:line="240" w:lineRule="auto"/>
        <w:rPr>
          <w:rFonts w:ascii="Cambria" w:hAnsi="Cambria"/>
          <w:lang w:val="es-CO"/>
        </w:rPr>
      </w:pPr>
      <w:r w:rsidRPr="009310E6">
        <w:rPr>
          <w:rFonts w:ascii="Cambria" w:hAnsi="Cambria" w:cs="Arial"/>
          <w:snapToGrid w:val="0"/>
          <w:lang w:val="es-CO"/>
        </w:rPr>
        <w:t xml:space="preserve"> </w:t>
      </w:r>
      <w:r w:rsidRPr="009310E6">
        <w:rPr>
          <w:rFonts w:ascii="Cambria" w:hAnsi="Cambria" w:cs="Arial"/>
          <w:snapToGrid w:val="0"/>
          <w:lang w:val="es-CO"/>
        </w:rPr>
        <w:tab/>
      </w:r>
      <w:r w:rsidRPr="009310E6">
        <w:rPr>
          <w:rFonts w:ascii="Cambria" w:hAnsi="Cambria" w:cs="Arial"/>
          <w:snapToGrid w:val="0"/>
          <w:lang w:val="es-CO"/>
        </w:rPr>
        <w:tab/>
      </w:r>
      <w:r w:rsidRPr="009310E6">
        <w:rPr>
          <w:rFonts w:ascii="Cambria" w:hAnsi="Cambria" w:cs="Arial"/>
          <w:snapToGrid w:val="0"/>
          <w:lang w:val="es-CO"/>
        </w:rPr>
        <w:tab/>
      </w:r>
      <w:r w:rsidRPr="009310E6">
        <w:rPr>
          <w:rFonts w:ascii="Cambria" w:hAnsi="Cambria" w:cs="Arial"/>
          <w:snapToGrid w:val="0"/>
          <w:lang w:val="es-CO"/>
        </w:rPr>
        <w:tab/>
      </w:r>
      <w:r w:rsidRPr="009310E6">
        <w:rPr>
          <w:rFonts w:ascii="Cambria" w:hAnsi="Cambria" w:cs="Arial"/>
          <w:snapToGrid w:val="0"/>
          <w:lang w:val="es-CO"/>
        </w:rPr>
        <w:tab/>
        <w:t xml:space="preserve">        </w:t>
      </w:r>
      <w:r w:rsidRPr="009310E6">
        <w:rPr>
          <w:rFonts w:ascii="Cambria" w:hAnsi="Cambria" w:cs="Arial"/>
          <w:snapToGrid w:val="0"/>
          <w:lang w:val="es-CO"/>
        </w:rPr>
        <w:tab/>
        <w:t xml:space="preserve">         Secretaria Ejecutiva Adjunta </w:t>
      </w:r>
    </w:p>
    <w:p w:rsidR="005A70A1" w:rsidRPr="009310E6" w:rsidRDefault="005A70A1" w:rsidP="004147BF">
      <w:pPr>
        <w:spacing w:after="0"/>
        <w:rPr>
          <w:rFonts w:ascii="Cambria" w:hAnsi="Cambria"/>
          <w:lang w:val="es-CO"/>
        </w:rPr>
      </w:pPr>
    </w:p>
    <w:p w:rsidR="005A70A1" w:rsidRPr="009310E6" w:rsidRDefault="005A70A1" w:rsidP="004147BF">
      <w:pPr>
        <w:spacing w:after="0"/>
        <w:rPr>
          <w:rFonts w:ascii="Cambria" w:hAnsi="Cambria"/>
        </w:rPr>
      </w:pPr>
    </w:p>
    <w:p w:rsidR="007F794D" w:rsidRPr="009310E6" w:rsidRDefault="007F794D" w:rsidP="004147BF">
      <w:pPr>
        <w:spacing w:after="0"/>
        <w:rPr>
          <w:rFonts w:ascii="Cambria" w:hAnsi="Cambria"/>
        </w:rPr>
      </w:pPr>
    </w:p>
    <w:sectPr w:rsidR="007F794D" w:rsidRPr="009310E6" w:rsidSect="009310E6">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AE3" w:rsidRDefault="00144AE3">
      <w:pPr>
        <w:spacing w:after="0" w:line="240" w:lineRule="auto"/>
      </w:pPr>
      <w:r>
        <w:separator/>
      </w:r>
    </w:p>
  </w:endnote>
  <w:endnote w:type="continuationSeparator" w:id="0">
    <w:p w:rsidR="00144AE3" w:rsidRDefault="00144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E6" w:rsidRPr="00A72869" w:rsidRDefault="009310E6">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7A02EB">
      <w:rPr>
        <w:noProof/>
        <w:color w:val="7F7F7F"/>
        <w:sz w:val="16"/>
      </w:rPr>
      <w:t>3</w:t>
    </w:r>
    <w:r w:rsidRPr="00A72869">
      <w:rPr>
        <w:noProof/>
        <w:color w:val="7F7F7F"/>
        <w:sz w:val="16"/>
      </w:rPr>
      <w:fldChar w:fldCharType="end"/>
    </w:r>
  </w:p>
  <w:p w:rsidR="009310E6" w:rsidRDefault="009310E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E6" w:rsidRDefault="009310E6" w:rsidP="009310E6">
    <w:pPr>
      <w:pStyle w:val="Piedepgina"/>
      <w:spacing w:line="360" w:lineRule="auto"/>
    </w:pPr>
    <w:r>
      <w:pict>
        <v:rect id="_x0000_i1026" style="width:0;height:1.5pt" o:hralign="center" o:hrstd="t" o:hr="t" fillcolor="#a0a0a0" stroked="f"/>
      </w:pict>
    </w:r>
  </w:p>
  <w:p w:rsidR="009310E6" w:rsidRDefault="0067494A" w:rsidP="009310E6">
    <w:pPr>
      <w:pStyle w:val="Piedepgina"/>
      <w:jc w:val="center"/>
    </w:pPr>
    <w:r w:rsidRPr="00B803C5">
      <w:rPr>
        <w:noProof/>
      </w:rPr>
      <w:drawing>
        <wp:inline distT="0" distB="0" distL="0" distR="0">
          <wp:extent cx="5114925" cy="314325"/>
          <wp:effectExtent l="0" t="0" r="0" b="0"/>
          <wp:docPr id="7" name="Picture 1"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143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AE3" w:rsidRDefault="00144AE3">
      <w:pPr>
        <w:spacing w:after="0" w:line="240" w:lineRule="auto"/>
      </w:pPr>
      <w:r>
        <w:separator/>
      </w:r>
    </w:p>
  </w:footnote>
  <w:footnote w:type="continuationSeparator" w:id="0">
    <w:p w:rsidR="00144AE3" w:rsidRDefault="00144A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E6" w:rsidRPr="0058688A" w:rsidRDefault="0067494A" w:rsidP="009310E6">
    <w:pPr>
      <w:pStyle w:val="Encabezado"/>
      <w:jc w:val="center"/>
      <w:rPr>
        <w:lang w:val="es-ES_tradnl"/>
      </w:rPr>
    </w:pPr>
    <w:r w:rsidRPr="00B803C5">
      <w:rPr>
        <w:noProof/>
      </w:rPr>
      <w:drawing>
        <wp:inline distT="0" distB="0" distL="0" distR="0">
          <wp:extent cx="2286000" cy="123825"/>
          <wp:effectExtent l="0" t="0" r="0" b="0"/>
          <wp:docPr id="4" name="Picture 4" descr="cidh-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h-pe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rsidR="009310E6" w:rsidRDefault="009310E6">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0E6" w:rsidRDefault="0067494A" w:rsidP="009310E6">
    <w:pPr>
      <w:pStyle w:val="Encabezado"/>
    </w:pPr>
    <w:r w:rsidRPr="00B803C5">
      <w:rPr>
        <w:noProof/>
      </w:rPr>
      <w:drawing>
        <wp:inline distT="0" distB="0" distL="0" distR="0">
          <wp:extent cx="2352675" cy="457200"/>
          <wp:effectExtent l="0" t="0" r="0" b="0"/>
          <wp:docPr id="5" name="Picture 3"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9310E6">
      <w:tab/>
    </w:r>
    <w:r w:rsidR="009310E6">
      <w:tab/>
    </w:r>
    <w:r w:rsidRPr="00B803C5">
      <w:rPr>
        <w:noProof/>
      </w:rPr>
      <w:drawing>
        <wp:inline distT="0" distB="0" distL="0" distR="0">
          <wp:extent cx="1647825" cy="476250"/>
          <wp:effectExtent l="0" t="0" r="0" b="0"/>
          <wp:docPr id="6"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rsidR="009310E6" w:rsidRDefault="009310E6" w:rsidP="009310E6">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50F6B"/>
    <w:multiLevelType w:val="hybridMultilevel"/>
    <w:tmpl w:val="B22485BA"/>
    <w:lvl w:ilvl="0" w:tplc="CC962494">
      <w:start w:val="1"/>
      <w:numFmt w:val="decimal"/>
      <w:lvlText w:val="%1."/>
      <w:lvlJc w:val="left"/>
      <w:pPr>
        <w:tabs>
          <w:tab w:val="num" w:pos="810"/>
        </w:tabs>
        <w:ind w:left="90" w:firstLine="720"/>
      </w:pPr>
      <w:rPr>
        <w:rFonts w:hint="default"/>
        <w:b w:val="0"/>
        <w:i w:val="0"/>
        <w:color w:val="auto"/>
        <w:sz w:val="20"/>
        <w:szCs w:val="20"/>
        <w:lang w:val="es-E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023686"/>
    <w:multiLevelType w:val="hybridMultilevel"/>
    <w:tmpl w:val="F86E1812"/>
    <w:lvl w:ilvl="0" w:tplc="91D2B51C">
      <w:start w:val="1"/>
      <w:numFmt w:val="decimal"/>
      <w:lvlText w:val="%1."/>
      <w:lvlJc w:val="left"/>
      <w:pPr>
        <w:tabs>
          <w:tab w:val="num" w:pos="990"/>
        </w:tabs>
        <w:ind w:left="990" w:hanging="360"/>
      </w:pPr>
      <w:rPr>
        <w:rFonts w:ascii="Cambria" w:hAnsi="Cambria" w:hint="default"/>
        <w:b w:val="0"/>
        <w:sz w:val="20"/>
        <w:szCs w:val="20"/>
        <w:lang w:val="es-CO"/>
      </w:rPr>
    </w:lvl>
    <w:lvl w:ilvl="1" w:tplc="D92C12E8">
      <w:start w:val="59"/>
      <w:numFmt w:val="decimal"/>
      <w:lvlText w:val="%2."/>
      <w:lvlJc w:val="left"/>
      <w:pPr>
        <w:tabs>
          <w:tab w:val="num" w:pos="2580"/>
        </w:tabs>
        <w:ind w:left="2580" w:hanging="1500"/>
      </w:pPr>
      <w:rPr>
        <w:rFonts w:hint="default"/>
      </w:rPr>
    </w:lvl>
    <w:lvl w:ilvl="2" w:tplc="99CCD1F2">
      <w:start w:val="3"/>
      <w:numFmt w:val="upperLetter"/>
      <w:lvlText w:val="%3."/>
      <w:lvlJc w:val="left"/>
      <w:pPr>
        <w:tabs>
          <w:tab w:val="num" w:pos="2340"/>
        </w:tabs>
        <w:ind w:left="2340" w:hanging="360"/>
      </w:pPr>
      <w:rPr>
        <w:rFonts w:hint="default"/>
      </w:rPr>
    </w:lvl>
    <w:lvl w:ilvl="3" w:tplc="0409000F">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A1"/>
    <w:rsid w:val="00022596"/>
    <w:rsid w:val="000E5ABC"/>
    <w:rsid w:val="00130A43"/>
    <w:rsid w:val="00144AE3"/>
    <w:rsid w:val="001477AA"/>
    <w:rsid w:val="00242E3D"/>
    <w:rsid w:val="00267AE3"/>
    <w:rsid w:val="00286CD2"/>
    <w:rsid w:val="00311B9D"/>
    <w:rsid w:val="003617DC"/>
    <w:rsid w:val="004147BF"/>
    <w:rsid w:val="00430055"/>
    <w:rsid w:val="004563DE"/>
    <w:rsid w:val="005325B8"/>
    <w:rsid w:val="00536FB1"/>
    <w:rsid w:val="00584E24"/>
    <w:rsid w:val="00596B4E"/>
    <w:rsid w:val="005A70A1"/>
    <w:rsid w:val="006110C7"/>
    <w:rsid w:val="0067494A"/>
    <w:rsid w:val="0071373F"/>
    <w:rsid w:val="00713C40"/>
    <w:rsid w:val="00750A54"/>
    <w:rsid w:val="007A02EB"/>
    <w:rsid w:val="007A11FF"/>
    <w:rsid w:val="007A6FB3"/>
    <w:rsid w:val="007C4636"/>
    <w:rsid w:val="007F794D"/>
    <w:rsid w:val="008E6EF4"/>
    <w:rsid w:val="00910F77"/>
    <w:rsid w:val="00912770"/>
    <w:rsid w:val="00915105"/>
    <w:rsid w:val="009310E6"/>
    <w:rsid w:val="00944474"/>
    <w:rsid w:val="009A1000"/>
    <w:rsid w:val="009F6EDA"/>
    <w:rsid w:val="00A2425E"/>
    <w:rsid w:val="00AA1F07"/>
    <w:rsid w:val="00AA3296"/>
    <w:rsid w:val="00AF084B"/>
    <w:rsid w:val="00B00B4A"/>
    <w:rsid w:val="00B02172"/>
    <w:rsid w:val="00B40489"/>
    <w:rsid w:val="00B7464D"/>
    <w:rsid w:val="00B76DB6"/>
    <w:rsid w:val="00C03F6D"/>
    <w:rsid w:val="00C57349"/>
    <w:rsid w:val="00C75975"/>
    <w:rsid w:val="00C809C8"/>
    <w:rsid w:val="00D00B10"/>
    <w:rsid w:val="00DF55E0"/>
    <w:rsid w:val="00FB2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F563E7-13C4-4ADE-92D1-7FADC3F3F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A70A1"/>
    <w:pPr>
      <w:tabs>
        <w:tab w:val="center" w:pos="4680"/>
        <w:tab w:val="right" w:pos="9360"/>
      </w:tabs>
      <w:spacing w:after="0" w:line="240" w:lineRule="auto"/>
    </w:pPr>
    <w:rPr>
      <w:rFonts w:eastAsia="MS Mincho"/>
    </w:rPr>
  </w:style>
  <w:style w:type="character" w:customStyle="1" w:styleId="EncabezadoCar">
    <w:name w:val="Encabezado Car"/>
    <w:link w:val="Encabezado"/>
    <w:rsid w:val="005A70A1"/>
    <w:rPr>
      <w:rFonts w:eastAsia="MS Mincho"/>
      <w:sz w:val="22"/>
      <w:szCs w:val="22"/>
    </w:rPr>
  </w:style>
  <w:style w:type="paragraph" w:styleId="Piedepgina">
    <w:name w:val="footer"/>
    <w:basedOn w:val="Normal"/>
    <w:link w:val="PiedepginaCar"/>
    <w:unhideWhenUsed/>
    <w:rsid w:val="005A70A1"/>
    <w:pPr>
      <w:tabs>
        <w:tab w:val="center" w:pos="4680"/>
        <w:tab w:val="right" w:pos="9360"/>
      </w:tabs>
      <w:spacing w:after="0" w:line="240" w:lineRule="auto"/>
    </w:pPr>
    <w:rPr>
      <w:rFonts w:eastAsia="MS Mincho"/>
    </w:rPr>
  </w:style>
  <w:style w:type="character" w:customStyle="1" w:styleId="PiedepginaCar">
    <w:name w:val="Pie de página Car"/>
    <w:link w:val="Piedepgina"/>
    <w:rsid w:val="005A70A1"/>
    <w:rPr>
      <w:rFonts w:eastAsia="MS Mincho"/>
      <w:sz w:val="22"/>
      <w:szCs w:val="22"/>
    </w:rPr>
  </w:style>
  <w:style w:type="paragraph" w:styleId="NormalWeb">
    <w:name w:val="Normal (Web)"/>
    <w:basedOn w:val="Normal"/>
    <w:uiPriority w:val="99"/>
    <w:semiHidden/>
    <w:unhideWhenUsed/>
    <w:rsid w:val="005A70A1"/>
    <w:pPr>
      <w:spacing w:before="100" w:beforeAutospacing="1" w:after="100" w:afterAutospacing="1" w:line="240" w:lineRule="auto"/>
    </w:pPr>
    <w:rPr>
      <w:rFonts w:ascii="Times New Roman" w:hAnsi="Times New Roman"/>
      <w:sz w:val="24"/>
      <w:szCs w:val="24"/>
    </w:rPr>
  </w:style>
  <w:style w:type="character" w:styleId="Hipervnculo">
    <w:name w:val="Hyperlink"/>
    <w:uiPriority w:val="99"/>
    <w:unhideWhenUsed/>
    <w:rsid w:val="005A70A1"/>
    <w:rPr>
      <w:color w:val="0563C1"/>
      <w:u w:val="single"/>
    </w:rPr>
  </w:style>
  <w:style w:type="paragraph" w:styleId="Sangradetextonormal">
    <w:name w:val="Body Text Indent"/>
    <w:link w:val="SangradetextonormalCar"/>
    <w:rsid w:val="005A70A1"/>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5A70A1"/>
    <w:rPr>
      <w:rFonts w:ascii="Times New Roman" w:eastAsia="Times New Roman" w:hAnsi="Times New Roman"/>
      <w:color w:val="000000"/>
      <w:sz w:val="24"/>
      <w:szCs w:val="24"/>
      <w:u w:color="000000"/>
      <w:bdr w:val="nil"/>
      <w:lang w:val="es-ES_tradnl" w:eastAsia="es-ES"/>
    </w:rPr>
  </w:style>
  <w:style w:type="paragraph" w:styleId="Sangra3detindependiente">
    <w:name w:val="Body Text Indent 3"/>
    <w:basedOn w:val="Normal"/>
    <w:link w:val="Sangra3detindependienteCar"/>
    <w:uiPriority w:val="99"/>
    <w:semiHidden/>
    <w:unhideWhenUsed/>
    <w:rsid w:val="005A70A1"/>
    <w:pPr>
      <w:pBdr>
        <w:top w:val="nil"/>
        <w:left w:val="nil"/>
        <w:bottom w:val="nil"/>
        <w:right w:val="nil"/>
        <w:between w:val="nil"/>
        <w:bar w:val="nil"/>
      </w:pBdr>
      <w:spacing w:after="120" w:line="240" w:lineRule="auto"/>
      <w:ind w:left="360"/>
    </w:pPr>
    <w:rPr>
      <w:rFonts w:ascii="Times New Roman" w:eastAsia="Arial Unicode MS" w:hAnsi="Times New Roman"/>
      <w:sz w:val="16"/>
      <w:szCs w:val="16"/>
      <w:bdr w:val="nil"/>
    </w:rPr>
  </w:style>
  <w:style w:type="character" w:customStyle="1" w:styleId="Sangra3detindependienteCar">
    <w:name w:val="Sangría 3 de t. independiente Car"/>
    <w:link w:val="Sangra3detindependiente"/>
    <w:uiPriority w:val="99"/>
    <w:semiHidden/>
    <w:rsid w:val="005A70A1"/>
    <w:rPr>
      <w:rFonts w:ascii="Times New Roman" w:eastAsia="Arial Unicode MS" w:hAnsi="Times New Roman"/>
      <w:sz w:val="16"/>
      <w:szCs w:val="16"/>
      <w:bdr w:val="nil"/>
    </w:rPr>
  </w:style>
  <w:style w:type="paragraph" w:styleId="Prrafodelista">
    <w:name w:val="List Paragraph"/>
    <w:aliases w:val="Párrafo de lista1,List Paragraph1,List Paragraph11"/>
    <w:link w:val="PrrafodelistaCar"/>
    <w:uiPriority w:val="34"/>
    <w:qFormat/>
    <w:rsid w:val="007C4636"/>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character" w:customStyle="1" w:styleId="PrrafodelistaCar">
    <w:name w:val="Párrafo de lista Car"/>
    <w:aliases w:val="Párrafo de lista1 Car,List Paragraph1 Car,List Paragraph11 Car"/>
    <w:link w:val="Prrafodelista"/>
    <w:uiPriority w:val="34"/>
    <w:locked/>
    <w:rsid w:val="007C4636"/>
    <w:rPr>
      <w:rFonts w:ascii="Cambria" w:eastAsia="Cambria" w:hAnsi="Cambria" w:cs="Cambria"/>
      <w:color w:val="000000"/>
      <w:sz w:val="24"/>
      <w:szCs w:val="24"/>
      <w:u w:color="000000"/>
      <w:bdr w:val="ni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1199</Words>
  <Characters>6837</Characters>
  <Application>Microsoft Office Word</Application>
  <DocSecurity>0</DocSecurity>
  <Lines>56</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4</cp:revision>
  <cp:lastPrinted>2018-12-28T21:14:00Z</cp:lastPrinted>
  <dcterms:created xsi:type="dcterms:W3CDTF">2018-12-28T21:14:00Z</dcterms:created>
  <dcterms:modified xsi:type="dcterms:W3CDTF">2018-12-28T21:14:00Z</dcterms:modified>
</cp:coreProperties>
</file>